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17.7.2026</w:t>
      </w:r>
      <w:r>
        <w:br/>
      </w:r>
      <w:r>
        <w:t xml:space="preserve">SWD(2026) 616 final</w:t>
      </w:r>
      <w:r>
        <w:t xml:space="preserve"> </w:t>
      </w:r>
      <w:r>
        <w:t xml:space="preserve">PART 3/5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</w:t>
      </w:r>
      <w:r>
        <w:br/>
      </w:r>
      <w:r>
        <w:t xml:space="preserve">DIRECTIVE OF THE EUROPEAN PARLIAMENT AND OF THE COUNCIL</w:t>
      </w:r>
      <w:r>
        <w:t xml:space="preserve"> </w:t>
      </w:r>
      <w:r>
        <w:t xml:space="preserve">amending Directive 2003/87/EC and Decision (EU) 2015/1814 as regards driving</w:t>
      </w:r>
      <w:r>
        <w:t xml:space="preserve"> </w:t>
      </w:r>
      <w:r>
        <w:t xml:space="preserve">competitiveness and cost-effective decarbonisation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amending Directive 2003/87/EC as regards revised benchmark values for the heat and</w:t>
      </w:r>
      <w:r>
        <w:t xml:space="preserve"> </w:t>
      </w:r>
      <w:r>
        <w:t xml:space="preserve">fuel benchmarks for the period from 2026 to 2030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amending Regulations (EU) 2015/757 and (EU) 2023/1805 to simplify and streamline</w:t>
      </w:r>
      <w:r>
        <w:t xml:space="preserve"> </w:t>
      </w:r>
      <w:r>
        <w:t xml:space="preserve">monitoring, reporting and verification and to align with revisions of the EU Emissions</w:t>
      </w:r>
      <w:r>
        <w:t xml:space="preserve"> </w:t>
      </w:r>
      <w:r>
        <w:t xml:space="preserve">Trading System</w:t>
      </w:r>
      <w:r>
        <w:t xml:space="preserve"> </w:t>
      </w:r>
      <w:r>
        <w:t xml:space="preserve">{COM(2026) 616 final} - {COM(2026) 619 final} - {COM(2026) 620 final} -</w:t>
      </w:r>
      <w:r>
        <w:t xml:space="preserve"> </w:t>
      </w:r>
      <w:r>
        <w:t xml:space="preserve">{SEC(2026) 616 final} - {SWD(2026) 617 final} - {SWD(2026) 618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8: PART I – CAP …………………………………………………………………………………………. 6</w:t>
      </w:r>
      <w:r>
        <w:t xml:space="preserve"> </w:t>
      </w:r>
      <w:r>
        <w:t xml:space="preserve">LIST OF TABLES ………………………………………………………………………………………………………. 6</w:t>
      </w:r>
      <w:r>
        <w:t xml:space="preserve"> </w:t>
      </w:r>
      <w:r>
        <w:t xml:space="preserve">LIST OF FIGURES ……………………………………………………………………………………………………… 6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TO CAP SETTING …………………………………………………………………………. 7</w:t>
      </w:r>
      <w:r>
        <w:t xml:space="preserve"> </w:t>
      </w:r>
      <w:r>
        <w:t xml:space="preserve">1.1.</w:t>
      </w:r>
      <w:r>
        <w:t xml:space="preserve"> </w:t>
      </w:r>
      <w:r>
        <w:t xml:space="preserve">Legal default and Legal default with one-way aviation cap setting …………………. 7</w:t>
      </w:r>
      <w:r>
        <w:t xml:space="preserve"> </w:t>
      </w:r>
      <w:r>
        <w:t xml:space="preserve">1.2.</w:t>
      </w:r>
      <w:r>
        <w:t xml:space="preserve"> </w:t>
      </w:r>
      <w:r>
        <w:t xml:space="preserve">Different trajectories for the 85% scope scenario with current scope and 50%</w:t>
      </w:r>
      <w:r>
        <w:t xml:space="preserve"> </w:t>
      </w:r>
      <w:r>
        <w:t xml:space="preserve">incoming and outgoing international aviation cap setting …………………………………………. 8</w:t>
      </w:r>
      <w:r>
        <w:t xml:space="preserve"> </w:t>
      </w:r>
      <w:r>
        <w:t xml:space="preserve">1.3.</w:t>
      </w:r>
      <w:r>
        <w:t xml:space="preserve"> </w:t>
      </w:r>
      <w:r>
        <w:t xml:space="preserve">Net cap trajectories excluding international aviation ……………………………………. 11</w:t>
      </w:r>
      <w:r>
        <w:t xml:space="preserve"> </w:t>
      </w:r>
      <w:r>
        <w:t xml:space="preserve">1.4.</w:t>
      </w:r>
      <w:r>
        <w:t xml:space="preserve"> </w:t>
      </w:r>
      <w:r>
        <w:t xml:space="preserve">Caps for a trajectory towards 90% domestic reductions ……………………………….. 12</w:t>
      </w:r>
      <w:r>
        <w:t xml:space="preserve"> </w:t>
      </w:r>
      <w:r>
        <w:t xml:space="preserve">1.5.</w:t>
      </w:r>
      <w:r>
        <w:t xml:space="preserve"> </w:t>
      </w:r>
      <w:r>
        <w:t xml:space="preserve">Investment needs and system costs ……………………………………………………………. 13</w:t>
      </w:r>
      <w:r>
        <w:t xml:space="preserve"> </w:t>
      </w:r>
      <w:r>
        <w:t xml:space="preserve">1.6.</w:t>
      </w:r>
      <w:r>
        <w:t xml:space="preserve"> </w:t>
      </w:r>
      <w:r>
        <w:t xml:space="preserve">Components of the policy options - Inclusion measures ………………………………. 16</w:t>
      </w:r>
      <w:r>
        <w:t xml:space="preserve"> </w:t>
      </w:r>
      <w:r>
        <w:t xml:space="preserve">1.7.</w:t>
      </w:r>
      <w:r>
        <w:t xml:space="preserve"> </w:t>
      </w:r>
      <w:r>
        <w:t xml:space="preserve">Policy Options cap setting ……………………………………………………………………….. 17</w:t>
      </w:r>
      <w:r>
        <w:t xml:space="preserve"> </w:t>
      </w:r>
      <w:r>
        <w:t xml:space="preserve">ANNEX 8: PART II – REMOVALS …………………………………………………………………………….. 21</w:t>
      </w:r>
      <w:r>
        <w:t xml:space="preserve"> </w:t>
      </w:r>
      <w:r>
        <w:t xml:space="preserve">LIST OF TABLES …………………………………………………………………………………………………….. 21</w:t>
      </w:r>
      <w:r>
        <w:t xml:space="preserve"> </w:t>
      </w:r>
      <w:r>
        <w:t xml:space="preserve">LIST OF FIGURES ……………………………………………………………………………………………………. 21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………………………………………………………………………………………………. 22</w:t>
      </w:r>
      <w:r>
        <w:t xml:space="preserve"> </w:t>
      </w:r>
      <w:r>
        <w:t xml:space="preserve">1.1.</w:t>
      </w:r>
      <w:r>
        <w:t xml:space="preserve"> </w:t>
      </w:r>
      <w:r>
        <w:t xml:space="preserve">Context of the assessment of the integration of domestic carbon removals in the</w:t>
      </w:r>
      <w:r>
        <w:t xml:space="preserve"> </w:t>
      </w:r>
      <w:r>
        <w:t xml:space="preserve">EU ETS ……………………………………………………………………………………………………………. 22</w:t>
      </w:r>
      <w:r>
        <w:t xml:space="preserve"> </w:t>
      </w:r>
      <w:r>
        <w:t xml:space="preserve">1.2.</w:t>
      </w:r>
      <w:r>
        <w:t xml:space="preserve"> </w:t>
      </w:r>
      <w:r>
        <w:t xml:space="preserve">Considerations for the assessment of the integration ……………………………………. 24</w:t>
      </w:r>
      <w:r>
        <w:t xml:space="preserve"> </w:t>
      </w:r>
      <w:r>
        <w:t xml:space="preserve">2.</w:t>
      </w:r>
      <w:r>
        <w:t xml:space="preserve"> </w:t>
      </w:r>
      <w:r>
        <w:t xml:space="preserve">POLICY MEASURES ………………………………………………………………………………………….. 26</w:t>
      </w:r>
      <w:r>
        <w:t xml:space="preserve"> </w:t>
      </w:r>
      <w:r>
        <w:t xml:space="preserve">2.1.</w:t>
      </w:r>
      <w:r>
        <w:t xml:space="preserve"> </w:t>
      </w:r>
      <w:r>
        <w:t xml:space="preserve">Measures under consideration…………………………………………………………………… 26</w:t>
      </w:r>
      <w:r>
        <w:t xml:space="preserve"> </w:t>
      </w:r>
      <w:r>
        <w:t xml:space="preserve">2.2.</w:t>
      </w:r>
      <w:r>
        <w:t xml:space="preserve"> </w:t>
      </w:r>
      <w:r>
        <w:t xml:space="preserve">Measures discarded at an early stage …………………………………………………………. 30</w:t>
      </w:r>
      <w:r>
        <w:t xml:space="preserve"> </w:t>
      </w:r>
      <w:r>
        <w:t xml:space="preserve">2.3.</w:t>
      </w:r>
      <w:r>
        <w:t xml:space="preserve"> </w:t>
      </w:r>
      <w:r>
        <w:t xml:space="preserve">Assessment of the measures……………………………………………………………………… 33</w:t>
      </w:r>
      <w:r>
        <w:t xml:space="preserve"> </w:t>
      </w:r>
      <w:r>
        <w:t xml:space="preserve">3.</w:t>
      </w:r>
      <w:r>
        <w:t xml:space="preserve"> </w:t>
      </w:r>
      <w:r>
        <w:t xml:space="preserve">TYPE OF REMOVALS TO BE CONSIDERED FOR INTEGRATION …………………………………… 60</w:t>
      </w:r>
      <w:r>
        <w:t xml:space="preserve"> </w:t>
      </w:r>
      <w:r>
        <w:t xml:space="preserve">3.1.</w:t>
      </w:r>
      <w:r>
        <w:t xml:space="preserve"> </w:t>
      </w:r>
      <w:r>
        <w:t xml:space="preserve">Minimum requirements on the removal types for integration ……………………….. 60</w:t>
      </w:r>
      <w:r>
        <w:t xml:space="preserve"> </w:t>
      </w:r>
      <w:r>
        <w:t xml:space="preserve">4.</w:t>
      </w:r>
      <w:r>
        <w:t xml:space="preserve"> </w:t>
      </w:r>
      <w:r>
        <w:t xml:space="preserve">CROSS CUTTING DESIGN CONSIDERATIONS OF THE MEASURES ……………………………….. 69</w:t>
      </w:r>
      <w:r>
        <w:t xml:space="preserve"> </w:t>
      </w:r>
      <w:r>
        <w:t xml:space="preserve">4.1.</w:t>
      </w:r>
      <w:r>
        <w:t xml:space="preserve"> </w:t>
      </w:r>
      <w:r>
        <w:t xml:space="preserve">Equivalence between CRCF and EU ETS GHG units………………………………….. 69</w:t>
      </w:r>
      <w:r>
        <w:t xml:space="preserve"> </w:t>
      </w:r>
      <w:r>
        <w:t xml:space="preserve">4.2.</w:t>
      </w:r>
      <w:r>
        <w:t xml:space="preserve"> </w:t>
      </w:r>
      <w:r>
        <w:t xml:space="preserve">Unit differentiation………………………………………………………………………………….. 71</w:t>
      </w:r>
      <w:r>
        <w:t xml:space="preserve"> </w:t>
      </w:r>
      <w:r>
        <w:t xml:space="preserve">4.3.</w:t>
      </w:r>
      <w:r>
        <w:t xml:space="preserve"> </w:t>
      </w:r>
      <w:r>
        <w:t xml:space="preserve">Who carries out the conversion in the private sector integration option (CR1-</w:t>
      </w:r>
      <w:r>
        <w:t xml:space="preserve"> </w:t>
      </w:r>
      <w:r>
        <w:t xml:space="preserve">CR3) 74</w:t>
      </w:r>
      <w:r>
        <w:t xml:space="preserve"> </w:t>
      </w:r>
      <w:r>
        <w:t xml:space="preserve">4.4.</w:t>
      </w:r>
      <w:r>
        <w:t xml:space="preserve"> </w:t>
      </w:r>
      <w:r>
        <w:t xml:space="preserve">Considerations on CDR limits ………………………………………………………………….. 75</w:t>
      </w:r>
      <w:r>
        <w:t xml:space="preserve"> </w:t>
      </w:r>
      <w:r>
        <w:t xml:space="preserve">4.5.</w:t>
      </w:r>
      <w:r>
        <w:t xml:space="preserve"> </w:t>
      </w:r>
      <w:r>
        <w:t xml:space="preserve">Timing and sequencing ……………………………………………………………………………. 79</w:t>
      </w:r>
      <w:r>
        <w:t xml:space="preserve"> </w:t>
      </w:r>
      <w:r>
        <w:t xml:space="preserve">4.6.</w:t>
      </w:r>
      <w:r>
        <w:t xml:space="preserve"> </w:t>
      </w:r>
      <w:r>
        <w:t xml:space="preserve">Purchasing permanent carbon removals …………………………………………………….. 81</w:t>
      </w:r>
    </w:p>
    <w:p>
      <w:pPr>
        <w:pStyle w:val="BodyText"/>
      </w:pPr>
      <w:r>
        <w:t xml:space="preserve">ANNEX 8: PART III – MARKET STABILITY RESERVE ………………………………………………… 85</w:t>
      </w:r>
      <w:r>
        <w:t xml:space="preserve"> </w:t>
      </w:r>
      <w:r>
        <w:t xml:space="preserve">LIST OF TABLES …………………………………………………………………………………………………….. 85</w:t>
      </w:r>
      <w:r>
        <w:t xml:space="preserve"> </w:t>
      </w:r>
      <w:r>
        <w:t xml:space="preserve">LIST OF FIGURES ……………………………………………………………………………………………………. 86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THE MARKET STABILITY RESERVE (MSR) …………………………………….. 88</w:t>
      </w:r>
      <w:r>
        <w:t xml:space="preserve"> </w:t>
      </w:r>
      <w:r>
        <w:t xml:space="preserve">1.1.</w:t>
      </w:r>
      <w:r>
        <w:t xml:space="preserve"> </w:t>
      </w:r>
      <w:r>
        <w:t xml:space="preserve">Introduction and overview ……………………………………………………………………….. 88</w:t>
      </w:r>
      <w:r>
        <w:t xml:space="preserve"> </w:t>
      </w:r>
      <w:r>
        <w:t xml:space="preserve">1.2.</w:t>
      </w:r>
      <w:r>
        <w:t xml:space="preserve"> </w:t>
      </w:r>
      <w:r>
        <w:t xml:space="preserve">Conclusions of the evaluation and future challenges for the operations of the</w:t>
      </w:r>
      <w:r>
        <w:t xml:space="preserve"> </w:t>
      </w:r>
      <w:r>
        <w:t xml:space="preserve">MSR. 89</w:t>
      </w:r>
      <w:r>
        <w:t xml:space="preserve"> </w:t>
      </w:r>
      <w:r>
        <w:t xml:space="preserve">1.3.</w:t>
      </w:r>
      <w:r>
        <w:t xml:space="preserve"> </w:t>
      </w:r>
      <w:r>
        <w:t xml:space="preserve">Challenges for the future operations of the MSR. ……………………………………….. 90</w:t>
      </w:r>
      <w:r>
        <w:t xml:space="preserve"> </w:t>
      </w:r>
      <w:r>
        <w:t xml:space="preserve">2.</w:t>
      </w:r>
      <w:r>
        <w:t xml:space="preserve"> </w:t>
      </w:r>
      <w:r>
        <w:t xml:space="preserve">PARAMETERS OF THE MARKET STABILITY RESERVE ……………………………………………. 91</w:t>
      </w:r>
      <w:r>
        <w:t xml:space="preserve"> </w:t>
      </w:r>
      <w:r>
        <w:t xml:space="preserve">2.1.</w:t>
      </w:r>
      <w:r>
        <w:t xml:space="preserve"> </w:t>
      </w:r>
      <w:r>
        <w:t xml:space="preserve">Upper threshold and upper buffer ……………………………………………………………… 92</w:t>
      </w:r>
      <w:r>
        <w:t xml:space="preserve"> </w:t>
      </w:r>
      <w:r>
        <w:t xml:space="preserve">2.2.</w:t>
      </w:r>
      <w:r>
        <w:t xml:space="preserve"> </w:t>
      </w:r>
      <w:r>
        <w:t xml:space="preserve">Intake rate………………………………………………………………………………………………. 95</w:t>
      </w:r>
      <w:r>
        <w:t xml:space="preserve"> </w:t>
      </w:r>
      <w:r>
        <w:t xml:space="preserve">2.3.</w:t>
      </w:r>
      <w:r>
        <w:t xml:space="preserve"> </w:t>
      </w:r>
      <w:r>
        <w:t xml:space="preserve">Lower threshold ……………………………………………………………………………………… 96</w:t>
      </w:r>
      <w:r>
        <w:t xml:space="preserve"> </w:t>
      </w:r>
      <w:r>
        <w:t xml:space="preserve">2.4.</w:t>
      </w:r>
      <w:r>
        <w:t xml:space="preserve"> </w:t>
      </w:r>
      <w:r>
        <w:t xml:space="preserve">Release rates (general and Article 29a) ……………………………………………………… 96</w:t>
      </w:r>
      <w:r>
        <w:t xml:space="preserve"> </w:t>
      </w:r>
      <w:r>
        <w:t xml:space="preserve">2.5.</w:t>
      </w:r>
      <w:r>
        <w:t xml:space="preserve"> </w:t>
      </w:r>
      <w:r>
        <w:t xml:space="preserve">Invalidation threshold ……………………………………………………………………………… 97</w:t>
      </w:r>
      <w:r>
        <w:t xml:space="preserve"> </w:t>
      </w:r>
      <w:r>
        <w:t xml:space="preserve">2.6.</w:t>
      </w:r>
      <w:r>
        <w:t xml:space="preserve"> </w:t>
      </w:r>
      <w:r>
        <w:t xml:space="preserve">Market Stability Reserve revision scope…………………………………………………….. 98</w:t>
      </w:r>
      <w:r>
        <w:t xml:space="preserve"> </w:t>
      </w:r>
      <w:r>
        <w:t xml:space="preserve">3.</w:t>
      </w:r>
      <w:r>
        <w:t xml:space="preserve"> </w:t>
      </w:r>
      <w:r>
        <w:t xml:space="preserve">POLICY MEASURES FOR THE MARKET STABILITY RESERVE …………………………………… 98</w:t>
      </w:r>
      <w:r>
        <w:t xml:space="preserve"> </w:t>
      </w:r>
      <w:r>
        <w:t xml:space="preserve">3.1.</w:t>
      </w:r>
      <w:r>
        <w:t xml:space="preserve"> </w:t>
      </w:r>
      <w:r>
        <w:t xml:space="preserve">Description of measures …………………………………………………………………………… 98</w:t>
      </w:r>
      <w:r>
        <w:t xml:space="preserve"> </w:t>
      </w:r>
      <w:r>
        <w:t xml:space="preserve">3.2.</w:t>
      </w:r>
      <w:r>
        <w:t xml:space="preserve"> </w:t>
      </w:r>
      <w:r>
        <w:t xml:space="preserve">Discarded measures ………………………………………………………………………………. 109</w:t>
      </w:r>
      <w:r>
        <w:t xml:space="preserve"> </w:t>
      </w:r>
      <w:r>
        <w:t xml:space="preserve">4.</w:t>
      </w:r>
      <w:r>
        <w:t xml:space="preserve"> </w:t>
      </w:r>
      <w:r>
        <w:t xml:space="preserve">ASSESSMENT OF THE MEASURES ……………………………………………………………………… 111</w:t>
      </w:r>
      <w:r>
        <w:t xml:space="preserve"> </w:t>
      </w:r>
      <w:r>
        <w:t xml:space="preserve">4.1.</w:t>
      </w:r>
      <w:r>
        <w:t xml:space="preserve"> </w:t>
      </w:r>
      <w:r>
        <w:t xml:space="preserve">Modelling results ………………………………………………………………………………….. 111</w:t>
      </w:r>
      <w:r>
        <w:t xml:space="preserve"> </w:t>
      </w:r>
      <w:r>
        <w:t xml:space="preserve">4.2.</w:t>
      </w:r>
      <w:r>
        <w:t xml:space="preserve"> </w:t>
      </w:r>
      <w:r>
        <w:t xml:space="preserve">Sensitivity analysis on selected measures …………………………………………………. 125</w:t>
      </w:r>
      <w:r>
        <w:t xml:space="preserve"> </w:t>
      </w:r>
      <w:r>
        <w:t xml:space="preserve">4.3.</w:t>
      </w:r>
      <w:r>
        <w:t xml:space="preserve"> </w:t>
      </w:r>
      <w:r>
        <w:t xml:space="preserve">Economic impacts …………………………………………………………………………………. 126</w:t>
      </w:r>
      <w:r>
        <w:t xml:space="preserve"> </w:t>
      </w:r>
      <w:r>
        <w:t xml:space="preserve">4.4.</w:t>
      </w:r>
      <w:r>
        <w:t xml:space="preserve"> </w:t>
      </w:r>
      <w:r>
        <w:t xml:space="preserve">Social impacts ………………………………………………………………………………………. 129</w:t>
      </w:r>
      <w:r>
        <w:t xml:space="preserve"> </w:t>
      </w:r>
      <w:r>
        <w:t xml:space="preserve">4.5.</w:t>
      </w:r>
      <w:r>
        <w:t xml:space="preserve"> </w:t>
      </w:r>
      <w:r>
        <w:t xml:space="preserve">Environmental impacts ………………………………………………………………………….. 130</w:t>
      </w:r>
      <w:r>
        <w:t xml:space="preserve"> </w:t>
      </w:r>
      <w:r>
        <w:t xml:space="preserve">4.6.</w:t>
      </w:r>
      <w:r>
        <w:t xml:space="preserve"> </w:t>
      </w:r>
      <w:r>
        <w:t xml:space="preserve">Summary ……………………………………………………………………………………………… 130</w:t>
      </w:r>
      <w:r>
        <w:t xml:space="preserve"> </w:t>
      </w:r>
      <w:r>
        <w:t xml:space="preserve">5.</w:t>
      </w:r>
      <w:r>
        <w:t xml:space="preserve"> </w:t>
      </w:r>
      <w:r>
        <w:t xml:space="preserve">THE MARKET STABILITY RESERVE IN OVERALL POLICY OPTIONS …………………………. 131</w:t>
      </w:r>
      <w:r>
        <w:t xml:space="preserve"> </w:t>
      </w:r>
      <w:r>
        <w:t xml:space="preserve">5.1.</w:t>
      </w:r>
      <w:r>
        <w:t xml:space="preserve"> </w:t>
      </w:r>
      <w:r>
        <w:t xml:space="preserve">Modelling results ………………………………………………………………………………….. 132</w:t>
      </w:r>
      <w:r>
        <w:t xml:space="preserve"> </w:t>
      </w:r>
      <w:r>
        <w:t xml:space="preserve">5.2.</w:t>
      </w:r>
      <w:r>
        <w:t xml:space="preserve"> </w:t>
      </w:r>
      <w:r>
        <w:t xml:space="preserve">Price volatility analysis ………………………………………………………………………….. 137</w:t>
      </w:r>
      <w:r>
        <w:t xml:space="preserve"> </w:t>
      </w:r>
      <w:r>
        <w:t xml:space="preserve">5.3.</w:t>
      </w:r>
      <w:r>
        <w:t xml:space="preserve"> </w:t>
      </w:r>
      <w:r>
        <w:t xml:space="preserve">Modelling limitations on integration of removals and sectoral scope coverage 137</w:t>
      </w:r>
      <w:r>
        <w:t xml:space="preserve"> </w:t>
      </w:r>
      <w:r>
        <w:t xml:space="preserve">5.4.</w:t>
      </w:r>
      <w:r>
        <w:t xml:space="preserve"> </w:t>
      </w:r>
      <w:r>
        <w:t xml:space="preserve">Adjustment of the official TNAC in 2025 ………………………………………………… 138</w:t>
      </w:r>
      <w:r>
        <w:t xml:space="preserve"> </w:t>
      </w:r>
      <w:r>
        <w:t xml:space="preserve">5.5.</w:t>
      </w:r>
      <w:r>
        <w:t xml:space="preserve"> </w:t>
      </w:r>
      <w:r>
        <w:t xml:space="preserve">Assessment of the timing of supply on MSR operations. ……………………………. 139</w:t>
      </w:r>
      <w:r>
        <w:t xml:space="preserve"> </w:t>
      </w:r>
      <w:r>
        <w:t xml:space="preserve">APPENDIX 1. MSR SENSITIVITY ANALYSIS ON SELECTED MEASURES……………………………. 140</w:t>
      </w:r>
      <w:r>
        <w:t xml:space="preserve"> </w:t>
      </w:r>
      <w:r>
        <w:t xml:space="preserve">A.</w:t>
      </w:r>
      <w:r>
        <w:t xml:space="preserve"> </w:t>
      </w:r>
      <w:r>
        <w:t xml:space="preserve">Definition of the shocks …………………………………………………………………………….. 141</w:t>
      </w:r>
      <w:r>
        <w:t xml:space="preserve"> </w:t>
      </w:r>
      <w:r>
        <w:t xml:space="preserve">B.</w:t>
      </w:r>
      <w:r>
        <w:t xml:space="preserve"> </w:t>
      </w:r>
      <w:r>
        <w:t xml:space="preserve">Results from the shock sensitivity analysis ………………………………………………….. 144</w:t>
      </w:r>
      <w:r>
        <w:t xml:space="preserve"> </w:t>
      </w:r>
      <w:r>
        <w:t xml:space="preserve">C.</w:t>
      </w:r>
      <w:r>
        <w:t xml:space="preserve"> </w:t>
      </w:r>
      <w:r>
        <w:t xml:space="preserve">Cyclical shocks ………………………………………………………………………………………… 144</w:t>
      </w:r>
    </w:p>
    <w:p>
      <w:pPr>
        <w:pStyle w:val="Compact"/>
        <w:numPr>
          <w:ilvl w:val="0"/>
          <w:numId w:val="1001"/>
        </w:numPr>
      </w:pPr>
      <w:r>
        <w:t xml:space="preserve">Structural shocks ………………………………………………………………………………………. 147</w:t>
      </w:r>
      <w:r>
        <w:t xml:space="preserve"> </w:t>
      </w:r>
      <w:r>
        <w:t xml:space="preserve">Resilience of candidate MSR measures to shocks ………………………………………………… 150</w:t>
      </w:r>
      <w:r>
        <w:t xml:space="preserve"> </w:t>
      </w:r>
      <w:r>
        <w:t xml:space="preserve">ANNEX 9: INDUSTRIAL DECARBONISATION BANK ………………………………………………….. 152</w:t>
      </w:r>
      <w:r>
        <w:t xml:space="preserve"> </w:t>
      </w:r>
      <w:r>
        <w:t xml:space="preserve">LIST OF TABLES …………………………………………………………………………………………………… 152</w:t>
      </w:r>
      <w:r>
        <w:t xml:space="preserve"> </w:t>
      </w:r>
      <w:r>
        <w:t xml:space="preserve">LIST OF FIGURES ………………………………………………………………………………………………….. 152</w:t>
      </w:r>
    </w:p>
    <w:p>
      <w:pPr>
        <w:pStyle w:val="Compact"/>
        <w:numPr>
          <w:ilvl w:val="0"/>
          <w:numId w:val="1002"/>
        </w:numPr>
      </w:pPr>
      <w:r>
        <w:t xml:space="preserve">INTRODUCTION …………………………………………………………………………………………….. 153</w:t>
      </w:r>
    </w:p>
    <w:p>
      <w:pPr>
        <w:pStyle w:val="Compact"/>
        <w:numPr>
          <w:ilvl w:val="0"/>
          <w:numId w:val="1002"/>
        </w:numPr>
      </w:pPr>
      <w:r>
        <w:t xml:space="preserve">SCOPING………………………………………………………………………………………………………. 158</w:t>
      </w:r>
      <w:r>
        <w:t xml:space="preserve"> </w:t>
      </w:r>
      <w:r>
        <w:t xml:space="preserve">2.1.</w:t>
      </w:r>
      <w:r>
        <w:t xml:space="preserve"> </w:t>
      </w:r>
      <w:r>
        <w:t xml:space="preserve">Problem definition ………………………………………………………………………………… 158</w:t>
      </w:r>
      <w:r>
        <w:t xml:space="preserve"> </w:t>
      </w:r>
      <w:r>
        <w:t xml:space="preserve">2.2.</w:t>
      </w:r>
      <w:r>
        <w:t xml:space="preserve"> </w:t>
      </w:r>
      <w:r>
        <w:t xml:space="preserve">Objectives ……………………………………………………………………………………………. 162</w:t>
      </w:r>
      <w:r>
        <w:t xml:space="preserve"> </w:t>
      </w:r>
      <w:r>
        <w:t xml:space="preserve">2.3.</w:t>
      </w:r>
      <w:r>
        <w:t xml:space="preserve"> </w:t>
      </w:r>
      <w:r>
        <w:t xml:space="preserve">Baseline ……………………………………………………………………………………………….. 163</w:t>
      </w:r>
    </w:p>
    <w:p>
      <w:pPr>
        <w:pStyle w:val="Compact"/>
        <w:numPr>
          <w:ilvl w:val="0"/>
          <w:numId w:val="1002"/>
        </w:numPr>
      </w:pPr>
      <w:r>
        <w:t xml:space="preserve">POLICY MEASURES ………………………………………………………………………………………… 165</w:t>
      </w:r>
      <w:r>
        <w:t xml:space="preserve"> </w:t>
      </w:r>
      <w:r>
        <w:t xml:space="preserve">3.1.</w:t>
      </w:r>
      <w:r>
        <w:t xml:space="preserve"> </w:t>
      </w:r>
      <w:r>
        <w:t xml:space="preserve">Measures on how the support should be allocated……………………………………… 166</w:t>
      </w:r>
      <w:r>
        <w:t xml:space="preserve"> </w:t>
      </w:r>
      <w:r>
        <w:t xml:space="preserve">3.2.</w:t>
      </w:r>
      <w:r>
        <w:t xml:space="preserve"> </w:t>
      </w:r>
      <w:r>
        <w:t xml:space="preserve">Measures on what form the support should take ……………………………………….. 170</w:t>
      </w:r>
      <w:r>
        <w:t xml:space="preserve"> </w:t>
      </w:r>
      <w:r>
        <w:t xml:space="preserve">3.3.</w:t>
      </w:r>
      <w:r>
        <w:t xml:space="preserve"> </w:t>
      </w:r>
      <w:r>
        <w:t xml:space="preserve">Measures on ensuring geographical balance in IDB…………………………………… 174</w:t>
      </w:r>
      <w:r>
        <w:t xml:space="preserve"> </w:t>
      </w:r>
      <w:r>
        <w:t xml:space="preserve">3.4.</w:t>
      </w:r>
      <w:r>
        <w:t xml:space="preserve"> </w:t>
      </w:r>
      <w:r>
        <w:t xml:space="preserve">Assessment of the measures……………………………………………………………………. 176</w:t>
      </w:r>
      <w:r>
        <w:t xml:space="preserve"> </w:t>
      </w:r>
      <w:r>
        <w:t xml:space="preserve">ANNEX 10: AVIATION ………………………………………………………………………………………….. 203</w:t>
      </w:r>
      <w:r>
        <w:t xml:space="preserve"> </w:t>
      </w:r>
      <w:r>
        <w:t xml:space="preserve">LIST OF TABLES …………………………………………………………………………………………………… 203</w:t>
      </w:r>
      <w:r>
        <w:t xml:space="preserve"> </w:t>
      </w:r>
      <w:r>
        <w:t xml:space="preserve">LIST OF FIGURES ………………………………………………………………………………………………….. 204</w:t>
      </w:r>
    </w:p>
    <w:p>
      <w:pPr>
        <w:pStyle w:val="Compact"/>
        <w:numPr>
          <w:ilvl w:val="0"/>
          <w:numId w:val="1002"/>
        </w:numPr>
      </w:pPr>
      <w:r>
        <w:t xml:space="preserve">DESCRIPTION OF THE AVIATION MEASURES ……………………………………………………….. 205</w:t>
      </w:r>
      <w:r>
        <w:t xml:space="preserve"> </w:t>
      </w:r>
      <w:r>
        <w:t xml:space="preserve">1.1.</w:t>
      </w:r>
      <w:r>
        <w:t xml:space="preserve"> </w:t>
      </w:r>
      <w:r>
        <w:t xml:space="preserve">AS0: Baseline……………………………………………………………………………………….. 205</w:t>
      </w:r>
      <w:r>
        <w:t xml:space="preserve"> </w:t>
      </w:r>
      <w:r>
        <w:t xml:space="preserve">1.2.</w:t>
      </w:r>
      <w:r>
        <w:t xml:space="preserve"> </w:t>
      </w:r>
      <w:r>
        <w:t xml:space="preserve">AS1: Current scope prolongation contingent on CORSIA implementation …… 205</w:t>
      </w:r>
      <w:r>
        <w:t xml:space="preserve"> </w:t>
      </w:r>
      <w:r>
        <w:t xml:space="preserve">1.3.</w:t>
      </w:r>
      <w:r>
        <w:t xml:space="preserve"> </w:t>
      </w:r>
      <w:r>
        <w:t xml:space="preserve">AS2: Departing flights with CORSIA offsetting cost deduction ………………….. 205</w:t>
      </w:r>
      <w:r>
        <w:t xml:space="preserve"> </w:t>
      </w:r>
      <w:r>
        <w:t xml:space="preserve">1.4.</w:t>
      </w:r>
      <w:r>
        <w:t xml:space="preserve"> </w:t>
      </w:r>
      <w:r>
        <w:t xml:space="preserve">SAF0: Baseline, support expires in 2030 ………………………………………………….. 206</w:t>
      </w:r>
      <w:r>
        <w:t xml:space="preserve"> </w:t>
      </w:r>
      <w:r>
        <w:t xml:space="preserve">1.5.</w:t>
      </w:r>
      <w:r>
        <w:t xml:space="preserve"> </w:t>
      </w:r>
      <w:r>
        <w:t xml:space="preserve">SAF1: extension of support by medium amount ……………………………………….. 206</w:t>
      </w:r>
      <w:r>
        <w:t xml:space="preserve"> </w:t>
      </w:r>
      <w:r>
        <w:t xml:space="preserve">1.6.</w:t>
      </w:r>
      <w:r>
        <w:t xml:space="preserve"> </w:t>
      </w:r>
      <w:r>
        <w:t xml:space="preserve">SAF2: extension of support by higher amount ………………………………………….. 206</w:t>
      </w:r>
      <w:r>
        <w:t xml:space="preserve"> </w:t>
      </w:r>
      <w:r>
        <w:t xml:space="preserve">1.7.</w:t>
      </w:r>
      <w:r>
        <w:t xml:space="preserve"> </w:t>
      </w:r>
      <w:r>
        <w:t xml:space="preserve">AS general elements ……………………………………………………………………………… 206</w:t>
      </w:r>
    </w:p>
    <w:p>
      <w:pPr>
        <w:pStyle w:val="Compact"/>
        <w:numPr>
          <w:ilvl w:val="0"/>
          <w:numId w:val="1002"/>
        </w:numPr>
      </w:pPr>
      <w:r>
        <w:t xml:space="preserve">WHAT ARE THE IMPACTS OF THE MEASURES ……………………………………………………… 209</w:t>
      </w:r>
      <w:r>
        <w:t xml:space="preserve"> </w:t>
      </w:r>
      <w:r>
        <w:t xml:space="preserve">2.1.</w:t>
      </w:r>
      <w:r>
        <w:t xml:space="preserve"> </w:t>
      </w:r>
      <w:r>
        <w:t xml:space="preserve">AS0: Baseline……………………………………………………………………………………….. 209</w:t>
      </w:r>
      <w:r>
        <w:t xml:space="preserve"> </w:t>
      </w:r>
      <w:r>
        <w:t xml:space="preserve">2.2.</w:t>
      </w:r>
      <w:r>
        <w:t xml:space="preserve"> </w:t>
      </w:r>
      <w:r>
        <w:t xml:space="preserve">AS1: Current scope prolongation contingent on CORSIA implementation …… 210</w:t>
      </w:r>
      <w:r>
        <w:t xml:space="preserve"> </w:t>
      </w:r>
      <w:r>
        <w:t xml:space="preserve">2.3.</w:t>
      </w:r>
      <w:r>
        <w:t xml:space="preserve"> </w:t>
      </w:r>
      <w:r>
        <w:t xml:space="preserve">AS2: Departing flights with CORSIA offsetting cost deduction ………………….. 211</w:t>
      </w:r>
      <w:r>
        <w:t xml:space="preserve"> </w:t>
      </w:r>
      <w:r>
        <w:t xml:space="preserve">2.4.</w:t>
      </w:r>
      <w:r>
        <w:t xml:space="preserve"> </w:t>
      </w:r>
      <w:r>
        <w:t xml:space="preserve">SAF0, SAF1, SAF2……………………………………………………………………………….. 212</w:t>
      </w:r>
    </w:p>
    <w:p>
      <w:pPr>
        <w:pStyle w:val="Compact"/>
        <w:numPr>
          <w:ilvl w:val="0"/>
          <w:numId w:val="1002"/>
        </w:numPr>
      </w:pPr>
      <w:r>
        <w:t xml:space="preserve">FURTHER ANALYSIS ON POLICY OPTIONS ………………………………………………………….. 212</w:t>
      </w:r>
      <w:r>
        <w:t xml:space="preserve"> </w:t>
      </w:r>
      <w:r>
        <w:t xml:space="preserve">3.1.</w:t>
      </w:r>
      <w:r>
        <w:t xml:space="preserve"> </w:t>
      </w:r>
      <w:r>
        <w:t xml:space="preserve">Analytical tables complementing the Impact Assessment …………………………… 212</w:t>
      </w:r>
    </w:p>
    <w:p>
      <w:pPr>
        <w:pStyle w:val="Compact"/>
        <w:numPr>
          <w:ilvl w:val="0"/>
          <w:numId w:val="1002"/>
        </w:numPr>
      </w:pPr>
      <w:r>
        <w:t xml:space="preserve">IMPACTS ON THE LEVEL PLAYING FIELD (FOCUS ON HUBS) …………………………………… 218</w:t>
      </w:r>
      <w:r>
        <w:t xml:space="preserve"> </w:t>
      </w:r>
      <w:r>
        <w:t xml:space="preserve">4.1.</w:t>
      </w:r>
      <w:r>
        <w:t xml:space="preserve"> </w:t>
      </w:r>
      <w:r>
        <w:t xml:space="preserve">Ticket prices …………………………………………………………………………………………. 219</w:t>
      </w:r>
    </w:p>
    <w:p>
      <w:pPr>
        <w:pStyle w:val="FirstParagraph"/>
      </w:pPr>
      <w:r>
        <w:t xml:space="preserve">4.2.</w:t>
      </w:r>
      <w:r>
        <w:t xml:space="preserve"> </w:t>
      </w:r>
      <w:r>
        <w:t xml:space="preserve">Risk of passenger shift …………………………………………………………………………… 220</w:t>
      </w:r>
      <w:r>
        <w:t xml:space="preserve"> </w:t>
      </w:r>
      <w:r>
        <w:t xml:space="preserve">4.3.</w:t>
      </w:r>
      <w:r>
        <w:t xml:space="preserve"> </w:t>
      </w:r>
      <w:r>
        <w:t xml:space="preserve">Risk of hub carbon leakage …………………………………………………………………….. 220</w:t>
      </w:r>
      <w:r>
        <w:t xml:space="preserve"> </w:t>
      </w:r>
      <w:r>
        <w:t xml:space="preserve">5.</w:t>
      </w:r>
      <w:r>
        <w:t xml:space="preserve"> </w:t>
      </w:r>
      <w:r>
        <w:t xml:space="preserve">ASSESSMENT OF CORSIA PURSUANT TO ART. 28B OF THE ETS DIRECTIVE ………….. 221</w:t>
      </w:r>
      <w:r>
        <w:t xml:space="preserve"> </w:t>
      </w:r>
      <w:r>
        <w:t xml:space="preserve">5.1.</w:t>
      </w:r>
      <w:r>
        <w:t xml:space="preserve"> </w:t>
      </w:r>
      <w:r>
        <w:t xml:space="preserve">Ambition ……………………………………………………………………………………………… 221</w:t>
      </w:r>
      <w:r>
        <w:t xml:space="preserve"> </w:t>
      </w:r>
      <w:r>
        <w:t xml:space="preserve">5.2.</w:t>
      </w:r>
      <w:r>
        <w:t xml:space="preserve"> </w:t>
      </w:r>
      <w:r>
        <w:t xml:space="preserve">Accountability ………………………………………………………………………………………. 231</w:t>
      </w:r>
      <w:r>
        <w:t xml:space="preserve"> </w:t>
      </w:r>
      <w:r>
        <w:t xml:space="preserve">6.</w:t>
      </w:r>
      <w:r>
        <w:t xml:space="preserve"> </w:t>
      </w:r>
      <w:r>
        <w:t xml:space="preserve">ANALYSIS PURSUANT TO ARTICLE 30(8)…………………………………………………………… 233</w:t>
      </w:r>
      <w:r>
        <w:t xml:space="preserve"> </w:t>
      </w:r>
      <w:r>
        <w:t xml:space="preserve">6.1.</w:t>
      </w:r>
      <w:r>
        <w:t xml:space="preserve"> </w:t>
      </w:r>
      <w:r>
        <w:t xml:space="preserve">Short-Haul Flights and Their Impacts………………………………………………………. 233</w:t>
      </w:r>
      <w:r>
        <w:t xml:space="preserve"> </w:t>
      </w:r>
      <w:r>
        <w:t xml:space="preserve">6.2.</w:t>
      </w:r>
      <w:r>
        <w:t xml:space="preserve"> </w:t>
      </w:r>
      <w:r>
        <w:t xml:space="preserve">Connectivity: outermost regions, islands and remote territories ………………….. 235</w:t>
      </w:r>
      <w:r>
        <w:t xml:space="preserve"> </w:t>
      </w:r>
      <w:r>
        <w:t xml:space="preserve">7.</w:t>
      </w:r>
      <w:r>
        <w:t xml:space="preserve"> </w:t>
      </w:r>
      <w:r>
        <w:t xml:space="preserve">PRIVATE &amp; BUSINESS JETS INCLUSION………………………………………………………………. 237</w:t>
      </w:r>
      <w:r>
        <w:t xml:space="preserve"> </w:t>
      </w:r>
      <w:r>
        <w:t xml:space="preserve">7.1.</w:t>
      </w:r>
      <w:r>
        <w:t xml:space="preserve"> </w:t>
      </w:r>
      <w:r>
        <w:t xml:space="preserve">New threshold ………………………………………………………………………………………. 239</w:t>
      </w:r>
      <w:r>
        <w:t xml:space="preserve"> </w:t>
      </w:r>
      <w:r>
        <w:t xml:space="preserve">7.2.</w:t>
      </w:r>
      <w:r>
        <w:t xml:space="preserve"> </w:t>
      </w:r>
      <w:r>
        <w:t xml:space="preserve">Simplification ……………………………………………………………………………………….. 246</w:t>
      </w:r>
      <w:r>
        <w:t xml:space="preserve"> </w:t>
      </w:r>
      <w:r>
        <w:t xml:space="preserve">7.3.</w:t>
      </w:r>
      <w:r>
        <w:t xml:space="preserve"> </w:t>
      </w:r>
      <w:r>
        <w:t xml:space="preserve">Summary of the design element on business aviation ………………………………… 249</w:t>
      </w:r>
      <w:r>
        <w:t xml:space="preserve"> </w:t>
      </w:r>
      <w:r>
        <w:t xml:space="preserve">7.4.</w:t>
      </w:r>
      <w:r>
        <w:t xml:space="preserve"> </w:t>
      </w:r>
      <w:r>
        <w:t xml:space="preserve">Business flight definition ……………………………………………………………………….. 250</w:t>
      </w:r>
      <w:r>
        <w:t xml:space="preserve"> </w:t>
      </w:r>
      <w:r>
        <w:t xml:space="preserve">7.5.</w:t>
      </w:r>
      <w:r>
        <w:t xml:space="preserve"> </w:t>
      </w:r>
      <w:r>
        <w:t xml:space="preserve">Other impacts ……………………………………………………………………………………….. 250</w:t>
      </w:r>
      <w:r>
        <w:t xml:space="preserve"> </w:t>
      </w:r>
      <w:r>
        <w:t xml:space="preserve">8.</w:t>
      </w:r>
      <w:r>
        <w:t xml:space="preserve"> </w:t>
      </w:r>
      <w:r>
        <w:t xml:space="preserve">SAF SUPPORT ANALYSIS ………………………………………………………………………………… 250</w:t>
      </w:r>
      <w:r>
        <w:t xml:space="preserve"> </w:t>
      </w:r>
      <w:r>
        <w:t xml:space="preserve">8.1.</w:t>
      </w:r>
      <w:r>
        <w:t xml:space="preserve"> </w:t>
      </w:r>
      <w:r>
        <w:t xml:space="preserve">Current support …………………………………………………………………………………….. 251</w:t>
      </w:r>
      <w:r>
        <w:t xml:space="preserve"> </w:t>
      </w:r>
      <w:r>
        <w:t xml:space="preserve">8.2.</w:t>
      </w:r>
      <w:r>
        <w:t xml:space="preserve"> </w:t>
      </w:r>
      <w:r>
        <w:t xml:space="preserve">Extension of the support ………………………………………………………………………… 252</w:t>
      </w:r>
      <w:r>
        <w:t xml:space="preserve"> </w:t>
      </w:r>
      <w:r>
        <w:t xml:space="preserve">9.</w:t>
      </w:r>
      <w:r>
        <w:t xml:space="preserve"> </w:t>
      </w:r>
      <w:r>
        <w:t xml:space="preserve">OTHER CONSIDERATIONS ……………………………………………………………………………….. 257</w:t>
      </w:r>
      <w:r>
        <w:t xml:space="preserve"> </w:t>
      </w:r>
      <w:r>
        <w:t xml:space="preserve">ANNEX 11: MARITIME …………………………………………………………………………………………. 259</w:t>
      </w:r>
      <w:r>
        <w:t xml:space="preserve"> </w:t>
      </w:r>
      <w:r>
        <w:t xml:space="preserve">LIST OF TABLES …………………………………………………………………………………………………… 259</w:t>
      </w:r>
      <w:r>
        <w:t xml:space="preserve"> </w:t>
      </w:r>
      <w:r>
        <w:t xml:space="preserve">LIST OF FIGURES ………………………………………………………………………………………………….. 260</w:t>
      </w:r>
      <w:r>
        <w:t xml:space="preserve"> </w:t>
      </w:r>
      <w:r>
        <w:t xml:space="preserve">1.</w:t>
      </w:r>
      <w:r>
        <w:t xml:space="preserve"> </w:t>
      </w:r>
      <w:r>
        <w:t xml:space="preserve">SUPPORT FOR EMISSIONS REDUCTION IN THE SHIPPING SECTOR…………………………….. 261</w:t>
      </w:r>
      <w:r>
        <w:t xml:space="preserve"> </w:t>
      </w:r>
      <w:r>
        <w:t xml:space="preserve">1.1.</w:t>
      </w:r>
      <w:r>
        <w:t xml:space="preserve"> </w:t>
      </w:r>
      <w:r>
        <w:t xml:space="preserve">Scoping ……………………………………………………………………………………………….. 261</w:t>
      </w:r>
      <w:r>
        <w:t xml:space="preserve"> </w:t>
      </w:r>
      <w:r>
        <w:t xml:space="preserve">1.2.</w:t>
      </w:r>
      <w:r>
        <w:t xml:space="preserve"> </w:t>
      </w:r>
      <w:r>
        <w:t xml:space="preserve">Policy measures ……………………………………………………………………………………. 264</w:t>
      </w:r>
      <w:r>
        <w:t xml:space="preserve"> </w:t>
      </w:r>
      <w:r>
        <w:t xml:space="preserve">1.3.</w:t>
      </w:r>
      <w:r>
        <w:t xml:space="preserve"> </w:t>
      </w:r>
      <w:r>
        <w:t xml:space="preserve">Assessment of policy measures ………………………………………………………………. 268</w:t>
      </w:r>
      <w:r>
        <w:t xml:space="preserve"> </w:t>
      </w:r>
      <w:r>
        <w:t xml:space="preserve">2.</w:t>
      </w:r>
      <w:r>
        <w:t xml:space="preserve"> </w:t>
      </w:r>
      <w:r>
        <w:t xml:space="preserve">MEASURES TO FURTHER MITIGATE THE RISK OF EVASION ……………………………………. 270</w:t>
      </w:r>
      <w:r>
        <w:t xml:space="preserve"> </w:t>
      </w:r>
      <w:r>
        <w:t xml:space="preserve">2.1.</w:t>
      </w:r>
      <w:r>
        <w:t xml:space="preserve"> </w:t>
      </w:r>
      <w:r>
        <w:t xml:space="preserve">Scoping ……………………………………………………………………………………………….. 270</w:t>
      </w:r>
      <w:r>
        <w:t xml:space="preserve"> </w:t>
      </w:r>
      <w:r>
        <w:t xml:space="preserve">2.2.</w:t>
      </w:r>
      <w:r>
        <w:t xml:space="preserve"> </w:t>
      </w:r>
      <w:r>
        <w:t xml:space="preserve">Policy measures ……………………………………………………………………………………. 273</w:t>
      </w:r>
      <w:r>
        <w:t xml:space="preserve"> </w:t>
      </w:r>
      <w:r>
        <w:t xml:space="preserve">2.3.</w:t>
      </w:r>
      <w:r>
        <w:t xml:space="preserve"> </w:t>
      </w:r>
      <w:r>
        <w:t xml:space="preserve">Assessment of policy measures ………………………………………………………………. 276</w:t>
      </w:r>
      <w:r>
        <w:t xml:space="preserve"> </w:t>
      </w:r>
      <w:r>
        <w:t xml:space="preserve">3.</w:t>
      </w:r>
      <w:r>
        <w:t xml:space="preserve"> </w:t>
      </w:r>
      <w:r>
        <w:t xml:space="preserve">SIMPLIFICATION AND OTHER MEASURES TO ENHANCE ROBUSTNESS AND EFFECTIVENESS</w:t>
      </w:r>
      <w:r>
        <w:t xml:space="preserve"> </w:t>
      </w:r>
      <w:r>
        <w:t xml:space="preserve">OF THE IMPLEMENTATION SYSTEM FOR MARITIME …………………………………………………….. 279</w:t>
      </w:r>
      <w:r>
        <w:t xml:space="preserve"> </w:t>
      </w:r>
      <w:r>
        <w:t xml:space="preserve">3.1.</w:t>
      </w:r>
      <w:r>
        <w:t xml:space="preserve"> </w:t>
      </w:r>
      <w:r>
        <w:t xml:space="preserve">Scoping ……………………………………………………………………………………………….. 279</w:t>
      </w:r>
      <w:r>
        <w:t xml:space="preserve"> </w:t>
      </w:r>
      <w:r>
        <w:t xml:space="preserve">3.2.</w:t>
      </w:r>
      <w:r>
        <w:t xml:space="preserve"> </w:t>
      </w:r>
      <w:r>
        <w:t xml:space="preserve">Policy measures ……………………………………………………………………………………. 280</w:t>
      </w:r>
      <w:r>
        <w:t xml:space="preserve"> </w:t>
      </w:r>
      <w:r>
        <w:t xml:space="preserve">3.3.</w:t>
      </w:r>
      <w:r>
        <w:t xml:space="preserve"> </w:t>
      </w:r>
      <w:r>
        <w:t xml:space="preserve">Assessment of policy measures ………………………………………………………………. 284</w:t>
      </w:r>
      <w:r>
        <w:t xml:space="preserve"> </w:t>
      </w:r>
      <w:r>
        <w:t xml:space="preserve">4.</w:t>
      </w:r>
      <w:r>
        <w:t xml:space="preserve"> </w:t>
      </w:r>
      <w:r>
        <w:t xml:space="preserve">MARITIME DEROGATIONS ………………………………………………………………………………. 287</w:t>
      </w:r>
    </w:p>
    <w:p>
      <w:pPr>
        <w:pStyle w:val="BodyText"/>
      </w:pPr>
      <w:r>
        <w:t xml:space="preserve">4.1.</w:t>
      </w:r>
      <w:r>
        <w:t xml:space="preserve"> </w:t>
      </w:r>
      <w:r>
        <w:t xml:space="preserve">Scoping ……………………………………………………………………………………………….. 287</w:t>
      </w:r>
      <w:r>
        <w:t xml:space="preserve"> </w:t>
      </w:r>
      <w:r>
        <w:t xml:space="preserve">4.2.</w:t>
      </w:r>
      <w:r>
        <w:t xml:space="preserve"> </w:t>
      </w:r>
      <w:r>
        <w:t xml:space="preserve">Policy measures ……………………………………………………………………………………. 290</w:t>
      </w:r>
      <w:r>
        <w:t xml:space="preserve"> </w:t>
      </w:r>
      <w:r>
        <w:t xml:space="preserve">4.3.</w:t>
      </w:r>
      <w:r>
        <w:t xml:space="preserve"> </w:t>
      </w:r>
      <w:r>
        <w:t xml:space="preserve">Assessment of the measures……………………………………………………………………. 290</w:t>
      </w:r>
      <w:r>
        <w:t xml:space="preserve"> </w:t>
      </w:r>
      <w:r>
        <w:t xml:space="preserve">5.</w:t>
      </w:r>
      <w:r>
        <w:t xml:space="preserve"> </w:t>
      </w:r>
      <w:r>
        <w:t xml:space="preserve">COHERENCE WITH THE IMPLEMENTATION OF THE GLOBAL IMO MEASURE …………….. 294</w:t>
      </w:r>
      <w:r>
        <w:t xml:space="preserve"> </w:t>
      </w:r>
      <w:r>
        <w:t xml:space="preserve">5.1.</w:t>
      </w:r>
      <w:r>
        <w:t xml:space="preserve"> </w:t>
      </w:r>
      <w:r>
        <w:t xml:space="preserve">Scoping ……………………………………………………………………………………………….. 294</w:t>
      </w:r>
      <w:r>
        <w:t xml:space="preserve"> </w:t>
      </w:r>
      <w:r>
        <w:t xml:space="preserve">5.2.</w:t>
      </w:r>
      <w:r>
        <w:t xml:space="preserve"> </w:t>
      </w:r>
      <w:r>
        <w:t xml:space="preserve">Policy measures ……………………………………………………………………………………. 297</w:t>
      </w:r>
      <w:r>
        <w:t xml:space="preserve"> </w:t>
      </w:r>
      <w:r>
        <w:t xml:space="preserve">5.3.</w:t>
      </w:r>
      <w:r>
        <w:t xml:space="preserve"> </w:t>
      </w:r>
      <w:r>
        <w:t xml:space="preserve">Analysis of design options and their assessment ……………………………………….. 297</w:t>
      </w:r>
      <w:r>
        <w:t xml:space="preserve"> </w:t>
      </w:r>
      <w:r>
        <w:t xml:space="preserve">5.4.</w:t>
      </w:r>
      <w:r>
        <w:t xml:space="preserve"> </w:t>
      </w:r>
      <w:r>
        <w:t xml:space="preserve">Economic analysis ………………………………………………………………………………… 300</w:t>
      </w:r>
      <w:r>
        <w:t xml:space="preserve"> </w:t>
      </w:r>
      <w:r>
        <w:t xml:space="preserve">5.5.</w:t>
      </w:r>
      <w:r>
        <w:t xml:space="preserve"> </w:t>
      </w:r>
      <w:r>
        <w:t xml:space="preserve">Environmental impacts ………………………………………………………………………….. 301</w:t>
      </w:r>
      <w:r>
        <w:t xml:space="preserve"> </w:t>
      </w:r>
      <w:r>
        <w:t xml:space="preserve">5.6.</w:t>
      </w:r>
      <w:r>
        <w:t xml:space="preserve"> </w:t>
      </w:r>
      <w:r>
        <w:t xml:space="preserve">Social impacts ………………………………………………………………………………………. 302</w:t>
      </w:r>
      <w:r>
        <w:t xml:space="preserve"> </w:t>
      </w:r>
      <w:r>
        <w:t xml:space="preserve">6.</w:t>
      </w:r>
      <w:r>
        <w:t xml:space="preserve"> </w:t>
      </w:r>
      <w:r>
        <w:t xml:space="preserve">ETS OR MRV AS A SERVICE …………………………………………………………………………… 302</w:t>
      </w:r>
      <w:r>
        <w:t xml:space="preserve"> </w:t>
      </w:r>
      <w:r>
        <w:t xml:space="preserve">6.1.</w:t>
      </w:r>
      <w:r>
        <w:t xml:space="preserve"> </w:t>
      </w:r>
      <w:r>
        <w:t xml:space="preserve">Scoping ……………………………………………………………………………………………….. 302</w:t>
      </w:r>
      <w:r>
        <w:t xml:space="preserve"> </w:t>
      </w:r>
      <w:r>
        <w:t xml:space="preserve">6.2.</w:t>
      </w:r>
      <w:r>
        <w:t xml:space="preserve"> </w:t>
      </w:r>
      <w:r>
        <w:t xml:space="preserve">Policy measures ……………………………………………………………………………………. 302</w:t>
      </w:r>
      <w:r>
        <w:t xml:space="preserve"> </w:t>
      </w:r>
      <w:r>
        <w:t xml:space="preserve">6.3.</w:t>
      </w:r>
      <w:r>
        <w:t xml:space="preserve"> </w:t>
      </w:r>
      <w:r>
        <w:t xml:space="preserve">Assessment of policy measures ………………………………………………………………. 303</w:t>
      </w:r>
      <w:r>
        <w:t xml:space="preserve"> </w:t>
      </w:r>
      <w:r>
        <w:t xml:space="preserve">7.</w:t>
      </w:r>
      <w:r>
        <w:t xml:space="preserve"> </w:t>
      </w:r>
      <w:r>
        <w:t xml:space="preserve">INCLUSION OF EMISSIONS FROM SHIPS BELOW 5000 GROSS TONNAGE …………………… 305</w:t>
      </w:r>
      <w:r>
        <w:t xml:space="preserve"> </w:t>
      </w:r>
      <w:r>
        <w:t xml:space="preserve">7.1.</w:t>
      </w:r>
      <w:r>
        <w:t xml:space="preserve"> </w:t>
      </w:r>
      <w:r>
        <w:t xml:space="preserve">Scoping ……………………………………………………………………………………………….. 305</w:t>
      </w:r>
      <w:r>
        <w:t xml:space="preserve"> </w:t>
      </w:r>
      <w:r>
        <w:t xml:space="preserve">7.2.</w:t>
      </w:r>
      <w:r>
        <w:t xml:space="preserve"> </w:t>
      </w:r>
      <w:r>
        <w:t xml:space="preserve">Policy measures ……………………………………………………………………………………. 306</w:t>
      </w:r>
      <w:r>
        <w:t xml:space="preserve"> </w:t>
      </w:r>
      <w:r>
        <w:t xml:space="preserve">7.3.</w:t>
      </w:r>
      <w:r>
        <w:t xml:space="preserve"> </w:t>
      </w:r>
      <w:r>
        <w:t xml:space="preserve">Assessment of policy measures ………………………………………………………………. 307</w:t>
      </w:r>
    </w:p>
    <w:p>
      <w:pPr>
        <w:pStyle w:val="BodyText"/>
      </w:pPr>
      <w:r>
        <w:t xml:space="preserve">ANNEX 8: PART I – CAP</w:t>
      </w:r>
      <w:r>
        <w:t xml:space="preserve"> </w:t>
      </w:r>
      <w:r>
        <w:t xml:space="preserve">LIST OF TABLES</w:t>
      </w:r>
      <w:r>
        <w:t xml:space="preserve"> </w:t>
      </w:r>
      <w:r>
        <w:t xml:space="preserve">Table 1:</w:t>
      </w:r>
      <w:r>
        <w:t xml:space="preserve"> </w:t>
      </w:r>
      <w:r>
        <w:t xml:space="preserve">Legal default baseline cap trajectory. ………………………………………………………….. 7</w:t>
      </w:r>
      <w:r>
        <w:t xml:space="preserve"> </w:t>
      </w:r>
      <w:r>
        <w:t xml:space="preserve">Table 2:</w:t>
      </w:r>
      <w:r>
        <w:t xml:space="preserve"> </w:t>
      </w:r>
      <w:r>
        <w:t xml:space="preserve">Cap trajectories from the PRIMES model ………………………………………………….. 10</w:t>
      </w:r>
      <w:r>
        <w:t xml:space="preserve"> </w:t>
      </w:r>
      <w:r>
        <w:t xml:space="preserve">Table 3:</w:t>
      </w:r>
      <w:r>
        <w:t xml:space="preserve"> </w:t>
      </w:r>
      <w:r>
        <w:t xml:space="preserve">Cap trajectories for POTEnCIA ………………………………………………………………… 10</w:t>
      </w:r>
      <w:r>
        <w:t xml:space="preserve"> </w:t>
      </w:r>
      <w:r>
        <w:t xml:space="preserve">Table 4:</w:t>
      </w:r>
      <w:r>
        <w:t xml:space="preserve"> </w:t>
      </w:r>
      <w:r>
        <w:t xml:space="preserve">Range of approximate cap trajectories ……………………………………………………….. 10</w:t>
      </w:r>
      <w:r>
        <w:t xml:space="preserve"> </w:t>
      </w:r>
      <w:r>
        <w:t xml:space="preserve">Table 5:</w:t>
      </w:r>
      <w:r>
        <w:t xml:space="preserve"> </w:t>
      </w:r>
      <w:r>
        <w:t xml:space="preserve">Net caps trajectories for POTEnCIA excluding international extra EEA aviation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Table 6:</w:t>
      </w:r>
      <w:r>
        <w:t xml:space="preserve"> </w:t>
      </w:r>
      <w:r>
        <w:t xml:space="preserve">POTEnCIA and PRIMES trajectory compatible with a 90% domestic EU target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Table 7:</w:t>
      </w:r>
      <w:r>
        <w:t xml:space="preserve"> </w:t>
      </w:r>
      <w:r>
        <w:t xml:space="preserve">Annual investment expenditure, energy related excluding transport in CAP 3</w:t>
      </w:r>
      <w:r>
        <w:t xml:space="preserve"> </w:t>
      </w:r>
      <w:r>
        <w:t xml:space="preserve">“9085” scenario ………………………………………………………………………………………………………… 13</w:t>
      </w:r>
      <w:r>
        <w:t xml:space="preserve"> </w:t>
      </w:r>
      <w:r>
        <w:t xml:space="preserve">Table 8:</w:t>
      </w:r>
      <w:r>
        <w:t xml:space="preserve"> </w:t>
      </w:r>
      <w:r>
        <w:t xml:space="preserve">Investment needs in ETS sectors, deviation of the CAP4 “accelerated 9085”</w:t>
      </w:r>
      <w:r>
        <w:t xml:space="preserve"> </w:t>
      </w:r>
      <w:r>
        <w:t xml:space="preserve">scenario and CAP2 “85%” scenario relative to CAP 3 “9085” scenario …………………………… 13</w:t>
      </w:r>
      <w:r>
        <w:t xml:space="preserve"> </w:t>
      </w:r>
      <w:r>
        <w:t xml:space="preserve">Table 9:</w:t>
      </w:r>
      <w:r>
        <w:t xml:space="preserve"> </w:t>
      </w:r>
      <w:r>
        <w:t xml:space="preserve">Energy system costs as % of GDP in the CAP 3 “9085” scenario …………………. 14</w:t>
      </w:r>
      <w:r>
        <w:t xml:space="preserve"> </w:t>
      </w:r>
      <w:r>
        <w:t xml:space="preserve">Table 10:</w:t>
      </w:r>
      <w:r>
        <w:t xml:space="preserve"> </w:t>
      </w:r>
      <w:r>
        <w:t xml:space="preserve">Energy system costs in ETS sectors, deviation of the CAP2 ‘85’ and CAP4</w:t>
      </w:r>
      <w:r>
        <w:t xml:space="preserve"> </w:t>
      </w:r>
      <w:r>
        <w:t xml:space="preserve">“accelerated 9085” scenario relative to CAP 3 “9085” scenario ……………………………………… 15</w:t>
      </w:r>
      <w:r>
        <w:t xml:space="preserve"> </w:t>
      </w:r>
      <w:r>
        <w:t xml:space="preserve">Table 11:</w:t>
      </w:r>
      <w:r>
        <w:t xml:space="preserve"> </w:t>
      </w:r>
      <w:r>
        <w:t xml:space="preserve">Total eligible removals in the EU, PRIMES and POTEnCIA ……………………….. 16</w:t>
      </w:r>
      <w:r>
        <w:t xml:space="preserve"> </w:t>
      </w:r>
      <w:r>
        <w:t xml:space="preserve">Table 12:</w:t>
      </w:r>
      <w:r>
        <w:t xml:space="preserve"> </w:t>
      </w:r>
      <w:r>
        <w:t xml:space="preserve">Table on PO1 in PRIMES and POTEnCIA, as well as approximate table ………. 17</w:t>
      </w:r>
      <w:r>
        <w:t xml:space="preserve"> </w:t>
      </w:r>
      <w:r>
        <w:t xml:space="preserve">Table 13:</w:t>
      </w:r>
      <w:r>
        <w:t xml:space="preserve"> </w:t>
      </w:r>
      <w:r>
        <w:t xml:space="preserve">Table calculating PO2 in PRIMES and POTEnCIA, as well as approximate table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Table 14:</w:t>
      </w:r>
      <w:r>
        <w:t xml:space="preserve"> </w:t>
      </w:r>
      <w:r>
        <w:t xml:space="preserve">Table showing the cap for PO3 …………………………………………………………………. 19</w:t>
      </w:r>
    </w:p>
    <w:p>
      <w:pPr>
        <w:pStyle w:val="BodyText"/>
      </w:pPr>
      <w:r>
        <w:t xml:space="preserve">LIST OF FIGURES</w:t>
      </w:r>
      <w:r>
        <w:t xml:space="preserve"> </w:t>
      </w:r>
      <w:r>
        <w:t xml:space="preserve">Figure 1:</w:t>
      </w:r>
      <w:r>
        <w:t xml:space="preserve"> </w:t>
      </w:r>
      <w:r>
        <w:t xml:space="preserve">Trajectory Legal Default (incl. two-way aviation) ………………………………………… 8</w:t>
      </w:r>
    </w:p>
    <w:p>
      <w:pPr>
        <w:pStyle w:val="Compact"/>
        <w:numPr>
          <w:ilvl w:val="0"/>
          <w:numId w:val="1003"/>
        </w:numPr>
      </w:pPr>
      <w:r>
        <w:t xml:space="preserve">INTRODUCTION TO CAP SETTING</w:t>
      </w:r>
      <w:r>
        <w:t xml:space="preserve"> </w:t>
      </w:r>
      <w:r>
        <w:t xml:space="preserve">This Annex provides more details on the impact each measure of scope expansion or removals</w:t>
      </w:r>
      <w:r>
        <w:t xml:space="preserve"> </w:t>
      </w:r>
      <w:r>
        <w:t xml:space="preserve">inclusion would have on the cap setting, as presented in the Impact Assessment. It starts with</w:t>
      </w:r>
      <w:r>
        <w:t xml:space="preserve"> </w:t>
      </w:r>
      <w:r>
        <w:t xml:space="preserve">a description of the legal default scenario, and a variant in which international aviation is only</w:t>
      </w:r>
      <w:r>
        <w:t xml:space="preserve"> </w:t>
      </w:r>
      <w:r>
        <w:t xml:space="preserve">included for 50% of incoming and outgoing flights. Then, it explains different trajectories for</w:t>
      </w:r>
      <w:r>
        <w:t xml:space="preserve"> </w:t>
      </w:r>
      <w:r>
        <w:t xml:space="preserve">reaching the target in 2040 cost-effectively. After explaining the scale of estimates for different</w:t>
      </w:r>
      <w:r>
        <w:t xml:space="preserve"> </w:t>
      </w:r>
      <w:r>
        <w:t xml:space="preserve">scope extension and inclusion of removals, it summarises the way the caps for policy options</w:t>
      </w:r>
      <w:r>
        <w:t xml:space="preserve"> </w:t>
      </w:r>
      <w:r>
        <w:t xml:space="preserve">have been estimated.</w:t>
      </w:r>
      <w:r>
        <w:br/>
      </w:r>
      <w:r>
        <w:t xml:space="preserve">In general, the EU ETS cap is set with the geographical scope of the EEA. However, the</w:t>
      </w:r>
      <w:r>
        <w:t xml:space="preserve"> </w:t>
      </w:r>
      <w:r>
        <w:t xml:space="preserve">modelling underlying the impact assessment is carried out with the geographical scope of the</w:t>
      </w:r>
      <w:r>
        <w:t xml:space="preserve"> </w:t>
      </w:r>
      <w:r>
        <w:t xml:space="preserve">EU. This modelling is used to estimate the reduction rate of the EU ETS sectors and set the</w:t>
      </w:r>
      <w:r>
        <w:t xml:space="preserve"> </w:t>
      </w:r>
      <w:r>
        <w:t xml:space="preserve">Linear Reduction Factor (LRF). The LRF is then applied to the EEA cap.</w:t>
      </w:r>
      <w:r>
        <w:br/>
      </w:r>
      <w:r>
        <w:t xml:space="preserve">1.1. Legal default and Legal default with one-way aviation cap setting</w:t>
      </w:r>
      <w:r>
        <w:t xml:space="preserve"> </w:t>
      </w:r>
      <w:r>
        <w:t xml:space="preserve">1.1.1. Legal default</w:t>
      </w:r>
      <w:r>
        <w:t xml:space="preserve"> </w:t>
      </w:r>
      <w:r>
        <w:t xml:space="preserve">The legal default baseline is determined by the continuation of the linear reduction factor</w:t>
      </w:r>
      <w:r>
        <w:t xml:space="preserve"> </w:t>
      </w:r>
      <w:r>
        <w:t xml:space="preserve">established in Article 9 of the ETS Directive, of 4.4 % from 2028 onwards, which applies to</w:t>
      </w:r>
      <w:r>
        <w:t xml:space="preserve"> </w:t>
      </w:r>
      <w:r>
        <w:t xml:space="preserve">all EU ETS sectors. The current legislative framework does not yet recognise the generation of</w:t>
      </w:r>
      <w:r>
        <w:t xml:space="preserve"> </w:t>
      </w:r>
      <w:r>
        <w:t xml:space="preserve">carbon removals.</w:t>
      </w:r>
      <w:r>
        <w:t xml:space="preserve"> </w:t>
      </w:r>
      <w:r>
        <w:t xml:space="preserve">It includes an estimated increase of 148 Mt in 2027 when including the emissions of incoming</w:t>
      </w:r>
      <w:r>
        <w:t xml:space="preserve"> </w:t>
      </w:r>
      <w:r>
        <w:t xml:space="preserve">and outgoing international aviation in the EEA scope. This estimated increase of the linear</w:t>
      </w:r>
      <w:r>
        <w:t xml:space="preserve"> </w:t>
      </w:r>
      <w:r>
        <w:t xml:space="preserve">trajectory to account for scope expansion is based on PRIMES EU near future emissions</w:t>
      </w:r>
      <w:r>
        <w:t xml:space="preserve"> </w:t>
      </w:r>
      <w:r>
        <w:t xml:space="preserve">estimates for the EU scope. This estimate is uncertain1, but it gives an indication. All</w:t>
      </w:r>
      <w:r>
        <w:t xml:space="preserve"> </w:t>
      </w:r>
      <w:r>
        <w:t xml:space="preserve">international maritime navigation is included as per the current scope, but maritime non-CO2</w:t>
      </w:r>
      <w:r>
        <w:t xml:space="preserve"> </w:t>
      </w:r>
      <w:r>
        <w:t xml:space="preserve">emissions are added to the scope. Current stationary sectors are in the scope.</w:t>
      </w:r>
      <w:r>
        <w:t xml:space="preserve"> </w:t>
      </w:r>
      <w:r>
        <w:t xml:space="preserve">Applying the Linear Reduction Factor (LRF) of 4.4% to the total cap in the relevant base years</w:t>
      </w:r>
      <w:r>
        <w:t xml:space="preserve"> </w:t>
      </w:r>
      <w:r>
        <w:t xml:space="preserve">leads to the following estimates.</w:t>
      </w:r>
      <w:r>
        <w:br/>
      </w:r>
      <w:r>
        <w:t xml:space="preserve">Table 1:</w:t>
      </w:r>
      <w:r>
        <w:t xml:space="preserve"> </w:t>
      </w:r>
      <w:r>
        <w:t xml:space="preserve">Legal default baseline cap trajectory.</w:t>
      </w:r>
      <w:r>
        <w:t xml:space="preserve"> </w:t>
      </w:r>
      <w:r>
        <w:t xml:space="preserve">EEA</w:t>
      </w:r>
      <w:r>
        <w:t xml:space="preserve"> </w:t>
      </w:r>
      <w:r>
        <w:t xml:space="preserve">Cap 2030</w:t>
      </w:r>
      <w:r>
        <w:t xml:space="preserve"> </w:t>
      </w:r>
      <w:r>
        <w:t xml:space="preserve">(Mt)</w:t>
      </w:r>
      <w:r>
        <w:t xml:space="preserve"> </w:t>
      </w:r>
      <w:r>
        <w:t xml:space="preserve">Cap 2035</w:t>
      </w:r>
      <w:r>
        <w:t xml:space="preserve"> </w:t>
      </w:r>
      <w:r>
        <w:t xml:space="preserve">(Mt)</w:t>
      </w:r>
      <w:r>
        <w:t xml:space="preserve"> </w:t>
      </w:r>
      <w:r>
        <w:t xml:space="preserve">Cap 2040</w:t>
      </w:r>
      <w:r>
        <w:t xml:space="preserve"> </w:t>
      </w:r>
      <w:r>
        <w:t xml:space="preserve">(Mt)</w:t>
      </w:r>
      <w:r>
        <w:t xml:space="preserve"> </w:t>
      </w:r>
      <w:r>
        <w:t xml:space="preserve">LRF</w:t>
      </w:r>
      <w:r>
        <w:t xml:space="preserve"> </w:t>
      </w:r>
      <w:r>
        <w:t xml:space="preserve">Budget 2031-2040</w:t>
      </w:r>
      <w:r>
        <w:t xml:space="preserve"> </w:t>
      </w:r>
      <w:r>
        <w:t xml:space="preserve">(Mt)</w:t>
      </w:r>
      <w:r>
        <w:t xml:space="preserve"> </w:t>
      </w:r>
      <w:r>
        <w:t xml:space="preserve">Legal Default</w:t>
      </w:r>
      <w:r>
        <w:t xml:space="preserve"> </w:t>
      </w:r>
      <w:r>
        <w:t xml:space="preserve">975</w:t>
      </w:r>
      <w:r>
        <w:t xml:space="preserve"> </w:t>
      </w:r>
      <w:r>
        <w:t xml:space="preserve">485</w:t>
      </w:r>
      <w:r>
        <w:t xml:space="preserve"> </w:t>
      </w:r>
      <w:r>
        <w:t xml:space="preserve">69</w:t>
      </w:r>
      <w:r>
        <w:t xml:space="preserve"> </w:t>
      </w:r>
      <w:r>
        <w:t xml:space="preserve">-4.4%</w:t>
      </w:r>
      <w:r>
        <w:t xml:space="preserve"> </w:t>
      </w:r>
      <w:r>
        <w:t xml:space="preserve">4436</w:t>
      </w:r>
      <w:r>
        <w:t xml:space="preserve"> </w:t>
      </w:r>
      <w:r>
        <w:t xml:space="preserve">The graph below shows the rapid reduction pathway. The large kinks are due to the inclusion</w:t>
      </w:r>
      <w:r>
        <w:t xml:space="preserve"> </w:t>
      </w:r>
      <w:r>
        <w:t xml:space="preserve">of international extra EEA aviation in 2027. The allowances due to the inclusion of aviation</w:t>
      </w:r>
      <w:r>
        <w:t xml:space="preserve"> </w:t>
      </w:r>
      <w:r>
        <w:t xml:space="preserve">are still present under the cap in 2040.</w:t>
      </w:r>
    </w:p>
    <w:p>
      <w:pPr>
        <w:pStyle w:val="FirstParagraph"/>
      </w:pPr>
      <w:r>
        <w:t xml:space="preserve">1</w:t>
      </w:r>
      <w:r>
        <w:br/>
      </w:r>
      <w:r>
        <w:t xml:space="preserve">Smaller extensions for Maritime offshore vessels, at the scale of a few Mt in 2027, are ignored in below</w:t>
      </w:r>
      <w:r>
        <w:t xml:space="preserve"> </w:t>
      </w:r>
      <w:r>
        <w:t xml:space="preserve">estimates, as they are not significant, and the precise amount is uncertain.</w:t>
      </w:r>
    </w:p>
    <w:p>
      <w:pPr>
        <w:pStyle w:val="BodyText"/>
      </w:pPr>
      <w:r>
        <w:t xml:space="preserve">Figure 1:</w:t>
      </w:r>
      <w:r>
        <w:t xml:space="preserve"> </w:t>
      </w:r>
      <w:r>
        <w:t xml:space="preserve">Trajectory Legal Default (incl. two-way aviation)</w:t>
      </w:r>
    </w:p>
    <w:p>
      <w:pPr>
        <w:pStyle w:val="BodyText"/>
      </w:pPr>
      <w:r>
        <w:t xml:space="preserve">Source: Own visualisation</w:t>
      </w:r>
      <w:r>
        <w:br/>
      </w:r>
      <w:r>
        <w:t xml:space="preserve">The following sections set out different options for cap trajectories reflecting varying levels of</w:t>
      </w:r>
      <w:r>
        <w:t xml:space="preserve"> </w:t>
      </w:r>
      <w:r>
        <w:t xml:space="preserve">ambition and results for both PRIMES and POTenCIA models. Irrespective of the cap</w:t>
      </w:r>
      <w:r>
        <w:t xml:space="preserve"> </w:t>
      </w:r>
      <w:r>
        <w:t xml:space="preserve">ultimately retained, a further point to be taken into account is described in section 5.5. of the</w:t>
      </w:r>
      <w:r>
        <w:t xml:space="preserve"> </w:t>
      </w:r>
      <w:r>
        <w:t xml:space="preserve">MSR Annex. In particular, the section describes the use of the 3% free allocation buffer, which</w:t>
      </w:r>
      <w:r>
        <w:t xml:space="preserve"> </w:t>
      </w:r>
      <w:r>
        <w:t xml:space="preserve">is expected to be fully used by industry operators between 2028-20302. This results in an earlier</w:t>
      </w:r>
      <w:r>
        <w:t xml:space="preserve"> </w:t>
      </w:r>
      <w:r>
        <w:t xml:space="preserve">and more concentrated allocation of allowances than would otherwise have been in case of</w:t>
      </w:r>
      <w:r>
        <w:t xml:space="preserve"> </w:t>
      </w:r>
      <w:r>
        <w:t xml:space="preserve">auctioning, as set out in the current ETS Directive3. As a result, liquidity and industrial</w:t>
      </w:r>
      <w:r>
        <w:t xml:space="preserve"> </w:t>
      </w:r>
      <w:r>
        <w:t xml:space="preserve">emissions will be likely higher in the short term compared to modelled trajectories.</w:t>
      </w:r>
      <w:r>
        <w:br/>
      </w:r>
      <w:r>
        <w:t xml:space="preserve">1.2. Different trajectories for the 85% scope scenario with current scope and 50%</w:t>
      </w:r>
      <w:r>
        <w:t xml:space="preserve"> </w:t>
      </w:r>
      <w:r>
        <w:t xml:space="preserve">incoming and outgoing international aviation cap setting</w:t>
      </w:r>
      <w:r>
        <w:t xml:space="preserve"> </w:t>
      </w:r>
      <w:r>
        <w:t xml:space="preserve">In this section the cap in 2040 is estimated based on the cost-effective gross emissions for</w:t>
      </w:r>
      <w:r>
        <w:t xml:space="preserve"> </w:t>
      </w:r>
      <w:r>
        <w:t xml:space="preserve">those sectors included in the legal default scenario, but where only half of incoming and</w:t>
      </w:r>
      <w:r>
        <w:t xml:space="preserve"> </w:t>
      </w:r>
      <w:r>
        <w:t xml:space="preserve">outgoing aviation is included. International maritime navigation (including non-CO2</w:t>
      </w:r>
      <w:r>
        <w:t xml:space="preserve"> </w:t>
      </w:r>
      <w:r>
        <w:t xml:space="preserve">emissions but not offshore vessels) and stationary emissions are included as under the current</w:t>
      </w:r>
      <w:r>
        <w:t xml:space="preserve"> </w:t>
      </w:r>
      <w:r>
        <w:t xml:space="preserve">scope.</w:t>
      </w:r>
      <w:r>
        <w:t xml:space="preserve"> </w:t>
      </w:r>
      <w:r>
        <w:t xml:space="preserve">To estimate the emissions in these sectors, we use the modelling results for the scenario which</w:t>
      </w:r>
      <w:r>
        <w:t xml:space="preserve"> </w:t>
      </w:r>
      <w:r>
        <w:t xml:space="preserve">achieves an overall domestic reduction of economy-wide (including international extra EU</w:t>
      </w:r>
      <w:r>
        <w:t xml:space="preserve"> </w:t>
      </w:r>
      <w:r>
        <w:t xml:space="preserve">aviation) net emissions of 85% compared to 1990. This represents a domestic ambition level</w:t>
      </w:r>
      <w:r>
        <w:t xml:space="preserve"> </w:t>
      </w:r>
      <w:r>
        <w:t xml:space="preserve">coherent with buying 5% of high-quality international credits to add up to a -90% ambition.</w:t>
      </w:r>
      <w:r>
        <w:t xml:space="preserve"> </w:t>
      </w:r>
      <w:r>
        <w:t xml:space="preserve">It could be decided later that less than 5% of international credits are used, which would enable</w:t>
      </w:r>
      <w:r>
        <w:t xml:space="preserve"> </w:t>
      </w:r>
      <w:r>
        <w:t xml:space="preserve">more investment in domestic action. Consequently, the domestic reduction of net GHG</w:t>
      </w:r>
      <w:r>
        <w:t xml:space="preserve"> </w:t>
      </w:r>
      <w:r>
        <w:t xml:space="preserve">emissions could be higher than 85%. However, this target was chosen as the basis for the</w:t>
      </w:r>
      <w:r>
        <w:t xml:space="preserve"> </w:t>
      </w:r>
      <w:r>
        <w:t xml:space="preserve">impact assessment to consider the maximum potential use of the international credit flexibility</w:t>
      </w:r>
    </w:p>
    <w:p>
      <w:pPr>
        <w:pStyle w:val="BodyText"/>
      </w:pPr>
      <w:r>
        <w:t xml:space="preserve">2</w:t>
      </w:r>
      <w:r>
        <w:br/>
      </w:r>
      <w:r>
        <w:t xml:space="preserve">Commission implementing regulation C(2026) 4372 final</w:t>
      </w:r>
      <w:r>
        <w:t xml:space="preserve"> </w:t>
      </w:r>
      <w:r>
        <w:t xml:space="preserve">3</w:t>
      </w:r>
      <w:r>
        <w:br/>
      </w:r>
      <w:r>
        <w:t xml:space="preserve">Articles 10a (5a) and 10a (5b) of the ETS Directive</w:t>
      </w:r>
    </w:p>
    <w:p>
      <w:pPr>
        <w:pStyle w:val="BodyText"/>
      </w:pPr>
      <w:r>
        <w:t xml:space="preserve">allowed in the European Climate Law. The costs and full impacts of purchases and use of</w:t>
      </w:r>
      <w:r>
        <w:t xml:space="preserve"> </w:t>
      </w:r>
      <w:r>
        <w:t xml:space="preserve">international credits are not included in this impact assessment.</w:t>
      </w:r>
      <w:r>
        <w:t xml:space="preserve"> </w:t>
      </w:r>
      <w:r>
        <w:t xml:space="preserve">The modelling scenarios of the EU-wide 85% target are used to estimate emissions reductions</w:t>
      </w:r>
      <w:r>
        <w:t xml:space="preserve"> </w:t>
      </w:r>
      <w:r>
        <w:t xml:space="preserve">for the ETS which are the basis of this impact assessment. The EU ETS should provide</w:t>
      </w:r>
      <w:r>
        <w:t xml:space="preserve"> </w:t>
      </w:r>
      <w:r>
        <w:t xml:space="preserve">adequate funding for purchase of the high-quality international credits that it benefits from.</w:t>
      </w:r>
      <w:r>
        <w:t xml:space="preserve"> </w:t>
      </w:r>
      <w:r>
        <w:t xml:space="preserve">International credits integration into EU climate policy framework faces many similar</w:t>
      </w:r>
      <w:r>
        <w:t xml:space="preserve"> </w:t>
      </w:r>
      <w:r>
        <w:t xml:space="preserve">questions and challenges as domestic permanent removal integration. These questions include</w:t>
      </w:r>
      <w:r>
        <w:t xml:space="preserve"> </w:t>
      </w:r>
      <w:r>
        <w:t xml:space="preserve">detailed choice of policy integration, implementation, credit integrity, financing,</w:t>
      </w:r>
      <w:r>
        <w:t xml:space="preserve"> </w:t>
      </w:r>
      <w:r>
        <w:t xml:space="preserve">quantification of credits. Integrating the international credits to future climate legislation</w:t>
      </w:r>
      <w:r>
        <w:t xml:space="preserve"> </w:t>
      </w:r>
      <w:r>
        <w:t xml:space="preserve">should be done preserving the integrity and stability of the EU ETS (see section 1.2.2 on</w:t>
      </w:r>
      <w:r>
        <w:t xml:space="preserve"> </w:t>
      </w:r>
      <w:r>
        <w:t xml:space="preserve">discarding the possibility of direct integration in the ETS in Annex 8 – Part II). The specific</w:t>
      </w:r>
      <w:r>
        <w:t xml:space="preserve"> </w:t>
      </w:r>
      <w:r>
        <w:t xml:space="preserve">role and deployment of international credits outside the EU ETS will be based on a separate</w:t>
      </w:r>
      <w:r>
        <w:t xml:space="preserve"> </w:t>
      </w:r>
      <w:r>
        <w:t xml:space="preserve">impact assessment and subject to the development of Union law further elaborating robust</w:t>
      </w:r>
      <w:r>
        <w:t xml:space="preserve"> </w:t>
      </w:r>
      <w:r>
        <w:t xml:space="preserve">and high integrity criteria and safeguards. Important safeguards that complement those under</w:t>
      </w:r>
      <w:r>
        <w:t xml:space="preserve"> </w:t>
      </w:r>
      <w:r>
        <w:t xml:space="preserve">Article 6.4 of the Paris Agreement must be ensured. There will be consideration of a pilot</w:t>
      </w:r>
      <w:r>
        <w:t xml:space="preserve"> </w:t>
      </w:r>
      <w:r>
        <w:t xml:space="preserve">period in 2031-2035.</w:t>
      </w:r>
      <w:r>
        <w:t xml:space="preserve"> </w:t>
      </w:r>
      <w:r>
        <w:t xml:space="preserve">In any case, the point target for domestic emissions in 2040 itself does not fix the trajectory</w:t>
      </w:r>
      <w:r>
        <w:t xml:space="preserve"> </w:t>
      </w:r>
      <w:r>
        <w:t xml:space="preserve">of the cap, and there could be at least three measures for the trajectory of the EU ETS cap</w:t>
      </w:r>
      <w:r>
        <w:t xml:space="preserve"> </w:t>
      </w:r>
      <w:r>
        <w:t xml:space="preserve">from 2030 to 2040:</w:t>
      </w:r>
      <w:r>
        <w:t xml:space="preserve"> </w:t>
      </w:r>
      <w:r>
        <w:t xml:space="preserve">• CAP1: In this “Linear” measure, the cap follows a linear trajectory from 2030 to</w:t>
      </w:r>
      <w:r>
        <w:t xml:space="preserve"> </w:t>
      </w:r>
      <w:r>
        <w:t xml:space="preserve">2040.</w:t>
      </w:r>
      <w:r>
        <w:t xml:space="preserve"> </w:t>
      </w:r>
      <w:r>
        <w:t xml:space="preserve">• CAP2: In this “85 pathway” measure, the cap linearly follows modelled estimates</w:t>
      </w:r>
      <w:r>
        <w:t xml:space="preserve"> </w:t>
      </w:r>
      <w:r>
        <w:t xml:space="preserve">from the 2030 legal cap estimate to the 2035 modelled emissions estimate, and from</w:t>
      </w:r>
      <w:r>
        <w:t xml:space="preserve"> </w:t>
      </w:r>
      <w:r>
        <w:t xml:space="preserve">2035 to the 2040 modelled estimate.</w:t>
      </w:r>
      <w:r>
        <w:br/>
      </w:r>
      <w:r>
        <w:t xml:space="preserve">• CAP3: In this “90 – 85 pathway” measure, until 2035 the cap follows a trajectory</w:t>
      </w:r>
      <w:r>
        <w:t xml:space="preserve"> </w:t>
      </w:r>
      <w:r>
        <w:t xml:space="preserve">towards the estimated cost-effective contribution of the EU ETS to the linear</w:t>
      </w:r>
      <w:r>
        <w:t xml:space="preserve"> </w:t>
      </w:r>
      <w:r>
        <w:t xml:space="preserve">trajectory reaching a 90% target in 2040 and then flattens to move towards the</w:t>
      </w:r>
      <w:r>
        <w:t xml:space="preserve"> </w:t>
      </w:r>
      <w:r>
        <w:t xml:space="preserve">estimated cost-effective contribution of the EU ETS to an 85% target in 2040. This</w:t>
      </w:r>
      <w:r>
        <w:t xml:space="preserve"> </w:t>
      </w:r>
      <w:r>
        <w:t xml:space="preserve">reflects the fact that in this measure international credits will start contributing to</w:t>
      </w:r>
      <w:r>
        <w:t xml:space="preserve"> </w:t>
      </w:r>
      <w:r>
        <w:t xml:space="preserve">the EU-target from 2036. A specific economy-wide modelling run was performed</w:t>
      </w:r>
      <w:r>
        <w:t xml:space="preserve"> </w:t>
      </w:r>
      <w:r>
        <w:t xml:space="preserve">for the estimate of the EU ETS contribution to such a trajectory.</w:t>
      </w:r>
      <w:r>
        <w:t xml:space="preserve"> </w:t>
      </w:r>
      <w:r>
        <w:t xml:space="preserve">The sub-options all have the same end point in 2040, but they differ in terms of carbon budget</w:t>
      </w:r>
      <w:r>
        <w:t xml:space="preserve"> </w:t>
      </w:r>
      <w:r>
        <w:t xml:space="preserve">over the period; they will differ as well in terms of incentives given to reduce emissions within</w:t>
      </w:r>
      <w:r>
        <w:t xml:space="preserve"> </w:t>
      </w:r>
      <w:r>
        <w:t xml:space="preserve">a certain time horizon. The following tables illustrate the trajectories of the cap based on the</w:t>
      </w:r>
      <w:r>
        <w:t xml:space="preserve"> </w:t>
      </w:r>
      <w:r>
        <w:t xml:space="preserve">85 scenario. For these estimates we have assumed the inclusion of outgoing international</w:t>
      </w:r>
      <w:r>
        <w:t xml:space="preserve"> </w:t>
      </w:r>
      <w:r>
        <w:t xml:space="preserve">aviation in the target. The caps presented are set at the level of gross emissions. The estimates</w:t>
      </w:r>
      <w:r>
        <w:t xml:space="preserve"> </w:t>
      </w:r>
      <w:r>
        <w:t xml:space="preserve">translate EU modelling into an EEA estimate. The figure for 2030 is based on the legal cap</w:t>
      </w:r>
      <w:r>
        <w:t xml:space="preserve"> </w:t>
      </w:r>
      <w:r>
        <w:t xml:space="preserve">extended for international aviation (one way). Note that the caps for policy options PO1, PO2</w:t>
      </w:r>
      <w:r>
        <w:t xml:space="preserve"> </w:t>
      </w:r>
      <w:r>
        <w:t xml:space="preserve">and PO3 below will differ as they refer to different scopes. The cap figures have been rounded</w:t>
      </w:r>
      <w:r>
        <w:t xml:space="preserve"> </w:t>
      </w:r>
      <w:r>
        <w:t xml:space="preserve">to the nearest 5.</w:t>
      </w:r>
    </w:p>
    <w:p>
      <w:pPr>
        <w:pStyle w:val="BodyText"/>
      </w:pPr>
      <w:r>
        <w:t xml:space="preserve">Table 2:</w:t>
      </w:r>
      <w:r>
        <w:t xml:space="preserve"> </w:t>
      </w:r>
      <w:r>
        <w:t xml:space="preserve">Cap trajectories from the PRIMES model</w:t>
      </w:r>
    </w:p>
    <w:p>
      <w:pPr>
        <w:pStyle w:val="BodyText"/>
      </w:pPr>
      <w:r>
        <w:t xml:space="preserve">EEA Caps (Mt), LRF (%) and</w:t>
      </w:r>
      <w:r>
        <w:t xml:space="preserve"> </w:t>
      </w:r>
      <w:r>
        <w:t xml:space="preserve">Carbon Budget (Mt)</w:t>
      </w:r>
      <w:r>
        <w:t xml:space="preserve"> </w:t>
      </w:r>
      <w:r>
        <w:t xml:space="preserve">CAP1:</w:t>
      </w:r>
      <w:r>
        <w:t xml:space="preserve"> </w:t>
      </w:r>
      <w:r>
        <w:t xml:space="preserve">Linear</w:t>
      </w:r>
      <w:r>
        <w:t xml:space="preserve"> </w:t>
      </w:r>
      <w:r>
        <w:t xml:space="preserve">trajectory</w:t>
      </w:r>
      <w:r>
        <w:t xml:space="preserve"> </w:t>
      </w:r>
      <w:r>
        <w:t xml:space="preserve">CAP2: PRIMES</w:t>
      </w:r>
      <w:r>
        <w:t xml:space="preserve"> </w:t>
      </w:r>
      <w:r>
        <w:t xml:space="preserve">85 trajectory</w:t>
      </w:r>
      <w:r>
        <w:t xml:space="preserve"> </w:t>
      </w:r>
      <w:r>
        <w:t xml:space="preserve">CAP3: PRIMES</w:t>
      </w:r>
      <w:r>
        <w:t xml:space="preserve"> </w:t>
      </w:r>
      <w:r>
        <w:t xml:space="preserve">90-85 pathway</w:t>
      </w:r>
      <w:r>
        <w:t xml:space="preserve"> </w:t>
      </w:r>
      <w:r>
        <w:t xml:space="preserve">2030</w:t>
      </w:r>
      <w:r>
        <w:t xml:space="preserve"> </w:t>
      </w:r>
      <w:r>
        <w:t xml:space="preserve">911</w:t>
      </w:r>
      <w:r>
        <w:t xml:space="preserve"> </w:t>
      </w:r>
      <w:r>
        <w:t xml:space="preserve">911</w:t>
      </w:r>
      <w:r>
        <w:t xml:space="preserve"> </w:t>
      </w:r>
      <w:r>
        <w:t xml:space="preserve">911</w:t>
      </w:r>
      <w:r>
        <w:t xml:space="preserve"> </w:t>
      </w:r>
      <w:r>
        <w:t xml:space="preserve">2035</w:t>
      </w:r>
      <w:r>
        <w:t xml:space="preserve"> </w:t>
      </w:r>
      <w:r>
        <w:t xml:space="preserve">620</w:t>
      </w:r>
      <w:r>
        <w:t xml:space="preserve"> </w:t>
      </w:r>
      <w:r>
        <w:t xml:space="preserve">580</w:t>
      </w:r>
      <w:r>
        <w:t xml:space="preserve"> </w:t>
      </w:r>
      <w:r>
        <w:t xml:space="preserve">560</w:t>
      </w:r>
      <w:r>
        <w:t xml:space="preserve"> </w:t>
      </w:r>
      <w:r>
        <w:t xml:space="preserve">2040</w:t>
      </w:r>
      <w:r>
        <w:t xml:space="preserve"> </w:t>
      </w:r>
      <w:r>
        <w:t xml:space="preserve">330</w:t>
      </w:r>
      <w:r>
        <w:t xml:space="preserve"> </w:t>
      </w:r>
      <w:r>
        <w:t xml:space="preserve">330</w:t>
      </w:r>
      <w:r>
        <w:t xml:space="preserve"> </w:t>
      </w:r>
      <w:r>
        <w:t xml:space="preserve">330</w:t>
      </w:r>
      <w:r>
        <w:t xml:space="preserve"> </w:t>
      </w:r>
      <w:r>
        <w:t xml:space="preserve">LRF 2030-2035</w:t>
      </w:r>
      <w:r>
        <w:t xml:space="preserve"> </w:t>
      </w:r>
      <w:r>
        <w:t xml:space="preserve">-2.7%</w:t>
      </w:r>
      <w:r>
        <w:t xml:space="preserve"> </w:t>
      </w:r>
      <w:r>
        <w:t xml:space="preserve">-3.1%</w:t>
      </w:r>
      <w:r>
        <w:t xml:space="preserve"> </w:t>
      </w:r>
      <w:r>
        <w:t xml:space="preserve">-3.3%</w:t>
      </w:r>
      <w:r>
        <w:t xml:space="preserve"> </w:t>
      </w:r>
      <w:r>
        <w:t xml:space="preserve">LRF 2036-2040</w:t>
      </w:r>
      <w:r>
        <w:t xml:space="preserve"> </w:t>
      </w:r>
      <w:r>
        <w:t xml:space="preserve">-2.7%</w:t>
      </w:r>
      <w:r>
        <w:t xml:space="preserve"> </w:t>
      </w:r>
      <w:r>
        <w:t xml:space="preserve">-2.3%</w:t>
      </w:r>
      <w:r>
        <w:t xml:space="preserve"> </w:t>
      </w:r>
      <w:r>
        <w:t xml:space="preserve">-2.1%</w:t>
      </w:r>
      <w:r>
        <w:t xml:space="preserve"> </w:t>
      </w:r>
      <w:r>
        <w:t xml:space="preserve">Carbon Budget 2031-2040</w:t>
      </w:r>
      <w:r>
        <w:t xml:space="preserve"> </w:t>
      </w:r>
      <w:r>
        <w:t xml:space="preserve">5915</w:t>
      </w:r>
      <w:r>
        <w:t xml:space="preserve"> </w:t>
      </w:r>
      <w:r>
        <w:t xml:space="preserve">5705</w:t>
      </w:r>
      <w:r>
        <w:t xml:space="preserve"> </w:t>
      </w:r>
      <w:r>
        <w:t xml:space="preserve">5605</w:t>
      </w:r>
      <w:r>
        <w:t xml:space="preserve"> </w:t>
      </w:r>
      <w:r>
        <w:t xml:space="preserve">The following table shows the cap trajectories from the JRC POTEnCIA model.</w:t>
      </w:r>
      <w:r>
        <w:br/>
      </w:r>
      <w:r>
        <w:t xml:space="preserve">Table 3:</w:t>
      </w:r>
      <w:r>
        <w:t xml:space="preserve"> </w:t>
      </w:r>
      <w:r>
        <w:t xml:space="preserve">Cap trajectories for POTEnCIA</w:t>
      </w:r>
    </w:p>
    <w:p>
      <w:pPr>
        <w:pStyle w:val="BodyText"/>
      </w:pPr>
      <w:r>
        <w:t xml:space="preserve">EEA Caps (Mt), LRF (%)</w:t>
      </w:r>
      <w:r>
        <w:t xml:space="preserve"> </w:t>
      </w:r>
      <w:r>
        <w:t xml:space="preserve">and Carbon Budget (Mt)</w:t>
      </w:r>
      <w:r>
        <w:t xml:space="preserve"> </w:t>
      </w:r>
      <w:r>
        <w:t xml:space="preserve">CAP1:</w:t>
      </w:r>
      <w:r>
        <w:t xml:space="preserve"> </w:t>
      </w:r>
      <w:r>
        <w:t xml:space="preserve">Linear</w:t>
      </w:r>
      <w:r>
        <w:t xml:space="preserve"> </w:t>
      </w:r>
      <w:r>
        <w:t xml:space="preserve">trajectory</w:t>
      </w:r>
      <w:r>
        <w:br/>
      </w:r>
      <w:r>
        <w:t xml:space="preserve">CAP2: POTENCIA</w:t>
      </w:r>
      <w:r>
        <w:t xml:space="preserve"> </w:t>
      </w:r>
      <w:r>
        <w:t xml:space="preserve">85 trajectory</w:t>
      </w:r>
      <w:r>
        <w:br/>
      </w:r>
      <w:r>
        <w:t xml:space="preserve">CAP3: POTEnCIA</w:t>
      </w:r>
      <w:r>
        <w:t xml:space="preserve"> </w:t>
      </w:r>
      <w:r>
        <w:t xml:space="preserve">90-85 pathway</w:t>
      </w:r>
      <w:r>
        <w:br/>
      </w:r>
      <w:r>
        <w:t xml:space="preserve">2030</w:t>
      </w:r>
      <w:r>
        <w:t xml:space="preserve"> </w:t>
      </w:r>
      <w:r>
        <w:t xml:space="preserve">911</w:t>
      </w:r>
      <w:r>
        <w:t xml:space="preserve"> </w:t>
      </w:r>
      <w:r>
        <w:t xml:space="preserve">911</w:t>
      </w:r>
      <w:r>
        <w:t xml:space="preserve"> </w:t>
      </w:r>
      <w:r>
        <w:t xml:space="preserve">911</w:t>
      </w:r>
      <w:r>
        <w:t xml:space="preserve"> </w:t>
      </w:r>
      <w:r>
        <w:t xml:space="preserve">2035</w:t>
      </w:r>
      <w:r>
        <w:t xml:space="preserve"> </w:t>
      </w:r>
      <w:r>
        <w:t xml:space="preserve">645</w:t>
      </w:r>
      <w:r>
        <w:t xml:space="preserve"> </w:t>
      </w:r>
      <w:r>
        <w:t xml:space="preserve">670</w:t>
      </w:r>
      <w:r>
        <w:t xml:space="preserve"> </w:t>
      </w:r>
      <w:r>
        <w:t xml:space="preserve">605</w:t>
      </w:r>
      <w:r>
        <w:t xml:space="preserve"> </w:t>
      </w:r>
      <w:r>
        <w:t xml:space="preserve">2040</w:t>
      </w:r>
      <w:r>
        <w:t xml:space="preserve"> </w:t>
      </w:r>
      <w:r>
        <w:t xml:space="preserve">375</w:t>
      </w:r>
      <w:r>
        <w:t xml:space="preserve"> </w:t>
      </w:r>
      <w:r>
        <w:t xml:space="preserve">375</w:t>
      </w:r>
      <w:r>
        <w:t xml:space="preserve"> </w:t>
      </w:r>
      <w:r>
        <w:t xml:space="preserve">375</w:t>
      </w:r>
      <w:r>
        <w:t xml:space="preserve"> </w:t>
      </w:r>
      <w:r>
        <w:t xml:space="preserve">LRF 2030-2035</w:t>
      </w:r>
      <w:r>
        <w:t xml:space="preserve"> </w:t>
      </w:r>
      <w:r>
        <w:t xml:space="preserve">-2.5%</w:t>
      </w:r>
      <w:r>
        <w:t xml:space="preserve"> </w:t>
      </w:r>
      <w:r>
        <w:t xml:space="preserve">-2.3%</w:t>
      </w:r>
      <w:r>
        <w:t xml:space="preserve"> </w:t>
      </w:r>
      <w:r>
        <w:t xml:space="preserve">-2.9%</w:t>
      </w:r>
      <w:r>
        <w:t xml:space="preserve"> </w:t>
      </w:r>
      <w:r>
        <w:t xml:space="preserve">LRF 2036-2040</w:t>
      </w:r>
      <w:r>
        <w:t xml:space="preserve"> </w:t>
      </w:r>
      <w:r>
        <w:t xml:space="preserve">-2.5%</w:t>
      </w:r>
      <w:r>
        <w:t xml:space="preserve"> </w:t>
      </w:r>
      <w:r>
        <w:t xml:space="preserve">-2.7%</w:t>
      </w:r>
      <w:r>
        <w:t xml:space="preserve"> </w:t>
      </w:r>
      <w:r>
        <w:t xml:space="preserve">-2.1%</w:t>
      </w:r>
      <w:r>
        <w:t xml:space="preserve"> </w:t>
      </w:r>
      <w:r>
        <w:t xml:space="preserve">Carbon Budget 2031-2040</w:t>
      </w:r>
      <w:r>
        <w:t xml:space="preserve"> </w:t>
      </w:r>
      <w:r>
        <w:t xml:space="preserve">6175</w:t>
      </w:r>
      <w:r>
        <w:t xml:space="preserve"> </w:t>
      </w:r>
      <w:r>
        <w:t xml:space="preserve">6295</w:t>
      </w:r>
      <w:r>
        <w:t xml:space="preserve"> </w:t>
      </w:r>
      <w:r>
        <w:t xml:space="preserve">5965</w:t>
      </w:r>
      <w:r>
        <w:t xml:space="preserve"> </w:t>
      </w:r>
      <w:r>
        <w:t xml:space="preserve">The table below shows the range of outcomes in the models, rounded to five, in order to</w:t>
      </w:r>
      <w:r>
        <w:t xml:space="preserve"> </w:t>
      </w:r>
      <w:r>
        <w:t xml:space="preserve">represent the uncertainty range resulting from using the different models:</w:t>
      </w:r>
      <w:r>
        <w:br/>
      </w:r>
      <w:r>
        <w:t xml:space="preserve">Table 4:</w:t>
      </w:r>
      <w:r>
        <w:t xml:space="preserve"> </w:t>
      </w:r>
      <w:r>
        <w:t xml:space="preserve">Range of approximate cap trajectories</w:t>
      </w:r>
    </w:p>
    <w:p>
      <w:pPr>
        <w:pStyle w:val="BodyText"/>
      </w:pPr>
      <w:r>
        <w:t xml:space="preserve">EEA Caps (Mt), LRF (%)</w:t>
      </w:r>
      <w:r>
        <w:t xml:space="preserve"> </w:t>
      </w:r>
      <w:r>
        <w:t xml:space="preserve">and Carbon Budget (Mt)</w:t>
      </w:r>
      <w:r>
        <w:t xml:space="preserve"> </w:t>
      </w:r>
      <w:r>
        <w:t xml:space="preserve">CAP1:</w:t>
      </w:r>
      <w:r>
        <w:t xml:space="preserve"> </w:t>
      </w:r>
      <w:r>
        <w:t xml:space="preserve">Linear</w:t>
      </w:r>
      <w:r>
        <w:t xml:space="preserve"> </w:t>
      </w:r>
      <w:r>
        <w:t xml:space="preserve">trajectory</w:t>
      </w:r>
      <w:r>
        <w:br/>
      </w:r>
      <w:r>
        <w:t xml:space="preserve">CAP2:</w:t>
      </w:r>
      <w:r>
        <w:t xml:space="preserve"> </w:t>
      </w:r>
      <w:r>
        <w:t xml:space="preserve">85</w:t>
      </w:r>
      <w:r>
        <w:t xml:space="preserve"> </w:t>
      </w:r>
      <w:r>
        <w:t xml:space="preserve">trajectory</w:t>
      </w:r>
      <w:r>
        <w:br/>
      </w:r>
      <w:r>
        <w:t xml:space="preserve">CAP3:</w:t>
      </w:r>
      <w:r>
        <w:t xml:space="preserve"> </w:t>
      </w:r>
      <w:r>
        <w:t xml:space="preserve">90-85</w:t>
      </w:r>
      <w:r>
        <w:t xml:space="preserve"> </w:t>
      </w:r>
      <w:r>
        <w:t xml:space="preserve">trajectory</w:t>
      </w:r>
      <w:r>
        <w:t xml:space="preserve"> </w:t>
      </w:r>
      <w:r>
        <w:t xml:space="preserve">2030</w:t>
      </w:r>
      <w:r>
        <w:t xml:space="preserve"> </w:t>
      </w:r>
      <w:r>
        <w:t xml:space="preserve">911</w:t>
      </w:r>
      <w:r>
        <w:t xml:space="preserve"> </w:t>
      </w:r>
      <w:r>
        <w:t xml:space="preserve">911</w:t>
      </w:r>
      <w:r>
        <w:t xml:space="preserve"> </w:t>
      </w:r>
      <w:r>
        <w:t xml:space="preserve">911</w:t>
      </w:r>
      <w:r>
        <w:t xml:space="preserve"> </w:t>
      </w:r>
      <w:r>
        <w:t xml:space="preserve">2035</w:t>
      </w:r>
      <w:r>
        <w:t xml:space="preserve"> </w:t>
      </w:r>
      <w:r>
        <w:t xml:space="preserve">620-645</w:t>
      </w:r>
      <w:r>
        <w:t xml:space="preserve"> </w:t>
      </w:r>
      <w:r>
        <w:t xml:space="preserve">580-670</w:t>
      </w:r>
      <w:r>
        <w:t xml:space="preserve"> </w:t>
      </w:r>
      <w:r>
        <w:t xml:space="preserve">560-605</w:t>
      </w:r>
      <w:r>
        <w:t xml:space="preserve"> </w:t>
      </w:r>
      <w:r>
        <w:t xml:space="preserve">2040</w:t>
      </w:r>
      <w:r>
        <w:t xml:space="preserve"> </w:t>
      </w:r>
      <w:r>
        <w:t xml:space="preserve">330-375</w:t>
      </w:r>
      <w:r>
        <w:t xml:space="preserve"> </w:t>
      </w:r>
      <w:r>
        <w:t xml:space="preserve">330-375</w:t>
      </w:r>
      <w:r>
        <w:t xml:space="preserve"> </w:t>
      </w:r>
      <w:r>
        <w:t xml:space="preserve">330-375</w:t>
      </w:r>
      <w:r>
        <w:t xml:space="preserve"> </w:t>
      </w:r>
      <w:r>
        <w:t xml:space="preserve">LRF 2030-2035</w:t>
      </w:r>
      <w:r>
        <w:t xml:space="preserve"> </w:t>
      </w:r>
      <w:r>
        <w:t xml:space="preserve">2.7-2.5%</w:t>
      </w:r>
      <w:r>
        <w:t xml:space="preserve"> </w:t>
      </w:r>
      <w:r>
        <w:t xml:space="preserve">3.1-2.3%</w:t>
      </w:r>
      <w:r>
        <w:t xml:space="preserve"> </w:t>
      </w:r>
      <w:r>
        <w:t xml:space="preserve">3.3-2.9%</w:t>
      </w:r>
    </w:p>
    <w:p>
      <w:pPr>
        <w:pStyle w:val="BodyText"/>
      </w:pPr>
      <w:r>
        <w:t xml:space="preserve">LRF 2036-2040</w:t>
      </w:r>
      <w:r>
        <w:t xml:space="preserve"> </w:t>
      </w:r>
      <w:r>
        <w:t xml:space="preserve">2.7-2.5%</w:t>
      </w:r>
      <w:r>
        <w:t xml:space="preserve"> </w:t>
      </w:r>
      <w:r>
        <w:t xml:space="preserve">2.3-2.7%</w:t>
      </w:r>
      <w:r>
        <w:t xml:space="preserve"> </w:t>
      </w:r>
      <w:r>
        <w:t xml:space="preserve">2.1-2.1%</w:t>
      </w:r>
      <w:r>
        <w:t xml:space="preserve"> </w:t>
      </w:r>
      <w:r>
        <w:t xml:space="preserve">Carbon Budget 2031-2040</w:t>
      </w:r>
      <w:r>
        <w:t xml:space="preserve"> </w:t>
      </w:r>
      <w:r>
        <w:t xml:space="preserve">5915-6175</w:t>
      </w:r>
      <w:r>
        <w:t xml:space="preserve"> </w:t>
      </w:r>
      <w:r>
        <w:t xml:space="preserve">5705-6295</w:t>
      </w:r>
      <w:r>
        <w:t xml:space="preserve"> </w:t>
      </w:r>
      <w:r>
        <w:t xml:space="preserve">5605-5965</w:t>
      </w:r>
      <w:r>
        <w:t xml:space="preserve"> </w:t>
      </w:r>
      <w:r>
        <w:t xml:space="preserve">The table above shows that, for a given model, the two-step trajectory would have smaller total</w:t>
      </w:r>
      <w:r>
        <w:t xml:space="preserve"> </w:t>
      </w:r>
      <w:r>
        <w:t xml:space="preserve">emissions (i.e. carbon budget) over the 2031-2040 period than either the linear or modelled</w:t>
      </w:r>
      <w:r>
        <w:t xml:space="preserve"> </w:t>
      </w:r>
      <w:r>
        <w:t xml:space="preserve">trajectories unconstrained in 2035. However, we see that there is overlap in the ranges, due to</w:t>
      </w:r>
      <w:r>
        <w:t xml:space="preserve"> </w:t>
      </w:r>
      <w:r>
        <w:t xml:space="preserve">the different models used.</w:t>
      </w:r>
      <w:r>
        <w:br/>
      </w:r>
      <w:r>
        <w:t xml:space="preserve">A two-step trajectory would stimulate innovation in the short term and could lead to a more</w:t>
      </w:r>
      <w:r>
        <w:t xml:space="preserve"> </w:t>
      </w:r>
      <w:r>
        <w:t xml:space="preserve">balanced investment pathway. It is uncertain whether the benefits thereof would compensate</w:t>
      </w:r>
      <w:r>
        <w:t xml:space="preserve"> </w:t>
      </w:r>
      <w:r>
        <w:t xml:space="preserve">the costs of a smaller carbon budget. The table also shows that the 85 trajectory as estimated</w:t>
      </w:r>
      <w:r>
        <w:t xml:space="preserve"> </w:t>
      </w:r>
      <w:r>
        <w:t xml:space="preserve">in PRIMES is in between the linear trajectory and the 90-85 trajectory. In POTEnCIA the linear</w:t>
      </w:r>
      <w:r>
        <w:t xml:space="preserve"> </w:t>
      </w:r>
      <w:r>
        <w:t xml:space="preserve">trajectory is very close to the 85 trajectory unconstrained in 2035.</w:t>
      </w:r>
      <w:r>
        <w:t xml:space="preserve"> </w:t>
      </w:r>
      <w:r>
        <w:t xml:space="preserve">For the further modelling-based analysis we have used the PRIMES 85 trajectory as PRIMES</w:t>
      </w:r>
      <w:r>
        <w:t xml:space="preserve"> </w:t>
      </w:r>
      <w:r>
        <w:t xml:space="preserve">was used to assess the policy options, and this trajectory is the less constrained economy wide</w:t>
      </w:r>
      <w:r>
        <w:t xml:space="preserve"> </w:t>
      </w:r>
      <w:r>
        <w:t xml:space="preserve">to reach an 85% target in this model.</w:t>
      </w:r>
      <w:r>
        <w:br/>
      </w:r>
      <w:r>
        <w:t xml:space="preserve">This choice should not affect the relative impacts and rankings of the different policy options</w:t>
      </w:r>
      <w:r>
        <w:t xml:space="preserve"> </w:t>
      </w:r>
      <w:r>
        <w:t xml:space="preserve">PO1, PO2, PO3 on most topics, such as removals, CCU, carbon leakage etc. The different</w:t>
      </w:r>
      <w:r>
        <w:t xml:space="preserve"> </w:t>
      </w:r>
      <w:r>
        <w:t xml:space="preserve">behaviour of the two models provides an illustration of the intrinsic uncertainties involved in</w:t>
      </w:r>
      <w:r>
        <w:t xml:space="preserve"> </w:t>
      </w:r>
      <w:r>
        <w:t xml:space="preserve">assessments on the longer-term technological future for different sectors. When, conversely, in</w:t>
      </w:r>
      <w:r>
        <w:t xml:space="preserve"> </w:t>
      </w:r>
      <w:r>
        <w:t xml:space="preserve">this Annex, the two models show similar behaviour in response to changes to the cap, this</w:t>
      </w:r>
      <w:r>
        <w:t xml:space="preserve"> </w:t>
      </w:r>
      <w:r>
        <w:t xml:space="preserve">provides evidence that a qualitative conclusion is robust.</w:t>
      </w:r>
      <w:r>
        <w:br/>
      </w:r>
      <w:r>
        <w:t xml:space="preserve">The 90-85 pathway trajectory corresponds to including an extra emissions space that is created</w:t>
      </w:r>
      <w:r>
        <w:t xml:space="preserve"> </w:t>
      </w:r>
      <w:r>
        <w:t xml:space="preserve">from buying international credits as of 2036. In comparison to the unconstrained 85 trajectory</w:t>
      </w:r>
      <w:r>
        <w:t xml:space="preserve"> </w:t>
      </w:r>
      <w:r>
        <w:t xml:space="preserve">for a given model, it is a more ambitious trajectory.</w:t>
      </w:r>
      <w:r>
        <w:t xml:space="preserve"> </w:t>
      </w:r>
      <w:r>
        <w:t xml:space="preserve">1.3. Net cap trajectories excluding international aviation</w:t>
      </w:r>
      <w:r>
        <w:t xml:space="preserve"> </w:t>
      </w:r>
      <w:r>
        <w:t xml:space="preserve">All scenarios above assumed that (one-way) international extra EU aviation would be</w:t>
      </w:r>
      <w:r>
        <w:t xml:space="preserve"> </w:t>
      </w:r>
      <w:r>
        <w:t xml:space="preserve">included in the EU target. If international aviation were to be excluded in the target, total</w:t>
      </w:r>
      <w:r>
        <w:t xml:space="preserve"> </w:t>
      </w:r>
      <w:r>
        <w:t xml:space="preserve">emissions under the EU target would be lower. As international aviation is a hard to abate</w:t>
      </w:r>
      <w:r>
        <w:t xml:space="preserve"> </w:t>
      </w:r>
      <w:r>
        <w:t xml:space="preserve">sector with lower reduction potential by 2040 than other sectors, this would nevertheless</w:t>
      </w:r>
      <w:r>
        <w:t xml:space="preserve"> </w:t>
      </w:r>
      <w:r>
        <w:t xml:space="preserve">create additional emissions space of ca. 45 Mt for other sectors of the economy. Potentially,</w:t>
      </w:r>
      <w:r>
        <w:t xml:space="preserve"> </w:t>
      </w:r>
      <w:r>
        <w:t xml:space="preserve">part of this emissions space could be assigned to ETS1, although it should be remembered</w:t>
      </w:r>
      <w:r>
        <w:t xml:space="preserve"> </w:t>
      </w:r>
      <w:r>
        <w:t xml:space="preserve">that non-ETS1 sectors are expected to represent a larger share of emissions by 2040. In</w:t>
      </w:r>
      <w:r>
        <w:t xml:space="preserve"> </w:t>
      </w:r>
      <w:r>
        <w:t xml:space="preserve">absolute terms the ETS1 cap would still be lower than in the numbers shown in this impact</w:t>
      </w:r>
      <w:r>
        <w:t xml:space="preserve"> </w:t>
      </w:r>
      <w:r>
        <w:t xml:space="preserve">assessment; due to the absence of demand from international aviation the space for other</w:t>
      </w:r>
      <w:r>
        <w:t xml:space="preserve"> </w:t>
      </w:r>
      <w:r>
        <w:t xml:space="preserve">sectors could still increase.</w:t>
      </w:r>
      <w:r>
        <w:br/>
      </w:r>
      <w:r>
        <w:t xml:space="preserve">In addition, carbon removals could be introduced as a flexibility option to achieve the 2040</w:t>
      </w:r>
      <w:r>
        <w:t xml:space="preserve"> </w:t>
      </w:r>
      <w:r>
        <w:t xml:space="preserve">climate target in a more cost-effective way, since in some cases it may be cheaper to offset</w:t>
      </w:r>
      <w:r>
        <w:t xml:space="preserve"> </w:t>
      </w:r>
      <w:r>
        <w:t xml:space="preserve">emissions through removals than to abate them directly. In particular, they can help</w:t>
      </w:r>
      <w:r>
        <w:t xml:space="preserve"> </w:t>
      </w:r>
      <w:r>
        <w:t xml:space="preserve">compensate for residual hard-to-abate emissions in sectors covered by the EU ETS. If the EU</w:t>
      </w:r>
      <w:r>
        <w:t xml:space="preserve"> </w:t>
      </w:r>
      <w:r>
        <w:t xml:space="preserve">ETS is assumed to benefit from the total amount of industrial removals in the models, the cap</w:t>
      </w:r>
      <w:r>
        <w:t xml:space="preserve"> </w:t>
      </w:r>
      <w:r>
        <w:t xml:space="preserve">can be decomposed into a more ambitious cap set at the level of net emissions plus an amount</w:t>
      </w:r>
      <w:r>
        <w:t xml:space="preserve"> </w:t>
      </w:r>
      <w:r>
        <w:t xml:space="preserve">of removals-linked allowances, which together add up to a total gross emissions carbon</w:t>
      </w:r>
      <w:r>
        <w:t xml:space="preserve"> </w:t>
      </w:r>
      <w:r>
        <w:t xml:space="preserve">budget.</w:t>
      </w:r>
      <w:r>
        <w:br/>
      </w:r>
      <w:r>
        <w:t xml:space="preserve">The precise result would depend on whether international aviation and removals are included</w:t>
      </w:r>
      <w:r>
        <w:t xml:space="preserve"> </w:t>
      </w:r>
      <w:r>
        <w:t xml:space="preserve">in the EU target by co-legislators; and the way any additional emissions space due to its</w:t>
      </w:r>
      <w:r>
        <w:t xml:space="preserve"> </w:t>
      </w:r>
      <w:r>
        <w:t xml:space="preserve">(partial) exclusion would be assigned across different sectors of the economy.</w:t>
      </w:r>
    </w:p>
    <w:p>
      <w:pPr>
        <w:pStyle w:val="BodyText"/>
      </w:pPr>
      <w:r>
        <w:t xml:space="preserve">The table below shows the trajectory results for the different net cap options. It also includes</w:t>
      </w:r>
      <w:r>
        <w:t xml:space="preserve"> </w:t>
      </w:r>
      <w:r>
        <w:t xml:space="preserve">an additional option in which the cap trajectory follows a 90-85 pathway as in CAP3 though</w:t>
      </w:r>
      <w:r>
        <w:t xml:space="preserve"> </w:t>
      </w:r>
      <w:r>
        <w:t xml:space="preserve">with a higher ambition in the first half of the decade. In these options, the scope of the</w:t>
      </w:r>
      <w:r>
        <w:t xml:space="preserve"> </w:t>
      </w:r>
      <w:r>
        <w:t xml:space="preserve">economy-wide target is limited to include intra-EU aviation (but not extra EU aviation) and</w:t>
      </w:r>
      <w:r>
        <w:t xml:space="preserve"> </w:t>
      </w:r>
      <w:r>
        <w:t xml:space="preserve">current scope for maritime navigation.</w:t>
      </w:r>
      <w:r>
        <w:br/>
      </w:r>
      <w:r>
        <w:t xml:space="preserve">Table 5:</w:t>
      </w:r>
      <w:r>
        <w:t xml:space="preserve"> </w:t>
      </w:r>
      <w:r>
        <w:t xml:space="preserve">Net caps trajectories for POTEnCIA excluding international extra EEA aviation</w:t>
      </w:r>
    </w:p>
    <w:p>
      <w:pPr>
        <w:pStyle w:val="BodyText"/>
      </w:pPr>
      <w:r>
        <w:t xml:space="preserve">EEA Caps (Mt), LRF</w:t>
      </w:r>
      <w:r>
        <w:t xml:space="preserve"> </w:t>
      </w:r>
      <w:r>
        <w:t xml:space="preserve">(%) and Carbon</w:t>
      </w:r>
      <w:r>
        <w:t xml:space="preserve"> </w:t>
      </w:r>
      <w:r>
        <w:t xml:space="preserve">Budget (Mt)</w:t>
      </w:r>
      <w:r>
        <w:t xml:space="preserve"> </w:t>
      </w:r>
      <w:r>
        <w:t xml:space="preserve">CAP1: 85</w:t>
      </w:r>
      <w:r>
        <w:t xml:space="preserve"> </w:t>
      </w:r>
      <w:r>
        <w:t xml:space="preserve">linear</w:t>
      </w:r>
      <w:r>
        <w:t xml:space="preserve"> </w:t>
      </w:r>
      <w:r>
        <w:t xml:space="preserve">trajectory</w:t>
      </w:r>
      <w:r>
        <w:t xml:space="preserve"> </w:t>
      </w:r>
      <w:r>
        <w:t xml:space="preserve">CAP2: 85</w:t>
      </w:r>
      <w:r>
        <w:t xml:space="preserve"> </w:t>
      </w:r>
      <w:r>
        <w:t xml:space="preserve">trajectory</w:t>
      </w:r>
      <w:r>
        <w:br/>
      </w:r>
      <w:r>
        <w:t xml:space="preserve">CAP3:</w:t>
      </w:r>
      <w:r>
        <w:t xml:space="preserve"> </w:t>
      </w:r>
      <w:r>
        <w:t xml:space="preserve">90linear-85</w:t>
      </w:r>
      <w:r>
        <w:t xml:space="preserve"> </w:t>
      </w:r>
      <w:r>
        <w:t xml:space="preserve">pathway</w:t>
      </w:r>
      <w:r>
        <w:br/>
      </w:r>
      <w:r>
        <w:t xml:space="preserve">CAP4:</w:t>
      </w:r>
      <w:r>
        <w:t xml:space="preserve"> </w:t>
      </w:r>
      <w:r>
        <w:t xml:space="preserve">accelerated 90-85</w:t>
      </w:r>
      <w:r>
        <w:t xml:space="preserve"> </w:t>
      </w:r>
      <w:r>
        <w:t xml:space="preserve">pathway</w:t>
      </w:r>
      <w:r>
        <w:br/>
      </w:r>
      <w:r>
        <w:t xml:space="preserve">2030</w:t>
      </w:r>
      <w:r>
        <w:t xml:space="preserve"> </w:t>
      </w:r>
      <w:r>
        <w:t xml:space="preserve">847</w:t>
      </w:r>
      <w:r>
        <w:t xml:space="preserve"> </w:t>
      </w:r>
      <w:r>
        <w:t xml:space="preserve">847</w:t>
      </w:r>
      <w:r>
        <w:t xml:space="preserve"> </w:t>
      </w:r>
      <w:r>
        <w:t xml:space="preserve">847</w:t>
      </w:r>
      <w:r>
        <w:t xml:space="preserve"> </w:t>
      </w:r>
      <w:r>
        <w:t xml:space="preserve">847</w:t>
      </w:r>
      <w:r>
        <w:t xml:space="preserve"> </w:t>
      </w:r>
      <w:r>
        <w:t xml:space="preserve">2035</w:t>
      </w:r>
      <w:r>
        <w:t xml:space="preserve"> </w:t>
      </w:r>
      <w:r>
        <w:t xml:space="preserve">570</w:t>
      </w:r>
      <w:r>
        <w:t xml:space="preserve"> </w:t>
      </w:r>
      <w:r>
        <w:t xml:space="preserve">600</w:t>
      </w:r>
      <w:r>
        <w:t xml:space="preserve"> </w:t>
      </w:r>
      <w:r>
        <w:t xml:space="preserve">555</w:t>
      </w:r>
      <w:r>
        <w:t xml:space="preserve"> </w:t>
      </w:r>
      <w:r>
        <w:t xml:space="preserve">485</w:t>
      </w:r>
      <w:r>
        <w:t xml:space="preserve"> </w:t>
      </w:r>
      <w:r>
        <w:t xml:space="preserve">2040</w:t>
      </w:r>
      <w:r>
        <w:t xml:space="preserve"> </w:t>
      </w:r>
      <w:r>
        <w:t xml:space="preserve">290</w:t>
      </w:r>
      <w:r>
        <w:t xml:space="preserve"> </w:t>
      </w:r>
      <w:r>
        <w:t xml:space="preserve">290</w:t>
      </w:r>
      <w:r>
        <w:t xml:space="preserve"> </w:t>
      </w:r>
      <w:r>
        <w:t xml:space="preserve">285</w:t>
      </w:r>
      <w:r>
        <w:t xml:space="preserve"> </w:t>
      </w:r>
      <w:r>
        <w:t xml:space="preserve">285</w:t>
      </w:r>
      <w:r>
        <w:t xml:space="preserve"> </w:t>
      </w:r>
      <w:r>
        <w:t xml:space="preserve">LRF 2030-2035</w:t>
      </w:r>
      <w:r>
        <w:br/>
      </w:r>
      <w:r>
        <w:t xml:space="preserve">-2.7%</w:t>
      </w:r>
      <w:r>
        <w:t xml:space="preserve"> </w:t>
      </w:r>
      <w:r>
        <w:t xml:space="preserve">-2.4%</w:t>
      </w:r>
      <w:r>
        <w:t xml:space="preserve"> </w:t>
      </w:r>
      <w:r>
        <w:t xml:space="preserve">-2.8%</w:t>
      </w:r>
      <w:r>
        <w:t xml:space="preserve"> </w:t>
      </w:r>
      <w:r>
        <w:t xml:space="preserve">-3.5%</w:t>
      </w:r>
      <w:r>
        <w:t xml:space="preserve"> </w:t>
      </w:r>
      <w:r>
        <w:t xml:space="preserve">LRF 2036-2040</w:t>
      </w:r>
      <w:r>
        <w:br/>
      </w:r>
      <w:r>
        <w:t xml:space="preserve">-2.7%</w:t>
      </w:r>
      <w:r>
        <w:t xml:space="preserve"> </w:t>
      </w:r>
      <w:r>
        <w:t xml:space="preserve">-3.0%</w:t>
      </w:r>
      <w:r>
        <w:t xml:space="preserve"> </w:t>
      </w:r>
      <w:r>
        <w:t xml:space="preserve">-2.6%</w:t>
      </w:r>
      <w:r>
        <w:t xml:space="preserve"> </w:t>
      </w:r>
      <w:r>
        <w:t xml:space="preserve">-1.9%</w:t>
      </w:r>
      <w:r>
        <w:t xml:space="preserve"> </w:t>
      </w:r>
      <w:r>
        <w:t xml:space="preserve">Added</w:t>
      </w:r>
      <w:r>
        <w:t xml:space="preserve"> </w:t>
      </w:r>
      <w:r>
        <w:t xml:space="preserve">removals-</w:t>
      </w:r>
      <w:r>
        <w:t xml:space="preserve"> </w:t>
      </w:r>
      <w:r>
        <w:t xml:space="preserve">linked allowances</w:t>
      </w:r>
      <w:r>
        <w:t xml:space="preserve"> </w:t>
      </w:r>
      <w:r>
        <w:t xml:space="preserve">320</w:t>
      </w:r>
      <w:r>
        <w:t xml:space="preserve"> </w:t>
      </w:r>
      <w:r>
        <w:t xml:space="preserve">320</w:t>
      </w:r>
      <w:r>
        <w:t xml:space="preserve"> </w:t>
      </w:r>
      <w:r>
        <w:t xml:space="preserve">320</w:t>
      </w:r>
      <w:r>
        <w:t xml:space="preserve"> </w:t>
      </w:r>
      <w:r>
        <w:t xml:space="preserve">320</w:t>
      </w:r>
      <w:r>
        <w:t xml:space="preserve"> </w:t>
      </w:r>
      <w:r>
        <w:t xml:space="preserve">Carbon Budget 2031-</w:t>
      </w:r>
      <w:r>
        <w:t xml:space="preserve"> </w:t>
      </w:r>
      <w:r>
        <w:t xml:space="preserve">2040</w:t>
      </w:r>
      <w:r>
        <w:t xml:space="preserve"> </w:t>
      </w:r>
      <w:r>
        <w:t xml:space="preserve">5720</w:t>
      </w:r>
      <w:r>
        <w:t xml:space="preserve"> </w:t>
      </w:r>
      <w:r>
        <w:t xml:space="preserve">5885</w:t>
      </w:r>
      <w:r>
        <w:t xml:space="preserve"> </w:t>
      </w:r>
      <w:r>
        <w:t xml:space="preserve">5640</w:t>
      </w:r>
      <w:r>
        <w:t xml:space="preserve"> </w:t>
      </w:r>
      <w:r>
        <w:t xml:space="preserve">5290</w:t>
      </w:r>
      <w:r>
        <w:t xml:space="preserve"> </w:t>
      </w:r>
      <w:r>
        <w:t xml:space="preserve">CAP4 is comparable to a non-linear pathway towards the 90% target in the first five years,</w:t>
      </w:r>
      <w:r>
        <w:t xml:space="preserve"> </w:t>
      </w:r>
      <w:r>
        <w:t xml:space="preserve">then flattens to be compatible with an 85% target for the second five years. In PRIMES the</w:t>
      </w:r>
      <w:r>
        <w:t xml:space="preserve"> </w:t>
      </w:r>
      <w:r>
        <w:t xml:space="preserve">emissions space would be lower: as an example, the gross emissions carbon budget for the</w:t>
      </w:r>
      <w:r>
        <w:t xml:space="preserve"> </w:t>
      </w:r>
      <w:r>
        <w:t xml:space="preserve">modelled 85% trajectory would be 5205 Mt, including 170 Mt of removals linked allowances.</w:t>
      </w:r>
      <w:r>
        <w:br/>
      </w:r>
      <w:r>
        <w:t xml:space="preserve">1.4. Caps for a trajectory towards 90% domestic reductions</w:t>
      </w:r>
      <w:r>
        <w:t xml:space="preserve"> </w:t>
      </w:r>
      <w:r>
        <w:t xml:space="preserve">The above trajectories have assumed the EU decision to use its full ability to buy international</w:t>
      </w:r>
      <w:r>
        <w:t xml:space="preserve"> </w:t>
      </w:r>
      <w:r>
        <w:t xml:space="preserve">credits up to the 5% and for the ETS1 to claim its fair share of the additional domestic emissions</w:t>
      </w:r>
      <w:r>
        <w:t xml:space="preserve"> </w:t>
      </w:r>
      <w:r>
        <w:t xml:space="preserve">space. To illustrate the opposite extreme, in which no international credits are used, below</w:t>
      </w:r>
      <w:r>
        <w:t xml:space="preserve"> </w:t>
      </w:r>
      <w:r>
        <w:t xml:space="preserve">tables show the modelled cap trajectory for a target of 90% domestic emissions reductions.</w:t>
      </w:r>
      <w:r>
        <w:br/>
      </w:r>
      <w:r>
        <w:t xml:space="preserve">The table below presents two cap trajectories achieving the 90% domestic emissions target.</w:t>
      </w:r>
      <w:r>
        <w:t xml:space="preserve"> </w:t>
      </w:r>
      <w:r>
        <w:t xml:space="preserve">Both options exclude international aviation emissions from the EU target and linear reduction</w:t>
      </w:r>
      <w:r>
        <w:t xml:space="preserve"> </w:t>
      </w:r>
      <w:r>
        <w:t xml:space="preserve">is calculated to achieve net emissions target. However, the last option is designed to maintain</w:t>
      </w:r>
      <w:r>
        <w:t xml:space="preserve"> </w:t>
      </w:r>
      <w:r>
        <w:t xml:space="preserve">the -4.4% LRF legal default until 2035. This was suggested by several stakeholders and is</w:t>
      </w:r>
      <w:r>
        <w:t xml:space="preserve"> </w:t>
      </w:r>
      <w:r>
        <w:t xml:space="preserve">presented as a fifth option in this Annex.</w:t>
      </w:r>
      <w:r>
        <w:t xml:space="preserve"> </w:t>
      </w:r>
      <w:r>
        <w:t xml:space="preserve">Table 6:</w:t>
      </w:r>
      <w:r>
        <w:t xml:space="preserve"> </w:t>
      </w:r>
      <w:r>
        <w:t xml:space="preserve">POTEnCIA and PRIMES trajectory compatible with a 90% domestic EU target</w:t>
      </w:r>
    </w:p>
    <w:p>
      <w:pPr>
        <w:pStyle w:val="BodyText"/>
      </w:pPr>
      <w:r>
        <w:t xml:space="preserve">EEA Caps (Mt), LRF</w:t>
      </w:r>
      <w:r>
        <w:t xml:space="preserve"> </w:t>
      </w:r>
      <w:r>
        <w:t xml:space="preserve">(%) and Carbon</w:t>
      </w:r>
      <w:r>
        <w:t xml:space="preserve"> </w:t>
      </w:r>
      <w:r>
        <w:t xml:space="preserve">Budget (Mt)</w:t>
      </w:r>
      <w:r>
        <w:t xml:space="preserve"> </w:t>
      </w:r>
      <w:r>
        <w:t xml:space="preserve">PRIMES-based</w:t>
      </w:r>
      <w:r>
        <w:t xml:space="preserve"> </w:t>
      </w:r>
      <w:r>
        <w:t xml:space="preserve">estimation 90 excl.</w:t>
      </w:r>
      <w:r>
        <w:t xml:space="preserve"> </w:t>
      </w:r>
      <w:r>
        <w:t xml:space="preserve">extra EU aviation</w:t>
      </w:r>
      <w:r>
        <w:t xml:space="preserve"> </w:t>
      </w:r>
      <w:r>
        <w:t xml:space="preserve">POTEnCIA 90%</w:t>
      </w:r>
      <w:r>
        <w:t xml:space="preserve"> </w:t>
      </w:r>
      <w:r>
        <w:t xml:space="preserve">excl. extra EU</w:t>
      </w:r>
      <w:r>
        <w:t xml:space="preserve"> </w:t>
      </w:r>
      <w:r>
        <w:t xml:space="preserve">aviation</w:t>
      </w:r>
      <w:r>
        <w:t xml:space="preserve"> </w:t>
      </w:r>
      <w:r>
        <w:t xml:space="preserve">CAP5: 90% extended</w:t>
      </w:r>
      <w:r>
        <w:t xml:space="preserve"> </w:t>
      </w:r>
      <w:r>
        <w:t xml:space="preserve">legal default aiming</w:t>
      </w:r>
      <w:r>
        <w:t xml:space="preserve"> </w:t>
      </w:r>
      <w:r>
        <w:t xml:space="preserve">at POTEnCIA in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847</w:t>
      </w:r>
      <w:r>
        <w:t xml:space="preserve"> </w:t>
      </w:r>
      <w:r>
        <w:t xml:space="preserve">847</w:t>
      </w:r>
      <w:r>
        <w:t xml:space="preserve"> </w:t>
      </w:r>
      <w:r>
        <w:t xml:space="preserve">847</w:t>
      </w:r>
      <w:r>
        <w:t xml:space="preserve"> </w:t>
      </w:r>
      <w:r>
        <w:t xml:space="preserve">2035</w:t>
      </w:r>
      <w:r>
        <w:t xml:space="preserve"> </w:t>
      </w:r>
      <w:r>
        <w:t xml:space="preserve">485</w:t>
      </w:r>
      <w:r>
        <w:t xml:space="preserve"> </w:t>
      </w:r>
      <w:r>
        <w:t xml:space="preserve">505</w:t>
      </w:r>
      <w:r>
        <w:t xml:space="preserve"> </w:t>
      </w:r>
      <w:r>
        <w:t xml:space="preserve">390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155</w:t>
      </w:r>
      <w:r>
        <w:t xml:space="preserve"> </w:t>
      </w:r>
      <w:r>
        <w:t xml:space="preserve">185</w:t>
      </w:r>
      <w:r>
        <w:t xml:space="preserve"> </w:t>
      </w:r>
      <w:r>
        <w:t xml:space="preserve">185</w:t>
      </w:r>
      <w:r>
        <w:t xml:space="preserve"> </w:t>
      </w:r>
      <w:r>
        <w:t xml:space="preserve">LRF 2030-2035</w:t>
      </w:r>
      <w:r>
        <w:br/>
      </w:r>
      <w:r>
        <w:t xml:space="preserve">-3.5%</w:t>
      </w:r>
      <w:r>
        <w:t xml:space="preserve"> </w:t>
      </w:r>
      <w:r>
        <w:t xml:space="preserve">-3.3%</w:t>
      </w:r>
      <w:r>
        <w:t xml:space="preserve"> </w:t>
      </w:r>
      <w:r>
        <w:t xml:space="preserve">-4.4%</w:t>
      </w:r>
      <w:r>
        <w:t xml:space="preserve"> </w:t>
      </w:r>
      <w:r>
        <w:t xml:space="preserve">LRF 2036-2040</w:t>
      </w:r>
      <w:r>
        <w:br/>
      </w:r>
      <w:r>
        <w:t xml:space="preserve">-3.1%</w:t>
      </w:r>
      <w:r>
        <w:t xml:space="preserve"> </w:t>
      </w:r>
      <w:r>
        <w:t xml:space="preserve">-3.1%</w:t>
      </w:r>
      <w:r>
        <w:t xml:space="preserve"> </w:t>
      </w:r>
      <w:r>
        <w:t xml:space="preserve">-2.0%</w:t>
      </w:r>
      <w:r>
        <w:t xml:space="preserve"> </w:t>
      </w:r>
      <w:r>
        <w:t xml:space="preserve">Added</w:t>
      </w:r>
      <w:r>
        <w:t xml:space="preserve"> </w:t>
      </w:r>
      <w:r>
        <w:t xml:space="preserve">removals</w:t>
      </w:r>
      <w:r>
        <w:t xml:space="preserve"> </w:t>
      </w:r>
      <w:r>
        <w:t xml:space="preserve">linked allowances</w:t>
      </w:r>
      <w:r>
        <w:t xml:space="preserve"> </w:t>
      </w:r>
      <w:r>
        <w:t xml:space="preserve">210Mt</w:t>
      </w:r>
      <w:r>
        <w:t xml:space="preserve"> </w:t>
      </w:r>
      <w:r>
        <w:t xml:space="preserve">360Mt</w:t>
      </w:r>
      <w:r>
        <w:t xml:space="preserve"> </w:t>
      </w:r>
      <w:r>
        <w:t xml:space="preserve">360Mt</w:t>
      </w:r>
      <w:r>
        <w:t xml:space="preserve"> </w:t>
      </w:r>
      <w:r>
        <w:t xml:space="preserve">Carbon Budget 2031-</w:t>
      </w:r>
      <w:r>
        <w:t xml:space="preserve"> </w:t>
      </w:r>
      <w:r>
        <w:t xml:space="preserve">2040</w:t>
      </w:r>
      <w:r>
        <w:t xml:space="preserve"> </w:t>
      </w:r>
      <w:r>
        <w:t xml:space="preserve">4785</w:t>
      </w:r>
      <w:r>
        <w:t xml:space="preserve"> </w:t>
      </w:r>
      <w:r>
        <w:t xml:space="preserve">5130</w:t>
      </w:r>
      <w:r>
        <w:t xml:space="preserve"> </w:t>
      </w:r>
      <w:r>
        <w:t xml:space="preserve">4560</w:t>
      </w:r>
      <w:r>
        <w:t xml:space="preserve"> </w:t>
      </w:r>
      <w:r>
        <w:t xml:space="preserve">The trajectory consistent with a 90% economy wide target extending the legal default LRF</w:t>
      </w:r>
      <w:r>
        <w:t xml:space="preserve"> </w:t>
      </w:r>
      <w:r>
        <w:t xml:space="preserve">until 2035 has a significantly lower carbon budget than either the 90-85 or the 85% trajectory.</w:t>
      </w:r>
      <w:r>
        <w:t xml:space="preserve"> </w:t>
      </w:r>
      <w:r>
        <w:t xml:space="preserve">This is because it requires a sharper reduction throughout the period in order to ensure that the</w:t>
      </w:r>
      <w:r>
        <w:t xml:space="preserve"> </w:t>
      </w:r>
      <w:r>
        <w:t xml:space="preserve">EU ETS contributes its share to the attainment of the 90% target. A trajectory based on the</w:t>
      </w:r>
      <w:r>
        <w:t xml:space="preserve"> </w:t>
      </w:r>
      <w:r>
        <w:t xml:space="preserve">accelerated 90-85 scenario would add an additional space of 730 Mt compared to the 90%</w:t>
      </w:r>
      <w:r>
        <w:t xml:space="preserve"> </w:t>
      </w:r>
      <w:r>
        <w:t xml:space="preserve">trajectory extended legal default (compared to POTEnCIA).</w:t>
      </w:r>
      <w:r>
        <w:br/>
      </w:r>
      <w:r>
        <w:t xml:space="preserve">1.5. Investment needs and system costs</w:t>
      </w:r>
      <w:r>
        <w:t xml:space="preserve"> </w:t>
      </w:r>
      <w:r>
        <w:t xml:space="preserve">The following table gives an illustration of investment needs and energy system costs in CAP</w:t>
      </w:r>
      <w:r>
        <w:t xml:space="preserve"> </w:t>
      </w:r>
      <w:r>
        <w:t xml:space="preserve">3 “9085” scenario. The numbers shown are a range of results from PRIMES and POTEnCIA</w:t>
      </w:r>
      <w:r>
        <w:t xml:space="preserve"> </w:t>
      </w:r>
      <w:r>
        <w:t xml:space="preserve">models, illustrating the intrinsic uncertainties involved.</w:t>
      </w:r>
      <w:r>
        <w:t xml:space="preserve"> </w:t>
      </w:r>
      <w:r>
        <w:t xml:space="preserve">Table 7:</w:t>
      </w:r>
      <w:r>
        <w:t xml:space="preserve"> </w:t>
      </w:r>
      <w:r>
        <w:t xml:space="preserve">Annual investment expenditure, energy related excluding transport in CAP 3 “9085”</w:t>
      </w:r>
      <w:r>
        <w:t xml:space="preserve"> </w:t>
      </w:r>
      <w:r>
        <w:t xml:space="preserve">scenario</w:t>
      </w:r>
    </w:p>
    <w:p>
      <w:pPr>
        <w:pStyle w:val="BodyText"/>
      </w:pPr>
      <w:r>
        <w:t xml:space="preserve">Annual</w:t>
      </w:r>
      <w:r>
        <w:t xml:space="preserve"> </w:t>
      </w:r>
      <w:r>
        <w:t xml:space="preserve">Investment</w:t>
      </w:r>
      <w:r>
        <w:t xml:space="preserve"> </w:t>
      </w:r>
      <w:r>
        <w:t xml:space="preserve">expenditure</w:t>
      </w:r>
      <w:r>
        <w:t xml:space="preserve"> </w:t>
      </w:r>
      <w:r>
        <w:t xml:space="preserve">(energy</w:t>
      </w:r>
      <w:r>
        <w:t xml:space="preserve"> </w:t>
      </w:r>
      <w:r>
        <w:t xml:space="preserve">related excl.</w:t>
      </w:r>
      <w:r>
        <w:t xml:space="preserve"> </w:t>
      </w:r>
      <w:r>
        <w:t xml:space="preserve">transport)</w:t>
      </w:r>
      <w:r>
        <w:t xml:space="preserve"> </w:t>
      </w:r>
      <w:r>
        <w:t xml:space="preserve">EUR billion’25</w:t>
      </w:r>
      <w:r>
        <w:t xml:space="preserve"> </w:t>
      </w:r>
      <w:r>
        <w:t xml:space="preserve">%GDP</w:t>
      </w:r>
      <w:r>
        <w:t xml:space="preserve"> </w:t>
      </w:r>
      <w:r>
        <w:t xml:space="preserve">2021-2030 2031-2040 2021-2030</w:t>
      </w:r>
      <w:r>
        <w:t xml:space="preserve"> </w:t>
      </w:r>
      <w:r>
        <w:t xml:space="preserve">2031-2040</w:t>
      </w:r>
      <w:r>
        <w:t xml:space="preserve"> </w:t>
      </w:r>
      <w:r>
        <w:t xml:space="preserve">Industry</w:t>
      </w:r>
      <w:r>
        <w:t xml:space="preserve"> </w:t>
      </w:r>
      <w:r>
        <w:t xml:space="preserve">40; 45</w:t>
      </w:r>
      <w:r>
        <w:t xml:space="preserve"> </w:t>
      </w:r>
      <w:r>
        <w:t xml:space="preserve">30; 40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Supply side*</w:t>
      </w:r>
      <w:r>
        <w:t xml:space="preserve"> </w:t>
      </w:r>
      <w:r>
        <w:t xml:space="preserve">110;120</w:t>
      </w:r>
      <w:r>
        <w:t xml:space="preserve"> </w:t>
      </w:r>
      <w:r>
        <w:t xml:space="preserve">140;175</w:t>
      </w:r>
      <w:r>
        <w:t xml:space="preserve"> </w:t>
      </w:r>
      <w:r>
        <w:t xml:space="preserve">0.6%;0.7% 0.7%;0.8%</w:t>
      </w:r>
      <w:r>
        <w:t xml:space="preserve"> </w:t>
      </w:r>
      <w:r>
        <w:t xml:space="preserve">*includes power generation and production of new fuels.</w:t>
      </w:r>
      <w:r>
        <w:t xml:space="preserve"> </w:t>
      </w:r>
      <w:r>
        <w:t xml:space="preserve">Note: rounded to closest 5. Source: range over PRIMES and POTEnCIA models.</w:t>
      </w:r>
      <w:r>
        <w:br/>
      </w:r>
      <w:r>
        <w:t xml:space="preserve">For the CAP4 “accelerated 9085” scenario, investments are estimated to be significantly higher</w:t>
      </w:r>
      <w:r>
        <w:t xml:space="preserve"> </w:t>
      </w:r>
      <w:r>
        <w:t xml:space="preserve">in the first half of the decade than under the CAP 3 “9085” scenario, but lower in the second</w:t>
      </w:r>
      <w:r>
        <w:t xml:space="preserve"> </w:t>
      </w:r>
      <w:r>
        <w:t xml:space="preserve">half of the decade. Over the whole decade (2031-2040), average annual investment needs on</w:t>
      </w:r>
      <w:r>
        <w:t xml:space="preserve"> </w:t>
      </w:r>
      <w:r>
        <w:t xml:space="preserve">the supply side and in industry are slightly higher in the CAP4 “accelerated 9085” scenario.</w:t>
      </w:r>
      <w:r>
        <w:t xml:space="preserve"> </w:t>
      </w:r>
      <w:r>
        <w:t xml:space="preserve">Table 8:</w:t>
      </w:r>
      <w:r>
        <w:t xml:space="preserve"> </w:t>
      </w:r>
      <w:r>
        <w:t xml:space="preserve">Investment needs in ETS sectors, deviation of the CAP4 “accelerated 9085” scenario</w:t>
      </w:r>
      <w:r>
        <w:t xml:space="preserve"> </w:t>
      </w:r>
      <w:r>
        <w:t xml:space="preserve">and CAP2 “85%” scenario relative to CAP 3 “9085” scenario</w:t>
      </w:r>
    </w:p>
    <w:p>
      <w:pPr>
        <w:pStyle w:val="BodyText"/>
      </w:pPr>
      <w:r>
        <w:t xml:space="preserve">2031-2035</w:t>
      </w:r>
      <w:r>
        <w:t xml:space="preserve"> </w:t>
      </w:r>
      <w:r>
        <w:t xml:space="preserve">2036-2040</w:t>
      </w:r>
      <w:r>
        <w:t xml:space="preserve"> </w:t>
      </w:r>
      <w:r>
        <w:t xml:space="preserve">2031-2040</w:t>
      </w:r>
      <w:r>
        <w:t xml:space="preserve"> </w:t>
      </w:r>
      <w:r>
        <w:t xml:space="preserve">CAP4</w:t>
      </w:r>
      <w:r>
        <w:t xml:space="preserve"> </w:t>
      </w:r>
      <w:r>
        <w:t xml:space="preserve">“accelerated</w:t>
      </w:r>
      <w:r>
        <w:t xml:space="preserve"> </w:t>
      </w:r>
      <w:r>
        <w:t xml:space="preserve">9085” scenario relative</w:t>
      </w:r>
      <w:r>
        <w:t xml:space="preserve"> </w:t>
      </w:r>
      <w:r>
        <w:t xml:space="preserve">Supply*</w:t>
      </w:r>
      <w:r>
        <w:t xml:space="preserve"> </w:t>
      </w:r>
      <w:r>
        <w:t xml:space="preserve">+17%</w:t>
      </w:r>
      <w:r>
        <w:t xml:space="preserve"> </w:t>
      </w:r>
      <w:r>
        <w:t xml:space="preserve">-8%</w:t>
      </w:r>
      <w:r>
        <w:t xml:space="preserve"> </w:t>
      </w:r>
      <w:r>
        <w:t xml:space="preserve">+4%</w:t>
      </w:r>
      <w:r>
        <w:t xml:space="preserve"> </w:t>
      </w:r>
      <w:r>
        <w:t xml:space="preserve">Industry</w:t>
      </w:r>
      <w:r>
        <w:t xml:space="preserve"> </w:t>
      </w:r>
      <w:r>
        <w:t xml:space="preserve">+12%</w:t>
      </w:r>
      <w:r>
        <w:t xml:space="preserve"> </w:t>
      </w:r>
      <w:r>
        <w:t xml:space="preserve">-7%</w:t>
      </w:r>
      <w:r>
        <w:t xml:space="preserve"> </w:t>
      </w:r>
      <w:r>
        <w:t xml:space="preserve">+2%</w:t>
      </w:r>
      <w:r>
        <w:t xml:space="preserve"> </w:t>
      </w:r>
      <w:r>
        <w:t xml:space="preserve">Energy-intensive</w:t>
      </w:r>
      <w:r>
        <w:t xml:space="preserve"> </w:t>
      </w:r>
      <w:r>
        <w:t xml:space="preserve">+16%</w:t>
      </w:r>
      <w:r>
        <w:t xml:space="preserve"> </w:t>
      </w:r>
      <w:r>
        <w:t xml:space="preserve">-10%</w:t>
      </w:r>
      <w:r>
        <w:t xml:space="preserve"> </w:t>
      </w:r>
      <w:r>
        <w:t xml:space="preserve">+2%</w:t>
      </w:r>
    </w:p>
    <w:p>
      <w:pPr>
        <w:pStyle w:val="BodyText"/>
      </w:pPr>
      <w:r>
        <w:t xml:space="preserve">to</w:t>
      </w:r>
      <w:r>
        <w:t xml:space="preserve"> </w:t>
      </w:r>
      <w:r>
        <w:t xml:space="preserve">CAP</w:t>
      </w:r>
      <w:r>
        <w:t xml:space="preserve"> </w:t>
      </w:r>
      <w:r>
        <w:t xml:space="preserve">3</w:t>
      </w:r>
      <w:r>
        <w:t xml:space="preserve"> </w:t>
      </w:r>
      <w:r>
        <w:t xml:space="preserve">“9085”</w:t>
      </w:r>
      <w:r>
        <w:t xml:space="preserve"> </w:t>
      </w:r>
      <w:r>
        <w:t xml:space="preserve">scenario</w:t>
      </w:r>
      <w:r>
        <w:t xml:space="preserve"> </w:t>
      </w:r>
      <w:r>
        <w:t xml:space="preserve">Non energy-intensive</w:t>
      </w:r>
      <w:r>
        <w:t xml:space="preserve"> </w:t>
      </w:r>
      <w:r>
        <w:t xml:space="preserve">+4%</w:t>
      </w:r>
      <w:r>
        <w:t xml:space="preserve"> </w:t>
      </w:r>
      <w:r>
        <w:t xml:space="preserve">-1%</w:t>
      </w:r>
      <w:r>
        <w:t xml:space="preserve"> </w:t>
      </w:r>
      <w:r>
        <w:t xml:space="preserve">+2%</w:t>
      </w:r>
      <w:r>
        <w:t xml:space="preserve"> </w:t>
      </w:r>
      <w:r>
        <w:t xml:space="preserve">CAP 2 “85%” scenario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CAP3</w:t>
      </w:r>
      <w:r>
        <w:t xml:space="preserve"> </w:t>
      </w:r>
      <w:r>
        <w:t xml:space="preserve">“9085” scenario</w:t>
      </w:r>
      <w:r>
        <w:br/>
      </w:r>
      <w:r>
        <w:t xml:space="preserve">Supply*</w:t>
      </w:r>
      <w:r>
        <w:t xml:space="preserve"> </w:t>
      </w:r>
      <w:r>
        <w:t xml:space="preserve">-9%</w:t>
      </w:r>
      <w:r>
        <w:t xml:space="preserve"> </w:t>
      </w:r>
      <w:r>
        <w:t xml:space="preserve">+5%</w:t>
      </w:r>
      <w:r>
        <w:t xml:space="preserve"> </w:t>
      </w:r>
      <w:r>
        <w:t xml:space="preserve">-2%</w:t>
      </w:r>
      <w:r>
        <w:t xml:space="preserve"> </w:t>
      </w:r>
      <w:r>
        <w:t xml:space="preserve">Industry</w:t>
      </w:r>
      <w:r>
        <w:t xml:space="preserve"> </w:t>
      </w:r>
      <w:r>
        <w:t xml:space="preserve">-6%</w:t>
      </w:r>
      <w:r>
        <w:t xml:space="preserve"> </w:t>
      </w:r>
      <w:r>
        <w:t xml:space="preserve">+5%</w:t>
      </w:r>
      <w:r>
        <w:t xml:space="preserve"> </w:t>
      </w:r>
      <w:r>
        <w:t xml:space="preserve">-0%</w:t>
      </w:r>
      <w:r>
        <w:t xml:space="preserve"> </w:t>
      </w:r>
      <w:r>
        <w:t xml:space="preserve">Energy-intensive</w:t>
      </w:r>
      <w:r>
        <w:t xml:space="preserve"> </w:t>
      </w:r>
      <w:r>
        <w:t xml:space="preserve">-8%</w:t>
      </w:r>
      <w:r>
        <w:t xml:space="preserve"> </w:t>
      </w:r>
      <w:r>
        <w:t xml:space="preserve">+8%</w:t>
      </w:r>
      <w:r>
        <w:t xml:space="preserve"> </w:t>
      </w:r>
      <w:r>
        <w:t xml:space="preserve">+1%</w:t>
      </w:r>
    </w:p>
    <w:p>
      <w:pPr>
        <w:pStyle w:val="BodyText"/>
      </w:pPr>
      <w:r>
        <w:t xml:space="preserve">Non energy-intensive</w:t>
      </w:r>
      <w:r>
        <w:t xml:space="preserve"> </w:t>
      </w:r>
      <w:r>
        <w:t xml:space="preserve">-4%</w:t>
      </w:r>
      <w:r>
        <w:t xml:space="preserve"> </w:t>
      </w:r>
      <w:r>
        <w:t xml:space="preserve">+0%</w:t>
      </w:r>
      <w:r>
        <w:t xml:space="preserve"> </w:t>
      </w:r>
      <w:r>
        <w:t xml:space="preserve">-2%</w:t>
      </w:r>
      <w:r>
        <w:t xml:space="preserve"> </w:t>
      </w:r>
      <w:r>
        <w:t xml:space="preserve">*includes power generation and production of new fuels. Source: POTEnCIA model.</w:t>
      </w:r>
      <w:r>
        <w:t xml:space="preserve"> </w:t>
      </w:r>
      <w:r>
        <w:t xml:space="preserve">Under a CAP5 “90% extended legal default” scenario, much larger effects are expected: in the</w:t>
      </w:r>
      <w:r>
        <w:t xml:space="preserve"> </w:t>
      </w:r>
      <w:r>
        <w:t xml:space="preserve">first half of the decade, investment needs are 50% higher for the supply side and 40% higher</w:t>
      </w:r>
      <w:r>
        <w:t xml:space="preserve"> </w:t>
      </w:r>
      <w:r>
        <w:t xml:space="preserve">for energy-intensive industries (26% higher for industry on average). This level of investment</w:t>
      </w:r>
      <w:r>
        <w:t xml:space="preserve"> </w:t>
      </w:r>
      <w:r>
        <w:t xml:space="preserve">would represent challenges regarding financing as well as from an industrial point of view.</w:t>
      </w:r>
      <w:r>
        <w:t xml:space="preserve"> </w:t>
      </w:r>
      <w:r>
        <w:t xml:space="preserve">Over the 2031-2040 decade, this scenario would also require higher investment needs, as it</w:t>
      </w:r>
      <w:r>
        <w:t xml:space="preserve"> </w:t>
      </w:r>
      <w:r>
        <w:t xml:space="preserve">achieves a more ambitious 90% GHG emissions reduction target compared to CAP3 and CAP4</w:t>
      </w:r>
      <w:r>
        <w:t xml:space="preserve"> </w:t>
      </w:r>
      <w:r>
        <w:t xml:space="preserve">which both achieve -85%. In CAP5, investment needs would be around 16% higher than in</w:t>
      </w:r>
      <w:r>
        <w:t xml:space="preserve"> </w:t>
      </w:r>
      <w:r>
        <w:t xml:space="preserve">CAP 3 over the decade.</w:t>
      </w:r>
      <w:r>
        <w:br/>
      </w:r>
      <w:r>
        <w:t xml:space="preserve">The steeper cap reduction under CAP3 up to 2035 incentivises a higher level of investment in</w:t>
      </w:r>
      <w:r>
        <w:t xml:space="preserve"> </w:t>
      </w:r>
      <w:r>
        <w:t xml:space="preserve">decarbonisation technologies in the first half of the decade (2031-2035) than under CAP2. This</w:t>
      </w:r>
      <w:r>
        <w:t xml:space="preserve"> </w:t>
      </w:r>
      <w:r>
        <w:t xml:space="preserve">is the case on the supply side (power generation and new fuels) as well as for industrial sectors</w:t>
      </w:r>
      <w:r>
        <w:t xml:space="preserve"> </w:t>
      </w:r>
      <w:r>
        <w:t xml:space="preserve">on the demand side: the modelling analysis projects the anticipation of investment plans, with</w:t>
      </w:r>
      <w:r>
        <w:t xml:space="preserve"> </w:t>
      </w:r>
      <w:r>
        <w:t xml:space="preserve">somewhat different degrees depending on the model, particularly on the supply side. Within</w:t>
      </w:r>
      <w:r>
        <w:t xml:space="preserve"> </w:t>
      </w:r>
      <w:r>
        <w:t xml:space="preserve">industry, the anticipation of decarbonisation investment is stronger for energy-intensive</w:t>
      </w:r>
      <w:r>
        <w:t xml:space="preserve"> </w:t>
      </w:r>
      <w:r>
        <w:t xml:space="preserve">industries than for non-energy intensive industries.</w:t>
      </w:r>
      <w:r>
        <w:t xml:space="preserve"> </w:t>
      </w:r>
      <w:r>
        <w:t xml:space="preserve">Given that both cap trajectories converge by 2040, the anticipation of investment needs under</w:t>
      </w:r>
      <w:r>
        <w:t xml:space="preserve"> </w:t>
      </w:r>
      <w:r>
        <w:t xml:space="preserve">CAP3 translates into a flipside effect in the second part of the decade (2036-2040), where</w:t>
      </w:r>
      <w:r>
        <w:t xml:space="preserve"> </w:t>
      </w:r>
      <w:r>
        <w:t xml:space="preserve">investment needs in the energy system are generally higher under the CAP2 than under [CAP3],</w:t>
      </w:r>
      <w:r>
        <w:t xml:space="preserve"> </w:t>
      </w:r>
      <w:r>
        <w:t xml:space="preserve">both on the supply side and for industry.</w:t>
      </w:r>
      <w:r>
        <w:br/>
      </w:r>
      <w:r>
        <w:t xml:space="preserve">On average over the whole decade, both models find that average annual investment needs in</w:t>
      </w:r>
      <w:r>
        <w:t xml:space="preserve"> </w:t>
      </w:r>
      <w:r>
        <w:t xml:space="preserve">ETS1 sectors are not significantly affected by the cap trajectory, with relative changes within</w:t>
      </w:r>
      <w:r>
        <w:t xml:space="preserve"> </w:t>
      </w:r>
      <w:r>
        <w:t xml:space="preserve">a narrow -2%/+2% range for supply side and very small for investment in industry as a whole.</w:t>
      </w:r>
      <w:r>
        <w:t xml:space="preserve"> </w:t>
      </w:r>
      <w:r>
        <w:t xml:space="preserve">The following table shows energy system costs (system costs are annual costs incurred for</w:t>
      </w:r>
      <w:r>
        <w:t xml:space="preserve"> </w:t>
      </w:r>
      <w:r>
        <w:t xml:space="preserve">energy services of end-users including annualised capital costs, variable costs, and fuel costs)</w:t>
      </w:r>
      <w:r>
        <w:t xml:space="preserve"> </w:t>
      </w:r>
      <w:r>
        <w:t xml:space="preserve">as a percentage of GDP for the CAP 3 “9085” scenario. Energy system costs take into</w:t>
      </w:r>
      <w:r>
        <w:t xml:space="preserve"> </w:t>
      </w:r>
      <w:r>
        <w:t xml:space="preserve">account both the capital costs of investments and potential economic savings in (fossil) energy</w:t>
      </w:r>
      <w:r>
        <w:t xml:space="preserve"> </w:t>
      </w:r>
      <w:r>
        <w:t xml:space="preserve">expenditures, as experienced by the economic actors in a given year, over their foresight</w:t>
      </w:r>
      <w:r>
        <w:t xml:space="preserve"> </w:t>
      </w:r>
      <w:r>
        <w:t xml:space="preserve">period. The numbers shown are a range of results of PRIMES and POTEnCIA models,</w:t>
      </w:r>
      <w:r>
        <w:t xml:space="preserve"> </w:t>
      </w:r>
      <w:r>
        <w:t xml:space="preserve">illustrating the intrinsic uncertainties involved.</w:t>
      </w:r>
      <w:r>
        <w:t xml:space="preserve"> </w:t>
      </w:r>
      <w:r>
        <w:t xml:space="preserve">Table 9:</w:t>
      </w:r>
      <w:r>
        <w:t xml:space="preserve"> </w:t>
      </w:r>
      <w:r>
        <w:t xml:space="preserve">Energy system costs as % of GDP in the CAP 3 “9085” scenario</w:t>
      </w:r>
    </w:p>
    <w:p>
      <w:pPr>
        <w:pStyle w:val="BodyText"/>
      </w:pPr>
      <w:r>
        <w:t xml:space="preserve">Energy system costs as % GDP (including</w:t>
      </w:r>
      <w:r>
        <w:t xml:space="preserve"> </w:t>
      </w:r>
      <w:r>
        <w:t xml:space="preserve">auction payments)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Industry</w:t>
      </w:r>
      <w:r>
        <w:t xml:space="preserve"> </w:t>
      </w:r>
      <w:r>
        <w:t xml:space="preserve">2.0%; 2.3%</w:t>
      </w:r>
      <w:r>
        <w:t xml:space="preserve"> </w:t>
      </w:r>
      <w:r>
        <w:t xml:space="preserve">2.1%; 2.4%</w:t>
      </w:r>
      <w:r>
        <w:t xml:space="preserve"> </w:t>
      </w:r>
      <w:r>
        <w:t xml:space="preserve">2.2%; 2.3%</w:t>
      </w:r>
      <w:r>
        <w:t xml:space="preserve"> </w:t>
      </w:r>
      <w:r>
        <w:t xml:space="preserve">Source: PRIMES and POTEnCIA models.</w:t>
      </w:r>
    </w:p>
    <w:p>
      <w:pPr>
        <w:pStyle w:val="BodyText"/>
      </w:pPr>
      <w:r>
        <w:t xml:space="preserve">The overall energy-related costs in the first half of the decade in the CAP4 “accelerated 9085”</w:t>
      </w:r>
      <w:r>
        <w:t xml:space="preserve"> </w:t>
      </w:r>
      <w:r>
        <w:t xml:space="preserve">scenario are around 5.7% higher than under the CAP 3 “9085” scenario for energy intensive</w:t>
      </w:r>
      <w:r>
        <w:t xml:space="preserve"> </w:t>
      </w:r>
      <w:r>
        <w:t xml:space="preserve">industries and 2.6% higher for non-energy intensive industries. This is driven essentially by</w:t>
      </w:r>
      <w:r>
        <w:t xml:space="preserve"> </w:t>
      </w:r>
      <w:r>
        <w:t xml:space="preserve">fuel costs, but also capital costs to some extent, due to the anticipation of some level of</w:t>
      </w:r>
      <w:r>
        <w:t xml:space="preserve"> </w:t>
      </w:r>
      <w:r>
        <w:t xml:space="preserve">investment in the first half of the decade. Fuel costs over that period are higher in the CAP4</w:t>
      </w:r>
      <w:r>
        <w:t xml:space="preserve"> </w:t>
      </w:r>
      <w:r>
        <w:t xml:space="preserve">“accelerated 9085” scenario than in the CAP 3 “9085” scenario due to a more rapid uptake of</w:t>
      </w:r>
      <w:r>
        <w:t xml:space="preserve"> </w:t>
      </w:r>
      <w:r>
        <w:t xml:space="preserve">new fuels and to higher ETS carbon values. However, the redistribution of ETS revenues to</w:t>
      </w:r>
      <w:r>
        <w:t xml:space="preserve"> </w:t>
      </w:r>
      <w:r>
        <w:t xml:space="preserve">decarbonisation of the sector could be used to mitigate this effect (ETS allowances purchasing</w:t>
      </w:r>
      <w:r>
        <w:t xml:space="preserve"> </w:t>
      </w:r>
      <w:r>
        <w:t xml:space="preserve">represents around 60% of the total increase in fuel costs between scenarios over 2031-2035</w:t>
      </w:r>
      <w:r>
        <w:t xml:space="preserve"> </w:t>
      </w:r>
      <w:r>
        <w:t xml:space="preserve">and around 25% over the entire decade).</w:t>
      </w:r>
      <w:r>
        <w:br/>
      </w:r>
      <w:r>
        <w:t xml:space="preserve">The relative difference in energy system costs in the period 2036-2040 between both scenarios</w:t>
      </w:r>
      <w:r>
        <w:t xml:space="preserve"> </w:t>
      </w:r>
      <w:r>
        <w:t xml:space="preserve">is limited to less than 2% for industry as a whole. This translates into an energy-related cost</w:t>
      </w:r>
      <w:r>
        <w:t xml:space="preserve"> </w:t>
      </w:r>
      <w:r>
        <w:t xml:space="preserve">for the sector over the entire decade (2031-2040) being 3.4% higher in the CAP4 “accelerated</w:t>
      </w:r>
      <w:r>
        <w:t xml:space="preserve"> </w:t>
      </w:r>
      <w:r>
        <w:t xml:space="preserve">9085” scenario compared to the CAP 3 “9085” scenario. This includes about 0.8 pp related to</w:t>
      </w:r>
      <w:r>
        <w:t xml:space="preserve"> </w:t>
      </w:r>
      <w:r>
        <w:t xml:space="preserve">ETS allowance expenditure by the sector itself, which could be recycled, as could, potentially,</w:t>
      </w:r>
      <w:r>
        <w:t xml:space="preserve"> </w:t>
      </w:r>
      <w:r>
        <w:t xml:space="preserve">other ETS revenues.</w:t>
      </w:r>
      <w:r>
        <w:t xml:space="preserve"> </w:t>
      </w:r>
      <w:r>
        <w:t xml:space="preserve">Table 10: Energy system costs in ETS sectors, deviation of the CAP2 ‘85’ and CAP4 “accelerated</w:t>
      </w:r>
      <w:r>
        <w:t xml:space="preserve"> </w:t>
      </w:r>
      <w:r>
        <w:t xml:space="preserve">9085” scenario relative to CAP 3 “9085” scenario</w:t>
      </w:r>
    </w:p>
    <w:p>
      <w:pPr>
        <w:pStyle w:val="BodyText"/>
      </w:pPr>
      <w:r>
        <w:t xml:space="preserve">2031-2035</w:t>
      </w:r>
      <w:r>
        <w:t xml:space="preserve"> </w:t>
      </w:r>
      <w:r>
        <w:t xml:space="preserve">2036-2040</w:t>
      </w:r>
      <w:r>
        <w:t xml:space="preserve"> </w:t>
      </w:r>
      <w:r>
        <w:t xml:space="preserve">2031-2040</w:t>
      </w:r>
      <w:r>
        <w:t xml:space="preserve"> </w:t>
      </w:r>
      <w:r>
        <w:t xml:space="preserve">CAP4 “accelerated</w:t>
      </w:r>
      <w:r>
        <w:t xml:space="preserve"> </w:t>
      </w:r>
      <w:r>
        <w:t xml:space="preserve">9085”</w:t>
      </w:r>
      <w:r>
        <w:t xml:space="preserve"> </w:t>
      </w:r>
      <w:r>
        <w:t xml:space="preserve">scenario</w:t>
      </w:r>
      <w:r>
        <w:t xml:space="preserve"> </w:t>
      </w:r>
      <w:r>
        <w:t xml:space="preserve">relative to CAP 3</w:t>
      </w:r>
      <w:r>
        <w:t xml:space="preserve"> </w:t>
      </w:r>
      <w:r>
        <w:t xml:space="preserve">“9085” scenario</w:t>
      </w:r>
      <w:r>
        <w:t xml:space="preserve"> </w:t>
      </w:r>
      <w:r>
        <w:t xml:space="preserve">Industry</w:t>
      </w:r>
      <w:r>
        <w:t xml:space="preserve"> </w:t>
      </w:r>
      <w:r>
        <w:t xml:space="preserve">+5.1%</w:t>
      </w:r>
      <w:r>
        <w:t xml:space="preserve"> </w:t>
      </w:r>
      <w:r>
        <w:t xml:space="preserve">+1.8%</w:t>
      </w:r>
      <w:r>
        <w:t xml:space="preserve"> </w:t>
      </w:r>
      <w:r>
        <w:t xml:space="preserve">+3.4%</w:t>
      </w:r>
      <w:r>
        <w:t xml:space="preserve"> </w:t>
      </w:r>
      <w:r>
        <w:t xml:space="preserve">Energy intensive</w:t>
      </w:r>
      <w:r>
        <w:t xml:space="preserve"> </w:t>
      </w:r>
      <w:r>
        <w:t xml:space="preserve">+5.7%</w:t>
      </w:r>
      <w:r>
        <w:t xml:space="preserve"> </w:t>
      </w:r>
      <w:r>
        <w:t xml:space="preserve">+2.4%</w:t>
      </w:r>
      <w:r>
        <w:t xml:space="preserve"> </w:t>
      </w:r>
      <w:r>
        <w:t xml:space="preserve">+3.9%</w:t>
      </w:r>
      <w:r>
        <w:t xml:space="preserve"> </w:t>
      </w:r>
      <w:r>
        <w:t xml:space="preserve">Non-energy</w:t>
      </w:r>
      <w:r>
        <w:t xml:space="preserve"> </w:t>
      </w:r>
      <w:r>
        <w:t xml:space="preserve">intensive</w:t>
      </w:r>
      <w:r>
        <w:t xml:space="preserve"> </w:t>
      </w:r>
      <w:r>
        <w:t xml:space="preserve">+2.6%</w:t>
      </w:r>
      <w:r>
        <w:t xml:space="preserve"> </w:t>
      </w:r>
      <w:r>
        <w:t xml:space="preserve">+0.1%</w:t>
      </w:r>
      <w:r>
        <w:t xml:space="preserve"> </w:t>
      </w:r>
      <w:r>
        <w:t xml:space="preserve">+1.4%</w:t>
      </w:r>
      <w:r>
        <w:t xml:space="preserve"> </w:t>
      </w:r>
      <w:r>
        <w:t xml:space="preserve">CAP</w:t>
      </w:r>
      <w:r>
        <w:t xml:space="preserve"> </w:t>
      </w:r>
      <w:r>
        <w:t xml:space="preserve">2</w:t>
      </w:r>
      <w:r>
        <w:t xml:space="preserve"> </w:t>
      </w:r>
      <w:r>
        <w:t xml:space="preserve">“85%</w:t>
      </w:r>
      <w:r>
        <w:t xml:space="preserve"> </w:t>
      </w:r>
      <w:r>
        <w:t xml:space="preserve">trajectory”</w:t>
      </w:r>
      <w:r>
        <w:t xml:space="preserve"> </w:t>
      </w:r>
      <w:r>
        <w:t xml:space="preserve">scenario relative to</w:t>
      </w:r>
      <w:r>
        <w:t xml:space="preserve"> </w:t>
      </w:r>
      <w:r>
        <w:t xml:space="preserve">CAP3 “9085”</w:t>
      </w:r>
      <w:r>
        <w:t xml:space="preserve"> </w:t>
      </w:r>
      <w:r>
        <w:t xml:space="preserve">Industry</w:t>
      </w:r>
      <w:r>
        <w:t xml:space="preserve"> </w:t>
      </w:r>
      <w:r>
        <w:t xml:space="preserve">-2.6%</w:t>
      </w:r>
      <w:r>
        <w:t xml:space="preserve"> </w:t>
      </w:r>
      <w:r>
        <w:t xml:space="preserve">-0.9%</w:t>
      </w:r>
      <w:r>
        <w:t xml:space="preserve"> </w:t>
      </w:r>
      <w:r>
        <w:t xml:space="preserve">-1.7%</w:t>
      </w:r>
      <w:r>
        <w:t xml:space="preserve"> </w:t>
      </w:r>
      <w:r>
        <w:t xml:space="preserve">Energy intensive</w:t>
      </w:r>
      <w:r>
        <w:t xml:space="preserve"> </w:t>
      </w:r>
      <w:r>
        <w:t xml:space="preserve">-3.0%</w:t>
      </w:r>
      <w:r>
        <w:t xml:space="preserve"> </w:t>
      </w:r>
      <w:r>
        <w:t xml:space="preserve">-1.2%</w:t>
      </w:r>
      <w:r>
        <w:t xml:space="preserve"> </w:t>
      </w:r>
      <w:r>
        <w:t xml:space="preserve">-2.0%</w:t>
      </w:r>
      <w:r>
        <w:t xml:space="preserve"> </w:t>
      </w:r>
      <w:r>
        <w:t xml:space="preserve">Non-energy</w:t>
      </w:r>
      <w:r>
        <w:t xml:space="preserve"> </w:t>
      </w:r>
      <w:r>
        <w:t xml:space="preserve">intensive</w:t>
      </w:r>
      <w:r>
        <w:t xml:space="preserve"> </w:t>
      </w:r>
      <w:r>
        <w:t xml:space="preserve">-1.2%</w:t>
      </w:r>
      <w:r>
        <w:t xml:space="preserve"> </w:t>
      </w:r>
      <w:r>
        <w:t xml:space="preserve">-0.3%</w:t>
      </w:r>
      <w:r>
        <w:t xml:space="preserve"> </w:t>
      </w:r>
      <w:r>
        <w:t xml:space="preserve">-0.8%</w:t>
      </w:r>
      <w:r>
        <w:t xml:space="preserve"> </w:t>
      </w:r>
      <w:r>
        <w:t xml:space="preserve">Source: POTEnCIA model.</w:t>
      </w:r>
      <w:r>
        <w:t xml:space="preserve"> </w:t>
      </w:r>
      <w:r>
        <w:t xml:space="preserve">A significantly larger impact can be expected for the CAP5 ‘90% extended legal default’</w:t>
      </w:r>
      <w:r>
        <w:t xml:space="preserve"> </w:t>
      </w:r>
      <w:r>
        <w:t xml:space="preserve">scenario, with increases in industry system costs scenario of 13% in 2031-2035 compared to</w:t>
      </w:r>
      <w:r>
        <w:t xml:space="preserve"> </w:t>
      </w:r>
      <w:r>
        <w:t xml:space="preserve">the CAP 3 “9085”.</w:t>
      </w:r>
      <w:r>
        <w:t xml:space="preserve"> </w:t>
      </w:r>
      <w:r>
        <w:t xml:space="preserve">Energy system costs are lower in the CAP2 “85 trajectory” compared to CAP 3 “9085 scenario,</w:t>
      </w:r>
      <w:r>
        <w:t xml:space="preserve"> </w:t>
      </w:r>
      <w:r>
        <w:t xml:space="preserve">-2% for energy-intensive industries and -1.7% for industry as a whole. The difference is notable</w:t>
      </w:r>
      <w:r>
        <w:t xml:space="preserve"> </w:t>
      </w:r>
      <w:r>
        <w:t xml:space="preserve">in the first half of the decade (e.g. -3.0% for energy-intensive industry) and more limited in the</w:t>
      </w:r>
      <w:r>
        <w:t xml:space="preserve"> </w:t>
      </w:r>
      <w:r>
        <w:t xml:space="preserve">2036-2040 period (-1.2% for energy-intensive industry). This illustrates the higher costs related</w:t>
      </w:r>
      <w:r>
        <w:t xml:space="preserve"> </w:t>
      </w:r>
      <w:r>
        <w:t xml:space="preserve">to energy purchases and higher ETS carbon values in a scenario which frontloads ambition and</w:t>
      </w:r>
      <w:r>
        <w:t xml:space="preserve"> </w:t>
      </w:r>
      <w:r>
        <w:t xml:space="preserve">rely on more expensive new fuels.</w:t>
      </w:r>
      <w:r>
        <w:br/>
      </w:r>
      <w:r>
        <w:t xml:space="preserve">The 2040 Climate Target Impact Assessment4 presented projections of electricity prices for</w:t>
      </w:r>
      <w:r>
        <w:t xml:space="preserve"> </w:t>
      </w:r>
      <w:r>
        <w:t xml:space="preserve">industry in the context of electrification of the economy in different decarbonisation scenarios.</w:t>
      </w:r>
      <w:r>
        <w:t xml:space="preserve"> </w:t>
      </w:r>
      <w:r>
        <w:t xml:space="preserve">Compared to the CAP 3 “9085” scenario, projections show that electricity prices for industry</w:t>
      </w:r>
      <w:r>
        <w:t xml:space="preserve"> </w:t>
      </w:r>
      <w:r>
        <w:t xml:space="preserve">could be slightly higher in the CAP4 “accelerated 9085” scenario by around 1.5% in 2035 but</w:t>
      </w:r>
    </w:p>
    <w:p>
      <w:pPr>
        <w:pStyle w:val="BodyText"/>
      </w:pPr>
      <w:r>
        <w:t xml:space="preserve">4</w:t>
      </w:r>
      <w:r>
        <w:br/>
      </w:r>
      <w:r>
        <w:t xml:space="preserve">SWD(2024) 63 final</w:t>
      </w:r>
    </w:p>
    <w:p>
      <w:pPr>
        <w:pStyle w:val="BodyText"/>
      </w:pPr>
      <w:r>
        <w:t xml:space="preserve">would be similar in 2040 in both scenarios. In the CAP5 ‘90% extended legal default’ scenario,</w:t>
      </w:r>
      <w:r>
        <w:t xml:space="preserve"> </w:t>
      </w:r>
      <w:r>
        <w:t xml:space="preserve">electricity prices in 2035 are higher by around 2.5% compared to the CAP3 scenario.</w:t>
      </w:r>
      <w:r>
        <w:br/>
      </w:r>
      <w:r>
        <w:t xml:space="preserve">However, it should be noted the modelled impacts do not represent all the impacts, nor their</w:t>
      </w:r>
      <w:r>
        <w:t xml:space="preserve"> </w:t>
      </w:r>
      <w:r>
        <w:t xml:space="preserve">potential mitigation through complementary policies.</w:t>
      </w:r>
      <w:r>
        <w:t xml:space="preserve"> </w:t>
      </w:r>
      <w:r>
        <w:t xml:space="preserve">System cost impacts could be mitigated through distribution of ETS auctioning revenues and</w:t>
      </w:r>
      <w:r>
        <w:t xml:space="preserve"> </w:t>
      </w:r>
      <w:r>
        <w:t xml:space="preserve">supporting policies. Investments, when frontloaded in the decade, are lower in the last five</w:t>
      </w:r>
      <w:r>
        <w:t xml:space="preserve"> </w:t>
      </w:r>
      <w:r>
        <w:t xml:space="preserve">years. The frontloading of investments would increase the probability of faster technological</w:t>
      </w:r>
      <w:r>
        <w:t xml:space="preserve"> </w:t>
      </w:r>
      <w:r>
        <w:t xml:space="preserve">developments through scaling up and learning by doing. It would allow a fast electrification of</w:t>
      </w:r>
      <w:r>
        <w:t xml:space="preserve"> </w:t>
      </w:r>
      <w:r>
        <w:t xml:space="preserve">the energy system and increase Europe’s energy independence. As pointed out in the 2040</w:t>
      </w:r>
      <w:r>
        <w:t xml:space="preserve"> </w:t>
      </w:r>
      <w:r>
        <w:t xml:space="preserve">Climate Target IA, this will also depend on Europe’s ability to secure supply chains for new</w:t>
      </w:r>
      <w:r>
        <w:t xml:space="preserve"> </w:t>
      </w:r>
      <w:r>
        <w:t xml:space="preserve">technologies.</w:t>
      </w:r>
      <w:r>
        <w:br/>
      </w:r>
      <w:r>
        <w:t xml:space="preserve">A further impact on the estimated carbon budgets, as well as on economic impacts such as</w:t>
      </w:r>
      <w:r>
        <w:t xml:space="preserve"> </w:t>
      </w:r>
      <w:r>
        <w:t xml:space="preserve">costs, can be expected from the announced Investment Booster, that will be allocated for 2027-</w:t>
      </w:r>
      <w:r>
        <w:t xml:space="preserve"> </w:t>
      </w:r>
      <w:r>
        <w:t xml:space="preserve">2030 (but paid out over a longer period) and the separate proposal on benchmark updates for</w:t>
      </w:r>
      <w:r>
        <w:t xml:space="preserve"> </w:t>
      </w:r>
      <w:r>
        <w:t xml:space="preserve">2026-2030 that will result in distributing more and earlier free allowances from the buffer</w:t>
      </w:r>
      <w:r>
        <w:t xml:space="preserve"> </w:t>
      </w:r>
      <w:r>
        <w:t xml:space="preserve">before 2030. These are explained in more detail in the Annex on the market stability reserve.</w:t>
      </w:r>
      <w:r>
        <w:t xml:space="preserve"> </w:t>
      </w:r>
      <w:r>
        <w:t xml:space="preserve">The investment booster of 400 million allowances represents a significant volume of</w:t>
      </w:r>
      <w:r>
        <w:t xml:space="preserve"> </w:t>
      </w:r>
      <w:r>
        <w:t xml:space="preserve">allowances that will be introduced gradually into the market, which are not represented in caps</w:t>
      </w:r>
      <w:r>
        <w:t xml:space="preserve"> </w:t>
      </w:r>
      <w:r>
        <w:t xml:space="preserve">for phase V set on the basis of modelled emissions. To have the most beneficial effect on</w:t>
      </w:r>
      <w:r>
        <w:t xml:space="preserve"> </w:t>
      </w:r>
      <w:r>
        <w:t xml:space="preserve">decarbonisation and carbon values in the next decade, investments should be boosted and</w:t>
      </w:r>
      <w:r>
        <w:t xml:space="preserve"> </w:t>
      </w:r>
      <w:r>
        <w:t xml:space="preserve">scaled up as soon as possible. This will have the double effect of lowering medium to long term</w:t>
      </w:r>
      <w:r>
        <w:t xml:space="preserve"> </w:t>
      </w:r>
      <w:r>
        <w:t xml:space="preserve">emissions through investment support and of increasing supply on the carbon market also</w:t>
      </w:r>
      <w:r>
        <w:t xml:space="preserve"> </w:t>
      </w:r>
      <w:r>
        <w:t xml:space="preserve">resulting in a price dampening effect.</w:t>
      </w:r>
      <w:r>
        <w:t xml:space="preserve"> </w:t>
      </w:r>
      <w:r>
        <w:t xml:space="preserve">1.6. Components of the policy options - Inclusion measures:</w:t>
      </w:r>
      <w:r>
        <w:t xml:space="preserve"> </w:t>
      </w:r>
      <w:r>
        <w:t xml:space="preserve">1.6.1. Removals</w:t>
      </w:r>
      <w:r>
        <w:t xml:space="preserve"> </w:t>
      </w:r>
      <w:r>
        <w:t xml:space="preserve">For setting the net ambition objective for the EU ETS including removals, we estimate the total</w:t>
      </w:r>
      <w:r>
        <w:t xml:space="preserve"> </w:t>
      </w:r>
      <w:r>
        <w:t xml:space="preserve">volume of removals stored underground in PRIMES and POTEnCIA (EU) estimates for the</w:t>
      </w:r>
      <w:r>
        <w:t xml:space="preserve"> </w:t>
      </w:r>
      <w:r>
        <w:t xml:space="preserve">85% scenario. These include removals from Biogenic Emissions Capture with Carbon Storage</w:t>
      </w:r>
      <w:r>
        <w:t xml:space="preserve"> </w:t>
      </w:r>
      <w:r>
        <w:t xml:space="preserve">(BioCCS) and from Direct Air Capture with Carbon Storage (DACCS). See section Annex 8 -</w:t>
      </w:r>
      <w:r>
        <w:t xml:space="preserve"> </w:t>
      </w:r>
      <w:r>
        <w:t xml:space="preserve">Removals on the choice of removals considered for ETS integration.</w:t>
      </w:r>
      <w:r>
        <w:t xml:space="preserve"> </w:t>
      </w:r>
      <w:r>
        <w:t xml:space="preserve">The total eligible removals in the EU are estimated to be:</w:t>
      </w:r>
      <w:r>
        <w:t xml:space="preserve"> </w:t>
      </w:r>
      <w:r>
        <w:t xml:space="preserve">Table 11: Total eligible removals in the EU, PRIMES and POTEnCIA</w:t>
      </w:r>
    </w:p>
    <w:p>
      <w:pPr>
        <w:pStyle w:val="BodyText"/>
      </w:pPr>
      <w:r>
        <w:t xml:space="preserve">85% PRIMES scenario EU</w:t>
      </w:r>
      <w:r>
        <w:t xml:space="preserve"> </w:t>
      </w:r>
      <w:r>
        <w:t xml:space="preserve">2030 (Mt)</w:t>
      </w:r>
      <w:r>
        <w:t xml:space="preserve"> </w:t>
      </w:r>
      <w:r>
        <w:t xml:space="preserve">2035 (Mt)</w:t>
      </w:r>
      <w:r>
        <w:t xml:space="preserve"> </w:t>
      </w:r>
      <w:r>
        <w:t xml:space="preserve">2040 (Mt)</w:t>
      </w:r>
      <w:r>
        <w:t xml:space="preserve"> </w:t>
      </w:r>
      <w:r>
        <w:t xml:space="preserve">2031-2040 (Mt)</w:t>
      </w:r>
      <w:r>
        <w:t xml:space="preserve"> </w:t>
      </w:r>
      <w:r>
        <w:t xml:space="preserve">Removals stored underground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45</w:t>
      </w:r>
      <w:r>
        <w:t xml:space="preserve"> </w:t>
      </w:r>
      <w:r>
        <w:t xml:space="preserve">170</w:t>
      </w:r>
    </w:p>
    <w:p>
      <w:pPr>
        <w:pStyle w:val="BodyText"/>
      </w:pPr>
      <w:r>
        <w:t xml:space="preserve">85% POTEnCIA scenario EU</w:t>
      </w:r>
      <w:r>
        <w:t xml:space="preserve"> </w:t>
      </w:r>
      <w:r>
        <w:t xml:space="preserve">2030 (Mt)</w:t>
      </w:r>
      <w:r>
        <w:t xml:space="preserve"> </w:t>
      </w:r>
      <w:r>
        <w:t xml:space="preserve">2035 (Mt)</w:t>
      </w:r>
      <w:r>
        <w:t xml:space="preserve"> </w:t>
      </w:r>
      <w:r>
        <w:t xml:space="preserve">2040 (Mt)</w:t>
      </w:r>
      <w:r>
        <w:t xml:space="preserve"> </w:t>
      </w:r>
      <w:r>
        <w:t xml:space="preserve">2031-2040 (Mt)</w:t>
      </w:r>
      <w:r>
        <w:t xml:space="preserve"> </w:t>
      </w:r>
      <w:r>
        <w:t xml:space="preserve">Removals stored underground</w:t>
      </w:r>
      <w:r>
        <w:t xml:space="preserve"> </w:t>
      </w:r>
      <w:r>
        <w:t xml:space="preserve">10</w:t>
      </w:r>
      <w:r>
        <w:t xml:space="preserve"> </w:t>
      </w:r>
      <w:r>
        <w:t xml:space="preserve">25</w:t>
      </w:r>
      <w:r>
        <w:t xml:space="preserve"> </w:t>
      </w:r>
      <w:r>
        <w:t xml:space="preserve">60</w:t>
      </w:r>
      <w:r>
        <w:t xml:space="preserve"> </w:t>
      </w:r>
      <w:r>
        <w:t xml:space="preserve">330</w:t>
      </w:r>
    </w:p>
    <w:p>
      <w:pPr>
        <w:pStyle w:val="BodyText"/>
      </w:pPr>
      <w:r>
        <w:t xml:space="preserve">85% ranges in models EU</w:t>
      </w:r>
      <w:r>
        <w:t xml:space="preserve"> </w:t>
      </w:r>
      <w:r>
        <w:t xml:space="preserve">2030 (Mt)</w:t>
      </w:r>
      <w:r>
        <w:t xml:space="preserve"> </w:t>
      </w:r>
      <w:r>
        <w:t xml:space="preserve">2035 (Mt)</w:t>
      </w:r>
      <w:r>
        <w:t xml:space="preserve"> </w:t>
      </w:r>
      <w:r>
        <w:t xml:space="preserve">2040 (Mt)</w:t>
      </w:r>
      <w:r>
        <w:t xml:space="preserve"> </w:t>
      </w:r>
      <w:r>
        <w:t xml:space="preserve">2031-2040 (Mt)</w:t>
      </w:r>
      <w:r>
        <w:t xml:space="preserve"> </w:t>
      </w:r>
      <w:r>
        <w:t xml:space="preserve">Removals stored underground</w:t>
      </w:r>
      <w:r>
        <w:t xml:space="preserve"> </w:t>
      </w:r>
      <w:r>
        <w:t xml:space="preserve">5-10</w:t>
      </w:r>
      <w:r>
        <w:t xml:space="preserve"> </w:t>
      </w:r>
      <w:r>
        <w:t xml:space="preserve">5-25</w:t>
      </w:r>
      <w:r>
        <w:t xml:space="preserve"> </w:t>
      </w:r>
      <w:r>
        <w:t xml:space="preserve">45-60</w:t>
      </w:r>
      <w:r>
        <w:t xml:space="preserve"> </w:t>
      </w:r>
      <w:r>
        <w:t xml:space="preserve">170-330</w:t>
      </w:r>
    </w:p>
    <w:p>
      <w:pPr>
        <w:pStyle w:val="BodyText"/>
      </w:pPr>
      <w:r>
        <w:t xml:space="preserve">Source: PRIMES and POTEnCIA models.</w:t>
      </w:r>
      <w:r>
        <w:br/>
      </w:r>
      <w:r>
        <w:t xml:space="preserve">If removals are included in the EU ETS on top of the cap of allowances, then the cap of</w:t>
      </w:r>
      <w:r>
        <w:t xml:space="preserve"> </w:t>
      </w:r>
      <w:r>
        <w:t xml:space="preserve">allowances would be set at the level of net emissions (i.e. the gross emissions estimate minus</w:t>
      </w:r>
      <w:r>
        <w:t xml:space="preserve"> </w:t>
      </w:r>
      <w:r>
        <w:t xml:space="preserve">the estimate of removals). If removals are excluded from the ETS, or if they are included in a</w:t>
      </w:r>
      <w:r>
        <w:t xml:space="preserve"> </w:t>
      </w:r>
      <w:r>
        <w:t xml:space="preserve">“one in, one out” system, then the cap of allowances will be set at the gross emissions level,</w:t>
      </w:r>
      <w:r>
        <w:t xml:space="preserve"> </w:t>
      </w:r>
      <w:r>
        <w:t xml:space="preserve">unaffected by the estimated amount of removals (see the annex on Removals for a</w:t>
      </w:r>
      <w:r>
        <w:t xml:space="preserve"> </w:t>
      </w:r>
      <w:r>
        <w:t xml:space="preserve">representation of the integration on top or under the cap).</w:t>
      </w:r>
      <w:r>
        <w:t xml:space="preserve"> </w:t>
      </w:r>
      <w:r>
        <w:t xml:space="preserve">Note that if all these removals are made available to the EU ETS to hit its target, they will no</w:t>
      </w:r>
      <w:r>
        <w:t xml:space="preserve"> </w:t>
      </w:r>
      <w:r>
        <w:t xml:space="preserve">longer be available for other sectors. Conversely, if these are included in the net objective of</w:t>
      </w:r>
      <w:r>
        <w:t xml:space="preserve"> </w:t>
      </w:r>
      <w:r>
        <w:t xml:space="preserve">the EU ETS, then the carbon price combined with complementary instruments for the support</w:t>
      </w:r>
      <w:r>
        <w:t xml:space="preserve"> </w:t>
      </w:r>
      <w:r>
        <w:t xml:space="preserve">of removals will need to deliver on the implicit removals objective.</w:t>
      </w:r>
      <w:r>
        <w:t xml:space="preserve"> </w:t>
      </w:r>
      <w:r>
        <w:t xml:space="preserve">Finally, it should be clear that removals are a novel technology, just as the final abatement</w:t>
      </w:r>
      <w:r>
        <w:t xml:space="preserve"> </w:t>
      </w:r>
      <w:r>
        <w:t xml:space="preserve">options for the hardest-to-abate sectors. The balance of reductions and removals in 2040 thus</w:t>
      </w:r>
      <w:r>
        <w:t xml:space="preserve"> </w:t>
      </w:r>
      <w:r>
        <w:t xml:space="preserve">remains, to an extent, uncertain.</w:t>
      </w:r>
      <w:r>
        <w:br/>
      </w:r>
      <w:r>
        <w:t xml:space="preserve">1.6.2. Waste</w:t>
      </w:r>
      <w:r>
        <w:t xml:space="preserve"> </w:t>
      </w:r>
      <w:r>
        <w:t xml:space="preserve">Emissions from waste management activities are complex to estimate. Based on the emissions</w:t>
      </w:r>
      <w:r>
        <w:t xml:space="preserve"> </w:t>
      </w:r>
      <w:r>
        <w:t xml:space="preserve">reported by member states under the EU ETS MRV obligation, municipal waste incineration</w:t>
      </w:r>
      <w:r>
        <w:t xml:space="preserve"> </w:t>
      </w:r>
      <w:r>
        <w:t xml:space="preserve">emissions in 2024 were around 38.0 Mt for the EU and 38.7 Mt at the EEA level. Taking these</w:t>
      </w:r>
      <w:r>
        <w:t xml:space="preserve"> </w:t>
      </w:r>
      <w:r>
        <w:t xml:space="preserve">reporting data, taking into account a buffer for some missing reporting data and allowing for</w:t>
      </w:r>
      <w:r>
        <w:t xml:space="preserve"> </w:t>
      </w:r>
      <w:r>
        <w:t xml:space="preserve">projected capacity growth (see Annex 13, section 1.2.1.) leads to an estimation of the increase</w:t>
      </w:r>
      <w:r>
        <w:t xml:space="preserve"> </w:t>
      </w:r>
      <w:r>
        <w:t xml:space="preserve">in the cap “base level” due to the inclusion of municipal waste incineration by an amount of</w:t>
      </w:r>
      <w:r>
        <w:t xml:space="preserve"> </w:t>
      </w:r>
      <w:r>
        <w:t xml:space="preserve">41.5 Mt at EU level and 42.2 Mt at EEA level.</w:t>
      </w:r>
      <w:r>
        <w:br/>
      </w:r>
      <w:r>
        <w:t xml:space="preserve">For hazardous waste incineration, comprehensive disaggregated data on emissions are not</w:t>
      </w:r>
      <w:r>
        <w:t xml:space="preserve"> </w:t>
      </w:r>
      <w:r>
        <w:t xml:space="preserve">available. Based on the volume of hazardous waste incinerated and the standard emission</w:t>
      </w:r>
      <w:r>
        <w:t xml:space="preserve"> </w:t>
      </w:r>
      <w:r>
        <w:t xml:space="preserve">factor, EU emissions have been estimated at around 9.5 Mt in 2022, with the cap increase</w:t>
      </w:r>
      <w:r>
        <w:t xml:space="preserve"> </w:t>
      </w:r>
      <w:r>
        <w:t xml:space="preserve">modelled at 10.7 Mt taking into account a buffer for underestimation and new capacity.</w:t>
      </w:r>
      <w:r>
        <w:t xml:space="preserve"> </w:t>
      </w:r>
      <w:r>
        <w:t xml:space="preserve">For landfilling, the available EU-wide data on GHG emissions from non-hazardous landfills</w:t>
      </w:r>
      <w:r>
        <w:t xml:space="preserve"> </w:t>
      </w:r>
      <w:r>
        <w:t xml:space="preserve">are mainly based on default emission factors, with limited availability of measurement-based</w:t>
      </w:r>
      <w:r>
        <w:t xml:space="preserve"> </w:t>
      </w:r>
      <w:r>
        <w:t xml:space="preserve">data posing constraints on harmonised, robust and verified data. Based on UNFCCC GHG</w:t>
      </w:r>
      <w:r>
        <w:t xml:space="preserve"> </w:t>
      </w:r>
      <w:r>
        <w:t xml:space="preserve">Inventory data, emissions from non-hazardous landfills were estimated to be around 73.9 Mt</w:t>
      </w:r>
      <w:r>
        <w:t xml:space="preserve"> </w:t>
      </w:r>
      <w:r>
        <w:t xml:space="preserve">in 2023. Due to the policy framework in place policies to reduce landfilling and biogenic</w:t>
      </w:r>
      <w:r>
        <w:t xml:space="preserve"> </w:t>
      </w:r>
      <w:r>
        <w:t xml:space="preserve">emissions from landfilling, the increase of the cap at EU “base level” is estimated to be around</w:t>
      </w:r>
      <w:r>
        <w:t xml:space="preserve"> </w:t>
      </w:r>
      <w:r>
        <w:t xml:space="preserve">65 Mt, and 67 Mt for the EEA, the reduction % compared to 73.9 Mt being estimated from the</w:t>
      </w:r>
      <w:r>
        <w:t xml:space="preserve"> </w:t>
      </w:r>
      <w:r>
        <w:t xml:space="preserve">GAINS model.</w:t>
      </w:r>
      <w:r>
        <w:br/>
      </w:r>
      <w:r>
        <w:t xml:space="preserve">1.7. Policy Options cap setting</w:t>
      </w:r>
      <w:r>
        <w:t xml:space="preserve"> </w:t>
      </w:r>
      <w:r>
        <w:t xml:space="preserve">This section explores the cap trajectories for the different policy options using the 85% scenario</w:t>
      </w:r>
      <w:r>
        <w:t xml:space="preserve"> </w:t>
      </w:r>
      <w:r>
        <w:t xml:space="preserve">by primes and POTenCia models. The 85% model was selected to enable comparability across</w:t>
      </w:r>
      <w:r>
        <w:t xml:space="preserve"> </w:t>
      </w:r>
      <w:r>
        <w:t xml:space="preserve">the different policy option elements (e.g. removals, waste inclusion), while avoiding</w:t>
      </w:r>
      <w:r>
        <w:t xml:space="preserve"> </w:t>
      </w:r>
      <w:r>
        <w:t xml:space="preserve">constraining the LRF in 2035.</w:t>
      </w:r>
      <w:r>
        <w:br/>
      </w:r>
      <w:r>
        <w:t xml:space="preserve">1.7.1. Policy option 1</w:t>
      </w:r>
      <w:r>
        <w:t xml:space="preserve"> </w:t>
      </w:r>
      <w:r>
        <w:t xml:space="preserve">The cap for PO1 is based on the gross emissions estimate for currently included sectors</w:t>
      </w:r>
      <w:r>
        <w:t xml:space="preserve"> </w:t>
      </w:r>
      <w:r>
        <w:t xml:space="preserve">(excluding extra- EU aviation). The LRFs are calculated and ranges for the caps are given.</w:t>
      </w:r>
      <w:r>
        <w:t xml:space="preserve"> </w:t>
      </w:r>
      <w:r>
        <w:t xml:space="preserve">Note that the modelling is based on an assumption that extra EU aviation is included in the EU</w:t>
      </w:r>
      <w:r>
        <w:t xml:space="preserve"> </w:t>
      </w:r>
      <w:r>
        <w:t xml:space="preserve">target, if not in the ETS cap.</w:t>
      </w:r>
    </w:p>
    <w:p>
      <w:pPr>
        <w:pStyle w:val="BodyText"/>
      </w:pPr>
      <w:r>
        <w:t xml:space="preserve">Table 12: Table on PO1 in PRIMES and POTEnCIA, as well as approximate table</w:t>
      </w:r>
    </w:p>
    <w:p>
      <w:pPr>
        <w:pStyle w:val="BodyText"/>
      </w:pPr>
      <w:r>
        <w:t xml:space="preserve">EEA cap (Mt), LRF(%) and</w:t>
      </w:r>
      <w:r>
        <w:t xml:space="preserve"> </w:t>
      </w:r>
      <w:r>
        <w:t xml:space="preserve">carbon budget (Mt)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LRF</w:t>
      </w:r>
      <w:r>
        <w:t xml:space="preserve"> </w:t>
      </w:r>
      <w:r>
        <w:t xml:space="preserve">2030-</w:t>
      </w:r>
      <w:r>
        <w:t xml:space="preserve"> </w:t>
      </w:r>
      <w:r>
        <w:t xml:space="preserve">2035</w:t>
      </w:r>
      <w:r>
        <w:t xml:space="preserve"> </w:t>
      </w:r>
      <w:r>
        <w:t xml:space="preserve">LRF</w:t>
      </w:r>
      <w:r>
        <w:t xml:space="preserve"> </w:t>
      </w:r>
      <w:r>
        <w:t xml:space="preserve">2035-</w:t>
      </w:r>
      <w:r>
        <w:t xml:space="preserve"> </w:t>
      </w:r>
      <w:r>
        <w:t xml:space="preserve">2040</w:t>
      </w:r>
      <w:r>
        <w:t xml:space="preserve"> </w:t>
      </w:r>
      <w:r>
        <w:t xml:space="preserve">Carbon Budget</w:t>
      </w:r>
      <w:r>
        <w:t xml:space="preserve"> </w:t>
      </w:r>
      <w:r>
        <w:t xml:space="preserve">2031-2040</w:t>
      </w:r>
      <w:r>
        <w:t xml:space="preserve"> </w:t>
      </w:r>
      <w:r>
        <w:t xml:space="preserve">PO1 PRIMES</w:t>
      </w:r>
      <w:r>
        <w:t xml:space="preserve"> </w:t>
      </w:r>
      <w:r>
        <w:t xml:space="preserve">847</w:t>
      </w:r>
      <w:r>
        <w:t xml:space="preserve"> </w:t>
      </w:r>
      <w:r>
        <w:t xml:space="preserve">520</w:t>
      </w:r>
      <w:r>
        <w:t xml:space="preserve"> </w:t>
      </w:r>
      <w:r>
        <w:t xml:space="preserve">280</w:t>
      </w:r>
      <w:r>
        <w:t xml:space="preserve"> </w:t>
      </w:r>
      <w:r>
        <w:t xml:space="preserve">-3.1%</w:t>
      </w:r>
      <w:r>
        <w:t xml:space="preserve"> </w:t>
      </w:r>
      <w:r>
        <w:t xml:space="preserve">-2.3%</w:t>
      </w:r>
      <w:r>
        <w:t xml:space="preserve"> </w:t>
      </w:r>
      <w:r>
        <w:t xml:space="preserve">5120</w:t>
      </w:r>
    </w:p>
    <w:p>
      <w:pPr>
        <w:pStyle w:val="BodyText"/>
      </w:pPr>
      <w:r>
        <w:t xml:space="preserve">EEA cap (Mt), LRF(%)</w:t>
      </w:r>
      <w:r>
        <w:t xml:space="preserve"> </w:t>
      </w:r>
      <w:r>
        <w:t xml:space="preserve">and carbon budget (Mt)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LRF</w:t>
      </w:r>
      <w:r>
        <w:t xml:space="preserve"> </w:t>
      </w:r>
      <w:r>
        <w:t xml:space="preserve">2030-</w:t>
      </w:r>
      <w:r>
        <w:t xml:space="preserve"> </w:t>
      </w:r>
      <w:r>
        <w:t xml:space="preserve">2035</w:t>
      </w:r>
      <w:r>
        <w:t xml:space="preserve"> </w:t>
      </w:r>
      <w:r>
        <w:t xml:space="preserve">LRF</w:t>
      </w:r>
      <w:r>
        <w:t xml:space="preserve"> </w:t>
      </w:r>
      <w:r>
        <w:t xml:space="preserve">2035-</w:t>
      </w:r>
      <w:r>
        <w:t xml:space="preserve"> </w:t>
      </w:r>
      <w:r>
        <w:t xml:space="preserve">2040</w:t>
      </w:r>
      <w:r>
        <w:t xml:space="preserve"> </w:t>
      </w:r>
      <w:r>
        <w:t xml:space="preserve">Carbon Budget</w:t>
      </w:r>
      <w:r>
        <w:t xml:space="preserve"> </w:t>
      </w:r>
      <w:r>
        <w:t xml:space="preserve">2031-2040</w:t>
      </w:r>
      <w:r>
        <w:t xml:space="preserve"> </w:t>
      </w:r>
      <w:r>
        <w:t xml:space="preserve">PO1 POTEnCIA</w:t>
      </w:r>
      <w:r>
        <w:t xml:space="preserve"> </w:t>
      </w:r>
      <w:r>
        <w:t xml:space="preserve">847</w:t>
      </w:r>
      <w:r>
        <w:t xml:space="preserve"> </w:t>
      </w:r>
      <w:r>
        <w:t xml:space="preserve">615</w:t>
      </w:r>
      <w:r>
        <w:t xml:space="preserve"> </w:t>
      </w:r>
      <w:r>
        <w:t xml:space="preserve">335</w:t>
      </w:r>
      <w:r>
        <w:t xml:space="preserve"> </w:t>
      </w:r>
      <w:r>
        <w:t xml:space="preserve">-2.3%</w:t>
      </w:r>
      <w:r>
        <w:t xml:space="preserve"> </w:t>
      </w:r>
      <w:r>
        <w:t xml:space="preserve">-2.7%</w:t>
      </w:r>
      <w:r>
        <w:t xml:space="preserve"> </w:t>
      </w:r>
      <w:r>
        <w:t xml:space="preserve">5775</w:t>
      </w:r>
    </w:p>
    <w:p>
      <w:pPr>
        <w:pStyle w:val="BodyText"/>
      </w:pPr>
      <w:r>
        <w:t xml:space="preserve">EEA cap (Mt), LRF(%)</w:t>
      </w:r>
      <w:r>
        <w:t xml:space="preserve"> </w:t>
      </w:r>
      <w:r>
        <w:t xml:space="preserve">and carbon budget (Mt)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LRF</w:t>
      </w:r>
      <w:r>
        <w:t xml:space="preserve"> </w:t>
      </w:r>
      <w:r>
        <w:t xml:space="preserve">2030-</w:t>
      </w:r>
      <w:r>
        <w:t xml:space="preserve"> </w:t>
      </w:r>
      <w:r>
        <w:t xml:space="preserve">2035</w:t>
      </w:r>
      <w:r>
        <w:t xml:space="preserve"> </w:t>
      </w:r>
      <w:r>
        <w:t xml:space="preserve">LRF</w:t>
      </w:r>
      <w:r>
        <w:t xml:space="preserve"> </w:t>
      </w:r>
      <w:r>
        <w:t xml:space="preserve">2035-</w:t>
      </w:r>
      <w:r>
        <w:t xml:space="preserve"> </w:t>
      </w:r>
      <w:r>
        <w:t xml:space="preserve">2040</w:t>
      </w:r>
      <w:r>
        <w:t xml:space="preserve"> </w:t>
      </w:r>
      <w:r>
        <w:t xml:space="preserve">Carbon Budget</w:t>
      </w:r>
      <w:r>
        <w:t xml:space="preserve"> </w:t>
      </w:r>
      <w:r>
        <w:t xml:space="preserve">2031-2040</w:t>
      </w:r>
      <w:r>
        <w:t xml:space="preserve"> </w:t>
      </w:r>
      <w:r>
        <w:t xml:space="preserve">PO1</w:t>
      </w:r>
      <w:r>
        <w:t xml:space="preserve"> </w:t>
      </w:r>
      <w:r>
        <w:t xml:space="preserve">847</w:t>
      </w:r>
      <w:r>
        <w:t xml:space="preserve"> </w:t>
      </w:r>
      <w:r>
        <w:t xml:space="preserve">520-</w:t>
      </w:r>
      <w:r>
        <w:t xml:space="preserve"> </w:t>
      </w:r>
      <w:r>
        <w:t xml:space="preserve">615</w:t>
      </w:r>
      <w:r>
        <w:t xml:space="preserve"> </w:t>
      </w:r>
      <w:r>
        <w:t xml:space="preserve">280-</w:t>
      </w:r>
      <w:r>
        <w:t xml:space="preserve"> </w:t>
      </w:r>
      <w:r>
        <w:t xml:space="preserve">335</w:t>
      </w:r>
      <w:r>
        <w:t xml:space="preserve"> </w:t>
      </w:r>
      <w:r>
        <w:t xml:space="preserve">3.1-</w:t>
      </w:r>
      <w:r>
        <w:t xml:space="preserve"> </w:t>
      </w:r>
      <w:r>
        <w:t xml:space="preserve">2.3%</w:t>
      </w:r>
      <w:r>
        <w:t xml:space="preserve"> </w:t>
      </w:r>
      <w:r>
        <w:t xml:space="preserve">2.3-</w:t>
      </w:r>
      <w:r>
        <w:t xml:space="preserve"> </w:t>
      </w:r>
      <w:r>
        <w:t xml:space="preserve">2.7%</w:t>
      </w:r>
      <w:r>
        <w:t xml:space="preserve"> </w:t>
      </w:r>
      <w:r>
        <w:t xml:space="preserve">5120-5775</w:t>
      </w:r>
      <w:r>
        <w:t xml:space="preserve"> </w:t>
      </w:r>
      <w:r>
        <w:t xml:space="preserve">To attain the net objective, an instrument outside the EU ETS, the public purchasing</w:t>
      </w:r>
      <w:r>
        <w:t xml:space="preserve"> </w:t>
      </w:r>
      <w:r>
        <w:t xml:space="preserve">programme, would need to attain the removals objectives.</w:t>
      </w:r>
      <w:r>
        <w:t xml:space="preserve"> </w:t>
      </w:r>
      <w:r>
        <w:t xml:space="preserve">1.7.2. Policy option 2</w:t>
      </w:r>
      <w:r>
        <w:t xml:space="preserve"> </w:t>
      </w:r>
      <w:r>
        <w:t xml:space="preserve">For PO2, the cap is set at the level of estimated net emissions, including extra EEA aviation.</w:t>
      </w:r>
      <w:r>
        <w:t xml:space="preserve"> </w:t>
      </w:r>
      <w:r>
        <w:t xml:space="preserve">Therefore, the estimated removals are added to the gross emissions trajectory for the EU as</w:t>
      </w:r>
      <w:r>
        <w:t xml:space="preserve"> </w:t>
      </w:r>
      <w:r>
        <w:t xml:space="preserve">estimated by PRIMES as well as POTEnCIA, and the LRFs are recalculated, leading to a</w:t>
      </w:r>
      <w:r>
        <w:t xml:space="preserve"> </w:t>
      </w:r>
      <w:r>
        <w:t xml:space="preserve">somewhat higher reduction rate. This new LRF is then applied to the increase of the base cap</w:t>
      </w:r>
      <w:r>
        <w:t xml:space="preserve"> </w:t>
      </w:r>
      <w:r>
        <w:t xml:space="preserve">due to the inclusion of Municipal Waste Incineration. It should be noted that this leads to a far</w:t>
      </w:r>
      <w:r>
        <w:t xml:space="preserve"> </w:t>
      </w:r>
      <w:r>
        <w:t xml:space="preserve">lower total reduction of MWI compared to other ETS sectors between 2031-2040. It can</w:t>
      </w:r>
      <w:r>
        <w:t xml:space="preserve"> </w:t>
      </w:r>
      <w:r>
        <w:t xml:space="preserve">therefore be seen as a relatively generous cap adjustment.</w:t>
      </w:r>
      <w:r>
        <w:br/>
      </w:r>
      <w:r>
        <w:t xml:space="preserve">The total caps therefore represent stationary sectors, international maritime navigation</w:t>
      </w:r>
      <w:r>
        <w:t xml:space="preserve"> </w:t>
      </w:r>
      <w:r>
        <w:t xml:space="preserve">(including non-CO2 emissions), all international outgoing aviation and municipal waste</w:t>
      </w:r>
      <w:r>
        <w:t xml:space="preserve"> </w:t>
      </w:r>
      <w:r>
        <w:t xml:space="preserve">incineration.</w:t>
      </w:r>
      <w:r>
        <w:t xml:space="preserve"> </w:t>
      </w:r>
      <w:r>
        <w:t xml:space="preserve">With regards to maritime, the possible extension of the system to smaller ships (below 5000</w:t>
      </w:r>
      <w:r>
        <w:t xml:space="preserve"> </w:t>
      </w:r>
      <w:r>
        <w:t xml:space="preserve">gross tonnage but not below 400 gross tonnage) would lead to a cap increase estimated at</w:t>
      </w:r>
      <w:r>
        <w:t xml:space="preserve"> </w:t>
      </w:r>
      <w:r>
        <w:t xml:space="preserve">around 11.3 MtCO2 for PO2.</w:t>
      </w:r>
      <w:r>
        <w:t xml:space="preserve"> </w:t>
      </w:r>
      <w:r>
        <w:t xml:space="preserve">Table 13: Table calculating PO2 in PRIMES and POTEnCIA, as well as approximate table</w:t>
      </w:r>
    </w:p>
    <w:p>
      <w:pPr>
        <w:pStyle w:val="BodyText"/>
      </w:pPr>
      <w:r>
        <w:t xml:space="preserve">Caps (Mt), LRF (%) and</w:t>
      </w:r>
      <w:r>
        <w:t xml:space="preserve"> </w:t>
      </w:r>
      <w:r>
        <w:t xml:space="preserve">Carbon</w:t>
      </w:r>
      <w:r>
        <w:t xml:space="preserve"> </w:t>
      </w:r>
      <w:r>
        <w:t xml:space="preserve">Budget</w:t>
      </w:r>
      <w:r>
        <w:t xml:space="preserve"> </w:t>
      </w:r>
      <w:r>
        <w:t xml:space="preserve">(Mt)</w:t>
      </w:r>
      <w:r>
        <w:t xml:space="preserve"> </w:t>
      </w:r>
      <w:r>
        <w:t xml:space="preserve">PRIMES</w:t>
      </w:r>
      <w:r>
        <w:t xml:space="preserve"> </w:t>
      </w:r>
      <w:r>
        <w:t xml:space="preserve">Net emissions</w:t>
      </w:r>
      <w:r>
        <w:t xml:space="preserve"> </w:t>
      </w:r>
      <w:r>
        <w:t xml:space="preserve">trajectory</w:t>
      </w:r>
      <w:r>
        <w:t xml:space="preserve"> </w:t>
      </w:r>
      <w:r>
        <w:t xml:space="preserve">EU</w:t>
      </w:r>
      <w:r>
        <w:t xml:space="preserve"> </w:t>
      </w:r>
      <w:r>
        <w:t xml:space="preserve">Net emissions</w:t>
      </w:r>
      <w:r>
        <w:t xml:space="preserve"> </w:t>
      </w:r>
      <w:r>
        <w:t xml:space="preserve">trajectory</w:t>
      </w:r>
      <w:r>
        <w:t xml:space="preserve"> </w:t>
      </w:r>
      <w:r>
        <w:t xml:space="preserve">EEA</w:t>
      </w:r>
      <w:r>
        <w:t xml:space="preserve"> </w:t>
      </w:r>
      <w:r>
        <w:t xml:space="preserve">MWI</w:t>
      </w:r>
      <w:r>
        <w:t xml:space="preserve"> </w:t>
      </w:r>
      <w:r>
        <w:t xml:space="preserve">allocations</w:t>
      </w:r>
      <w:r>
        <w:t xml:space="preserve"> </w:t>
      </w:r>
      <w:r>
        <w:t xml:space="preserve">Total</w:t>
      </w:r>
      <w:r>
        <w:t xml:space="preserve"> </w:t>
      </w:r>
      <w:r>
        <w:t xml:space="preserve">EEA</w:t>
      </w:r>
      <w:r>
        <w:t xml:space="preserve"> </w:t>
      </w:r>
      <w:r>
        <w:t xml:space="preserve">cap</w:t>
      </w:r>
      <w:r>
        <w:t xml:space="preserve"> </w:t>
      </w:r>
      <w:r>
        <w:t xml:space="preserve">2030 legal cap</w:t>
      </w:r>
      <w:r>
        <w:t xml:space="preserve"> </w:t>
      </w:r>
      <w:r>
        <w:t xml:space="preserve">894</w:t>
      </w:r>
      <w:r>
        <w:t xml:space="preserve"> </w:t>
      </w:r>
      <w:r>
        <w:t xml:space="preserve">911</w:t>
      </w:r>
      <w:r>
        <w:t xml:space="preserve"> </w:t>
      </w:r>
      <w:r>
        <w:t xml:space="preserve">42</w:t>
      </w:r>
      <w:r>
        <w:t xml:space="preserve"> </w:t>
      </w:r>
      <w:r>
        <w:t xml:space="preserve">911</w:t>
      </w:r>
      <w:r>
        <w:t xml:space="preserve"> </w:t>
      </w:r>
      <w:r>
        <w:t xml:space="preserve">2035</w:t>
      </w:r>
      <w:r>
        <w:t xml:space="preserve"> </w:t>
      </w:r>
      <w:r>
        <w:t xml:space="preserve">565</w:t>
      </w:r>
      <w:r>
        <w:t xml:space="preserve"> </w:t>
      </w:r>
      <w:r>
        <w:t xml:space="preserve">575</w:t>
      </w:r>
      <w:r>
        <w:t xml:space="preserve"> </w:t>
      </w:r>
      <w:r>
        <w:t xml:space="preserve">36</w:t>
      </w:r>
      <w:r>
        <w:t xml:space="preserve"> </w:t>
      </w:r>
      <w:r>
        <w:t xml:space="preserve">610</w:t>
      </w:r>
      <w:r>
        <w:t xml:space="preserve"> </w:t>
      </w:r>
      <w:r>
        <w:t xml:space="preserve">2040</w:t>
      </w:r>
      <w:r>
        <w:t xml:space="preserve"> </w:t>
      </w:r>
      <w:r>
        <w:t xml:space="preserve">275</w:t>
      </w:r>
      <w:r>
        <w:t xml:space="preserve"> </w:t>
      </w:r>
      <w:r>
        <w:t xml:space="preserve">280</w:t>
      </w:r>
      <w:r>
        <w:t xml:space="preserve"> </w:t>
      </w:r>
      <w:r>
        <w:t xml:space="preserve">30</w:t>
      </w:r>
      <w:r>
        <w:t xml:space="preserve"> </w:t>
      </w:r>
      <w:r>
        <w:t xml:space="preserve">310</w:t>
      </w:r>
      <w:r>
        <w:t xml:space="preserve"> </w:t>
      </w:r>
      <w:r>
        <w:t xml:space="preserve">LRF 2030-2035</w:t>
      </w:r>
      <w:r>
        <w:t xml:space="preserve"> </w:t>
      </w:r>
      <w:r>
        <w:t xml:space="preserve">-3.1%</w:t>
      </w:r>
      <w:r>
        <w:t xml:space="preserve"> </w:t>
      </w:r>
      <w:r>
        <w:t xml:space="preserve">-3.1%</w:t>
      </w:r>
      <w:r>
        <w:t xml:space="preserve"> </w:t>
      </w:r>
      <w:r>
        <w:t xml:space="preserve">-3.1%</w:t>
      </w:r>
      <w:r>
        <w:t xml:space="preserve"> </w:t>
      </w:r>
      <w:r>
        <w:t xml:space="preserve">-3.1%</w:t>
      </w:r>
    </w:p>
    <w:p>
      <w:pPr>
        <w:pStyle w:val="BodyText"/>
      </w:pPr>
      <w:r>
        <w:t xml:space="preserve">LRF 2036-2040</w:t>
      </w:r>
      <w:r>
        <w:t xml:space="preserve"> </w:t>
      </w:r>
      <w:r>
        <w:t xml:space="preserve">-2.7%</w:t>
      </w:r>
      <w:r>
        <w:t xml:space="preserve"> </w:t>
      </w:r>
      <w:r>
        <w:t xml:space="preserve">-2.7%</w:t>
      </w:r>
      <w:r>
        <w:t xml:space="preserve"> </w:t>
      </w:r>
      <w:r>
        <w:t xml:space="preserve">-2.7%</w:t>
      </w:r>
      <w:r>
        <w:t xml:space="preserve"> </w:t>
      </w:r>
      <w:r>
        <w:t xml:space="preserve">-2.7%</w:t>
      </w:r>
      <w:r>
        <w:t xml:space="preserve"> </w:t>
      </w:r>
      <w:r>
        <w:t xml:space="preserve">Carbon Budget 2031-2040</w:t>
      </w:r>
    </w:p>
    <w:p>
      <w:pPr>
        <w:pStyle w:val="BodyText"/>
      </w:pPr>
      <w:r>
        <w:t xml:space="preserve">5890</w:t>
      </w:r>
    </w:p>
    <w:p>
      <w:pPr>
        <w:pStyle w:val="BodyText"/>
      </w:pPr>
      <w:r>
        <w:t xml:space="preserve">Caps (Mt), LRF (%) and</w:t>
      </w:r>
      <w:r>
        <w:t xml:space="preserve"> </w:t>
      </w:r>
      <w:r>
        <w:t xml:space="preserve">Carbon</w:t>
      </w:r>
      <w:r>
        <w:t xml:space="preserve"> </w:t>
      </w:r>
      <w:r>
        <w:t xml:space="preserve">Budget</w:t>
      </w:r>
      <w:r>
        <w:t xml:space="preserve"> </w:t>
      </w:r>
      <w:r>
        <w:t xml:space="preserve">(Mt)</w:t>
      </w:r>
      <w:r>
        <w:t xml:space="preserve"> </w:t>
      </w:r>
      <w:r>
        <w:t xml:space="preserve">POTEnCIA</w:t>
      </w:r>
      <w:r>
        <w:t xml:space="preserve"> </w:t>
      </w:r>
      <w:r>
        <w:t xml:space="preserve">Net emissions</w:t>
      </w:r>
      <w:r>
        <w:t xml:space="preserve"> </w:t>
      </w:r>
      <w:r>
        <w:t xml:space="preserve">trajectory</w:t>
      </w:r>
      <w:r>
        <w:t xml:space="preserve"> </w:t>
      </w:r>
      <w:r>
        <w:t xml:space="preserve">EU</w:t>
      </w:r>
      <w:r>
        <w:t xml:space="preserve"> </w:t>
      </w:r>
      <w:r>
        <w:t xml:space="preserve">Net emissions</w:t>
      </w:r>
      <w:r>
        <w:t xml:space="preserve"> </w:t>
      </w:r>
      <w:r>
        <w:t xml:space="preserve">trajectory</w:t>
      </w:r>
      <w:r>
        <w:t xml:space="preserve"> </w:t>
      </w:r>
      <w:r>
        <w:t xml:space="preserve">EEA</w:t>
      </w:r>
      <w:r>
        <w:t xml:space="preserve"> </w:t>
      </w:r>
      <w:r>
        <w:t xml:space="preserve">MWI</w:t>
      </w:r>
      <w:r>
        <w:t xml:space="preserve"> </w:t>
      </w:r>
      <w:r>
        <w:t xml:space="preserve">allocations</w:t>
      </w:r>
      <w:r>
        <w:t xml:space="preserve"> </w:t>
      </w:r>
      <w:r>
        <w:t xml:space="preserve">Total</w:t>
      </w:r>
      <w:r>
        <w:t xml:space="preserve"> </w:t>
      </w:r>
      <w:r>
        <w:t xml:space="preserve">EEA</w:t>
      </w:r>
      <w:r>
        <w:t xml:space="preserve"> </w:t>
      </w:r>
      <w:r>
        <w:t xml:space="preserve">cap</w:t>
      </w:r>
      <w:r>
        <w:t xml:space="preserve"> </w:t>
      </w:r>
      <w:r>
        <w:t xml:space="preserve">2030 legal cap</w:t>
      </w:r>
      <w:r>
        <w:t xml:space="preserve"> </w:t>
      </w:r>
      <w:r>
        <w:t xml:space="preserve">894</w:t>
      </w:r>
      <w:r>
        <w:t xml:space="preserve"> </w:t>
      </w:r>
      <w:r>
        <w:t xml:space="preserve">911</w:t>
      </w:r>
      <w:r>
        <w:t xml:space="preserve"> </w:t>
      </w:r>
      <w:r>
        <w:t xml:space="preserve">42</w:t>
      </w:r>
      <w:r>
        <w:t xml:space="preserve"> </w:t>
      </w:r>
      <w:r>
        <w:t xml:space="preserve">911</w:t>
      </w:r>
      <w:r>
        <w:t xml:space="preserve"> </w:t>
      </w:r>
      <w:r>
        <w:t xml:space="preserve">2035</w:t>
      </w:r>
      <w:r>
        <w:t xml:space="preserve"> </w:t>
      </w:r>
      <w:r>
        <w:t xml:space="preserve">630</w:t>
      </w:r>
      <w:r>
        <w:t xml:space="preserve"> </w:t>
      </w:r>
      <w:r>
        <w:t xml:space="preserve">645</w:t>
      </w:r>
      <w:r>
        <w:t xml:space="preserve"> </w:t>
      </w:r>
      <w:r>
        <w:t xml:space="preserve">37</w:t>
      </w:r>
      <w:r>
        <w:t xml:space="preserve"> </w:t>
      </w:r>
      <w:r>
        <w:t xml:space="preserve">680</w:t>
      </w:r>
      <w:r>
        <w:t xml:space="preserve"> </w:t>
      </w:r>
      <w:r>
        <w:t xml:space="preserve">2040</w:t>
      </w:r>
      <w:r>
        <w:t xml:space="preserve"> </w:t>
      </w:r>
      <w:r>
        <w:t xml:space="preserve">305</w:t>
      </w:r>
      <w:r>
        <w:t xml:space="preserve"> </w:t>
      </w:r>
      <w:r>
        <w:t xml:space="preserve">310</w:t>
      </w:r>
      <w:r>
        <w:t xml:space="preserve"> </w:t>
      </w:r>
      <w:r>
        <w:t xml:space="preserve">30</w:t>
      </w:r>
      <w:r>
        <w:t xml:space="preserve"> </w:t>
      </w:r>
      <w:r>
        <w:t xml:space="preserve">340</w:t>
      </w:r>
      <w:r>
        <w:t xml:space="preserve"> </w:t>
      </w:r>
      <w:r>
        <w:t xml:space="preserve">LRF 2030-2035</w:t>
      </w:r>
      <w:r>
        <w:t xml:space="preserve"> </w:t>
      </w:r>
      <w:r>
        <w:t xml:space="preserve">-2.5%</w:t>
      </w:r>
      <w:r>
        <w:t xml:space="preserve"> </w:t>
      </w:r>
      <w:r>
        <w:t xml:space="preserve">-2.5%</w:t>
      </w:r>
      <w:r>
        <w:t xml:space="preserve"> </w:t>
      </w:r>
      <w:r>
        <w:t xml:space="preserve">-2.5%</w:t>
      </w:r>
      <w:r>
        <w:t xml:space="preserve"> </w:t>
      </w:r>
      <w:r>
        <w:t xml:space="preserve">-2.5%</w:t>
      </w:r>
      <w:r>
        <w:t xml:space="preserve"> </w:t>
      </w:r>
      <w:r>
        <w:t xml:space="preserve">LRF 2036-2040</w:t>
      </w:r>
      <w:r>
        <w:t xml:space="preserve"> </w:t>
      </w:r>
      <w:r>
        <w:t xml:space="preserve">-3.1%</w:t>
      </w:r>
      <w:r>
        <w:t xml:space="preserve"> </w:t>
      </w:r>
      <w:r>
        <w:t xml:space="preserve">-3.1%</w:t>
      </w:r>
      <w:r>
        <w:t xml:space="preserve"> </w:t>
      </w:r>
      <w:r>
        <w:t xml:space="preserve">-3.1%</w:t>
      </w:r>
      <w:r>
        <w:t xml:space="preserve"> </w:t>
      </w:r>
      <w:r>
        <w:t xml:space="preserve">-3.1%</w:t>
      </w:r>
      <w:r>
        <w:t xml:space="preserve"> </w:t>
      </w:r>
      <w:r>
        <w:t xml:space="preserve">Carbon Budget 2031-2040</w:t>
      </w:r>
    </w:p>
    <w:p>
      <w:pPr>
        <w:pStyle w:val="BodyText"/>
      </w:pPr>
      <w:r>
        <w:t xml:space="preserve">6330</w:t>
      </w:r>
    </w:p>
    <w:p>
      <w:pPr>
        <w:pStyle w:val="BodyText"/>
      </w:pPr>
      <w:r>
        <w:t xml:space="preserve">Caps (Mt), LRF (%) and</w:t>
      </w:r>
      <w:r>
        <w:t xml:space="preserve"> </w:t>
      </w:r>
      <w:r>
        <w:t xml:space="preserve">Carbon Budget (Mt) Ranges</w:t>
      </w:r>
      <w:r>
        <w:t xml:space="preserve"> </w:t>
      </w:r>
      <w:r>
        <w:t xml:space="preserve">Net emissions</w:t>
      </w:r>
      <w:r>
        <w:t xml:space="preserve"> </w:t>
      </w:r>
      <w:r>
        <w:t xml:space="preserve">trajectory</w:t>
      </w:r>
      <w:r>
        <w:t xml:space="preserve"> </w:t>
      </w:r>
      <w:r>
        <w:t xml:space="preserve">EU</w:t>
      </w:r>
      <w:r>
        <w:t xml:space="preserve"> </w:t>
      </w:r>
      <w:r>
        <w:t xml:space="preserve">Net emissions</w:t>
      </w:r>
      <w:r>
        <w:t xml:space="preserve"> </w:t>
      </w:r>
      <w:r>
        <w:t xml:space="preserve">trajectory</w:t>
      </w:r>
      <w:r>
        <w:t xml:space="preserve"> </w:t>
      </w:r>
      <w:r>
        <w:t xml:space="preserve">EEA</w:t>
      </w:r>
      <w:r>
        <w:t xml:space="preserve"> </w:t>
      </w:r>
      <w:r>
        <w:t xml:space="preserve">MWI</w:t>
      </w:r>
      <w:r>
        <w:t xml:space="preserve"> </w:t>
      </w:r>
      <w:r>
        <w:t xml:space="preserve">allocations</w:t>
      </w:r>
      <w:r>
        <w:t xml:space="preserve"> </w:t>
      </w:r>
      <w:r>
        <w:t xml:space="preserve">Total</w:t>
      </w:r>
      <w:r>
        <w:t xml:space="preserve"> </w:t>
      </w:r>
      <w:r>
        <w:t xml:space="preserve">EEA</w:t>
      </w:r>
      <w:r>
        <w:t xml:space="preserve"> </w:t>
      </w:r>
      <w:r>
        <w:t xml:space="preserve">cap</w:t>
      </w:r>
      <w:r>
        <w:t xml:space="preserve"> </w:t>
      </w:r>
      <w:r>
        <w:t xml:space="preserve">2030 legal cap</w:t>
      </w:r>
      <w:r>
        <w:t xml:space="preserve"> </w:t>
      </w:r>
      <w:r>
        <w:t xml:space="preserve">894</w:t>
      </w:r>
      <w:r>
        <w:t xml:space="preserve"> </w:t>
      </w:r>
      <w:r>
        <w:t xml:space="preserve">911</w:t>
      </w:r>
      <w:r>
        <w:t xml:space="preserve"> </w:t>
      </w:r>
      <w:r>
        <w:t xml:space="preserve">42</w:t>
      </w:r>
      <w:r>
        <w:t xml:space="preserve"> </w:t>
      </w:r>
      <w:r>
        <w:t xml:space="preserve">911</w:t>
      </w:r>
      <w:r>
        <w:t xml:space="preserve"> </w:t>
      </w:r>
      <w:r>
        <w:t xml:space="preserve">2035</w:t>
      </w:r>
      <w:r>
        <w:t xml:space="preserve"> </w:t>
      </w:r>
      <w:r>
        <w:t xml:space="preserve">565-630</w:t>
      </w:r>
      <w:r>
        <w:t xml:space="preserve"> </w:t>
      </w:r>
      <w:r>
        <w:t xml:space="preserve">575-645</w:t>
      </w:r>
      <w:r>
        <w:t xml:space="preserve"> </w:t>
      </w:r>
      <w:r>
        <w:t xml:space="preserve">36-37</w:t>
      </w:r>
      <w:r>
        <w:t xml:space="preserve"> </w:t>
      </w:r>
      <w:r>
        <w:t xml:space="preserve">610-680</w:t>
      </w:r>
      <w:r>
        <w:t xml:space="preserve"> </w:t>
      </w:r>
      <w:r>
        <w:t xml:space="preserve">2040</w:t>
      </w:r>
      <w:r>
        <w:t xml:space="preserve"> </w:t>
      </w:r>
      <w:r>
        <w:t xml:space="preserve">275-305</w:t>
      </w:r>
      <w:r>
        <w:t xml:space="preserve"> </w:t>
      </w:r>
      <w:r>
        <w:t xml:space="preserve">280-310</w:t>
      </w:r>
      <w:r>
        <w:t xml:space="preserve"> </w:t>
      </w:r>
      <w:r>
        <w:t xml:space="preserve">30</w:t>
      </w:r>
      <w:r>
        <w:t xml:space="preserve"> </w:t>
      </w:r>
      <w:r>
        <w:t xml:space="preserve">310-340</w:t>
      </w:r>
      <w:r>
        <w:t xml:space="preserve"> </w:t>
      </w:r>
      <w:r>
        <w:t xml:space="preserve">LRF 2030-2035</w:t>
      </w:r>
      <w:r>
        <w:t xml:space="preserve"> </w:t>
      </w:r>
      <w:r>
        <w:t xml:space="preserve">3.1-2.5%</w:t>
      </w:r>
      <w:r>
        <w:t xml:space="preserve"> </w:t>
      </w:r>
      <w:r>
        <w:t xml:space="preserve">3.1-2.5%</w:t>
      </w:r>
      <w:r>
        <w:t xml:space="preserve"> </w:t>
      </w:r>
      <w:r>
        <w:t xml:space="preserve">3.1-2.5%</w:t>
      </w:r>
      <w:r>
        <w:t xml:space="preserve"> </w:t>
      </w:r>
      <w:r>
        <w:t xml:space="preserve">3.1-2.5%</w:t>
      </w:r>
      <w:r>
        <w:t xml:space="preserve"> </w:t>
      </w:r>
      <w:r>
        <w:t xml:space="preserve">LRF 2036-2040</w:t>
      </w:r>
      <w:r>
        <w:t xml:space="preserve"> </w:t>
      </w:r>
      <w:r>
        <w:t xml:space="preserve">2.7-3.1%</w:t>
      </w:r>
      <w:r>
        <w:t xml:space="preserve"> </w:t>
      </w:r>
      <w:r>
        <w:t xml:space="preserve">2.7-3.1%</w:t>
      </w:r>
      <w:r>
        <w:t xml:space="preserve"> </w:t>
      </w:r>
      <w:r>
        <w:t xml:space="preserve">2.7-3.1%</w:t>
      </w:r>
      <w:r>
        <w:t xml:space="preserve"> </w:t>
      </w:r>
      <w:r>
        <w:t xml:space="preserve">2.7-3.1%</w:t>
      </w:r>
      <w:r>
        <w:t xml:space="preserve"> </w:t>
      </w:r>
      <w:r>
        <w:t xml:space="preserve">Carbon Budget 2031-2040</w:t>
      </w:r>
    </w:p>
    <w:p>
      <w:pPr>
        <w:pStyle w:val="BodyText"/>
      </w:pPr>
      <w:r>
        <w:t xml:space="preserve">5890-6330</w:t>
      </w:r>
      <w:r>
        <w:t xml:space="preserve"> </w:t>
      </w:r>
      <w:r>
        <w:t xml:space="preserve">1.7.3. Policy option 3</w:t>
      </w:r>
      <w:r>
        <w:t xml:space="preserve"> </w:t>
      </w:r>
      <w:r>
        <w:t xml:space="preserve">In this option, the cap is set at the level of gross emissions and includes MWI, hazardous waste</w:t>
      </w:r>
      <w:r>
        <w:t xml:space="preserve"> </w:t>
      </w:r>
      <w:r>
        <w:t xml:space="preserve">and landfills. The approach for including the latter two sectors is similar, except that the lower</w:t>
      </w:r>
      <w:r>
        <w:t xml:space="preserve"> </w:t>
      </w:r>
      <w:r>
        <w:t xml:space="preserve">reduction rates (LRFs) of the gross cap are applied, leading to the below result. The inclusion</w:t>
      </w:r>
      <w:r>
        <w:t xml:space="preserve"> </w:t>
      </w:r>
      <w:r>
        <w:t xml:space="preserve">of MWI, HWI and landfill expands the scope by 120 Mt in 2030. From 2031 onwards, this</w:t>
      </w:r>
      <w:r>
        <w:t xml:space="preserve"> </w:t>
      </w:r>
      <w:r>
        <w:t xml:space="preserve">additional sector is integrated into the cap. While the same LRF is being applied as for the other</w:t>
      </w:r>
      <w:r>
        <w:t xml:space="preserve"> </w:t>
      </w:r>
      <w:r>
        <w:t xml:space="preserve">sectors of the ETS cap, the rate of decrease is comparatively slower, as its reference base is set</w:t>
      </w:r>
      <w:r>
        <w:t xml:space="preserve"> </w:t>
      </w:r>
      <w:r>
        <w:t xml:space="preserve">at 120 Mt in 2030, whereas the remainder of the cap follow the reference base defined in Article</w:t>
      </w:r>
      <w:r>
        <w:t xml:space="preserve"> </w:t>
      </w:r>
      <w:r>
        <w:t xml:space="preserve">9 in the ETS Directive.</w:t>
      </w:r>
      <w:r>
        <w:br/>
      </w:r>
      <w:r>
        <w:t xml:space="preserve">The total caps therefore represent stationary sectors, international maritime navigation</w:t>
      </w:r>
      <w:r>
        <w:t xml:space="preserve"> </w:t>
      </w:r>
      <w:r>
        <w:t xml:space="preserve">(including non-CO2 emissions), all international outgoing aviation and municipal and</w:t>
      </w:r>
      <w:r>
        <w:t xml:space="preserve"> </w:t>
      </w:r>
      <w:r>
        <w:t xml:space="preserve">hazardous waste incineration, as well as landfills.</w:t>
      </w:r>
    </w:p>
    <w:p>
      <w:pPr>
        <w:pStyle w:val="BodyText"/>
      </w:pPr>
      <w:r>
        <w:t xml:space="preserve">Table 14: Table showing the cap for PO3</w:t>
      </w:r>
    </w:p>
    <w:p>
      <w:pPr>
        <w:pStyle w:val="BodyText"/>
      </w:pPr>
      <w:r>
        <w:t xml:space="preserve">Caps (Mt), LRF (%) and</w:t>
      </w:r>
      <w:r>
        <w:t xml:space="preserve"> </w:t>
      </w:r>
      <w:r>
        <w:t xml:space="preserve">Carbon</w:t>
      </w:r>
      <w:r>
        <w:t xml:space="preserve"> </w:t>
      </w:r>
      <w:r>
        <w:t xml:space="preserve">Budget</w:t>
      </w:r>
      <w:r>
        <w:t xml:space="preserve"> </w:t>
      </w:r>
      <w:r>
        <w:t xml:space="preserve">(Mt)</w:t>
      </w:r>
      <w:r>
        <w:t xml:space="preserve"> </w:t>
      </w:r>
      <w:r>
        <w:t xml:space="preserve">PRIMES</w:t>
      </w:r>
      <w:r>
        <w:t xml:space="preserve"> </w:t>
      </w:r>
      <w:r>
        <w:t xml:space="preserve">Gross</w:t>
      </w:r>
      <w:r>
        <w:t xml:space="preserve"> </w:t>
      </w:r>
      <w:r>
        <w:t xml:space="preserve">emissions</w:t>
      </w:r>
      <w:r>
        <w:t xml:space="preserve"> </w:t>
      </w:r>
      <w:r>
        <w:t xml:space="preserve">85%</w:t>
      </w:r>
      <w:r>
        <w:t xml:space="preserve"> </w:t>
      </w:r>
      <w:r>
        <w:t xml:space="preserve">trajectory</w:t>
      </w:r>
      <w:r>
        <w:t xml:space="preserve"> </w:t>
      </w:r>
      <w:r>
        <w:t xml:space="preserve">MWI</w:t>
      </w:r>
      <w:r>
        <w:t xml:space="preserve"> </w:t>
      </w:r>
      <w:r>
        <w:t xml:space="preserve">allocations</w:t>
      </w:r>
      <w:r>
        <w:t xml:space="preserve"> </w:t>
      </w:r>
      <w:r>
        <w:t xml:space="preserve">HWI</w:t>
      </w:r>
      <w:r>
        <w:t xml:space="preserve"> </w:t>
      </w:r>
      <w:r>
        <w:t xml:space="preserve">and</w:t>
      </w:r>
      <w:r>
        <w:t xml:space="preserve"> </w:t>
      </w:r>
      <w:r>
        <w:t xml:space="preserve">Landfill</w:t>
      </w:r>
      <w:r>
        <w:t xml:space="preserve"> </w:t>
      </w:r>
      <w:r>
        <w:t xml:space="preserve">allocations</w:t>
      </w:r>
      <w:r>
        <w:t xml:space="preserve"> </w:t>
      </w:r>
      <w:r>
        <w:t xml:space="preserve">MWI,</w:t>
      </w:r>
      <w:r>
        <w:t xml:space="preserve"> </w:t>
      </w:r>
      <w:r>
        <w:t xml:space="preserve">HWI</w:t>
      </w:r>
      <w:r>
        <w:t xml:space="preserve"> </w:t>
      </w:r>
      <w:r>
        <w:t xml:space="preserve">and</w:t>
      </w:r>
      <w:r>
        <w:t xml:space="preserve"> </w:t>
      </w:r>
      <w:r>
        <w:t xml:space="preserve">Landfills</w:t>
      </w:r>
      <w:r>
        <w:t xml:space="preserve"> </w:t>
      </w:r>
      <w:r>
        <w:t xml:space="preserve">Total EEA</w:t>
      </w:r>
      <w:r>
        <w:t xml:space="preserve"> </w:t>
      </w:r>
      <w:r>
        <w:t xml:space="preserve">cap</w:t>
      </w:r>
      <w:r>
        <w:t xml:space="preserve"> </w:t>
      </w:r>
      <w:r>
        <w:t xml:space="preserve">2030 legal cap</w:t>
      </w:r>
      <w:r>
        <w:t xml:space="preserve"> </w:t>
      </w:r>
      <w:r>
        <w:t xml:space="preserve">911</w:t>
      </w:r>
      <w:r>
        <w:t xml:space="preserve"> </w:t>
      </w:r>
      <w:r>
        <w:t xml:space="preserve">42</w:t>
      </w:r>
      <w:r>
        <w:t xml:space="preserve"> </w:t>
      </w:r>
      <w:r>
        <w:t xml:space="preserve">78</w:t>
      </w:r>
      <w:r>
        <w:t xml:space="preserve"> </w:t>
      </w:r>
      <w:r>
        <w:t xml:space="preserve">120</w:t>
      </w:r>
      <w:r>
        <w:t xml:space="preserve"> </w:t>
      </w:r>
      <w:r>
        <w:t xml:space="preserve">911</w:t>
      </w:r>
      <w:r>
        <w:t xml:space="preserve"> </w:t>
      </w:r>
      <w:r>
        <w:t xml:space="preserve">2035</w:t>
      </w:r>
      <w:r>
        <w:t xml:space="preserve"> </w:t>
      </w:r>
      <w:r>
        <w:t xml:space="preserve">580</w:t>
      </w:r>
    </w:p>
    <w:p>
      <w:pPr>
        <w:pStyle w:val="BodyText"/>
      </w:pPr>
      <w:r>
        <w:t xml:space="preserve">680</w:t>
      </w:r>
      <w:r>
        <w:t xml:space="preserve"> </w:t>
      </w:r>
      <w:r>
        <w:t xml:space="preserve">2040</w:t>
      </w:r>
      <w:r>
        <w:t xml:space="preserve"> </w:t>
      </w:r>
      <w:r>
        <w:t xml:space="preserve">330</w:t>
      </w:r>
    </w:p>
    <w:p>
      <w:pPr>
        <w:pStyle w:val="BodyText"/>
      </w:pPr>
      <w:r>
        <w:t xml:space="preserve">420</w:t>
      </w:r>
      <w:r>
        <w:t xml:space="preserve"> </w:t>
      </w:r>
      <w:r>
        <w:t xml:space="preserve">LRF 2030-2035</w:t>
      </w:r>
      <w:r>
        <w:t xml:space="preserve"> </w:t>
      </w:r>
      <w:r>
        <w:t xml:space="preserve">-3.1%</w:t>
      </w:r>
    </w:p>
    <w:p>
      <w:pPr>
        <w:pStyle w:val="BodyText"/>
      </w:pPr>
      <w:r>
        <w:t xml:space="preserve">-3.1%</w:t>
      </w:r>
      <w:r>
        <w:t xml:space="preserve"> </w:t>
      </w:r>
      <w:r>
        <w:t xml:space="preserve">LRF 2036-2040</w:t>
      </w:r>
      <w:r>
        <w:t xml:space="preserve"> </w:t>
      </w:r>
      <w:r>
        <w:t xml:space="preserve">-2.3%</w:t>
      </w:r>
    </w:p>
    <w:p>
      <w:pPr>
        <w:pStyle w:val="BodyText"/>
      </w:pPr>
      <w:r>
        <w:t xml:space="preserve">-2.3%</w:t>
      </w:r>
      <w:r>
        <w:t xml:space="preserve"> </w:t>
      </w:r>
      <w:r>
        <w:t xml:space="preserve">Carbon Budget 2031-2040</w:t>
      </w:r>
    </w:p>
    <w:p>
      <w:pPr>
        <w:pStyle w:val="BodyText"/>
      </w:pPr>
      <w:r>
        <w:t xml:space="preserve">6715</w:t>
      </w:r>
    </w:p>
    <w:p>
      <w:pPr>
        <w:pStyle w:val="BodyText"/>
      </w:pPr>
      <w:r>
        <w:t xml:space="preserve">Caps (Mt), LRF (%) and</w:t>
      </w:r>
      <w:r>
        <w:t xml:space="preserve"> </w:t>
      </w:r>
      <w:r>
        <w:t xml:space="preserve">Carbon</w:t>
      </w:r>
      <w:r>
        <w:t xml:space="preserve"> </w:t>
      </w:r>
      <w:r>
        <w:t xml:space="preserve">Budget</w:t>
      </w:r>
      <w:r>
        <w:t xml:space="preserve"> </w:t>
      </w:r>
      <w:r>
        <w:t xml:space="preserve">(Mt)</w:t>
      </w:r>
      <w:r>
        <w:t xml:space="preserve"> </w:t>
      </w:r>
      <w:r>
        <w:t xml:space="preserve">POTEnCIA</w:t>
      </w:r>
      <w:r>
        <w:t xml:space="preserve"> </w:t>
      </w:r>
      <w:r>
        <w:t xml:space="preserve">Gross</w:t>
      </w:r>
      <w:r>
        <w:t xml:space="preserve"> </w:t>
      </w:r>
      <w:r>
        <w:t xml:space="preserve">emissions</w:t>
      </w:r>
      <w:r>
        <w:t xml:space="preserve"> </w:t>
      </w:r>
      <w:r>
        <w:t xml:space="preserve">85%</w:t>
      </w:r>
      <w:r>
        <w:t xml:space="preserve"> </w:t>
      </w:r>
      <w:r>
        <w:t xml:space="preserve">trajectory</w:t>
      </w:r>
      <w:r>
        <w:t xml:space="preserve"> </w:t>
      </w:r>
      <w:r>
        <w:t xml:space="preserve">MWI</w:t>
      </w:r>
      <w:r>
        <w:t xml:space="preserve"> </w:t>
      </w:r>
      <w:r>
        <w:t xml:space="preserve">allocations</w:t>
      </w:r>
      <w:r>
        <w:t xml:space="preserve"> </w:t>
      </w:r>
      <w:r>
        <w:t xml:space="preserve">HWI</w:t>
      </w:r>
      <w:r>
        <w:t xml:space="preserve"> </w:t>
      </w:r>
      <w:r>
        <w:t xml:space="preserve">and</w:t>
      </w:r>
      <w:r>
        <w:t xml:space="preserve"> </w:t>
      </w:r>
      <w:r>
        <w:t xml:space="preserve">Landfill</w:t>
      </w:r>
      <w:r>
        <w:t xml:space="preserve"> </w:t>
      </w:r>
      <w:r>
        <w:t xml:space="preserve">allocations</w:t>
      </w:r>
      <w:r>
        <w:t xml:space="preserve"> </w:t>
      </w:r>
      <w:r>
        <w:t xml:space="preserve">MWI,</w:t>
      </w:r>
      <w:r>
        <w:t xml:space="preserve"> </w:t>
      </w:r>
      <w:r>
        <w:t xml:space="preserve">HWI</w:t>
      </w:r>
      <w:r>
        <w:t xml:space="preserve"> </w:t>
      </w:r>
      <w:r>
        <w:t xml:space="preserve">and</w:t>
      </w:r>
      <w:r>
        <w:t xml:space="preserve"> </w:t>
      </w:r>
      <w:r>
        <w:t xml:space="preserve">Landfills</w:t>
      </w:r>
      <w:r>
        <w:t xml:space="preserve"> </w:t>
      </w:r>
      <w:r>
        <w:t xml:space="preserve">Total EEA</w:t>
      </w:r>
      <w:r>
        <w:t xml:space="preserve"> </w:t>
      </w:r>
      <w:r>
        <w:t xml:space="preserve">cap</w:t>
      </w:r>
      <w:r>
        <w:t xml:space="preserve"> </w:t>
      </w:r>
      <w:r>
        <w:t xml:space="preserve">2030 legal cap</w:t>
      </w:r>
      <w:r>
        <w:t xml:space="preserve"> </w:t>
      </w:r>
      <w:r>
        <w:t xml:space="preserve">911</w:t>
      </w:r>
      <w:r>
        <w:t xml:space="preserve"> </w:t>
      </w:r>
      <w:r>
        <w:t xml:space="preserve">42</w:t>
      </w:r>
      <w:r>
        <w:t xml:space="preserve"> </w:t>
      </w:r>
      <w:r>
        <w:t xml:space="preserve">78</w:t>
      </w:r>
      <w:r>
        <w:t xml:space="preserve"> </w:t>
      </w:r>
      <w:r>
        <w:t xml:space="preserve">120</w:t>
      </w:r>
      <w:r>
        <w:t xml:space="preserve"> </w:t>
      </w:r>
      <w:r>
        <w:t xml:space="preserve">911</w:t>
      </w:r>
      <w:r>
        <w:t xml:space="preserve"> </w:t>
      </w:r>
      <w:r>
        <w:t xml:space="preserve">2035</w:t>
      </w:r>
      <w:r>
        <w:t xml:space="preserve"> </w:t>
      </w:r>
      <w:r>
        <w:t xml:space="preserve">670</w:t>
      </w:r>
    </w:p>
    <w:p>
      <w:pPr>
        <w:pStyle w:val="BodyText"/>
      </w:pPr>
      <w:r>
        <w:t xml:space="preserve">775</w:t>
      </w:r>
      <w:r>
        <w:t xml:space="preserve"> </w:t>
      </w:r>
      <w:r>
        <w:t xml:space="preserve">2040</w:t>
      </w:r>
      <w:r>
        <w:t xml:space="preserve"> </w:t>
      </w:r>
      <w:r>
        <w:t xml:space="preserve">375</w:t>
      </w:r>
    </w:p>
    <w:p>
      <w:pPr>
        <w:pStyle w:val="BodyText"/>
      </w:pPr>
      <w:r>
        <w:t xml:space="preserve">465</w:t>
      </w:r>
      <w:r>
        <w:t xml:space="preserve"> </w:t>
      </w:r>
      <w:r>
        <w:t xml:space="preserve">LRF 2030-2035</w:t>
      </w:r>
      <w:r>
        <w:t xml:space="preserve"> </w:t>
      </w:r>
      <w:r>
        <w:t xml:space="preserve">-2.3%</w:t>
      </w:r>
    </w:p>
    <w:p>
      <w:pPr>
        <w:pStyle w:val="BodyText"/>
      </w:pPr>
      <w:r>
        <w:t xml:space="preserve">-2.3%</w:t>
      </w:r>
      <w:r>
        <w:t xml:space="preserve"> </w:t>
      </w:r>
      <w:r>
        <w:t xml:space="preserve">LRF 2036-2040</w:t>
      </w:r>
      <w:r>
        <w:t xml:space="preserve"> </w:t>
      </w:r>
      <w:r>
        <w:t xml:space="preserve">-2.7%</w:t>
      </w:r>
    </w:p>
    <w:p>
      <w:pPr>
        <w:pStyle w:val="BodyText"/>
      </w:pPr>
      <w:r>
        <w:t xml:space="preserve">-2.7%</w:t>
      </w:r>
      <w:r>
        <w:t xml:space="preserve"> </w:t>
      </w:r>
      <w:r>
        <w:t xml:space="preserve">Carbon Budget 2031-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7335</w:t>
      </w:r>
    </w:p>
    <w:p>
      <w:pPr>
        <w:pStyle w:val="BodyText"/>
      </w:pPr>
      <w:r>
        <w:t xml:space="preserve">Caps (Mt), LRF (%) and</w:t>
      </w:r>
      <w:r>
        <w:t xml:space="preserve"> </w:t>
      </w:r>
      <w:r>
        <w:t xml:space="preserve">Carbon</w:t>
      </w:r>
      <w:r>
        <w:t xml:space="preserve"> </w:t>
      </w:r>
      <w:r>
        <w:t xml:space="preserve">Budget</w:t>
      </w:r>
      <w:r>
        <w:t xml:space="preserve"> </w:t>
      </w:r>
      <w:r>
        <w:t xml:space="preserve">(Mt)</w:t>
      </w:r>
      <w:r>
        <w:t xml:space="preserve"> </w:t>
      </w:r>
      <w:r>
        <w:t xml:space="preserve">Ranges</w:t>
      </w:r>
      <w:r>
        <w:t xml:space="preserve"> </w:t>
      </w:r>
      <w:r>
        <w:t xml:space="preserve">Gross</w:t>
      </w:r>
      <w:r>
        <w:t xml:space="preserve"> </w:t>
      </w:r>
      <w:r>
        <w:t xml:space="preserve">emissions</w:t>
      </w:r>
      <w:r>
        <w:t xml:space="preserve"> </w:t>
      </w:r>
      <w:r>
        <w:t xml:space="preserve">cost-</w:t>
      </w:r>
      <w:r>
        <w:t xml:space="preserve"> </w:t>
      </w:r>
      <w:r>
        <w:t xml:space="preserve">effective</w:t>
      </w:r>
      <w:r>
        <w:t xml:space="preserve"> </w:t>
      </w:r>
      <w:r>
        <w:t xml:space="preserve">trajectory</w:t>
      </w:r>
      <w:r>
        <w:t xml:space="preserve"> </w:t>
      </w:r>
      <w:r>
        <w:t xml:space="preserve">MWI</w:t>
      </w:r>
      <w:r>
        <w:t xml:space="preserve"> </w:t>
      </w:r>
      <w:r>
        <w:t xml:space="preserve">allocations</w:t>
      </w:r>
      <w:r>
        <w:t xml:space="preserve"> </w:t>
      </w:r>
      <w:r>
        <w:t xml:space="preserve">HWI</w:t>
      </w:r>
      <w:r>
        <w:t xml:space="preserve"> </w:t>
      </w:r>
      <w:r>
        <w:t xml:space="preserve">and</w:t>
      </w:r>
      <w:r>
        <w:t xml:space="preserve"> </w:t>
      </w:r>
      <w:r>
        <w:t xml:space="preserve">Landfill</w:t>
      </w:r>
      <w:r>
        <w:t xml:space="preserve"> </w:t>
      </w:r>
      <w:r>
        <w:t xml:space="preserve">allocations</w:t>
      </w:r>
      <w:r>
        <w:t xml:space="preserve"> </w:t>
      </w:r>
      <w:r>
        <w:t xml:space="preserve">MWI,</w:t>
      </w:r>
      <w:r>
        <w:t xml:space="preserve"> </w:t>
      </w:r>
      <w:r>
        <w:t xml:space="preserve">HWI</w:t>
      </w:r>
      <w:r>
        <w:t xml:space="preserve"> </w:t>
      </w:r>
      <w:r>
        <w:t xml:space="preserve">and</w:t>
      </w:r>
      <w:r>
        <w:t xml:space="preserve"> </w:t>
      </w:r>
      <w:r>
        <w:t xml:space="preserve">Landfills</w:t>
      </w:r>
      <w:r>
        <w:t xml:space="preserve"> </w:t>
      </w:r>
      <w:r>
        <w:t xml:space="preserve">Total EEA</w:t>
      </w:r>
      <w:r>
        <w:t xml:space="preserve"> </w:t>
      </w:r>
      <w:r>
        <w:t xml:space="preserve">cap</w:t>
      </w:r>
      <w:r>
        <w:t xml:space="preserve"> </w:t>
      </w:r>
      <w:r>
        <w:t xml:space="preserve">2030 legal cap</w:t>
      </w:r>
      <w:r>
        <w:t xml:space="preserve"> </w:t>
      </w:r>
      <w:r>
        <w:t xml:space="preserve">911</w:t>
      </w:r>
      <w:r>
        <w:t xml:space="preserve"> </w:t>
      </w:r>
      <w:r>
        <w:t xml:space="preserve">42</w:t>
      </w:r>
      <w:r>
        <w:t xml:space="preserve"> </w:t>
      </w:r>
      <w:r>
        <w:t xml:space="preserve">78</w:t>
      </w:r>
      <w:r>
        <w:t xml:space="preserve"> </w:t>
      </w:r>
      <w:r>
        <w:t xml:space="preserve">120</w:t>
      </w:r>
      <w:r>
        <w:t xml:space="preserve"> </w:t>
      </w:r>
      <w:r>
        <w:t xml:space="preserve">911</w:t>
      </w:r>
      <w:r>
        <w:t xml:space="preserve"> </w:t>
      </w:r>
      <w:r>
        <w:t xml:space="preserve">2035</w:t>
      </w:r>
      <w:r>
        <w:t xml:space="preserve"> </w:t>
      </w:r>
      <w:r>
        <w:t xml:space="preserve">580-670</w:t>
      </w:r>
    </w:p>
    <w:p>
      <w:pPr>
        <w:pStyle w:val="BodyText"/>
      </w:pPr>
      <w:r>
        <w:t xml:space="preserve">680-775</w:t>
      </w:r>
      <w:r>
        <w:t xml:space="preserve"> </w:t>
      </w:r>
      <w:r>
        <w:t xml:space="preserve">2040</w:t>
      </w:r>
      <w:r>
        <w:t xml:space="preserve"> </w:t>
      </w:r>
      <w:r>
        <w:t xml:space="preserve">330-375</w:t>
      </w:r>
    </w:p>
    <w:p>
      <w:pPr>
        <w:pStyle w:val="BodyText"/>
      </w:pPr>
      <w:r>
        <w:t xml:space="preserve">420-465</w:t>
      </w:r>
      <w:r>
        <w:t xml:space="preserve"> </w:t>
      </w:r>
      <w:r>
        <w:t xml:space="preserve">LRF 2030-2035</w:t>
      </w:r>
      <w:r>
        <w:t xml:space="preserve"> </w:t>
      </w:r>
      <w:r>
        <w:t xml:space="preserve">3.1-2.3%</w:t>
      </w:r>
    </w:p>
    <w:p>
      <w:pPr>
        <w:pStyle w:val="BodyText"/>
      </w:pPr>
      <w:r>
        <w:t xml:space="preserve">3.1-2.3%</w:t>
      </w:r>
      <w:r>
        <w:t xml:space="preserve"> </w:t>
      </w:r>
      <w:r>
        <w:t xml:space="preserve">LRF 2036-2040</w:t>
      </w:r>
      <w:r>
        <w:t xml:space="preserve"> </w:t>
      </w:r>
      <w:r>
        <w:t xml:space="preserve">2.3-2.7%</w:t>
      </w:r>
    </w:p>
    <w:p>
      <w:pPr>
        <w:pStyle w:val="BodyText"/>
      </w:pPr>
      <w:r>
        <w:t xml:space="preserve">2.3-2.7%</w:t>
      </w:r>
      <w:r>
        <w:t xml:space="preserve"> </w:t>
      </w:r>
      <w:r>
        <w:t xml:space="preserve">Carbon Budget 2031-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6715-7335</w:t>
      </w:r>
    </w:p>
    <w:p>
      <w:pPr>
        <w:pStyle w:val="BodyText"/>
      </w:pPr>
      <w:r>
        <w:t xml:space="preserve">For maritime, the possible extension of the system to smaller ships (below 5000 gross tonnage</w:t>
      </w:r>
      <w:r>
        <w:t xml:space="preserve"> </w:t>
      </w:r>
      <w:r>
        <w:t xml:space="preserve">but not below 400 gross tonnage) would lead to a cap increase estimated at around 14,6 MtCO2</w:t>
      </w:r>
      <w:r>
        <w:t xml:space="preserve"> </w:t>
      </w:r>
      <w:r>
        <w:t xml:space="preserve">for PO3 (inclusion of all categories of ships).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ANNEX 8: PART II – REMOVALS</w:t>
      </w:r>
    </w:p>
    <w:p>
      <w:pPr>
        <w:pStyle w:val="BodyText"/>
      </w:pPr>
      <w:r>
        <w:t xml:space="preserve">LIST OF TABLES</w:t>
      </w:r>
      <w:r>
        <w:t xml:space="preserve"> </w:t>
      </w:r>
      <w:r>
        <w:t xml:space="preserve">Table 1:</w:t>
      </w:r>
      <w:r>
        <w:t xml:space="preserve"> </w:t>
      </w:r>
      <w:r>
        <w:t xml:space="preserve">Design of the measures ……………………………………………………………………………. 27</w:t>
      </w:r>
      <w:r>
        <w:t xml:space="preserve"> </w:t>
      </w:r>
      <w:r>
        <w:t xml:space="preserve">Table 2:</w:t>
      </w:r>
      <w:r>
        <w:t xml:space="preserve"> </w:t>
      </w:r>
      <w:r>
        <w:t xml:space="preserve">Summary of the net and gross emissions certainty in the measures: ………………. 29</w:t>
      </w:r>
      <w:r>
        <w:t xml:space="preserve"> </w:t>
      </w:r>
      <w:r>
        <w:t xml:space="preserve">Table 3:</w:t>
      </w:r>
      <w:r>
        <w:t xml:space="preserve"> </w:t>
      </w:r>
      <w:r>
        <w:t xml:space="preserve">Quantitative assumptions for the inclusion of CDR in the EU ETS in PRIMES</w:t>
      </w:r>
      <w:r>
        <w:t xml:space="preserve"> </w:t>
      </w:r>
      <w:r>
        <w:t xml:space="preserve">(EU) and POTEnCIA ………………………………………………………………………………………………… 33</w:t>
      </w:r>
      <w:r>
        <w:t xml:space="preserve"> </w:t>
      </w:r>
      <w:r>
        <w:t xml:space="preserve">Table 4:</w:t>
      </w:r>
      <w:r>
        <w:t xml:space="preserve"> </w:t>
      </w:r>
      <w:r>
        <w:t xml:space="preserve">Technology costs assumptions ………………………………………………………………….. 34</w:t>
      </w:r>
      <w:r>
        <w:t xml:space="preserve"> </w:t>
      </w:r>
      <w:r>
        <w:t xml:space="preserve">Table 5:</w:t>
      </w:r>
      <w:r>
        <w:t xml:space="preserve"> </w:t>
      </w:r>
      <w:r>
        <w:t xml:space="preserve">CDR technology cost estimates in Euros ……………………………………………………. 45</w:t>
      </w:r>
      <w:r>
        <w:t xml:space="preserve"> </w:t>
      </w:r>
      <w:r>
        <w:t xml:space="preserve">Table 6:</w:t>
      </w:r>
      <w:r>
        <w:t xml:space="preserve"> </w:t>
      </w:r>
      <w:r>
        <w:t xml:space="preserve">PRIMES CDR cost estimates……………………………………………………………………. 46</w:t>
      </w:r>
      <w:r>
        <w:t xml:space="preserve"> </w:t>
      </w:r>
      <w:r>
        <w:t xml:space="preserve">Table 7:</w:t>
      </w:r>
      <w:r>
        <w:t xml:space="preserve"> </w:t>
      </w:r>
      <w:r>
        <w:t xml:space="preserve">Comparison of measures against the baseline of no integration in the ETS (cap</w:t>
      </w:r>
      <w:r>
        <w:t xml:space="preserve"> </w:t>
      </w:r>
      <w:r>
        <w:t xml:space="preserve">tending towards absolute zero). ………………………………………………………………………………….. 56</w:t>
      </w:r>
      <w:r>
        <w:t xml:space="preserve"> </w:t>
      </w:r>
      <w:r>
        <w:t xml:space="preserve">Table 8:</w:t>
      </w:r>
      <w:r>
        <w:t xml:space="preserve"> </w:t>
      </w:r>
      <w:r>
        <w:t xml:space="preserve">Overview of criteria applied to different domestic carbon removal activities ….. 68</w:t>
      </w:r>
      <w:r>
        <w:t xml:space="preserve"> </w:t>
      </w:r>
      <w:r>
        <w:t xml:space="preserve">Table 9:</w:t>
      </w:r>
      <w:r>
        <w:t xml:space="preserve"> </w:t>
      </w:r>
      <w:r>
        <w:t xml:space="preserve">Purchase timing strengths and weaknesses …………………………………………………. 81</w:t>
      </w:r>
      <w:r>
        <w:t xml:space="preserve"> </w:t>
      </w:r>
      <w:r>
        <w:t xml:space="preserve">Table 10:</w:t>
      </w:r>
      <w:r>
        <w:t xml:space="preserve"> </w:t>
      </w:r>
      <w:r>
        <w:t xml:space="preserve">Purchase methods: strengths and weaknesses……………………………………………… 83</w:t>
      </w:r>
    </w:p>
    <w:p>
      <w:pPr>
        <w:pStyle w:val="BodyText"/>
      </w:pPr>
      <w:r>
        <w:t xml:space="preserve">LIST OF FIGURES</w:t>
      </w:r>
      <w:r>
        <w:t xml:space="preserve"> </w:t>
      </w:r>
      <w:r>
        <w:t xml:space="preserve">Figure 1:</w:t>
      </w:r>
      <w:r>
        <w:t xml:space="preserve"> </w:t>
      </w:r>
      <w:r>
        <w:t xml:space="preserve">Relationship of CDR with the cap in the measures ……………………………………… 29</w:t>
      </w:r>
      <w:r>
        <w:t xml:space="preserve"> </w:t>
      </w:r>
      <w:r>
        <w:t xml:space="preserve">Figure 2:</w:t>
      </w:r>
      <w:r>
        <w:t xml:space="preserve"> </w:t>
      </w:r>
      <w:r>
        <w:t xml:space="preserve">Dimensions for the inclusion of removals in ETSs ……………………………………… 30</w:t>
      </w:r>
      <w:r>
        <w:t xml:space="preserve"> </w:t>
      </w:r>
      <w:r>
        <w:t xml:space="preserve">Figure 3:</w:t>
      </w:r>
      <w:r>
        <w:t xml:space="preserve"> </w:t>
      </w:r>
      <w:r>
        <w:t xml:space="preserve">Cumulative PRIMES and POTEnCIA average costs …………………………………… 45</w:t>
      </w:r>
      <w:r>
        <w:t xml:space="preserve"> </w:t>
      </w:r>
      <w:r>
        <w:t xml:space="preserve">Figure 4:</w:t>
      </w:r>
      <w:r>
        <w:t xml:space="preserve"> </w:t>
      </w:r>
      <w:r>
        <w:t xml:space="preserve">PRIMES and POTEnCIA revenue generation from removal-backed allowances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Figure 5:</w:t>
      </w:r>
      <w:r>
        <w:t xml:space="preserve"> </w:t>
      </w:r>
      <w:r>
        <w:t xml:space="preserve">Final fiscal costs in PRIMES and POTEnCIA ……………………………………………. 47</w:t>
      </w:r>
      <w:r>
        <w:t xml:space="preserve"> </w:t>
      </w:r>
      <w:r>
        <w:t xml:space="preserve">Figure 6:</w:t>
      </w:r>
      <w:r>
        <w:t xml:space="preserve"> </w:t>
      </w:r>
      <w:r>
        <w:t xml:space="preserve">Net emissions formula for CDR under the CRCF ……………………………………….. 69</w:t>
      </w:r>
      <w:r>
        <w:t xml:space="preserve"> </w:t>
      </w:r>
      <w:r>
        <w:t xml:space="preserve">Figure 7:</w:t>
      </w:r>
      <w:r>
        <w:t xml:space="preserve"> </w:t>
      </w:r>
      <w:r>
        <w:t xml:space="preserve">Emissions included in life-cycle emissions calculation ………………………………… 69</w:t>
      </w:r>
      <w:r>
        <w:t xml:space="preserve"> </w:t>
      </w:r>
      <w:r>
        <w:t xml:space="preserve">Figure 8:</w:t>
      </w:r>
      <w:r>
        <w:t xml:space="preserve"> </w:t>
      </w:r>
      <w:r>
        <w:t xml:space="preserve">Stage-gate approach with three governance stages of integrating CDR into the EU</w:t>
      </w:r>
      <w:r>
        <w:t xml:space="preserve"> </w:t>
      </w:r>
      <w:r>
        <w:t xml:space="preserve">ETS</w:t>
      </w:r>
      <w:r>
        <w:t xml:space="preserve"> </w:t>
      </w:r>
      <w:r>
        <w:t xml:space="preserve">80</w:t>
      </w:r>
    </w:p>
    <w:p>
      <w:pPr>
        <w:pStyle w:val="BodyText"/>
      </w:pPr>
      <w:r>
        <w:t xml:space="preserve">23</w:t>
      </w:r>
    </w:p>
    <w:p>
      <w:pPr>
        <w:pStyle w:val="Compact"/>
        <w:numPr>
          <w:ilvl w:val="0"/>
          <w:numId w:val="1004"/>
        </w:numPr>
      </w:pPr>
      <w:r>
        <w:t xml:space="preserve">INTRODUCTION</w:t>
      </w:r>
      <w:r>
        <w:t xml:space="preserve"> </w:t>
      </w:r>
      <w:r>
        <w:t xml:space="preserve">1.1. Context of the assessment of the integration of domestic carbon removals in the EU</w:t>
      </w:r>
      <w:r>
        <w:t xml:space="preserve"> </w:t>
      </w:r>
      <w:r>
        <w:t xml:space="preserve">ETS</w:t>
      </w:r>
      <w:r>
        <w:t xml:space="preserve"> </w:t>
      </w:r>
      <w:r>
        <w:t xml:space="preserve">Reaching the EU economy-wide net-zero target by 2050 will require significant GHG</w:t>
      </w:r>
      <w:r>
        <w:t xml:space="preserve"> </w:t>
      </w:r>
      <w:r>
        <w:t xml:space="preserve">emission reduction efforts by all sectors. There will, however, be residual hard-to-abate</w:t>
      </w:r>
      <w:r>
        <w:t xml:space="preserve"> </w:t>
      </w:r>
      <w:r>
        <w:t xml:space="preserve">emissions remaining in the EU economy. In accordance with the European Climate Law, these</w:t>
      </w:r>
      <w:r>
        <w:t xml:space="preserve"> </w:t>
      </w:r>
      <w:r>
        <w:t xml:space="preserve">emissions will have to be balanced out with carbon removals in order to achieve climate</w:t>
      </w:r>
      <w:r>
        <w:t xml:space="preserve"> </w:t>
      </w:r>
      <w:r>
        <w:t xml:space="preserve">neutrality at the latest by 2050, thus reducing emissions to net zero by that date, and negative</w:t>
      </w:r>
      <w:r>
        <w:t xml:space="preserve"> </w:t>
      </w:r>
      <w:r>
        <w:t xml:space="preserve">emissions thereafter. This sequential role for removals is aligned with view of the European</w:t>
      </w:r>
      <w:r>
        <w:t xml:space="preserve"> </w:t>
      </w:r>
      <w:r>
        <w:t xml:space="preserve">Advisory Board on Climate Change and the IPCC. They emphasise, that whereas removals</w:t>
      </w:r>
      <w:r>
        <w:t xml:space="preserve"> </w:t>
      </w:r>
      <w:r>
        <w:t xml:space="preserve">cannot substitute deep emission reductions, they can fulfil different, complementary roles, at</w:t>
      </w:r>
      <w:r>
        <w:t xml:space="preserve"> </w:t>
      </w:r>
      <w:r>
        <w:t xml:space="preserve">different points in time5.</w:t>
      </w:r>
      <w:r>
        <w:br/>
      </w:r>
      <w:r>
        <w:t xml:space="preserve">Carbon removals are thus introduced as a flexibility for the near-term in the European</w:t>
      </w:r>
      <w:r>
        <w:t xml:space="preserve"> </w:t>
      </w:r>
      <w:r>
        <w:t xml:space="preserve">Climate Law to allow the EU to reach its 2040 climate target in a more cost-efficient way, as</w:t>
      </w:r>
      <w:r>
        <w:t xml:space="preserve"> </w:t>
      </w:r>
      <w:r>
        <w:t xml:space="preserve">some emissions will be more cost-efficient to offset through removals than to abate. In</w:t>
      </w:r>
      <w:r>
        <w:t xml:space="preserve"> </w:t>
      </w:r>
      <w:r>
        <w:t xml:space="preserve">particular, they can contribute to compensate remaining hard-to-abate GHG in sectors covered</w:t>
      </w:r>
      <w:r>
        <w:t xml:space="preserve"> </w:t>
      </w:r>
      <w:r>
        <w:t xml:space="preserve">by the EU ETS. In that context, the EU ETS should contribute to their uptake and financing,</w:t>
      </w:r>
      <w:r>
        <w:t xml:space="preserve"> </w:t>
      </w:r>
      <w:r>
        <w:t xml:space="preserve">including because they can be generated by activities already under the EU ETS. Foregoing</w:t>
      </w:r>
      <w:r>
        <w:t xml:space="preserve"> </w:t>
      </w:r>
      <w:r>
        <w:t xml:space="preserve">the flexibility provided by carbon removals would be at the cost of the EU’s competitiveness</w:t>
      </w:r>
      <w:r>
        <w:t xml:space="preserve"> </w:t>
      </w:r>
      <w:r>
        <w:t xml:space="preserve">and the environment, while the integration of removals can support competitiveness by keeping</w:t>
      </w:r>
      <w:r>
        <w:t xml:space="preserve"> </w:t>
      </w:r>
      <w:r>
        <w:t xml:space="preserve">an EU ETS with a positive cap.</w:t>
      </w:r>
      <w:r>
        <w:br/>
      </w:r>
      <w:r>
        <w:t xml:space="preserve">As the EU ETS cap reduces, the system may face a number of challenges that the</w:t>
      </w:r>
      <w:r>
        <w:t xml:space="preserve"> </w:t>
      </w:r>
      <w:r>
        <w:t xml:space="preserve">integration of removals can address. The market for EUAs will be smaller, therefore possibly</w:t>
      </w:r>
      <w:r>
        <w:t xml:space="preserve"> </w:t>
      </w:r>
      <w:r>
        <w:t xml:space="preserve">more volatile and with a lack of effective price discovery in the EU ETS, potentially</w:t>
      </w:r>
      <w:r>
        <w:t xml:space="preserve"> </w:t>
      </w:r>
      <w:r>
        <w:t xml:space="preserve">undermining the effectiveness (and credibility) of the system (P2). As emissions across Europe</w:t>
      </w:r>
      <w:r>
        <w:t xml:space="preserve"> </w:t>
      </w:r>
      <w:r>
        <w:t xml:space="preserve">are reduced, the remaining abatement potential of ETS covered entities naturally decreases and</w:t>
      </w:r>
      <w:r>
        <w:t xml:space="preserve"> </w:t>
      </w:r>
      <w:r>
        <w:t xml:space="preserve">becomes more expensive. As the cap and abatement potential decreases, EUA prices could</w:t>
      </w:r>
      <w:r>
        <w:t xml:space="preserve"> </w:t>
      </w:r>
      <w:r>
        <w:t xml:space="preserve">become very high, in turn undermining political support for the system (P1).</w:t>
      </w:r>
      <w:r>
        <w:br/>
      </w:r>
      <w:r>
        <w:t xml:space="preserve">Removals could, together with other adjustments to the system such as on the cap and MSR,</w:t>
      </w:r>
      <w:r>
        <w:t xml:space="preserve"> </w:t>
      </w:r>
      <w:r>
        <w:t xml:space="preserve">contribute to cost containment and improving liquidity in the EU ETS as its cap shrinks, in</w:t>
      </w:r>
      <w:r>
        <w:t xml:space="preserve"> </w:t>
      </w:r>
      <w:r>
        <w:t xml:space="preserve">addition to providing an avenue to incentivise the development and deployment of nascent</w:t>
      </w:r>
      <w:r>
        <w:t xml:space="preserve"> </w:t>
      </w:r>
      <w:r>
        <w:t xml:space="preserve">negative emissions technologies. From this perspective, removals contribute to the objectives</w:t>
      </w:r>
      <w:r>
        <w:t xml:space="preserve"> </w:t>
      </w:r>
      <w:r>
        <w:t xml:space="preserve">of increasing additional gross emissions space without increasing overall net emissions (O1.2)</w:t>
      </w:r>
      <w:r>
        <w:t xml:space="preserve"> </w:t>
      </w:r>
      <w:r>
        <w:t xml:space="preserve">and of avoiding carbon leakage (SO.1.1.3); and to the objective of increasing the size of the</w:t>
      </w:r>
      <w:r>
        <w:t xml:space="preserve"> </w:t>
      </w:r>
      <w:r>
        <w:t xml:space="preserve">market (SO2.1.1.) to ensure efficient market functioning (O2.1). As a result, this impact</w:t>
      </w:r>
      <w:r>
        <w:t xml:space="preserve"> </w:t>
      </w:r>
      <w:r>
        <w:t xml:space="preserve">assessment does not consider measures in which the ETS sets a cap at the level of the net target</w:t>
      </w:r>
    </w:p>
    <w:p>
      <w:pPr>
        <w:pStyle w:val="FirstParagraph"/>
      </w:pPr>
      <w:r>
        <w:t xml:space="preserve">5</w:t>
      </w:r>
      <w:r>
        <w:br/>
      </w:r>
      <w:r>
        <w:t xml:space="preserve">IPCC, 2022e, ‘Chapter 3: Mitigation Pathways Compatible with Long-term Goals’, in: Climate Change 2022:</w:t>
      </w:r>
      <w:r>
        <w:t xml:space="preserve"> </w:t>
      </w:r>
      <w:r>
        <w:t xml:space="preserve">Mitigation of Climate Change. Contribution of Working Group III to the Sixth Assessment Report of the</w:t>
      </w:r>
      <w:r>
        <w:t xml:space="preserve"> </w:t>
      </w:r>
      <w:r>
        <w:t xml:space="preserve">Intergovernmental Panel on Climate Change, and “Scaling up carbon dioxide removals – Recommendations</w:t>
      </w:r>
      <w:r>
        <w:t xml:space="preserve"> </w:t>
      </w:r>
      <w:r>
        <w:t xml:space="preserve">for navigating opportunities and risks in the EU” from the European Scientific Advisory Board on Climate</w:t>
      </w:r>
      <w:r>
        <w:t xml:space="preserve"> </w:t>
      </w:r>
      <w:r>
        <w:t xml:space="preserve">Change.</w:t>
      </w:r>
    </w:p>
    <w:p>
      <w:pPr>
        <w:pStyle w:val="BodyText"/>
      </w:pPr>
      <w:r>
        <w:t xml:space="preserve">In the near term, removals can further reduce net GHG emissions. This would accelerate the transition to net</w:t>
      </w:r>
      <w:r>
        <w:t xml:space="preserve"> </w:t>
      </w:r>
      <w:r>
        <w:t xml:space="preserve">zero and reduce cumulative emissions before reaching, thereby reducing peak warming, the risk of tipping</w:t>
      </w:r>
      <w:r>
        <w:t xml:space="preserve"> </w:t>
      </w:r>
      <w:r>
        <w:t xml:space="preserve">points and irreversible climate impacts. In the medium term, they are needed to counterbalance residual CO2</w:t>
      </w:r>
      <w:r>
        <w:t xml:space="preserve"> </w:t>
      </w:r>
      <w:r>
        <w:t xml:space="preserve">emissions to halt CO2-induced warming. Thereafter, achieving and sustaining net-negative CO2 emissions</w:t>
      </w:r>
      <w:r>
        <w:t xml:space="preserve"> </w:t>
      </w:r>
      <w:r>
        <w:t xml:space="preserve">to achieve overall net zero greenhouse GHG emissions would reverse warming in the medium-term. In the</w:t>
      </w:r>
      <w:r>
        <w:t xml:space="preserve"> </w:t>
      </w:r>
      <w:r>
        <w:t xml:space="preserve">longer term, removals might be needed to sustain overall net-negative GHG emissions, to further reduce</w:t>
      </w:r>
      <w:r>
        <w:t xml:space="preserve"> </w:t>
      </w:r>
      <w:r>
        <w:t xml:space="preserve">global temperatures.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and includes removals under the cap – often called ‘maintaining the cap’ – which would not</w:t>
      </w:r>
      <w:r>
        <w:t xml:space="preserve"> </w:t>
      </w:r>
      <w:r>
        <w:t xml:space="preserve">provide additional emissions space and instead increase ambition’.</w:t>
      </w:r>
      <w:r>
        <w:t xml:space="preserve"> </w:t>
      </w:r>
      <w:r>
        <w:t xml:space="preserve">In the long-run, removals may become a cost-optimal solution for residual hard-to-abate</w:t>
      </w:r>
      <w:r>
        <w:t xml:space="preserve"> </w:t>
      </w:r>
      <w:r>
        <w:t xml:space="preserve">emissions in the ETS. Nevertheless, the current price-difference between removals and</w:t>
      </w:r>
      <w:r>
        <w:t xml:space="preserve"> </w:t>
      </w:r>
      <w:r>
        <w:t xml:space="preserve">EUAs means that removals will need to be supported, to ensure their generation in line with</w:t>
      </w:r>
      <w:r>
        <w:t xml:space="preserve"> </w:t>
      </w:r>
      <w:r>
        <w:t xml:space="preserve">the additional emission space that is considered in the ETS. Therefore, from an ETS</w:t>
      </w:r>
      <w:r>
        <w:t xml:space="preserve"> </w:t>
      </w:r>
      <w:r>
        <w:t xml:space="preserve">perspective, a central question is how much space is assigned to the ETS and how removals</w:t>
      </w:r>
      <w:r>
        <w:t xml:space="preserve"> </w:t>
      </w:r>
      <w:r>
        <w:t xml:space="preserve">are paid for. If the Union aims to grant the ETS-sectors the additional space to emit (via a</w:t>
      </w:r>
      <w:r>
        <w:t xml:space="preserve"> </w:t>
      </w:r>
      <w:r>
        <w:t xml:space="preserve">higher cap) but removals are not integrated in the EU ETS or financed from auction revenues,</w:t>
      </w:r>
      <w:r>
        <w:t xml:space="preserve"> </w:t>
      </w:r>
      <w:r>
        <w:t xml:space="preserve">then other sectors or the public budget will need to finance the purchase of removals (for</w:t>
      </w:r>
      <w:r>
        <w:t xml:space="preserve"> </w:t>
      </w:r>
      <w:r>
        <w:t xml:space="preserve">example through a separate purchasing programme or a ‘removals trading system’6). Those</w:t>
      </w:r>
      <w:r>
        <w:t xml:space="preserve"> </w:t>
      </w:r>
      <w:r>
        <w:t xml:space="preserve">measures are discarded in 2.2. In a trajectory towards climate neutrality, it is considered fair</w:t>
      </w:r>
      <w:r>
        <w:t xml:space="preserve"> </w:t>
      </w:r>
      <w:r>
        <w:t xml:space="preserve">that each policy instrument is made responsible for its own emissions space to the degree</w:t>
      </w:r>
      <w:r>
        <w:t xml:space="preserve"> </w:t>
      </w:r>
      <w:r>
        <w:t xml:space="preserve">possible. This is also closest to the polluter pays principle.</w:t>
      </w:r>
      <w:r>
        <w:br/>
      </w:r>
      <w:r>
        <w:t xml:space="preserve">Looking beyond 2040, alternative or complementary mechanisms to generate removals need</w:t>
      </w:r>
      <w:r>
        <w:t xml:space="preserve"> </w:t>
      </w:r>
      <w:r>
        <w:t xml:space="preserve">to be developed to reach net-zero in 2050 and net-negative emissions afterwards (beyond the</w:t>
      </w:r>
      <w:r>
        <w:t xml:space="preserve"> </w:t>
      </w:r>
      <w:r>
        <w:t xml:space="preserve">emissions still happening and that are offset by the emitting activities. See some examples in</w:t>
      </w:r>
      <w:r>
        <w:t xml:space="preserve"> </w:t>
      </w:r>
      <w:r>
        <w:t xml:space="preserve">the section on measures which are discarded for this initiative, but which could be essential in</w:t>
      </w:r>
      <w:r>
        <w:t xml:space="preserve"> </w:t>
      </w:r>
      <w:r>
        <w:t xml:space="preserve">the future in section 1.2.2.</w:t>
      </w:r>
      <w:r>
        <w:br/>
      </w:r>
      <w:r>
        <w:t xml:space="preserve">This impact assessment assumes that:</w:t>
      </w:r>
      <w:r>
        <w:t xml:space="preserve"> </w:t>
      </w:r>
      <w:r>
        <w:t xml:space="preserve">• The EU ETS sectors are benefitting from the additional emissions space provided</w:t>
      </w:r>
      <w:r>
        <w:t xml:space="preserve"> </w:t>
      </w:r>
      <w:r>
        <w:t xml:space="preserve">by the removals that can be integrated in the system because they meet the</w:t>
      </w:r>
      <w:r>
        <w:t xml:space="preserve"> </w:t>
      </w:r>
      <w:r>
        <w:t xml:space="preserve">minimum requirements for such integration set out in section 3. These are all the</w:t>
      </w:r>
      <w:r>
        <w:t xml:space="preserve"> </w:t>
      </w:r>
      <w:r>
        <w:t xml:space="preserve">BioCCS and DACCCS removals that are modelled. As a result, these removals are</w:t>
      </w:r>
      <w:r>
        <w:t xml:space="preserve"> </w:t>
      </w:r>
      <w:r>
        <w:t xml:space="preserve">assumed not to be available to contribute to other sectors’ ambition level. The minimum</w:t>
      </w:r>
      <w:r>
        <w:t xml:space="preserve"> </w:t>
      </w:r>
      <w:r>
        <w:t xml:space="preserve">requirements for integration are developed from the basic idea that the surrendering of</w:t>
      </w:r>
      <w:r>
        <w:t xml:space="preserve"> </w:t>
      </w:r>
      <w:r>
        <w:t xml:space="preserve">a removal unit replaces the surrendering of an emission allowance, which represents</w:t>
      </w:r>
      <w:r>
        <w:t xml:space="preserve"> </w:t>
      </w:r>
      <w:r>
        <w:t xml:space="preserve">the payment of the price for having emitted a tonne of CO2. Therefore, a removal unit</w:t>
      </w:r>
      <w:r>
        <w:t xml:space="preserve"> </w:t>
      </w:r>
      <w:r>
        <w:t xml:space="preserve">needs to cancel out fully and permanently the effect of having emitted one tonne of</w:t>
      </w:r>
      <w:r>
        <w:t xml:space="preserve"> </w:t>
      </w:r>
      <w:r>
        <w:t xml:space="preserve">CO2, to replace having to pay for that tonne of CO2.</w:t>
      </w:r>
      <w:r>
        <w:t xml:space="preserve"> </w:t>
      </w:r>
      <w:r>
        <w:t xml:space="preserve">• The net target of the ETS is the equivalent of the gross emissions minus the</w:t>
      </w:r>
      <w:r>
        <w:t xml:space="preserve"> </w:t>
      </w:r>
      <w:r>
        <w:t xml:space="preserve">removals that are subject to integration.</w:t>
      </w:r>
      <w:r>
        <w:br/>
      </w:r>
      <w:r>
        <w:t xml:space="preserve">• The EU ETS must ensure that an amount of removals equivalent to those it counts</w:t>
      </w:r>
      <w:r>
        <w:t xml:space="preserve"> </w:t>
      </w:r>
      <w:r>
        <w:t xml:space="preserve">on for extra space is generated through the integration:</w:t>
      </w:r>
      <w:r>
        <w:t xml:space="preserve"> </w:t>
      </w:r>
      <w:r>
        <w:t xml:space="preserve">o to ensure that ETS achieves its net contribution to the EU target7 and</w:t>
      </w:r>
      <w:r>
        <w:br/>
      </w:r>
      <w:r>
        <w:t xml:space="preserve">o to ensure that the ETS sectors have the emissions space that is represented by</w:t>
      </w:r>
      <w:r>
        <w:t xml:space="preserve"> </w:t>
      </w:r>
      <w:r>
        <w:t xml:space="preserve">the relevant removals8, ultimately to avoid carbon leakage and protect the EU’s</w:t>
      </w:r>
      <w:r>
        <w:t xml:space="preserve"> </w:t>
      </w:r>
      <w:r>
        <w:t xml:space="preserve">competitiveness.</w:t>
      </w:r>
    </w:p>
    <w:p>
      <w:pPr>
        <w:pStyle w:val="BodyText"/>
      </w:pPr>
      <w:r>
        <w:t xml:space="preserve">6</w:t>
      </w:r>
      <w:r>
        <w:br/>
      </w:r>
      <w:r>
        <w:t xml:space="preserve">In this case ‘removals trading system’ refers to a system based on an obligation to remove carbon imposed</w:t>
      </w:r>
      <w:r>
        <w:t xml:space="preserve"> </w:t>
      </w:r>
      <w:r>
        <w:t xml:space="preserve">on different entities, or partly different entities, from those in the ETS1, and where the obligation is not</w:t>
      </w:r>
      <w:r>
        <w:t xml:space="preserve"> </w:t>
      </w:r>
      <w:r>
        <w:t xml:space="preserve">connected to the emissions produced under the ETS1.</w:t>
      </w:r>
      <w:r>
        <w:t xml:space="preserve"> </w:t>
      </w:r>
      <w:r>
        <w:t xml:space="preserve">7</w:t>
      </w:r>
      <w:r>
        <w:br/>
      </w:r>
      <w:r>
        <w:t xml:space="preserve">In those integration models in which the emissions space is guaranteed (1-in-1-out/MSR/public authority- see</w:t>
      </w:r>
      <w:r>
        <w:t xml:space="preserve"> </w:t>
      </w:r>
      <w:r>
        <w:t xml:space="preserve">section 2.1 for detailed description) financing removals will still be essential, in that case to ensure the</w:t>
      </w:r>
      <w:r>
        <w:t xml:space="preserve"> </w:t>
      </w:r>
      <w:r>
        <w:t xml:space="preserve">removals are purchased to compensate for the additional emissions that are issued, so the ETS achieves its</w:t>
      </w:r>
      <w:r>
        <w:t xml:space="preserve"> </w:t>
      </w:r>
      <w:r>
        <w:t xml:space="preserve">net target.</w:t>
      </w:r>
      <w:r>
        <w:t xml:space="preserve"> </w:t>
      </w:r>
      <w:r>
        <w:t xml:space="preserve">8</w:t>
      </w:r>
      <w:r>
        <w:br/>
      </w:r>
      <w:r>
        <w:t xml:space="preserve">If not subsidised, in the integration options on top of the cap (see section 2.1 for full description) the ETS</w:t>
      </w:r>
      <w:r>
        <w:t xml:space="preserve"> </w:t>
      </w:r>
      <w:r>
        <w:t xml:space="preserve">sectors will have the same emission space they would have without removals in the economy, as only few</w:t>
      </w:r>
      <w:r>
        <w:t xml:space="preserve"> </w:t>
      </w:r>
      <w:r>
        <w:t xml:space="preserve">BECCS removals would be purchased in the late 2030s (see Table 3).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• Financing measures will need to be developed to that effect, taking into account the</w:t>
      </w:r>
      <w:r>
        <w:t xml:space="preserve"> </w:t>
      </w:r>
      <w:r>
        <w:t xml:space="preserve">price differential between carbon removals and EUAs.</w:t>
      </w:r>
      <w:r>
        <w:t xml:space="preserve"> </w:t>
      </w:r>
      <w:r>
        <w:t xml:space="preserve">1.2. Considerations for the assessment of the integration</w:t>
      </w:r>
      <w:r>
        <w:t xml:space="preserve"> </w:t>
      </w:r>
      <w:r>
        <w:t xml:space="preserve">The inclusion of carbon removals is subject to several challenges, such as the risk that necessary</w:t>
      </w:r>
      <w:r>
        <w:t xml:space="preserve"> </w:t>
      </w:r>
      <w:r>
        <w:t xml:space="preserve">abatement action be delayed or replaced by removals (also known as ‘abatement deterrence’).</w:t>
      </w:r>
      <w:r>
        <w:t xml:space="preserve"> </w:t>
      </w:r>
      <w:r>
        <w:t xml:space="preserve">A second challenge concerns the need to ensure that carbon removals are permanent and</w:t>
      </w:r>
      <w:r>
        <w:t xml:space="preserve"> </w:t>
      </w:r>
      <w:r>
        <w:t xml:space="preserve">appropriately quantified. Article 30(5) of the ETS Directive requires that the Commission</w:t>
      </w:r>
      <w:r>
        <w:t xml:space="preserve"> </w:t>
      </w:r>
      <w:r>
        <w:t xml:space="preserve">report on how negative emissions resulting from GHG emissions that are removed from the</w:t>
      </w:r>
      <w:r>
        <w:t xml:space="preserve"> </w:t>
      </w:r>
      <w:r>
        <w:t xml:space="preserve">atmosphere and safely and permanently stored (see section 1.3 on definitions different types of</w:t>
      </w:r>
      <w:r>
        <w:t xml:space="preserve"> </w:t>
      </w:r>
      <w:r>
        <w:t xml:space="preserve">removal activities) could be accounted for and how those negative emissions could be covered,</w:t>
      </w:r>
      <w:r>
        <w:t xml:space="preserve"> </w:t>
      </w:r>
      <w:r>
        <w:t xml:space="preserve">if appropriate, by emissions trading. This consideration needs to include (a) a clear scope, (b)</w:t>
      </w:r>
      <w:r>
        <w:t xml:space="preserve"> </w:t>
      </w:r>
      <w:r>
        <w:t xml:space="preserve">strict criteria for any such trading, and (c) safeguards to ensure that carbon removals do not</w:t>
      </w:r>
      <w:r>
        <w:t xml:space="preserve"> </w:t>
      </w:r>
      <w:r>
        <w:t xml:space="preserve">reduce the incentive to reduce emissions as required by the EU Climate Law.9</w:t>
      </w:r>
      <w:r>
        <w:br/>
      </w:r>
      <w:r>
        <w:t xml:space="preserve">The Commission has developed the Carbon Removal and Carbon Farming (CRCF) Regulation</w:t>
      </w:r>
      <w:r>
        <w:t xml:space="preserve"> </w:t>
      </w:r>
      <w:r>
        <w:t xml:space="preserve">(EU) 2024/3012, which entered into force in December 2024.10 The CRCF Regulation aims to</w:t>
      </w:r>
      <w:r>
        <w:t xml:space="preserve"> </w:t>
      </w:r>
      <w:r>
        <w:t xml:space="preserve">create an EU-wide voluntary framework for certifying different types of carbon removal</w:t>
      </w:r>
      <w:r>
        <w:t xml:space="preserve"> </w:t>
      </w:r>
      <w:r>
        <w:t xml:space="preserve">activities across Europe. Certified removal units will be issued for carbon removal activities</w:t>
      </w:r>
      <w:r>
        <w:t xml:space="preserve"> </w:t>
      </w:r>
      <w:r>
        <w:t xml:space="preserve">that take place within the EU. The Commission has developed the methodologies to quantify</w:t>
      </w:r>
      <w:r>
        <w:t xml:space="preserve"> </w:t>
      </w:r>
      <w:r>
        <w:t xml:space="preserve">and certify the carbon removals associated with three types of activities (BioCCS, DACCS and</w:t>
      </w:r>
      <w:r>
        <w:t xml:space="preserve"> </w:t>
      </w:r>
      <w:r>
        <w:t xml:space="preserve">Biochar), adopted in a Delegated Act on 2 February 202611.</w:t>
      </w:r>
      <w:r>
        <w:br/>
      </w:r>
      <w:r>
        <w:t xml:space="preserve">Units issued under the CRCF will be issued for permanent carbon removals, carbon storage in</w:t>
      </w:r>
      <w:r>
        <w:t xml:space="preserve"> </w:t>
      </w:r>
      <w:r>
        <w:t xml:space="preserve">products, carbon farming sequestration and, in addition, for soil emission reductions (which do</w:t>
      </w:r>
      <w:r>
        <w:t xml:space="preserve"> </w:t>
      </w:r>
      <w:r>
        <w:t xml:space="preserve">not represent removals but sit within the same framework). The CRCF is only a voluntary</w:t>
      </w:r>
      <w:r>
        <w:t xml:space="preserve"> </w:t>
      </w:r>
      <w:r>
        <w:t xml:space="preserve">certification framework ensuring the quality of carbon removals and would require a clear</w:t>
      </w:r>
      <w:r>
        <w:t xml:space="preserve"> </w:t>
      </w:r>
      <w:r>
        <w:t xml:space="preserve">source of demand for these certified units to help to incentivise and drive the development of</w:t>
      </w:r>
      <w:r>
        <w:t xml:space="preserve"> </w:t>
      </w:r>
      <w:r>
        <w:t xml:space="preserve">carbon removal activities. The EU ETS could be that clear source of demand if CRCF-certified</w:t>
      </w:r>
      <w:r>
        <w:t xml:space="preserve"> </w:t>
      </w:r>
      <w:r>
        <w:t xml:space="preserve">permanent carbon removals are integrated in the system.</w:t>
      </w:r>
      <w:r>
        <w:br/>
      </w:r>
      <w:r>
        <w:t xml:space="preserve">In the open public consultation, 77% of respondents, mainly companies/businesses and</w:t>
      </w:r>
      <w:r>
        <w:t xml:space="preserve"> </w:t>
      </w:r>
      <w:r>
        <w:t xml:space="preserve">business associations, disagreed or strongly disagreed with the statement “Removals certified</w:t>
      </w:r>
      <w:r>
        <w:t xml:space="preserve"> </w:t>
      </w:r>
      <w:r>
        <w:t xml:space="preserve">under the CRCF should NOT be allowed for use by ETS1 regulated entities towards their</w:t>
      </w:r>
      <w:r>
        <w:t xml:space="preserve"> </w:t>
      </w:r>
      <w:r>
        <w:t xml:space="preserve">compliance obligations”. There is thus very strong support among public consultation</w:t>
      </w:r>
      <w:r>
        <w:t xml:space="preserve"> </w:t>
      </w:r>
      <w:r>
        <w:t xml:space="preserve">respondents to the integration of CDR in the EU ETS. In their answers, respondents in favour</w:t>
      </w:r>
      <w:r>
        <w:t xml:space="preserve"> </w:t>
      </w:r>
      <w:r>
        <w:t xml:space="preserve">of CDR inclusion most frequently mentioned the need for CDR in order to achieve the EU’s</w:t>
      </w:r>
      <w:r>
        <w:t xml:space="preserve"> </w:t>
      </w:r>
      <w:r>
        <w:t xml:space="preserve">long-term climate objective, in addition to the need to support the development and deployment</w:t>
      </w:r>
      <w:r>
        <w:t xml:space="preserve"> </w:t>
      </w:r>
      <w:r>
        <w:t xml:space="preserve">of such technologies, enhancing liquidity under the EU ETS and flexibility for operators in</w:t>
      </w:r>
      <w:r>
        <w:t xml:space="preserve"> </w:t>
      </w:r>
      <w:r>
        <w:t xml:space="preserve">how to best achieve compliance. Those against the inclusion of CDR in the EU ETS (12%)</w:t>
      </w:r>
      <w:r>
        <w:t xml:space="preserve"> </w:t>
      </w:r>
      <w:r>
        <w:t xml:space="preserve">mentioned concerns over abatement deterrence as well as the environmental risks associated</w:t>
      </w:r>
      <w:r>
        <w:t xml:space="preserve"> </w:t>
      </w:r>
      <w:r>
        <w:t xml:space="preserve">with CDR that could undermine the environmental integrity of the EU ETS. In addition, during</w:t>
      </w:r>
      <w:r>
        <w:t xml:space="preserve"> </w:t>
      </w:r>
      <w:r>
        <w:t xml:space="preserve">the stakeholder interviews, one of the market observers supported the need to scale up CDR</w:t>
      </w:r>
    </w:p>
    <w:p>
      <w:pPr>
        <w:pStyle w:val="BodyText"/>
      </w:pPr>
      <w:r>
        <w:t xml:space="preserve">9</w:t>
      </w:r>
      <w:r>
        <w:br/>
      </w:r>
      <w:r>
        <w:t xml:space="preserve">DIRECTIVE (EU) 2023/959 OF THE EUROPEAN PARLIAMENT AND OF THE COUNCIL amending</w:t>
      </w:r>
      <w:r>
        <w:t xml:space="preserve"> </w:t>
      </w:r>
      <w:r>
        <w:t xml:space="preserve">Directive 2003/87/EC establishing a system for greenhouse gas emission allowance trading within the Union</w:t>
      </w:r>
      <w:r>
        <w:t xml:space="preserve"> </w:t>
      </w:r>
      <w:r>
        <w:t xml:space="preserve">and Decision (EU) 2015/1814 concerning the establishment and operation of a market stability reserve for</w:t>
      </w:r>
      <w:r>
        <w:t xml:space="preserve"> </w:t>
      </w:r>
      <w:r>
        <w:t xml:space="preserve">the Union greenhouse gas emission trading system</w:t>
      </w:r>
      <w:r>
        <w:t xml:space="preserve"> </w:t>
      </w:r>
      <w:r>
        <w:t xml:space="preserve">10 CRCF Regulation 2024/3012 https://eur-lex.europa.eu/legal-content/EN/TXT/?uri=OJ:L_202403012</w:t>
      </w:r>
      <w:r>
        <w:br/>
      </w:r>
      <w:r>
        <w:t xml:space="preserve">11 Brussels, 3.2.2026 C(2026) 553 final COMMISSION DELEGATED REGULATION (EU) 2024/3012 of</w:t>
      </w:r>
      <w:r>
        <w:t xml:space="preserve"> </w:t>
      </w:r>
      <w:r>
        <w:t xml:space="preserve">3.2.2026 supplementing Regulation (EU) 2024/3012 of the European Parliament and of the Council by</w:t>
      </w:r>
      <w:r>
        <w:t xml:space="preserve"> </w:t>
      </w:r>
      <w:r>
        <w:t xml:space="preserve">establishing the certification methodologies for permanent carbon removals activities, OJ L, 2024/3012,</w:t>
      </w:r>
      <w:r>
        <w:t xml:space="preserve"> </w:t>
      </w:r>
      <w:r>
        <w:t xml:space="preserve">6.12.2024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while expressing concern that if integrated into the ETS, the impetus to develop other</w:t>
      </w:r>
      <w:r>
        <w:t xml:space="preserve"> </w:t>
      </w:r>
      <w:r>
        <w:t xml:space="preserve">mechanisms to support the scale up of removals could be lost.</w:t>
      </w:r>
      <w:r>
        <w:t xml:space="preserve"> </w:t>
      </w:r>
      <w:r>
        <w:t xml:space="preserve">A first question considered in this chapter, thus, pertains to which types of carbon</w:t>
      </w:r>
      <w:r>
        <w:t xml:space="preserve"> </w:t>
      </w:r>
      <w:r>
        <w:t xml:space="preserve">removals should be allowed into the EU ETS, so as to safeguard the environmental integrity</w:t>
      </w:r>
      <w:r>
        <w:t xml:space="preserve"> </w:t>
      </w:r>
      <w:r>
        <w:t xml:space="preserve">of the system. The inclusion of removals into an ETS rests on the fundamental assumption that</w:t>
      </w:r>
      <w:r>
        <w:t xml:space="preserve"> </w:t>
      </w:r>
      <w:r>
        <w:t xml:space="preserve">emissions and removals are, to some extent, fungible with (or equivalent to) each other. Yet</w:t>
      </w:r>
      <w:r>
        <w:t xml:space="preserve"> </w:t>
      </w:r>
      <w:r>
        <w:t xml:space="preserve">this is subject to several challenges, foremost among them permanence and quantification,</w:t>
      </w:r>
      <w:r>
        <w:t xml:space="preserve"> </w:t>
      </w:r>
      <w:r>
        <w:t xml:space="preserve">which create uncertainties in the carbon that is removed over time. It is necessary to clarify the</w:t>
      </w:r>
      <w:r>
        <w:t xml:space="preserve"> </w:t>
      </w:r>
      <w:r>
        <w:t xml:space="preserve">relationship between the EU ETS and the CRCF, e.g., in terms of the types of units and</w:t>
      </w:r>
      <w:r>
        <w:t xml:space="preserve"> </w:t>
      </w:r>
      <w:r>
        <w:t xml:space="preserve">methodologies (if any) that are deemed eligible, and of removal quantification, which includes</w:t>
      </w:r>
      <w:r>
        <w:t xml:space="preserve"> </w:t>
      </w:r>
      <w:r>
        <w:t xml:space="preserve">the treatment of life cycle emissions in the CRCF methodologies versus the EU ETS MRV</w:t>
      </w:r>
      <w:r>
        <w:t xml:space="preserve"> </w:t>
      </w:r>
      <w:r>
        <w:t xml:space="preserve">approach. The decision on which types of carbon removals should be allowed into the EU ETS</w:t>
      </w:r>
      <w:r>
        <w:t xml:space="preserve"> </w:t>
      </w:r>
      <w:r>
        <w:t xml:space="preserve">is also impacted by the way in which carbon removals could be integrated into the EU ETS.</w:t>
      </w:r>
      <w:r>
        <w:t xml:space="preserve"> </w:t>
      </w:r>
      <w:r>
        <w:t xml:space="preserve">A second question pertains therefore to how carbon removals could be integrated into the</w:t>
      </w:r>
      <w:r>
        <w:t xml:space="preserve"> </w:t>
      </w:r>
      <w:r>
        <w:t xml:space="preserve">EU ETS. Among several options, the EU ETS and the market for removals could be</w:t>
      </w:r>
      <w:r>
        <w:t xml:space="preserve"> </w:t>
      </w:r>
      <w:r>
        <w:t xml:space="preserve">disconnected, connected through a public authority, or fully integrated. Several key</w:t>
      </w:r>
      <w:r>
        <w:t xml:space="preserve"> </w:t>
      </w:r>
      <w:r>
        <w:t xml:space="preserve">considerations apply, including the challenge of balancing economic efficiency with the need</w:t>
      </w:r>
      <w:r>
        <w:t xml:space="preserve"> </w:t>
      </w:r>
      <w:r>
        <w:t xml:space="preserve">to address abatement deterrence. This analysis considers the technical elements of the practical</w:t>
      </w:r>
      <w:r>
        <w:t xml:space="preserve"> </w:t>
      </w:r>
      <w:r>
        <w:t xml:space="preserve">implementation of the options, such as the integration of removal units into the Union Registry,</w:t>
      </w:r>
      <w:r>
        <w:t xml:space="preserve"> </w:t>
      </w:r>
      <w:r>
        <w:t xml:space="preserve">as well as the link with the planned EU-wide CRCF Registry. In terms of how CDR should be</w:t>
      </w:r>
      <w:r>
        <w:t xml:space="preserve"> </w:t>
      </w:r>
      <w:r>
        <w:t xml:space="preserve">integrated, 56% of open consultation respondents (mainly from the energy and waste</w:t>
      </w:r>
      <w:r>
        <w:t xml:space="preserve"> </w:t>
      </w:r>
      <w:r>
        <w:t xml:space="preserve">management sectors, with smaller shares from the manufacturing industry) agreed or strongly</w:t>
      </w:r>
      <w:r>
        <w:t xml:space="preserve"> </w:t>
      </w:r>
      <w:r>
        <w:t xml:space="preserve">agreed with the statement “ETS1 regulated entities should be allowed to purchase CRCF</w:t>
      </w:r>
      <w:r>
        <w:t xml:space="preserve"> </w:t>
      </w:r>
      <w:r>
        <w:t xml:space="preserve">removals directly from removal suppliers and use them to fulfil surrender obligations”, whereas</w:t>
      </w:r>
      <w:r>
        <w:t xml:space="preserve"> </w:t>
      </w:r>
      <w:r>
        <w:t xml:space="preserve">only 15% disagreed or strongly disagreed with it. Asked whether “CRCF removals should be</w:t>
      </w:r>
      <w:r>
        <w:t xml:space="preserve"> </w:t>
      </w:r>
      <w:r>
        <w:t xml:space="preserve">acquired by a central agency and inserted into the ETS1 under specific conditions”, 25% agreed</w:t>
      </w:r>
      <w:r>
        <w:t xml:space="preserve"> </w:t>
      </w:r>
      <w:r>
        <w:t xml:space="preserve">or strongly agreed, with 36% disagreeing or strongly disagreeing. Respondents in favour of</w:t>
      </w:r>
      <w:r>
        <w:t xml:space="preserve"> </w:t>
      </w:r>
      <w:r>
        <w:t xml:space="preserve">channelling removal units through a central authority mentioned that the body could act as a</w:t>
      </w:r>
      <w:r>
        <w:t xml:space="preserve"> </w:t>
      </w:r>
      <w:r>
        <w:t xml:space="preserve">buyer, offering offtake agreements to help CDR developers secure predictable outcome.</w:t>
      </w:r>
      <w:r>
        <w:t xml:space="preserve"> </w:t>
      </w:r>
      <w:r>
        <w:t xml:space="preserve">Respondents against the central agency cited concerns over competition distortion,</w:t>
      </w:r>
      <w:r>
        <w:t xml:space="preserve"> </w:t>
      </w:r>
      <w:r>
        <w:t xml:space="preserve">unnecessary bureaucracy and reduced market predictability. The policy measures cover the</w:t>
      </w:r>
      <w:r>
        <w:t xml:space="preserve"> </w:t>
      </w:r>
      <w:r>
        <w:t xml:space="preserve">mode of integration into the ETS and the relationship between removal inclusion and the ETS</w:t>
      </w:r>
      <w:r>
        <w:t xml:space="preserve"> </w:t>
      </w:r>
      <w:r>
        <w:t xml:space="preserve">cap.</w:t>
      </w:r>
      <w:r>
        <w:t xml:space="preserve"> </w:t>
      </w:r>
      <w:r>
        <w:t xml:space="preserve">Setting quantitative limits on the amount of removals that are integrated in the ETS can be key</w:t>
      </w:r>
      <w:r>
        <w:t xml:space="preserve"> </w:t>
      </w:r>
      <w:r>
        <w:t xml:space="preserve">in safeguarding the integrity of the system, especially in the early phases of removal</w:t>
      </w:r>
      <w:r>
        <w:t xml:space="preserve"> </w:t>
      </w:r>
      <w:r>
        <w:t xml:space="preserve">integration. As part of the assessment on how to integrate removals, a question is whether there</w:t>
      </w:r>
      <w:r>
        <w:t xml:space="preserve"> </w:t>
      </w:r>
      <w:r>
        <w:t xml:space="preserve">should be limits on the amount of carbon removals allowed into the EU ETS and how any</w:t>
      </w:r>
      <w:r>
        <w:t xml:space="preserve"> </w:t>
      </w:r>
      <w:r>
        <w:t xml:space="preserve">limits could be implemented such as supply side versus demand side limits and the relationship</w:t>
      </w:r>
      <w:r>
        <w:t xml:space="preserve"> </w:t>
      </w:r>
      <w:r>
        <w:t xml:space="preserve">between any limits and the overall ETS cap.</w:t>
      </w:r>
      <w:r>
        <w:br/>
      </w:r>
      <w:r>
        <w:t xml:space="preserve">All these questions need to take into account that removals are a very young and innovative</w:t>
      </w:r>
      <w:r>
        <w:t xml:space="preserve"> </w:t>
      </w:r>
      <w:r>
        <w:t xml:space="preserve">industry. Removals are not ready-made off-the-shelf-products, but rather products of an infant</w:t>
      </w:r>
      <w:r>
        <w:t xml:space="preserve"> </w:t>
      </w:r>
      <w:r>
        <w:t xml:space="preserve">industry that still needs to scale-up and reduce the cost curve. Thus, some modes of integration</w:t>
      </w:r>
      <w:r>
        <w:t xml:space="preserve"> </w:t>
      </w:r>
      <w:r>
        <w:t xml:space="preserve">may be more appropriate than others depending on the type of removals that could be integrated</w:t>
      </w:r>
      <w:r>
        <w:t xml:space="preserve"> </w:t>
      </w:r>
      <w:r>
        <w:t xml:space="preserve">at each point in time, and some measures may be more suited for the short-run kick-off, others</w:t>
      </w:r>
      <w:r>
        <w:t xml:space="preserve"> </w:t>
      </w:r>
      <w:r>
        <w:t xml:space="preserve">for the scale-up, and yet others for a longer-term framework towards net-negative. This impact</w:t>
      </w:r>
      <w:r>
        <w:t xml:space="preserve"> </w:t>
      </w:r>
      <w:r>
        <w:t xml:space="preserve">assessment focuses mainly on those measures for the 2031-2040 period.</w:t>
      </w:r>
      <w:r>
        <w:br/>
      </w:r>
      <w:r>
        <w:t xml:space="preserve">To address all of these questions: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• section 2 sets out the different policy measures with an assessment of their impacts.</w:t>
      </w:r>
      <w:r>
        <w:t xml:space="preserve"> </w:t>
      </w:r>
      <w:r>
        <w:t xml:space="preserve">• section 3 explores the question of which types of carbon removal could be considered</w:t>
      </w:r>
      <w:r>
        <w:t xml:space="preserve"> </w:t>
      </w:r>
      <w:r>
        <w:t xml:space="preserve">for inclusion in the EU ETS, whilst ensuring the environmental integrity of the system.</w:t>
      </w:r>
      <w:r>
        <w:t xml:space="preserve"> </w:t>
      </w:r>
      <w:r>
        <w:t xml:space="preserve">• section 4 cross-cutting design elements for the policy measures, including the</w:t>
      </w:r>
      <w:r>
        <w:t xml:space="preserve"> </w:t>
      </w:r>
      <w:r>
        <w:t xml:space="preserve">equivalence between the CRCF and the EU ETS accounting, and considerations on</w:t>
      </w:r>
      <w:r>
        <w:t xml:space="preserve"> </w:t>
      </w:r>
      <w:r>
        <w:t xml:space="preserve">limits</w:t>
      </w:r>
      <w:r>
        <w:t xml:space="preserve"> </w:t>
      </w:r>
      <w:r>
        <w:t xml:space="preserve">2. POLICY MEASURES</w:t>
      </w:r>
      <w:r>
        <w:t xml:space="preserve"> </w:t>
      </w:r>
      <w:r>
        <w:t xml:space="preserve">2.1. Measures under consideration</w:t>
      </w:r>
      <w:r>
        <w:br/>
      </w:r>
      <w:r>
        <w:t xml:space="preserve">This section assumes a baseline in which CDR is not integrated into the EU ETS. The cap</w:t>
      </w:r>
      <w:r>
        <w:t xml:space="preserve"> </w:t>
      </w:r>
      <w:r>
        <w:t xml:space="preserve">(expressed in the number of conventional allowances issued by the regulator) would continue</w:t>
      </w:r>
      <w:r>
        <w:t xml:space="preserve"> </w:t>
      </w:r>
      <w:r>
        <w:t xml:space="preserve">decreasing in line with the present-day linear reduction factor and reach zero in year 2044. This</w:t>
      </w:r>
      <w:r>
        <w:t xml:space="preserve"> </w:t>
      </w:r>
      <w:r>
        <w:t xml:space="preserve">section outlines the measures considered in this impact assessment, beyond this baseline. The</w:t>
      </w:r>
      <w:r>
        <w:t xml:space="preserve"> </w:t>
      </w:r>
      <w:r>
        <w:t xml:space="preserve">measures explored below vary across three key dimensions:</w:t>
      </w:r>
      <w:r>
        <w:t xml:space="preserve"> </w:t>
      </w:r>
      <w:r>
        <w:t xml:space="preserve">a.</w:t>
      </w:r>
      <w:r>
        <w:t xml:space="preserve"> </w:t>
      </w:r>
      <w:r>
        <w:t xml:space="preserve">Whether or not the flow of CDR into the EU ETS is subject to limits, exploring</w:t>
      </w:r>
      <w:r>
        <w:t xml:space="preserve"> </w:t>
      </w:r>
      <w:r>
        <w:t xml:space="preserve">two possibilities: limited or unlimited. With the exception of CR2 (‘Unlimited</w:t>
      </w:r>
      <w:r>
        <w:t xml:space="preserve"> </w:t>
      </w:r>
      <w:r>
        <w:t xml:space="preserve">operator integration on top of the cap’), all measures below would see a limit on</w:t>
      </w:r>
      <w:r>
        <w:t xml:space="preserve"> </w:t>
      </w:r>
      <w:r>
        <w:t xml:space="preserve">the flow of CDR into the EU ETS. Note that issues related to limits are further</w:t>
      </w:r>
      <w:r>
        <w:t xml:space="preserve"> </w:t>
      </w:r>
      <w:r>
        <w:t xml:space="preserve">explored in section 4.4. Considerations on CDR limits.</w:t>
      </w:r>
      <w:r>
        <w:br/>
      </w:r>
      <w:r>
        <w:t xml:space="preserve">b.</w:t>
      </w:r>
      <w:r>
        <w:t xml:space="preserve"> </w:t>
      </w:r>
      <w:r>
        <w:t xml:space="preserve">Mode of integration, or how the EU ETS is connected with the market for</w:t>
      </w:r>
      <w:r>
        <w:t xml:space="preserve"> </w:t>
      </w:r>
      <w:r>
        <w:t xml:space="preserve">removals. The measures below explore two possibilities: integration through the</w:t>
      </w:r>
      <w:r>
        <w:t xml:space="preserve"> </w:t>
      </w:r>
      <w:r>
        <w:t xml:space="preserve">private sector (‘operator integration’) or integration through a public authority.</w:t>
      </w:r>
      <w:r>
        <w:t xml:space="preserve"> </w:t>
      </w:r>
      <w:r>
        <w:t xml:space="preserve">Operator integration means that regulated emitters purchase removal units directly</w:t>
      </w:r>
      <w:r>
        <w:t xml:space="preserve"> </w:t>
      </w:r>
      <w:r>
        <w:t xml:space="preserve">from CDR suppliers12. By contrast, under public authority integration, it is a public</w:t>
      </w:r>
      <w:r>
        <w:t xml:space="preserve"> </w:t>
      </w:r>
      <w:r>
        <w:t xml:space="preserve">authority that purchases the removal units and distributes or auctions them in the</w:t>
      </w:r>
      <w:r>
        <w:t xml:space="preserve"> </w:t>
      </w:r>
      <w:r>
        <w:t xml:space="preserve">EU ETS13.</w:t>
      </w:r>
      <w:r>
        <w:br/>
      </w:r>
      <w:r>
        <w:t xml:space="preserve">c. </w:t>
      </w:r>
      <w:r>
        <w:t xml:space="preserve"> </w:t>
      </w:r>
      <w:r>
        <w:t xml:space="preserve">The relationship between removal units and the EU ETS cap: on top of the cap</w:t>
      </w:r>
      <w:r>
        <w:t xml:space="preserve"> </w:t>
      </w:r>
      <w:r>
        <w:t xml:space="preserve">or under the cap. The EU ETS cap is the total number of conventional allowances54</w:t>
      </w:r>
      <w:r>
        <w:t xml:space="preserve"> </w:t>
      </w:r>
      <w:r>
        <w:t xml:space="preserve">issued by the regulator. The cap sets the maximum net emissions allowed by the</w:t>
      </w:r>
      <w:r>
        <w:t xml:space="preserve"> </w:t>
      </w:r>
      <w:r>
        <w:t xml:space="preserve">system.14 When removal units are used ‘on top of the cap’, gross emissions15 are</w:t>
      </w:r>
      <w:r>
        <w:t xml:space="preserve"> </w:t>
      </w:r>
      <w:r>
        <w:t xml:space="preserve">limited by the cap plus the allowed number of removal units. In the case of a private</w:t>
      </w:r>
      <w:r>
        <w:t xml:space="preserve"> </w:t>
      </w:r>
      <w:r>
        <w:t xml:space="preserve">integration under the cap, as in CR3, removal units are integrated through a one-</w:t>
      </w:r>
      <w:r>
        <w:t xml:space="preserve"> </w:t>
      </w:r>
      <w:r>
        <w:t xml:space="preserve">in-one-out approach, whereby an EUA is cancelled for each removal unit used in</w:t>
      </w:r>
      <w:r>
        <w:t xml:space="preserve"> </w:t>
      </w:r>
      <w:r>
        <w:t xml:space="preserve">the EU ETS. This one-in-one-out mechanism implies that gross emissions in ETS</w:t>
      </w:r>
      <w:r>
        <w:t xml:space="preserve"> </w:t>
      </w:r>
      <w:r>
        <w:t xml:space="preserve">regulated sectors are limited by the cap from the outset. In the case of a public</w:t>
      </w:r>
    </w:p>
    <w:p>
      <w:pPr>
        <w:pStyle w:val="BodyText"/>
      </w:pPr>
      <w:r>
        <w:t xml:space="preserve">12 The measures are designed assuming the private sector integration is carried out mainly by ETS regulated</w:t>
      </w:r>
      <w:r>
        <w:t xml:space="preserve"> </w:t>
      </w:r>
      <w:r>
        <w:t xml:space="preserve">entities. However, the private sector integration can be envisaged more broadly, with a range of options that</w:t>
      </w:r>
      <w:r>
        <w:t xml:space="preserve"> </w:t>
      </w:r>
      <w:r>
        <w:t xml:space="preserve">extend from the integration to certain financial market participants (credit institutions, investment firms, and</w:t>
      </w:r>
      <w:r>
        <w:t xml:space="preserve"> </w:t>
      </w:r>
      <w:r>
        <w:t xml:space="preserve">commodity traders) when acting on behalf of clients; to those financial market participants when acting for</w:t>
      </w:r>
      <w:r>
        <w:t xml:space="preserve"> </w:t>
      </w:r>
      <w:r>
        <w:t xml:space="preserve">their own accounts; to anyone with a Union Registry account; or also to suppliers. Section 4.3 examines the</w:t>
      </w:r>
      <w:r>
        <w:t xml:space="preserve"> </w:t>
      </w:r>
      <w:r>
        <w:t xml:space="preserve">integration options for private entities.</w:t>
      </w:r>
      <w:r>
        <w:t xml:space="preserve"> </w:t>
      </w:r>
      <w:r>
        <w:t xml:space="preserve">13 Section 4.6 explores how the purchasing of removals could operate</w:t>
      </w:r>
      <w:r>
        <w:t xml:space="preserve"> </w:t>
      </w:r>
      <w:r>
        <w:t xml:space="preserve">14 ‘Net emissions’ refers to releases of GHG minus removals by anthropogenic sinks. In an ETS, since the use</w:t>
      </w:r>
      <w:r>
        <w:t xml:space="preserve"> </w:t>
      </w:r>
      <w:r>
        <w:t xml:space="preserve">of conventional allowances enables unabated emissions to reach the atmosphere, the ETS cap (as the sum of</w:t>
      </w:r>
      <w:r>
        <w:t xml:space="preserve"> </w:t>
      </w:r>
      <w:r>
        <w:t xml:space="preserve">conventional allowances) sets the limit on net emissions from ETS regulated entities. Contrast this with</w:t>
      </w:r>
      <w:r>
        <w:t xml:space="preserve"> </w:t>
      </w:r>
      <w:r>
        <w:t xml:space="preserve">removal units, whose use in an ETS would lead to net zero emissions.</w:t>
      </w:r>
      <w:r>
        <w:br/>
      </w:r>
      <w:r>
        <w:t xml:space="preserve">15 ‘Gross emissions’ refers to releases of GHG before accounting for removals by sinks. In an ETS, gross</w:t>
      </w:r>
      <w:r>
        <w:t xml:space="preserve"> </w:t>
      </w:r>
      <w:r>
        <w:t xml:space="preserve">emissions are limited by the total volume of compliance units (e.g. conventional allowances and removal</w:t>
      </w:r>
      <w:r>
        <w:t xml:space="preserve"> </w:t>
      </w:r>
      <w:r>
        <w:t xml:space="preserve">units) in circulation.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authority integration, removals are purchased by the public authority 1:1 for the</w:t>
      </w:r>
      <w:r>
        <w:t xml:space="preserve"> </w:t>
      </w:r>
      <w:r>
        <w:t xml:space="preserve">allowances that are part to the gross cap that should be compensated by removals</w:t>
      </w:r>
      <w:r>
        <w:t xml:space="preserve"> </w:t>
      </w:r>
      <w:r>
        <w:t xml:space="preserve">to reach the net target.</w:t>
      </w:r>
      <w:r>
        <w:t xml:space="preserve"> </w:t>
      </w:r>
      <w:r>
        <w:t xml:space="preserve">Table 1:</w:t>
      </w:r>
      <w:r>
        <w:t xml:space="preserve"> </w:t>
      </w:r>
      <w:r>
        <w:t xml:space="preserve">Design of the measures</w:t>
      </w:r>
    </w:p>
    <w:p>
      <w:pPr>
        <w:pStyle w:val="BodyText"/>
      </w:pPr>
      <w:r>
        <w:t xml:space="preserve">CR1</w:t>
      </w:r>
      <w:r>
        <w:t xml:space="preserve"> </w:t>
      </w:r>
      <w:r>
        <w:t xml:space="preserve">CR2</w:t>
      </w:r>
      <w:r>
        <w:t xml:space="preserve"> </w:t>
      </w:r>
      <w:r>
        <w:t xml:space="preserve">CR3</w:t>
      </w:r>
      <w:r>
        <w:t xml:space="preserve"> </w:t>
      </w:r>
      <w:r>
        <w:t xml:space="preserve">CR4</w:t>
      </w:r>
      <w:r>
        <w:t xml:space="preserve"> </w:t>
      </w:r>
      <w:r>
        <w:t xml:space="preserve">CR5</w:t>
      </w:r>
      <w:r>
        <w:t xml:space="preserve"> </w:t>
      </w:r>
      <w:r>
        <w:t xml:space="preserve">Limits</w:t>
      </w:r>
      <w:r>
        <w:t xml:space="preserve"> </w:t>
      </w:r>
      <w:r>
        <w:t xml:space="preserve">Limited</w:t>
      </w:r>
      <w:r>
        <w:t xml:space="preserve"> </w:t>
      </w:r>
      <w:r>
        <w:t xml:space="preserve">Unlimited</w:t>
      </w:r>
      <w:r>
        <w:t xml:space="preserve"> </w:t>
      </w:r>
      <w:r>
        <w:t xml:space="preserve">Limited</w:t>
      </w:r>
      <w:r>
        <w:t xml:space="preserve"> </w:t>
      </w:r>
      <w:r>
        <w:t xml:space="preserve">Limited</w:t>
      </w:r>
      <w:r>
        <w:t xml:space="preserve"> </w:t>
      </w:r>
      <w:r>
        <w:t xml:space="preserve">Limited</w:t>
      </w:r>
      <w:r>
        <w:t xml:space="preserve"> </w:t>
      </w:r>
      <w:r>
        <w:t xml:space="preserve">Mode of integration</w:t>
      </w:r>
      <w:r>
        <w:t xml:space="preserve"> </w:t>
      </w:r>
      <w:r>
        <w:t xml:space="preserve">Operator</w:t>
      </w:r>
      <w:r>
        <w:t xml:space="preserve"> </w:t>
      </w:r>
      <w:r>
        <w:t xml:space="preserve">Operator</w:t>
      </w:r>
      <w:r>
        <w:t xml:space="preserve"> </w:t>
      </w:r>
      <w:r>
        <w:t xml:space="preserve">Operator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(regular</w:t>
      </w:r>
      <w:r>
        <w:t xml:space="preserve"> </w:t>
      </w:r>
      <w:r>
        <w:t xml:space="preserve">auctions)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(MSR)</w:t>
      </w:r>
      <w:r>
        <w:t xml:space="preserve"> </w:t>
      </w:r>
      <w:r>
        <w:t xml:space="preserve">Relationship with the</w:t>
      </w:r>
      <w:r>
        <w:t xml:space="preserve"> </w:t>
      </w:r>
      <w:r>
        <w:t xml:space="preserve">cap</w:t>
      </w:r>
      <w:r>
        <w:t xml:space="preserve"> </w:t>
      </w:r>
      <w:r>
        <w:t xml:space="preserve">of</w:t>
      </w:r>
      <w:r>
        <w:t xml:space="preserve"> </w:t>
      </w:r>
      <w:r>
        <w:t xml:space="preserve">conventional</w:t>
      </w:r>
      <w:r>
        <w:t xml:space="preserve"> </w:t>
      </w:r>
      <w:r>
        <w:t xml:space="preserve">allowances</w:t>
      </w:r>
      <w:r>
        <w:t xml:space="preserve"> </w:t>
      </w:r>
      <w:r>
        <w:t xml:space="preserve">On top of</w:t>
      </w:r>
      <w:r>
        <w:t xml:space="preserve"> </w:t>
      </w:r>
      <w:r>
        <w:t xml:space="preserve">the cap</w:t>
      </w:r>
      <w:r>
        <w:t xml:space="preserve"> </w:t>
      </w:r>
      <w:r>
        <w:t xml:space="preserve">On top of</w:t>
      </w:r>
      <w:r>
        <w:t xml:space="preserve"> </w:t>
      </w:r>
      <w:r>
        <w:t xml:space="preserve">the cap</w:t>
      </w:r>
      <w:r>
        <w:t xml:space="preserve"> </w:t>
      </w:r>
      <w:r>
        <w:t xml:space="preserve">Under the</w:t>
      </w:r>
      <w:r>
        <w:t xml:space="preserve"> </w:t>
      </w:r>
      <w:r>
        <w:t xml:space="preserve">cap</w:t>
      </w:r>
      <w:r>
        <w:t xml:space="preserve"> </w:t>
      </w:r>
      <w:r>
        <w:t xml:space="preserve">Under the cap16</w:t>
      </w:r>
      <w:r>
        <w:t xml:space="preserve"> </w:t>
      </w:r>
      <w:r>
        <w:t xml:space="preserve">On top of the</w:t>
      </w:r>
      <w:r>
        <w:t xml:space="preserve"> </w:t>
      </w:r>
      <w:r>
        <w:t xml:space="preserve">cap</w:t>
      </w:r>
      <w:r>
        <w:t xml:space="preserve"> </w:t>
      </w:r>
      <w:r>
        <w:t xml:space="preserve">• CR1: ‘Limited operator integration on top of the cap’: The regulator determines the</w:t>
      </w:r>
      <w:r>
        <w:t xml:space="preserve"> </w:t>
      </w:r>
      <w:r>
        <w:t xml:space="preserve">total number of conventional allowances, which can be positive or zero. The number of</w:t>
      </w:r>
      <w:r>
        <w:t xml:space="preserve"> </w:t>
      </w:r>
      <w:r>
        <w:t xml:space="preserve">conventional allowances determines net emissions from the system. There is a limit on</w:t>
      </w:r>
      <w:r>
        <w:t xml:space="preserve"> </w:t>
      </w:r>
      <w:r>
        <w:t xml:space="preserve">the number of removal units that can be used towards EU ETS compliance obligations,</w:t>
      </w:r>
      <w:r>
        <w:t xml:space="preserve"> </w:t>
      </w:r>
      <w:r>
        <w:t xml:space="preserve">which means that gross emissions from operators (that is, from regulated emitters in the</w:t>
      </w:r>
      <w:r>
        <w:t xml:space="preserve"> </w:t>
      </w:r>
      <w:r>
        <w:t xml:space="preserve">EU ETS) are also subject to a limit. The limit on CDR supply applies to the entire phase</w:t>
      </w:r>
      <w:r>
        <w:t xml:space="preserve"> </w:t>
      </w:r>
      <w:r>
        <w:t xml:space="preserve">(rather than, for example, a yearly limit). ETS operators buy removals directly from</w:t>
      </w:r>
      <w:r>
        <w:t xml:space="preserve"> </w:t>
      </w:r>
      <w:r>
        <w:t xml:space="preserve">CDR providers and use them towards EU ETS compliance obligations. The CDR limit</w:t>
      </w:r>
      <w:r>
        <w:t xml:space="preserve"> </w:t>
      </w:r>
      <w:r>
        <w:t xml:space="preserve">is assumed to be set at the range of the modelling expectation for CDR supply in the</w:t>
      </w:r>
      <w:r>
        <w:t xml:space="preserve"> </w:t>
      </w:r>
      <w:r>
        <w:t xml:space="preserve">85% scenario, between 175 and 330 Mt for the period 2031-2040 (see Table 3 further</w:t>
      </w:r>
      <w:r>
        <w:t xml:space="preserve"> </w:t>
      </w:r>
      <w:r>
        <w:t xml:space="preserve">below).</w:t>
      </w:r>
      <w:r>
        <w:br/>
      </w:r>
      <w:r>
        <w:t xml:space="preserve">• CR2: ‘Unlimited operator integration on top of the cap’: The regulator determines</w:t>
      </w:r>
      <w:r>
        <w:t xml:space="preserve"> </w:t>
      </w:r>
      <w:r>
        <w:t xml:space="preserve">the total number of conventional allowances, which can be positive or zero. The number</w:t>
      </w:r>
      <w:r>
        <w:t xml:space="preserve"> </w:t>
      </w:r>
      <w:r>
        <w:t xml:space="preserve">of conventional allowances determines net emissions from the system. There is no limit</w:t>
      </w:r>
      <w:r>
        <w:t xml:space="preserve"> </w:t>
      </w:r>
      <w:r>
        <w:t xml:space="preserve">on the number of removal units that can be surrendered by operators, such that there is</w:t>
      </w:r>
      <w:r>
        <w:t xml:space="preserve"> </w:t>
      </w:r>
      <w:r>
        <w:t xml:space="preserve">no limit on gross emissions from operators. Operators buy removal units directly from</w:t>
      </w:r>
      <w:r>
        <w:t xml:space="preserve"> </w:t>
      </w:r>
      <w:r>
        <w:t xml:space="preserve">CDR providers and can use them towards EU ETS compliance obligations.</w:t>
      </w:r>
      <w:r>
        <w:br/>
      </w:r>
      <w:r>
        <w:t xml:space="preserve">• CR3: ‘Limited operator integration under the cap (one-in-one-out)’: The regulator</w:t>
      </w:r>
      <w:r>
        <w:t xml:space="preserve"> </w:t>
      </w:r>
      <w:r>
        <w:t xml:space="preserve">increases the number of conventional allowances by the same amount as the modelling</w:t>
      </w:r>
      <w:r>
        <w:t xml:space="preserve"> </w:t>
      </w:r>
      <w:r>
        <w:t xml:space="preserve">expectation for CDR supply in the 85% scenario, between 175 and 330 Mt for the period</w:t>
      </w:r>
      <w:r>
        <w:t xml:space="preserve"> </w:t>
      </w:r>
      <w:r>
        <w:t xml:space="preserve">2031-2040, through an increase in allowance auction volumes distributed throughout</w:t>
      </w:r>
      <w:r>
        <w:t xml:space="preserve"> </w:t>
      </w:r>
      <w:r>
        <w:t xml:space="preserve">the period. This increase is not conditional on removal units flowing in but does set the</w:t>
      </w:r>
      <w:r>
        <w:t xml:space="preserve"> </w:t>
      </w:r>
      <w:r>
        <w:t xml:space="preserve">maximum number of removal units that can be used in the EU ETS for the period. The</w:t>
      </w:r>
      <w:r>
        <w:t xml:space="preserve"> </w:t>
      </w:r>
      <w:r>
        <w:t xml:space="preserve">total number of allowances is adjusted following a ‘one-in-one-out’ approach whereby</w:t>
      </w:r>
      <w:r>
        <w:t xml:space="preserve"> </w:t>
      </w:r>
      <w:r>
        <w:t xml:space="preserve">every removal unit used by an operator leads to the cancellation of an allowance by</w:t>
      </w:r>
    </w:p>
    <w:p>
      <w:pPr>
        <w:pStyle w:val="BodyText"/>
      </w:pPr>
      <w:r>
        <w:t xml:space="preserve">16 This measure could be designed as ‘on top of the cap’ if the auctioning of removals-backed allowances was</w:t>
      </w:r>
      <w:r>
        <w:t xml:space="preserve"> </w:t>
      </w:r>
      <w:r>
        <w:t xml:space="preserve">made conditional on the delivery of the removals and the removal-back allowances would be auctioned on</w:t>
      </w:r>
      <w:r>
        <w:t xml:space="preserve"> </w:t>
      </w:r>
      <w:r>
        <w:t xml:space="preserve">top of the net cap. However, the measure is designed so the public authority bears the risk of being able to</w:t>
      </w:r>
      <w:r>
        <w:t xml:space="preserve"> </w:t>
      </w:r>
      <w:r>
        <w:t xml:space="preserve">buy the right amount of removals, making it an ‘under the cap’ measure where the integration happens</w:t>
      </w:r>
      <w:r>
        <w:t xml:space="preserve"> </w:t>
      </w:r>
      <w:r>
        <w:t xml:space="preserve">indirectly by the purchase by the authority of the removal units necessary to compensate the allowances</w:t>
      </w:r>
      <w:r>
        <w:t xml:space="preserve"> </w:t>
      </w:r>
      <w:r>
        <w:t xml:space="preserve">previously added to the net cap.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withdrawing it from a future auction. The use of a removal unit, therefore, does not</w:t>
      </w:r>
      <w:r>
        <w:t xml:space="preserve"> </w:t>
      </w:r>
      <w:r>
        <w:t xml:space="preserve">affect gross emissions, but reduces net emissions compared to the (increased) number</w:t>
      </w:r>
      <w:r>
        <w:t xml:space="preserve"> </w:t>
      </w:r>
      <w:r>
        <w:t xml:space="preserve">of conventional allowances because the total number of allowances declines. As such</w:t>
      </w:r>
      <w:r>
        <w:t xml:space="preserve"> </w:t>
      </w:r>
      <w:r>
        <w:t xml:space="preserve">under CR3 gross emissions are determined by the number of conventional allowances,</w:t>
      </w:r>
      <w:r>
        <w:t xml:space="preserve"> </w:t>
      </w:r>
      <w:r>
        <w:t xml:space="preserve">and are not influenced by the use of CDR. The volume of net emissions depends on the</w:t>
      </w:r>
      <w:r>
        <w:t xml:space="preserve"> </w:t>
      </w:r>
      <w:r>
        <w:t xml:space="preserve">number of removal units that actually makes it into the system, with its upper limit at</w:t>
      </w:r>
      <w:r>
        <w:t xml:space="preserve"> </w:t>
      </w:r>
      <w:r>
        <w:t xml:space="preserve">the gross emissions limit. To ensure there are sufficient allowances to cancel for every</w:t>
      </w:r>
      <w:r>
        <w:t xml:space="preserve"> </w:t>
      </w:r>
      <w:r>
        <w:t xml:space="preserve">removal used, the use of removal units would also be limited by the auction volume of</w:t>
      </w:r>
      <w:r>
        <w:t xml:space="preserve"> </w:t>
      </w:r>
      <w:r>
        <w:t xml:space="preserve">the following year – such that the maximum number of removal units that can be used</w:t>
      </w:r>
      <w:r>
        <w:t xml:space="preserve"> </w:t>
      </w:r>
      <w:r>
        <w:t xml:space="preserve">in year X is equal to the allowance auction volume of year X+1. The auction volume</w:t>
      </w:r>
      <w:r>
        <w:t xml:space="preserve"> </w:t>
      </w:r>
      <w:r>
        <w:t xml:space="preserve">would, moreover, also act as a safeguard limit on the use of CDR in the EU ETS in case</w:t>
      </w:r>
      <w:r>
        <w:t xml:space="preserve"> </w:t>
      </w:r>
      <w:r>
        <w:t xml:space="preserve">removal units drop radically in price and/or increase in supply.</w:t>
      </w:r>
      <w:r>
        <w:br/>
      </w:r>
      <w:r>
        <w:t xml:space="preserve">• CR4: ‘Public authority integration through regular auctions under the cap’17: The</w:t>
      </w:r>
      <w:r>
        <w:t xml:space="preserve"> </w:t>
      </w:r>
      <w:r>
        <w:t xml:space="preserve">regulator determines the total number of conventional allowances, which can be</w:t>
      </w:r>
      <w:r>
        <w:t xml:space="preserve"> </w:t>
      </w:r>
      <w:r>
        <w:t xml:space="preserve">positive or zero. The number of conventional allowances determines net emissions from</w:t>
      </w:r>
      <w:r>
        <w:t xml:space="preserve"> </w:t>
      </w:r>
      <w:r>
        <w:t xml:space="preserve">the system. Removal units flow indirectly into the ETS through regular auctions by a</w:t>
      </w:r>
      <w:r>
        <w:t xml:space="preserve"> </w:t>
      </w:r>
      <w:r>
        <w:t xml:space="preserve">public authority, which adds “removal-backed allowances” (RBAs) to the cap based on</w:t>
      </w:r>
      <w:r>
        <w:t xml:space="preserve"> </w:t>
      </w:r>
      <w:r>
        <w:t xml:space="preserve">the commitment of purchasing the equivalent pre-set amount of removal units from</w:t>
      </w:r>
      <w:r>
        <w:t xml:space="preserve"> </w:t>
      </w:r>
      <w:r>
        <w:t xml:space="preserve">CDR suppliers. Funding will need to be made available for the public authority to</w:t>
      </w:r>
      <w:r>
        <w:t xml:space="preserve"> </w:t>
      </w:r>
      <w:r>
        <w:t xml:space="preserve">purchase the removals. The cumulative amount of removal units purchased is assumed</w:t>
      </w:r>
      <w:r>
        <w:t xml:space="preserve"> </w:t>
      </w:r>
      <w:r>
        <w:t xml:space="preserve">to be set at the modelling expectation for removal unit supply in the 85% scenario,</w:t>
      </w:r>
      <w:r>
        <w:t xml:space="preserve"> </w:t>
      </w:r>
      <w:r>
        <w:t xml:space="preserve">between 175 and 330 Mt for the period 2031-2040 and an equivalent amount of</w:t>
      </w:r>
      <w:r>
        <w:t xml:space="preserve"> </w:t>
      </w:r>
      <w:r>
        <w:t xml:space="preserve">removals-backed allowances will be auctioned in the EU ETS. The auction of</w:t>
      </w:r>
      <w:r>
        <w:t xml:space="preserve"> </w:t>
      </w:r>
      <w:r>
        <w:t xml:space="preserve">“removal-backed allowances” (RBAs) helps increase the total amount of allowances</w:t>
      </w:r>
      <w:r>
        <w:t xml:space="preserve"> </w:t>
      </w:r>
      <w:r>
        <w:t xml:space="preserve">that can be auctioned and thus the emissions space in the system. The use of removal</w:t>
      </w:r>
      <w:r>
        <w:t xml:space="preserve"> </w:t>
      </w:r>
      <w:r>
        <w:t xml:space="preserve">units is limited to the pre-set purchases of removal units by the regulator, such that gross</w:t>
      </w:r>
      <w:r>
        <w:t xml:space="preserve"> </w:t>
      </w:r>
      <w:r>
        <w:t xml:space="preserve">emissions by operators are also subject to a limit.</w:t>
      </w:r>
      <w:r>
        <w:br/>
      </w:r>
      <w:r>
        <w:t xml:space="preserve">• CR5: ‘Public authority integration through MSR on top of the cap’: The regulator</w:t>
      </w:r>
      <w:r>
        <w:t xml:space="preserve"> </w:t>
      </w:r>
      <w:r>
        <w:t xml:space="preserve">determines the total number of conventional allowances, which can be positive or zero.</w:t>
      </w:r>
      <w:r>
        <w:t xml:space="preserve"> </w:t>
      </w:r>
      <w:r>
        <w:t xml:space="preserve">The number of conventional allowances determines net emissions from the system. The</w:t>
      </w:r>
      <w:r>
        <w:t xml:space="preserve"> </w:t>
      </w:r>
      <w:r>
        <w:t xml:space="preserve">regulator purchases pre-set amounts of removal units, which are placed in the MSR in</w:t>
      </w:r>
      <w:r>
        <w:t xml:space="preserve"> </w:t>
      </w:r>
      <w:r>
        <w:t xml:space="preserve">the form of removals-backed allowances added to the number of allowances already in</w:t>
      </w:r>
      <w:r>
        <w:t xml:space="preserve"> </w:t>
      </w:r>
      <w:r>
        <w:t xml:space="preserve">the MSR. The amount of CDR purchased is assumed to be set at the modelling</w:t>
      </w:r>
      <w:r>
        <w:t xml:space="preserve"> </w:t>
      </w:r>
      <w:r>
        <w:t xml:space="preserve">expectation for CDR supply in the 85% scenario, between 175 and 330 Mt for the period</w:t>
      </w:r>
      <w:r>
        <w:t xml:space="preserve"> </w:t>
      </w:r>
      <w:r>
        <w:t xml:space="preserve">2031-2040. When called into action, the MSR releases the units it holds in line with its</w:t>
      </w:r>
      <w:r>
        <w:t xml:space="preserve"> </w:t>
      </w:r>
      <w:r>
        <w:t xml:space="preserve">parameters and rules at the time. When they are eventually released, the removal-</w:t>
      </w:r>
      <w:r>
        <w:t xml:space="preserve"> </w:t>
      </w:r>
      <w:r>
        <w:t xml:space="preserve">backed allowances from the MSR allow for an increase in gross emissions while</w:t>
      </w:r>
      <w:r>
        <w:t xml:space="preserve"> </w:t>
      </w:r>
      <w:r>
        <w:t xml:space="preserve">maintaining net emissions constant. The use of removal-backed allowances is limited</w:t>
      </w:r>
      <w:r>
        <w:t xml:space="preserve"> </w:t>
      </w:r>
      <w:r>
        <w:t xml:space="preserve">to the pre-set purchases of removal units by the regulator, such that gross emissions by</w:t>
      </w:r>
      <w:r>
        <w:t xml:space="preserve"> </w:t>
      </w:r>
      <w:r>
        <w:t xml:space="preserve">operators are also subject to a limit.</w:t>
      </w:r>
    </w:p>
    <w:p>
      <w:pPr>
        <w:pStyle w:val="BodyText"/>
      </w:pPr>
      <w:r>
        <w:t xml:space="preserve">17 Although the main feature of this measure is the integration by the public authority with a prior increase of</w:t>
      </w:r>
      <w:r>
        <w:t xml:space="preserve"> </w:t>
      </w:r>
      <w:r>
        <w:t xml:space="preserve">the cap based on the amount of removals that are planned to be purchased, it can be combined with the</w:t>
      </w:r>
      <w:r>
        <w:t xml:space="preserve"> </w:t>
      </w:r>
      <w:r>
        <w:t xml:space="preserve">integration by the ETS regulated entities that generate removals. This option could be introduced to give these</w:t>
      </w:r>
      <w:r>
        <w:t xml:space="preserve"> </w:t>
      </w:r>
      <w:r>
        <w:t xml:space="preserve">more flexibility, would these installations prefer to use the removals they generate themselves, instead of</w:t>
      </w:r>
      <w:r>
        <w:t xml:space="preserve"> </w:t>
      </w:r>
      <w:r>
        <w:t xml:space="preserve">selling them to the public authority. The decision would be uneconomical is most cases, given the expected</w:t>
      </w:r>
      <w:r>
        <w:t xml:space="preserve"> </w:t>
      </w:r>
      <w:r>
        <w:t xml:space="preserve">price differential. To respect the gross emissions limit that is determined by the pre-increased cap in CR4,</w:t>
      </w:r>
      <w:r>
        <w:t xml:space="preserve"> </w:t>
      </w:r>
      <w:r>
        <w:t xml:space="preserve">any removals used by regulated entities would lead to the cancellation of a removal-backed allowance, as in</w:t>
      </w:r>
      <w:r>
        <w:t xml:space="preserve"> </w:t>
      </w:r>
      <w:r>
        <w:t xml:space="preserve">the CR3 one-in-one-out approach.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This graph represents the relationship between each measure and the cap. The red line</w:t>
      </w:r>
      <w:r>
        <w:t xml:space="preserve"> </w:t>
      </w:r>
      <w:r>
        <w:t xml:space="preserve">represents the total number of allowances of the system (the ‘cap’ of allowances). Together</w:t>
      </w:r>
      <w:r>
        <w:t xml:space="preserve"> </w:t>
      </w:r>
      <w:r>
        <w:t xml:space="preserve">with any removal units used on top of the cap, they provide the total emission space allowed</w:t>
      </w:r>
      <w:r>
        <w:t xml:space="preserve"> </w:t>
      </w:r>
      <w:r>
        <w:t xml:space="preserve">in the EU ETS.</w:t>
      </w:r>
      <w:r>
        <w:t xml:space="preserve"> </w:t>
      </w:r>
      <w:r>
        <w:t xml:space="preserve">Figure 1:</w:t>
      </w:r>
      <w:r>
        <w:t xml:space="preserve"> </w:t>
      </w:r>
      <w:r>
        <w:t xml:space="preserve">Relationship of CDR with the cap in the measures</w:t>
      </w:r>
    </w:p>
    <w:p>
      <w:pPr>
        <w:pStyle w:val="BodyText"/>
      </w:pPr>
      <w:r>
        <w:t xml:space="preserve">Table 2:</w:t>
      </w:r>
      <w:r>
        <w:t xml:space="preserve"> </w:t>
      </w:r>
      <w:r>
        <w:t xml:space="preserve">Summary of the net and gross emissions certainty in the measures:</w:t>
      </w:r>
    </w:p>
    <w:p>
      <w:pPr>
        <w:pStyle w:val="BodyText"/>
      </w:pPr>
      <w:r>
        <w:t xml:space="preserve">CR1</w:t>
      </w:r>
      <w:r>
        <w:t xml:space="preserve"> </w:t>
      </w:r>
      <w:r>
        <w:t xml:space="preserve">CR2</w:t>
      </w:r>
      <w:r>
        <w:t xml:space="preserve"> </w:t>
      </w:r>
      <w:r>
        <w:t xml:space="preserve">CR3</w:t>
      </w:r>
      <w:r>
        <w:t xml:space="preserve"> </w:t>
      </w:r>
      <w:r>
        <w:t xml:space="preserve">CR4</w:t>
      </w:r>
      <w:r>
        <w:t xml:space="preserve"> </w:t>
      </w:r>
      <w:r>
        <w:t xml:space="preserve">CR5</w:t>
      </w:r>
      <w:r>
        <w:t xml:space="preserve"> </w:t>
      </w:r>
      <w:r>
        <w:t xml:space="preserve">Net</w:t>
      </w:r>
      <w:r>
        <w:t xml:space="preserve"> </w:t>
      </w:r>
      <w:r>
        <w:t xml:space="preserve">emissions</w:t>
      </w:r>
      <w:r>
        <w:t xml:space="preserve"> </w:t>
      </w:r>
      <w:r>
        <w:t xml:space="preserve">Certain, determined by the cap</w:t>
      </w:r>
    </w:p>
    <w:p>
      <w:pPr>
        <w:pStyle w:val="BodyText"/>
      </w:pPr>
      <w:r>
        <w:t xml:space="preserve">Uncertain,</w:t>
      </w:r>
      <w:r>
        <w:t xml:space="preserve"> </w:t>
      </w:r>
      <w:r>
        <w:t xml:space="preserve">dependent</w:t>
      </w:r>
      <w:r>
        <w:t xml:space="preserve"> </w:t>
      </w:r>
      <w:r>
        <w:t xml:space="preserve">on</w:t>
      </w:r>
      <w:r>
        <w:t xml:space="preserve"> </w:t>
      </w:r>
      <w:r>
        <w:t xml:space="preserve">removal units</w:t>
      </w:r>
      <w:r>
        <w:t xml:space="preserve"> </w:t>
      </w:r>
      <w:r>
        <w:t xml:space="preserve">used.</w:t>
      </w:r>
      <w:r>
        <w:br/>
      </w:r>
      <w:r>
        <w:t xml:space="preserve">Uncertainty</w:t>
      </w:r>
      <w:r>
        <w:t xml:space="preserve"> </w:t>
      </w:r>
      <w:r>
        <w:t xml:space="preserve">can be reduced</w:t>
      </w:r>
      <w:r>
        <w:t xml:space="preserve"> </w:t>
      </w:r>
      <w:r>
        <w:t xml:space="preserve">if financing is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removals, e.g. </w:t>
      </w:r>
      <w:r>
        <w:t xml:space="preserve"> </w:t>
      </w:r>
      <w:r>
        <w:t xml:space="preserve">through</w:t>
      </w:r>
      <w:r>
        <w:t xml:space="preserve"> </w:t>
      </w:r>
      <w:r>
        <w:t xml:space="preserve">contracts</w:t>
      </w:r>
      <w:r>
        <w:t xml:space="preserve"> </w:t>
      </w:r>
      <w:r>
        <w:t xml:space="preserve">for</w:t>
      </w:r>
      <w:r>
        <w:t xml:space="preserve"> </w:t>
      </w:r>
      <w:r>
        <w:t xml:space="preserve">difference</w:t>
      </w:r>
    </w:p>
    <w:p>
      <w:pPr>
        <w:pStyle w:val="BodyText"/>
      </w:pPr>
      <w:r>
        <w:t xml:space="preserve">Certain,</w:t>
      </w:r>
      <w:r>
        <w:t xml:space="preserve"> </w:t>
      </w:r>
      <w:r>
        <w:t xml:space="preserve">determined by</w:t>
      </w:r>
      <w:r>
        <w:t xml:space="preserve"> </w:t>
      </w:r>
      <w:r>
        <w:t xml:space="preserve">the cap,</w:t>
      </w:r>
      <w:r>
        <w:br/>
      </w:r>
      <w:r>
        <w:t xml:space="preserve">conditional on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purchasing</w:t>
      </w:r>
      <w:r>
        <w:t xml:space="preserve"> </w:t>
      </w:r>
      <w:r>
        <w:t xml:space="preserve">program being</w:t>
      </w:r>
      <w:r>
        <w:t xml:space="preserve"> </w:t>
      </w:r>
      <w:r>
        <w:t xml:space="preserve">provided</w:t>
      </w:r>
      <w:r>
        <w:t xml:space="preserve"> </w:t>
      </w:r>
      <w:r>
        <w:t xml:space="preserve">sufficient</w:t>
      </w:r>
      <w:r>
        <w:t xml:space="preserve"> </w:t>
      </w:r>
      <w:r>
        <w:t xml:space="preserve">funding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removals</w:t>
      </w:r>
      <w:r>
        <w:t xml:space="preserve"> </w:t>
      </w:r>
      <w:r>
        <w:t xml:space="preserve">by</w:t>
      </w:r>
      <w:r>
        <w:t xml:space="preserve"> </w:t>
      </w:r>
      <w:r>
        <w:t xml:space="preserve">which the cap is</w:t>
      </w:r>
      <w:r>
        <w:t xml:space="preserve"> </w:t>
      </w:r>
      <w:r>
        <w:t xml:space="preserve">increased</w:t>
      </w:r>
      <w:r>
        <w:t xml:space="preserve"> </w:t>
      </w:r>
      <w:r>
        <w:t xml:space="preserve">Certain,</w:t>
      </w:r>
      <w:r>
        <w:t xml:space="preserve"> </w:t>
      </w:r>
      <w:r>
        <w:t xml:space="preserve">determined</w:t>
      </w:r>
      <w:r>
        <w:t xml:space="preserve"> </w:t>
      </w:r>
      <w:r>
        <w:t xml:space="preserve">by the cap</w:t>
      </w:r>
      <w:r>
        <w:t xml:space="preserve"> </w:t>
      </w:r>
      <w:r>
        <w:t xml:space="preserve">Gross</w:t>
      </w:r>
      <w:r>
        <w:t xml:space="preserve"> </w:t>
      </w:r>
      <w:r>
        <w:t xml:space="preserve">emissions</w:t>
      </w:r>
      <w:r>
        <w:br/>
      </w:r>
      <w:r>
        <w:t xml:space="preserve">Uncertain</w:t>
      </w:r>
      <w:r>
        <w:t xml:space="preserve"> </w:t>
      </w:r>
      <w:r>
        <w:t xml:space="preserve">Uncertainty</w:t>
      </w:r>
      <w:r>
        <w:t xml:space="preserve"> </w:t>
      </w:r>
      <w:r>
        <w:t xml:space="preserve">up</w:t>
      </w:r>
      <w:r>
        <w:t xml:space="preserve"> </w:t>
      </w:r>
      <w:r>
        <w:t xml:space="preserve">to the ceiling of</w:t>
      </w:r>
      <w:r>
        <w:t xml:space="preserve"> </w:t>
      </w:r>
      <w:r>
        <w:t xml:space="preserve">the</w:t>
      </w:r>
      <w:r>
        <w:t xml:space="preserve"> </w:t>
      </w:r>
      <w:r>
        <w:t xml:space="preserve">limit</w:t>
      </w:r>
      <w:r>
        <w:t xml:space="preserve"> </w:t>
      </w:r>
      <w:r>
        <w:t xml:space="preserve">Uncertainty can</w:t>
      </w:r>
      <w:r>
        <w:t xml:space="preserve"> </w:t>
      </w:r>
      <w:r>
        <w:t xml:space="preserve">be</w:t>
      </w:r>
      <w:r>
        <w:t xml:space="preserve"> </w:t>
      </w:r>
      <w:r>
        <w:t xml:space="preserve">reduced</w:t>
      </w:r>
      <w:r>
        <w:t xml:space="preserve"> </w:t>
      </w:r>
      <w:r>
        <w:t xml:space="preserve">if</w:t>
      </w:r>
      <w:r>
        <w:t xml:space="preserve"> </w:t>
      </w:r>
      <w:r>
        <w:t xml:space="preserve">financing</w:t>
      </w:r>
      <w:r>
        <w:t xml:space="preserve"> </w:t>
      </w:r>
      <w:r>
        <w:t xml:space="preserve">is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removals, e.g. </w:t>
      </w:r>
      <w:r>
        <w:t xml:space="preserve"> </w:t>
      </w:r>
      <w:r>
        <w:t xml:space="preserve">Uncertain and</w:t>
      </w:r>
      <w:r>
        <w:t xml:space="preserve"> </w:t>
      </w:r>
      <w:r>
        <w:t xml:space="preserve">unlimited</w:t>
      </w:r>
      <w:r>
        <w:t xml:space="preserve"> </w:t>
      </w:r>
      <w:r>
        <w:t xml:space="preserve">Uncertainty</w:t>
      </w:r>
      <w:r>
        <w:t xml:space="preserve"> </w:t>
      </w:r>
      <w:r>
        <w:t xml:space="preserve">can be reduced</w:t>
      </w:r>
      <w:r>
        <w:t xml:space="preserve"> </w:t>
      </w:r>
      <w:r>
        <w:t xml:space="preserve">if financing is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removals, e.g. </w:t>
      </w:r>
      <w:r>
        <w:t xml:space="preserve"> </w:t>
      </w:r>
      <w:r>
        <w:t xml:space="preserve">through</w:t>
      </w:r>
      <w:r>
        <w:t xml:space="preserve"> </w:t>
      </w:r>
      <w:r>
        <w:t xml:space="preserve">Certain,</w:t>
      </w:r>
      <w:r>
        <w:t xml:space="preserve"> </w:t>
      </w:r>
      <w:r>
        <w:t xml:space="preserve">determined by</w:t>
      </w:r>
      <w:r>
        <w:t xml:space="preserve"> </w:t>
      </w:r>
      <w:r>
        <w:t xml:space="preserve">the</w:t>
      </w:r>
      <w:r>
        <w:t xml:space="preserve"> </w:t>
      </w:r>
      <w:r>
        <w:t xml:space="preserve">pre-</w:t>
      </w:r>
      <w:r>
        <w:t xml:space="preserve"> </w:t>
      </w:r>
      <w:r>
        <w:t xml:space="preserve">increased cap</w:t>
      </w:r>
    </w:p>
    <w:p>
      <w:pPr>
        <w:pStyle w:val="BodyText"/>
      </w:pPr>
      <w:r>
        <w:t xml:space="preserve">Certain,</w:t>
      </w:r>
      <w:r>
        <w:t xml:space="preserve"> </w:t>
      </w:r>
      <w:r>
        <w:t xml:space="preserve">determined by</w:t>
      </w:r>
      <w:r>
        <w:t xml:space="preserve"> </w:t>
      </w:r>
      <w:r>
        <w:t xml:space="preserve">the cap</w:t>
      </w:r>
    </w:p>
    <w:p>
      <w:pPr>
        <w:pStyle w:val="BodyText"/>
      </w:pPr>
      <w:r>
        <w:t xml:space="preserve">Uncertain,</w:t>
      </w:r>
      <w:r>
        <w:t xml:space="preserve"> </w:t>
      </w:r>
      <w:r>
        <w:t xml:space="preserve">dependent</w:t>
      </w:r>
      <w:r>
        <w:t xml:space="preserve"> </w:t>
      </w:r>
      <w:r>
        <w:t xml:space="preserve">on</w:t>
      </w:r>
      <w:r>
        <w:t xml:space="preserve"> </w:t>
      </w:r>
      <w:r>
        <w:t xml:space="preserve">MSR</w:t>
      </w:r>
      <w:r>
        <w:t xml:space="preserve"> </w:t>
      </w:r>
      <w:r>
        <w:t xml:space="preserve">releases, but</w:t>
      </w:r>
      <w:r>
        <w:t xml:space="preserve"> </w:t>
      </w:r>
      <w:r>
        <w:t xml:space="preserve">limited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through</w:t>
      </w:r>
      <w:r>
        <w:t xml:space="preserve"> </w:t>
      </w:r>
      <w:r>
        <w:t xml:space="preserve">contracts</w:t>
      </w:r>
      <w:r>
        <w:t xml:space="preserve"> </w:t>
      </w:r>
      <w:r>
        <w:t xml:space="preserve">for</w:t>
      </w:r>
      <w:r>
        <w:t xml:space="preserve"> </w:t>
      </w:r>
      <w:r>
        <w:t xml:space="preserve">difference</w:t>
      </w:r>
      <w:r>
        <w:br/>
      </w:r>
      <w:r>
        <w:t xml:space="preserve">contracts</w:t>
      </w:r>
      <w:r>
        <w:t xml:space="preserve"> </w:t>
      </w:r>
      <w:r>
        <w:t xml:space="preserve">for</w:t>
      </w:r>
      <w:r>
        <w:t xml:space="preserve"> </w:t>
      </w:r>
      <w:r>
        <w:t xml:space="preserve">difference</w:t>
      </w:r>
      <w:r>
        <w:t xml:space="preserve"> </w:t>
      </w:r>
      <w:r>
        <w:t xml:space="preserve">2.2. Measures discarded at an early stage</w:t>
      </w:r>
      <w:r>
        <w:t xml:space="preserve"> </w:t>
      </w:r>
      <w:r>
        <w:t xml:space="preserve">A number of measures have been proposed in the literature and in stakeholder consultations</w:t>
      </w:r>
      <w:r>
        <w:t xml:space="preserve"> </w:t>
      </w:r>
      <w:r>
        <w:t xml:space="preserve">for the potential integration of removals and international credits into ETSs. Several</w:t>
      </w:r>
      <w:r>
        <w:t xml:space="preserve"> </w:t>
      </w:r>
      <w:r>
        <w:t xml:space="preserve">dimensions are relevant to designing these options. This figure provides a few examples.</w:t>
      </w:r>
      <w:r>
        <w:br/>
      </w:r>
      <w:r>
        <w:t xml:space="preserve">Figure 2:</w:t>
      </w:r>
      <w:r>
        <w:t xml:space="preserve"> </w:t>
      </w:r>
      <w:r>
        <w:t xml:space="preserve">Dimensions for the inclusion of removals in ETSs</w:t>
      </w:r>
    </w:p>
    <w:p>
      <w:pPr>
        <w:pStyle w:val="BodyText"/>
      </w:pPr>
      <w:r>
        <w:t xml:space="preserve">Source: La Hoz Theuer (2024)</w:t>
      </w:r>
      <w:r>
        <w:t xml:space="preserve"> </w:t>
      </w:r>
      <w:r>
        <w:t xml:space="preserve">A few measures and dimensions have been discarded for this impact assessment:</w:t>
      </w:r>
      <w:r>
        <w:br/>
      </w:r>
      <w:r>
        <w:t xml:space="preserve">• Demand-side restrictions based on a sector-specific judgement of what emissions</w:t>
      </w:r>
      <w:r>
        <w:t xml:space="preserve"> </w:t>
      </w:r>
      <w:r>
        <w:t xml:space="preserve">are ‘hard-to-abate’. For example, a restriction where only a particular sector or only</w:t>
      </w:r>
      <w:r>
        <w:t xml:space="preserve"> </w:t>
      </w:r>
      <w:r>
        <w:t xml:space="preserve">a particular emissions source would be eligible to make use of removal units, thereby</w:t>
      </w:r>
      <w:r>
        <w:t xml:space="preserve"> </w:t>
      </w:r>
      <w:r>
        <w:t xml:space="preserve">limiting the benefit from the additional space for gross emissions in the system.</w:t>
      </w:r>
      <w:r>
        <w:t xml:space="preserve"> </w:t>
      </w:r>
      <w:r>
        <w:t xml:space="preserve">Establishing limits on who can use removal units entails implicitly defining which</w:t>
      </w:r>
      <w:r>
        <w:t xml:space="preserve"> </w:t>
      </w:r>
      <w:r>
        <w:t xml:space="preserve">emissions are unavoidable and which of those should remain in society - which is highly</w:t>
      </w:r>
      <w:r>
        <w:t xml:space="preserve"> </w:t>
      </w:r>
      <w:r>
        <w:t xml:space="preserve">disputed, subject to change and can be defined in myriad technical, societal, political</w:t>
      </w:r>
      <w:r>
        <w:t xml:space="preserve"> </w:t>
      </w:r>
      <w:r>
        <w:t xml:space="preserve">and economic terms. Demand-side restrictions create substantial administrative</w:t>
      </w:r>
      <w:r>
        <w:t xml:space="preserve"> </w:t>
      </w:r>
      <w:r>
        <w:t xml:space="preserve">complexity, requiring regulators to continuously assess and categorise which emissions</w:t>
      </w:r>
      <w:r>
        <w:t xml:space="preserve"> </w:t>
      </w:r>
      <w:r>
        <w:t xml:space="preserve">qualify as</w:t>
      </w:r>
      <w:r>
        <w:t xml:space="preserve"> </w:t>
      </w:r>
      <w:r>
        <w:t xml:space="preserve">“hard-to-abate”</w:t>
      </w:r>
      <w:r>
        <w:t xml:space="preserve"> </w:t>
      </w:r>
      <w:r>
        <w:t xml:space="preserve">across diverse industries, whilst opening the system to</w:t>
      </w:r>
      <w:r>
        <w:t xml:space="preserve"> </w:t>
      </w:r>
      <w:r>
        <w:t xml:space="preserve">lobbying pressure as sectors compete for preferential treatment and opening the door to</w:t>
      </w:r>
      <w:r>
        <w:t xml:space="preserve"> </w:t>
      </w:r>
      <w:r>
        <w:t xml:space="preserve">political and technical disputes. They are also likely to fragment the market and reduce</w:t>
      </w:r>
      <w:r>
        <w:t xml:space="preserve"> </w:t>
      </w:r>
      <w:r>
        <w:t xml:space="preserve">economic efficiency. Imprecisions in the decision-making by the regulator can further</w:t>
      </w:r>
      <w:r>
        <w:t xml:space="preserve"> </w:t>
      </w:r>
      <w:r>
        <w:t xml:space="preserve">lower economic efficiency of the system. Such deliberations and decisions were</w:t>
      </w:r>
      <w:r>
        <w:t xml:space="preserve"> </w:t>
      </w:r>
      <w:r>
        <w:t xml:space="preserve">considered to be politically unfeasible at this stage. In addition, as long as removals</w:t>
      </w:r>
      <w:r>
        <w:t xml:space="preserve"> </w:t>
      </w:r>
      <w:r>
        <w:t xml:space="preserve">remain more expensive than conventional allowances, demand-side restrictions would</w:t>
      </w:r>
      <w:r>
        <w:t xml:space="preserve"> </w:t>
      </w:r>
      <w:r>
        <w:t xml:space="preserve">not be binding, but they would nevertheless shrink the pool of potential buyers, so that</w:t>
      </w:r>
      <w:r>
        <w:t xml:space="preserve"> </w:t>
      </w:r>
      <w:r>
        <w:t xml:space="preserve">removals may sustain higher prices for a longer period.</w:t>
      </w:r>
      <w:r>
        <w:t xml:space="preserve"> </w:t>
      </w:r>
      <w:r>
        <w:t xml:space="preserve">• Obliging entities to cover a percentage of their ETS emissions with removals. For</w:t>
      </w:r>
      <w:r>
        <w:t xml:space="preserve"> </w:t>
      </w:r>
      <w:r>
        <w:t xml:space="preserve">example, requiring that ETS-covered entities cover a certain percentage of ETS</w:t>
      </w:r>
      <w:r>
        <w:t xml:space="preserve"> </w:t>
      </w:r>
      <w:r>
        <w:t xml:space="preserve">compliance obligations with removal units. Removals are a way to provide flexibility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to ETS operators, rather than as an obligation to purchase more expensive compliance</w:t>
      </w:r>
      <w:r>
        <w:t xml:space="preserve"> </w:t>
      </w:r>
      <w:r>
        <w:t xml:space="preserve">units for their ETS-covered emissions. While purchase obligations may be an effective</w:t>
      </w:r>
      <w:r>
        <w:t xml:space="preserve"> </w:t>
      </w:r>
      <w:r>
        <w:t xml:space="preserve">way of incentivizing removals and are aligned with the polluters pay principle if</w:t>
      </w:r>
      <w:r>
        <w:t xml:space="preserve"> </w:t>
      </w:r>
      <w:r>
        <w:t xml:space="preserve">corresponding to the additional emissions spaced offered in the EU ETS by removals,</w:t>
      </w:r>
      <w:r>
        <w:t xml:space="preserve"> </w:t>
      </w:r>
      <w:r>
        <w:t xml:space="preserve">they are considered unfeasible within the scope of the EU ETS review at this stage. In</w:t>
      </w:r>
      <w:r>
        <w:t xml:space="preserve"> </w:t>
      </w:r>
      <w:r>
        <w:t xml:space="preserve">the long run, this may be reconsidered in the light of net-negative objectives.</w:t>
      </w:r>
      <w:r>
        <w:br/>
      </w:r>
      <w:r>
        <w:t xml:space="preserve">• Establishing separate removal mandates or carbon take-back obligations, or</w:t>
      </w:r>
      <w:r>
        <w:t xml:space="preserve"> </w:t>
      </w:r>
      <w:r>
        <w:t xml:space="preserve">extended emitter responsibility instruments through the EU ETS, e.g. establishing</w:t>
      </w:r>
      <w:r>
        <w:t xml:space="preserve"> </w:t>
      </w:r>
      <w:r>
        <w:t xml:space="preserve">a separate ‘removals trading system’, imposing removal obligations on selected</w:t>
      </w:r>
      <w:r>
        <w:t xml:space="preserve"> </w:t>
      </w:r>
      <w:r>
        <w:t xml:space="preserve">sectors/entities, or requiring that e.g. fossil fuel producers surrender removal units for</w:t>
      </w:r>
      <w:r>
        <w:t xml:space="preserve"> </w:t>
      </w:r>
      <w:r>
        <w:t xml:space="preserve">their scope 3 emissions, i.e. the CO2 contained in their products. Such instruments are</w:t>
      </w:r>
      <w:r>
        <w:t xml:space="preserve"> </w:t>
      </w:r>
      <w:r>
        <w:t xml:space="preserve">not considered viable options for EU ETS review at this stage, due to the lack of</w:t>
      </w:r>
      <w:r>
        <w:t xml:space="preserve"> </w:t>
      </w:r>
      <w:r>
        <w:t xml:space="preserve">political feasibility of imposing new obligations on existing ETS-covered and/or on</w:t>
      </w:r>
      <w:r>
        <w:t xml:space="preserve"> </w:t>
      </w:r>
      <w:r>
        <w:t xml:space="preserve">new entities. An analysis on the viability of establishing separate instruments for</w:t>
      </w:r>
      <w:r>
        <w:t xml:space="preserve"> </w:t>
      </w:r>
      <w:r>
        <w:t xml:space="preserve">incentivizing removals outside the EU ETS lies beyond the scope of this analysis. In</w:t>
      </w:r>
      <w:r>
        <w:t xml:space="preserve"> </w:t>
      </w:r>
      <w:r>
        <w:t xml:space="preserve">addition, regarding a removals trading system established over the wider economy</w:t>
      </w:r>
      <w:r>
        <w:t xml:space="preserve"> </w:t>
      </w:r>
      <w:r>
        <w:t xml:space="preserve">based on an ‘ability to pay’ is considered contrary to the polluters pay principle. Such</w:t>
      </w:r>
      <w:r>
        <w:t xml:space="preserve"> </w:t>
      </w:r>
      <w:r>
        <w:t xml:space="preserve">a system would enable the increase of the cap of EU ETS, thus allowing the sectors</w:t>
      </w:r>
      <w:r>
        <w:t xml:space="preserve"> </w:t>
      </w:r>
      <w:r>
        <w:t xml:space="preserve">covered to benefit from the corresponding emission space, while imposing the cost of</w:t>
      </w:r>
      <w:r>
        <w:t xml:space="preserve"> </w:t>
      </w:r>
      <w:r>
        <w:t xml:space="preserve">the removals on other actors that do not influence the emission being compensated18.</w:t>
      </w:r>
      <w:r>
        <w:t xml:space="preserve"> </w:t>
      </w:r>
      <w:r>
        <w:t xml:space="preserve">Nevertheless, it should be noted that the polluter pays principle will not be implemented</w:t>
      </w:r>
      <w:r>
        <w:t xml:space="preserve"> </w:t>
      </w:r>
      <w:r>
        <w:t xml:space="preserve">perfectly as financial support is necessary to cover the price differential between</w:t>
      </w:r>
      <w:r>
        <w:t xml:space="preserve"> </w:t>
      </w:r>
      <w:r>
        <w:t xml:space="preserve">removals and allowances. Such models should be analysed in the future as they may</w:t>
      </w:r>
      <w:r>
        <w:t xml:space="preserve"> </w:t>
      </w:r>
      <w:r>
        <w:t xml:space="preserve">play a role in complementing towards net-zero and, more importantly, be essential</w:t>
      </w:r>
      <w:r>
        <w:t xml:space="preserve"> </w:t>
      </w:r>
      <w:r>
        <w:t xml:space="preserve">towards achieving net-negative emissions19.</w:t>
      </w:r>
      <w:r>
        <w:br/>
      </w:r>
      <w:r>
        <w:t xml:space="preserve">• Establishing a central carbon bank (CCB). Proposals for the establishment of a CCB</w:t>
      </w:r>
      <w:r>
        <w:t xml:space="preserve"> </w:t>
      </w:r>
      <w:r>
        <w:t xml:space="preserve">vary, but often include the tasks of managing the procurement of removal units,</w:t>
      </w:r>
      <w:r>
        <w:t xml:space="preserve"> </w:t>
      </w:r>
      <w:r>
        <w:t xml:space="preserve">providing financial support to removal suppliers beyond the allowance price, acting as</w:t>
      </w:r>
      <w:r>
        <w:t xml:space="preserve"> </w:t>
      </w:r>
      <w:r>
        <w:t xml:space="preserve">a warehouse for removal units, managing removal risks (such as from reversals), and</w:t>
      </w:r>
      <w:r>
        <w:t xml:space="preserve"> </w:t>
      </w:r>
      <w:r>
        <w:t xml:space="preserve">managing price volatility and scarcity in the EU ETS by controlling the supply of</w:t>
      </w:r>
      <w:r>
        <w:t xml:space="preserve"> </w:t>
      </w:r>
      <w:r>
        <w:t xml:space="preserve">compliance units, among others. Such an institution is not considered, among others</w:t>
      </w:r>
      <w:r>
        <w:t xml:space="preserve"> </w:t>
      </w:r>
      <w:r>
        <w:t xml:space="preserve">due to the significant institutional and governance complexity. A rule-based system is</w:t>
      </w:r>
      <w:r>
        <w:t xml:space="preserve"> </w:t>
      </w:r>
      <w:r>
        <w:t xml:space="preserve">considered favourable for market stability, transparency and avoiding political</w:t>
      </w:r>
      <w:r>
        <w:t xml:space="preserve"> </w:t>
      </w:r>
      <w:r>
        <w:t xml:space="preserve">pressures. A simpler variant of this design, involving a public authority that manages a</w:t>
      </w:r>
      <w:r>
        <w:t xml:space="preserve"> </w:t>
      </w:r>
      <w:r>
        <w:t xml:space="preserve">public purchasing programme, is envisioned as part of CR4 and CR5. The CCB has</w:t>
      </w:r>
      <w:r>
        <w:t xml:space="preserve"> </w:t>
      </w:r>
      <w:r>
        <w:t xml:space="preserve">also been proposed as the institution to manage ‘clean-up certificates’, which would</w:t>
      </w:r>
      <w:r>
        <w:t xml:space="preserve"> </w:t>
      </w:r>
      <w:r>
        <w:t xml:space="preserve">enable entities to emit while mandating future removal. These are discarded due to the</w:t>
      </w:r>
      <w:r>
        <w:t xml:space="preserve"> </w:t>
      </w:r>
      <w:r>
        <w:t xml:space="preserve">lack of political feasibility as a result of their complexity (among others, requiring</w:t>
      </w:r>
      <w:r>
        <w:t xml:space="preserve"> </w:t>
      </w:r>
      <w:r>
        <w:t xml:space="preserve">setting interest rates, collateral, and the creation of new credits); the environmental risk</w:t>
      </w:r>
      <w:r>
        <w:t xml:space="preserve"> </w:t>
      </w:r>
      <w:r>
        <w:t xml:space="preserve">resulting from any mistakes in managing this complexity leading to an under delivery</w:t>
      </w:r>
      <w:r>
        <w:t xml:space="preserve"> </w:t>
      </w:r>
      <w:r>
        <w:t xml:space="preserve">of the removals that justified increased emissions; and the delay in incentivising</w:t>
      </w:r>
      <w:r>
        <w:t xml:space="preserve"> </w:t>
      </w:r>
      <w:r>
        <w:t xml:space="preserve">removals that could ensue.</w:t>
      </w:r>
    </w:p>
    <w:p>
      <w:pPr>
        <w:pStyle w:val="BodyText"/>
      </w:pPr>
      <w:r>
        <w:t xml:space="preserve">18 This would not apply in case the removals trading obligation would be imposed also on entities that are</w:t>
      </w:r>
      <w:r>
        <w:t xml:space="preserve"> </w:t>
      </w:r>
      <w:r>
        <w:t xml:space="preserve">directly involved in the polluting activity, such as the fossil fuel providers for the carbon embedded in their</w:t>
      </w:r>
      <w:r>
        <w:t xml:space="preserve"> </w:t>
      </w:r>
      <w:r>
        <w:t xml:space="preserve">products.</w:t>
      </w:r>
      <w:r>
        <w:br/>
      </w:r>
      <w:r>
        <w:t xml:space="preserve">19 CONCITO and CarbonGap’s analysis of a removals trading system is an example of studies that should</w:t>
      </w:r>
      <w:r>
        <w:t xml:space="preserve"> </w:t>
      </w:r>
      <w:r>
        <w:t xml:space="preserve">continue being developed to gain further understanding of the potential functioning of such systems:</w:t>
      </w:r>
      <w:r>
        <w:t xml:space="preserve"> </w:t>
      </w:r>
      <w:r>
        <w:t xml:space="preserve">https://concito.dk/files/media/document/Modelling%20a%20Removal%20Compliance%20System%20in%</w:t>
      </w:r>
      <w:r>
        <w:t xml:space="preserve"> </w:t>
      </w:r>
      <w:r>
        <w:t xml:space="preserve">20the%20EU.pdf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• Using international credits for compliance in the ETS directly through operator</w:t>
      </w:r>
      <w:r>
        <w:t xml:space="preserve"> </w:t>
      </w:r>
      <w:r>
        <w:t xml:space="preserve">integration. This was something often proposed in the open consultation but</w:t>
      </w:r>
      <w:r>
        <w:t xml:space="preserve"> </w:t>
      </w:r>
      <w:r>
        <w:t xml:space="preserve">considered undesirable at this stage. Integrating the international credits to EU climate</w:t>
      </w:r>
      <w:r>
        <w:t xml:space="preserve"> </w:t>
      </w:r>
      <w:r>
        <w:t xml:space="preserve">framework should be implemented preserving the principles of integrity and stability</w:t>
      </w:r>
      <w:r>
        <w:t xml:space="preserve"> </w:t>
      </w:r>
      <w:r>
        <w:t xml:space="preserve">of the EU ETS. See section 3.1 on minimum requirements for removals integration.</w:t>
      </w:r>
      <w:r>
        <w:t xml:space="preserve"> </w:t>
      </w:r>
      <w:r>
        <w:t xml:space="preserve">Allowing direct use of international credits for operators for their ETS compliance</w:t>
      </w:r>
      <w:r>
        <w:t xml:space="preserve"> </w:t>
      </w:r>
      <w:r>
        <w:t xml:space="preserve">obligations as a means to create additional emissions space is an option which cannot</w:t>
      </w:r>
      <w:r>
        <w:t xml:space="preserve"> </w:t>
      </w:r>
      <w:r>
        <w:t xml:space="preserve">be implemented simultaneously with the adjustment of the ETS cap to the EU-wide</w:t>
      </w:r>
      <w:r>
        <w:t xml:space="preserve"> </w:t>
      </w:r>
      <w:r>
        <w:t xml:space="preserve">85% domestic ambition target, which forms the basis for the impact assessment (see</w:t>
      </w:r>
      <w:r>
        <w:t xml:space="preserve"> </w:t>
      </w:r>
      <w:r>
        <w:t xml:space="preserve">part I of this Annex on the cap). In other words, if a direct use of international credits</w:t>
      </w:r>
      <w:r>
        <w:t xml:space="preserve"> </w:t>
      </w:r>
      <w:r>
        <w:t xml:space="preserve">through operator integration was allowed in addition to adjustment of the ETS cap, the</w:t>
      </w:r>
      <w:r>
        <w:t xml:space="preserve"> </w:t>
      </w:r>
      <w:r>
        <w:t xml:space="preserve">2040 EU domestic climate ambition would not be met. Thus, integrating the</w:t>
      </w:r>
      <w:r>
        <w:t xml:space="preserve"> </w:t>
      </w:r>
      <w:r>
        <w:t xml:space="preserve">international credits by operators would require setting the ETS cap in line with an EU-</w:t>
      </w:r>
      <w:r>
        <w:t xml:space="preserve"> </w:t>
      </w:r>
      <w:r>
        <w:t xml:space="preserve">wide 90% ambition target instead. Besides this first consideration, there are several</w:t>
      </w:r>
      <w:r>
        <w:t xml:space="preserve"> </w:t>
      </w:r>
      <w:r>
        <w:t xml:space="preserve">drawbacks to direct integration into the EU ETS.</w:t>
      </w:r>
      <w:r>
        <w:br/>
      </w:r>
      <w:r>
        <w:t xml:space="preserve">The EU has had direct experience of integration of Certified Emission Reductions</w:t>
      </w:r>
      <w:r>
        <w:t xml:space="preserve"> </w:t>
      </w:r>
      <w:r>
        <w:t xml:space="preserve">(CERs) from the Clean Development Mechanism (CDM) into the EU ETS and</w:t>
      </w:r>
      <w:r>
        <w:t xml:space="preserve"> </w:t>
      </w:r>
      <w:r>
        <w:t xml:space="preserve">discontinued this approach. Studies have raised concerns about the impact of this</w:t>
      </w:r>
      <w:r>
        <w:t xml:space="preserve"> </w:t>
      </w:r>
      <w:r>
        <w:t xml:space="preserve">integration on the effectiveness and integrity of the EU ETS20. The past experiences</w:t>
      </w:r>
      <w:r>
        <w:t xml:space="preserve"> </w:t>
      </w:r>
      <w:r>
        <w:t xml:space="preserve">showed that allowing operators to purchase credits and use them directly for ETS</w:t>
      </w:r>
      <w:r>
        <w:t xml:space="preserve"> </w:t>
      </w:r>
      <w:r>
        <w:t xml:space="preserve">compliance can be problematic. By contrast, adjusting the ETS cap equivalent to the</w:t>
      </w:r>
      <w:r>
        <w:t xml:space="preserve"> </w:t>
      </w:r>
      <w:r>
        <w:t xml:space="preserve">amount of international credits that will be bought from projects outside of EU, is a</w:t>
      </w:r>
      <w:r>
        <w:t xml:space="preserve"> </w:t>
      </w:r>
      <w:r>
        <w:t xml:space="preserve">straightforward approach that aligns with the fundamental principles of the system,</w:t>
      </w:r>
      <w:r>
        <w:t xml:space="preserve"> </w:t>
      </w:r>
      <w:r>
        <w:t xml:space="preserve">ensuring a clearly defined cap, while still granting additional emission space.</w:t>
      </w:r>
      <w:r>
        <w:t xml:space="preserve"> </w:t>
      </w:r>
      <w:r>
        <w:t xml:space="preserve">Integrating international credits through operator purchasing involves considerable</w:t>
      </w:r>
      <w:r>
        <w:t xml:space="preserve"> </w:t>
      </w:r>
      <w:r>
        <w:t xml:space="preserve">challenges. Firstly, under the Paris Agreement, all countries need to contribute</w:t>
      </w:r>
      <w:r>
        <w:t xml:space="preserve"> </w:t>
      </w:r>
      <w:r>
        <w:t xml:space="preserve">adequately to efforts needed to achieve the Paris Agreement temperature goals. Private</w:t>
      </w:r>
      <w:r>
        <w:t xml:space="preserve"> </w:t>
      </w:r>
      <w:r>
        <w:t xml:space="preserve">entities are not well placed to assess the issue of adequacy of the climate contribution</w:t>
      </w:r>
      <w:r>
        <w:t xml:space="preserve"> </w:t>
      </w:r>
      <w:r>
        <w:t xml:space="preserve">of the countries. Economic theory would suggest that operators would seek to</w:t>
      </w:r>
      <w:r>
        <w:t xml:space="preserve"> </w:t>
      </w:r>
      <w:r>
        <w:t xml:space="preserve">maximize their profits and acquire a maximum amount of the cheapest credits that they</w:t>
      </w:r>
      <w:r>
        <w:t xml:space="preserve"> </w:t>
      </w:r>
      <w:r>
        <w:t xml:space="preserve">are legally allowed to use. Secondly, operators would need to navigate a complicated</w:t>
      </w:r>
      <w:r>
        <w:t xml:space="preserve"> </w:t>
      </w:r>
      <w:r>
        <w:t xml:space="preserve">international credit market, expand their administrative capacities, and adhere to</w:t>
      </w:r>
      <w:r>
        <w:t xml:space="preserve"> </w:t>
      </w:r>
      <w:r>
        <w:t xml:space="preserve">stringent often complex integrity criteria for credit purchasing. Additionally, it can be</w:t>
      </w:r>
      <w:r>
        <w:t xml:space="preserve"> </w:t>
      </w:r>
      <w:r>
        <w:t xml:space="preserve">challenging for the public authorities responsible for the international credits to</w:t>
      </w:r>
      <w:r>
        <w:t xml:space="preserve"> </w:t>
      </w:r>
      <w:r>
        <w:t xml:space="preserve">maintain rigorous oversight and compliance in relation to credit integrity. These issues</w:t>
      </w:r>
      <w:r>
        <w:t xml:space="preserve"> </w:t>
      </w:r>
      <w:r>
        <w:t xml:space="preserve">would undermine the quality standards and other guarantees that the European Climate</w:t>
      </w:r>
    </w:p>
    <w:p>
      <w:pPr>
        <w:pStyle w:val="BodyText"/>
      </w:pPr>
      <w:r>
        <w:t xml:space="preserve">20 See e.g. Cames et al. 2016a; de Bruyn et al. 2016, Schneider and Kollmuss 2015; Schneider L.R. 2011, Zhang</w:t>
      </w:r>
      <w:r>
        <w:t xml:space="preserve"> </w:t>
      </w:r>
      <w:r>
        <w:t xml:space="preserve">and Wang 2011, European Commission (2011)</w:t>
      </w:r>
    </w:p>
    <w:p>
      <w:pPr>
        <w:pStyle w:val="BodyText"/>
      </w:pPr>
      <w:r>
        <w:t xml:space="preserve">Cames et al. 2016. Cames, M., Harthan, R.O., Fussler, J., Lazarus, M., Lee, C.M., Erickson, P. and R.</w:t>
      </w:r>
      <w:r>
        <w:t xml:space="preserve"> </w:t>
      </w:r>
      <w:r>
        <w:t xml:space="preserve">Spalding-Fecher (2016b), How Additional is the Clean Development Mechanism? Analysis of the application</w:t>
      </w:r>
      <w:r>
        <w:t xml:space="preserve"> </w:t>
      </w:r>
      <w:r>
        <w:t xml:space="preserve">of current tools and proposed alternatives, Prepared for DG Clima (CLlMA.B.3/SERl2013/0026r.) by Oko-</w:t>
      </w:r>
      <w:r>
        <w:t xml:space="preserve"> </w:t>
      </w:r>
      <w:r>
        <w:t xml:space="preserve">Institut, INFRAS and Stockholm Environment Institute</w:t>
      </w:r>
    </w:p>
    <w:p>
      <w:pPr>
        <w:pStyle w:val="BodyText"/>
      </w:pPr>
      <w:r>
        <w:t xml:space="preserve">de Bruyn S, Schep E, Cherif S, Huigen T (2016) Calculation of additional profits of sectors and firms from</w:t>
      </w:r>
      <w:r>
        <w:t xml:space="preserve"> </w:t>
      </w:r>
      <w:r>
        <w:t xml:space="preserve">the EU ETS 2008–2015, Delft: CE Delft</w:t>
      </w:r>
    </w:p>
    <w:p>
      <w:pPr>
        <w:pStyle w:val="BodyText"/>
      </w:pPr>
      <w:r>
        <w:t xml:space="preserve">Schneider L, Kollmuss A (2015). Perverse effects of carbon markets on HFC-23 and SF6 abatement projects</w:t>
      </w:r>
      <w:r>
        <w:t xml:space="preserve"> </w:t>
      </w:r>
      <w:r>
        <w:t xml:space="preserve">in Russia. Nat Clim Chang 5:1061–1063</w:t>
      </w:r>
    </w:p>
    <w:p>
      <w:pPr>
        <w:pStyle w:val="BodyText"/>
      </w:pPr>
      <w:r>
        <w:t xml:space="preserve">Zhang and Wang (2011). Zhang J, Wang C (2011) Co-benefits and additionality of the clean development</w:t>
      </w:r>
      <w:r>
        <w:t xml:space="preserve"> </w:t>
      </w:r>
      <w:r>
        <w:t xml:space="preserve">mechanism: An empirical analysis. J Environ Econ Manag 62(2):140–154</w:t>
      </w:r>
    </w:p>
    <w:p>
      <w:pPr>
        <w:pStyle w:val="BodyText"/>
      </w:pPr>
      <w:r>
        <w:t xml:space="preserve">European Commission (2011). Study on the Integrity of the Clean Development Mechanism.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Law prescribes for the use of international credits. Also, once the credits would be</w:t>
      </w:r>
      <w:r>
        <w:t xml:space="preserve"> </w:t>
      </w:r>
      <w:r>
        <w:t xml:space="preserve">acquired, a corresponding adjustment would need to be made in the emission balances</w:t>
      </w:r>
      <w:r>
        <w:t xml:space="preserve"> </w:t>
      </w:r>
      <w:r>
        <w:t xml:space="preserve">and NDCs of the EU and of the third country: direct purchase by private entities would</w:t>
      </w:r>
      <w:r>
        <w:t xml:space="preserve"> </w:t>
      </w:r>
      <w:r>
        <w:t xml:space="preserve">make ensuring this very challenging.</w:t>
      </w:r>
    </w:p>
    <w:p>
      <w:pPr>
        <w:pStyle w:val="BodyText"/>
      </w:pPr>
      <w:r>
        <w:t xml:space="preserve">Moreover, smaller companies, in particular, may struggle due to limited administrative</w:t>
      </w:r>
      <w:r>
        <w:t xml:space="preserve"> </w:t>
      </w:r>
      <w:r>
        <w:t xml:space="preserve">resources, creating an uneven playing field where only larger companies would be able</w:t>
      </w:r>
      <w:r>
        <w:t xml:space="preserve"> </w:t>
      </w:r>
      <w:r>
        <w:t xml:space="preserve">to make use of this flexibility efficiently. Also, restrictions would need to be enforced,</w:t>
      </w:r>
      <w:r>
        <w:t xml:space="preserve"> </w:t>
      </w:r>
      <w:r>
        <w:t xml:space="preserve">such as limits on the percentage of emissions covered by credits or a first-come-first-</w:t>
      </w:r>
      <w:r>
        <w:t xml:space="preserve"> </w:t>
      </w:r>
      <w:r>
        <w:t xml:space="preserve">serve approach, increasing complexity, lack of predictability and administrative burden</w:t>
      </w:r>
      <w:r>
        <w:t xml:space="preserve"> </w:t>
      </w:r>
      <w:r>
        <w:t xml:space="preserve">further. Lastly, when there is a difference in price between the EU ETS and</w:t>
      </w:r>
      <w:r>
        <w:t xml:space="preserve"> </w:t>
      </w:r>
      <w:r>
        <w:t xml:space="preserve">international credits, there is a distributional issue as to who benefits from the difference</w:t>
      </w:r>
      <w:r>
        <w:t xml:space="preserve"> </w:t>
      </w:r>
      <w:r>
        <w:t xml:space="preserve">in the price. In the past, the operator integration of international credits to ETS</w:t>
      </w:r>
      <w:r>
        <w:t xml:space="preserve"> </w:t>
      </w:r>
      <w:r>
        <w:t xml:space="preserve">benefitted operators by giving them certain limited rights to exchange CERs and ERUs</w:t>
      </w:r>
      <w:r>
        <w:t xml:space="preserve"> </w:t>
      </w:r>
      <w:r>
        <w:t xml:space="preserve">into allowances. Additionally, it can be challenging for the public authorities</w:t>
      </w:r>
      <w:r>
        <w:t xml:space="preserve"> </w:t>
      </w:r>
      <w:r>
        <w:t xml:space="preserve">responsible for the international credits to maintain rigorous oversight and compliance</w:t>
      </w:r>
      <w:r>
        <w:t xml:space="preserve"> </w:t>
      </w:r>
      <w:r>
        <w:t xml:space="preserve">in relation to credit integrity.</w:t>
      </w:r>
    </w:p>
    <w:p>
      <w:pPr>
        <w:pStyle w:val="BodyText"/>
      </w:pPr>
      <w:r>
        <w:t xml:space="preserve">The overall objective of introducing the international credit as a flexibility to the EU</w:t>
      </w:r>
      <w:r>
        <w:t xml:space="preserve"> </w:t>
      </w:r>
      <w:r>
        <w:t xml:space="preserve">2040 climate target is to introduce flexibilities in the reaching the target by ensuring</w:t>
      </w:r>
      <w:r>
        <w:t xml:space="preserve"> </w:t>
      </w:r>
      <w:r>
        <w:t xml:space="preserve">not the entire target needs to be met domestically (including ETS). Adjusting the ETS</w:t>
      </w:r>
      <w:r>
        <w:t xml:space="preserve"> </w:t>
      </w:r>
      <w:r>
        <w:t xml:space="preserve">cap is more cost-effective and efficient than direct operator integration to achieve this,</w:t>
      </w:r>
      <w:r>
        <w:t xml:space="preserve"> </w:t>
      </w:r>
      <w:r>
        <w:t xml:space="preserve">minimizing complexity and administrative load for market participants. Consequently,</w:t>
      </w:r>
      <w:r>
        <w:t xml:space="preserve"> </w:t>
      </w:r>
      <w:r>
        <w:t xml:space="preserve">the option of integrating credits directly through operator purchasing has been discarded</w:t>
      </w:r>
      <w:r>
        <w:t xml:space="preserve"> </w:t>
      </w:r>
      <w:r>
        <w:t xml:space="preserve">from this impact assessment due to the additional complications and uncertainties it</w:t>
      </w:r>
      <w:r>
        <w:t xml:space="preserve"> </w:t>
      </w:r>
      <w:r>
        <w:t xml:space="preserve">introduces.</w:t>
      </w:r>
      <w:r>
        <w:t xml:space="preserve"> </w:t>
      </w:r>
      <w:r>
        <w:t xml:space="preserve">2.3. Assessment of the measures</w:t>
      </w:r>
      <w:r>
        <w:t xml:space="preserve"> </w:t>
      </w:r>
      <w:r>
        <w:t xml:space="preserve">This section assesses each of the measures along economic, social and environmental impacts.</w:t>
      </w:r>
      <w:r>
        <w:t xml:space="preserve"> </w:t>
      </w:r>
      <w:r>
        <w:t xml:space="preserve">The analysis assumes that only permanent domestic CDR certified as BioCCS and DACCS are</w:t>
      </w:r>
      <w:r>
        <w:t xml:space="preserve"> </w:t>
      </w:r>
      <w:r>
        <w:t xml:space="preserve">included in the EU ETS, as per the conclusions of section 3. Moreover, the analysis draws on</w:t>
      </w:r>
      <w:r>
        <w:t xml:space="preserve"> </w:t>
      </w:r>
      <w:r>
        <w:t xml:space="preserve">the projections of removals in the 85% scenario in the PRIMES model.</w:t>
      </w:r>
      <w:r>
        <w:t xml:space="preserve"> </w:t>
      </w:r>
      <w:r>
        <w:t xml:space="preserve">Table 3:</w:t>
      </w:r>
      <w:r>
        <w:t xml:space="preserve"> </w:t>
      </w:r>
      <w:r>
        <w:t xml:space="preserve">Quantitative assumptions for the inclusion of CDR in the EU ETS in PRIMES (EU) and</w:t>
      </w:r>
      <w:r>
        <w:t xml:space="preserve"> </w:t>
      </w:r>
      <w:r>
        <w:t xml:space="preserve">POTEnCIA</w:t>
      </w:r>
    </w:p>
    <w:p>
      <w:pPr>
        <w:pStyle w:val="BodyText"/>
      </w:pPr>
      <w:r>
        <w:t xml:space="preserve">Volumes per source of non-fossil CO2</w:t>
      </w:r>
      <w:r>
        <w:t xml:space="preserve"> </w:t>
      </w:r>
      <w:r>
        <w:t xml:space="preserve">stored underground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2031-2040</w:t>
      </w:r>
      <w:r>
        <w:t xml:space="preserve"> </w:t>
      </w:r>
      <w:r>
        <w:t xml:space="preserve">Power generation</w:t>
      </w:r>
      <w:r>
        <w:t xml:space="preserve"> </w:t>
      </w:r>
      <w:r>
        <w:t xml:space="preserve">5 ;20</w:t>
      </w:r>
      <w:r>
        <w:t xml:space="preserve"> </w:t>
      </w:r>
      <w:r>
        <w:t xml:space="preserve">30; 40</w:t>
      </w:r>
      <w:r>
        <w:t xml:space="preserve"> </w:t>
      </w:r>
      <w:r>
        <w:t xml:space="preserve">125 ; 240</w:t>
      </w:r>
      <w:r>
        <w:t xml:space="preserve"> </w:t>
      </w:r>
      <w:r>
        <w:t xml:space="preserve">Industry</w:t>
      </w:r>
      <w:r>
        <w:t xml:space="preserve"> </w:t>
      </w:r>
      <w:r>
        <w:t xml:space="preserve">0 ; 5</w:t>
      </w:r>
      <w:r>
        <w:t xml:space="preserve"> </w:t>
      </w:r>
      <w:r>
        <w:t xml:space="preserve">0 ; 15</w:t>
      </w:r>
      <w:r>
        <w:t xml:space="preserve"> </w:t>
      </w:r>
      <w:r>
        <w:t xml:space="preserve">0 ; 75</w:t>
      </w:r>
      <w:r>
        <w:t xml:space="preserve"> </w:t>
      </w:r>
      <w:r>
        <w:t xml:space="preserve">Biomass processing</w:t>
      </w:r>
      <w:r>
        <w:t xml:space="preserve"> </w:t>
      </w:r>
      <w:r>
        <w:t xml:space="preserve">0 ; 2</w:t>
      </w:r>
      <w:r>
        <w:t xml:space="preserve"> </w:t>
      </w:r>
      <w:r>
        <w:t xml:space="preserve">0 ; 2</w:t>
      </w:r>
      <w:r>
        <w:t xml:space="preserve"> </w:t>
      </w:r>
      <w:r>
        <w:t xml:space="preserve">0 ; 20</w:t>
      </w:r>
      <w:r>
        <w:t xml:space="preserve"> </w:t>
      </w:r>
      <w:r>
        <w:t xml:space="preserve">Air</w:t>
      </w:r>
      <w:r>
        <w:t xml:space="preserve"> </w:t>
      </w:r>
      <w:r>
        <w:t xml:space="preserve">0</w:t>
      </w:r>
      <w:r>
        <w:t xml:space="preserve"> </w:t>
      </w:r>
      <w:r>
        <w:t xml:space="preserve">7; 12</w:t>
      </w:r>
      <w:r>
        <w:t xml:space="preserve"> </w:t>
      </w:r>
      <w:r>
        <w:t xml:space="preserve">20 ; 35</w:t>
      </w:r>
      <w:r>
        <w:t xml:space="preserve"> </w:t>
      </w:r>
      <w:r>
        <w:t xml:space="preserve">TOTAL</w:t>
      </w:r>
      <w:r>
        <w:t xml:space="preserve"> </w:t>
      </w:r>
      <w:r>
        <w:t xml:space="preserve">5 ; 30</w:t>
      </w:r>
      <w:r>
        <w:t xml:space="preserve"> </w:t>
      </w:r>
      <w:r>
        <w:t xml:space="preserve">45 ; 60</w:t>
      </w:r>
      <w:r>
        <w:t xml:space="preserve"> </w:t>
      </w:r>
      <w:r>
        <w:t xml:space="preserve">175 ; 330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Removals % of gross emissions with cap</w:t>
      </w:r>
      <w:r>
        <w:t xml:space="preserve"> </w:t>
      </w:r>
      <w:r>
        <w:t xml:space="preserve">at gross current scope</w:t>
      </w:r>
      <w:r>
        <w:t xml:space="preserve"> </w:t>
      </w:r>
      <w:r>
        <w:t xml:space="preserve">1.5% ; 5%</w:t>
      </w:r>
      <w:r>
        <w:t xml:space="preserve"> </w:t>
      </w:r>
      <w:r>
        <w:t xml:space="preserve">15% ; 18</w:t>
      </w:r>
      <w:r>
        <w:t xml:space="preserve"> </w:t>
      </w:r>
      <w:r>
        <w:t xml:space="preserve">3.5%; 6%</w:t>
      </w:r>
      <w:r>
        <w:t xml:space="preserve"> </w:t>
      </w:r>
      <w:r>
        <w:t xml:space="preserve">Removals % of gross emissions with cap</w:t>
      </w:r>
      <w:r>
        <w:t xml:space="preserve"> </w:t>
      </w:r>
      <w:r>
        <w:t xml:space="preserve">at net current scope + waste</w:t>
      </w:r>
      <w:r>
        <w:t xml:space="preserve"> </w:t>
      </w:r>
      <w:r>
        <w:t xml:space="preserve">1% ; 4%</w:t>
      </w:r>
      <w:r>
        <w:t xml:space="preserve"> </w:t>
      </w:r>
      <w:r>
        <w:t xml:space="preserve">12%; 20%</w:t>
      </w:r>
      <w:r>
        <w:t xml:space="preserve"> </w:t>
      </w:r>
      <w:r>
        <w:t xml:space="preserve">3%;6%</w:t>
      </w:r>
      <w:r>
        <w:t xml:space="preserve"> </w:t>
      </w:r>
      <w:r>
        <w:t xml:space="preserve">Removals % of gross emissions with cap</w:t>
      </w:r>
      <w:r>
        <w:t xml:space="preserve"> </w:t>
      </w:r>
      <w:r>
        <w:t xml:space="preserve">at gross current scope + waste +</w:t>
      </w:r>
      <w:r>
        <w:t xml:space="preserve"> </w:t>
      </w:r>
      <w:r>
        <w:t xml:space="preserve">landfills</w:t>
      </w:r>
      <w:r>
        <w:t xml:space="preserve"> </w:t>
      </w:r>
      <w:r>
        <w:t xml:space="preserve">1% ; 4%</w:t>
      </w:r>
      <w:r>
        <w:t xml:space="preserve"> </w:t>
      </w:r>
      <w:r>
        <w:t xml:space="preserve">10%; 13%</w:t>
      </w:r>
      <w:r>
        <w:t xml:space="preserve"> </w:t>
      </w:r>
      <w:r>
        <w:t xml:space="preserve">2.5%; 5%</w:t>
      </w:r>
      <w:r>
        <w:t xml:space="preserve"> </w:t>
      </w:r>
      <w:r>
        <w:t xml:space="preserve">Sources: PRIMES and POTEnCIA</w:t>
      </w:r>
      <w:r>
        <w:t xml:space="preserve"> </w:t>
      </w:r>
      <w:r>
        <w:t xml:space="preserve">Table 4:</w:t>
      </w:r>
      <w:r>
        <w:t xml:space="preserve"> </w:t>
      </w:r>
      <w:r>
        <w:t xml:space="preserve">Technology costs assumptions</w:t>
      </w:r>
      <w:r>
        <w:t xml:space="preserve"> </w:t>
      </w:r>
      <w:r>
        <w:t xml:space="preserve">Years</w:t>
      </w:r>
      <w:r>
        <w:t xml:space="preserve"> </w:t>
      </w:r>
      <w:r>
        <w:t xml:space="preserve">2030 2031 2032 2033 2034 2035 2036 2037 2038 2039 2040</w:t>
      </w:r>
      <w:r>
        <w:t xml:space="preserve"> </w:t>
      </w:r>
      <w:r>
        <w:t xml:space="preserve">Average</w:t>
      </w:r>
      <w:r>
        <w:t xml:space="preserve"> </w:t>
      </w:r>
      <w:r>
        <w:t xml:space="preserve">BioCCS</w:t>
      </w:r>
      <w:r>
        <w:t xml:space="preserve"> </w:t>
      </w:r>
      <w:r>
        <w:t xml:space="preserve">removal</w:t>
      </w:r>
      <w:r>
        <w:t xml:space="preserve"> </w:t>
      </w:r>
      <w:r>
        <w:t xml:space="preserve">unit</w:t>
      </w:r>
      <w:r>
        <w:t xml:space="preserve"> </w:t>
      </w:r>
      <w:r>
        <w:t xml:space="preserve">price estimate</w:t>
      </w:r>
      <w:r>
        <w:t xml:space="preserve"> </w:t>
      </w:r>
      <w:r>
        <w:t xml:space="preserve">(EUR)</w:t>
      </w:r>
      <w:r>
        <w:br/>
      </w:r>
      <w:r>
        <w:t xml:space="preserve">214</w:t>
      </w:r>
      <w:r>
        <w:t xml:space="preserve"> </w:t>
      </w:r>
      <w:r>
        <w:t xml:space="preserve">210</w:t>
      </w:r>
      <w:r>
        <w:t xml:space="preserve"> </w:t>
      </w:r>
      <w:r>
        <w:t xml:space="preserve">207</w:t>
      </w:r>
      <w:r>
        <w:t xml:space="preserve"> </w:t>
      </w:r>
      <w:r>
        <w:t xml:space="preserve">203</w:t>
      </w:r>
      <w:r>
        <w:t xml:space="preserve"> </w:t>
      </w:r>
      <w:r>
        <w:t xml:space="preserve">200</w:t>
      </w:r>
      <w:r>
        <w:t xml:space="preserve"> </w:t>
      </w:r>
      <w:r>
        <w:t xml:space="preserve">196</w:t>
      </w:r>
      <w:r>
        <w:t xml:space="preserve"> </w:t>
      </w:r>
      <w:r>
        <w:t xml:space="preserve">192</w:t>
      </w:r>
      <w:r>
        <w:t xml:space="preserve"> </w:t>
      </w:r>
      <w:r>
        <w:t xml:space="preserve">188</w:t>
      </w:r>
      <w:r>
        <w:t xml:space="preserve"> </w:t>
      </w:r>
      <w:r>
        <w:t xml:space="preserve">184</w:t>
      </w:r>
      <w:r>
        <w:t xml:space="preserve"> </w:t>
      </w:r>
      <w:r>
        <w:t xml:space="preserve">180</w:t>
      </w:r>
      <w:r>
        <w:t xml:space="preserve"> </w:t>
      </w:r>
      <w:r>
        <w:t xml:space="preserve">176</w:t>
      </w:r>
      <w:r>
        <w:t xml:space="preserve"> </w:t>
      </w:r>
      <w:r>
        <w:t xml:space="preserve">Average</w:t>
      </w:r>
      <w:r>
        <w:t xml:space="preserve"> </w:t>
      </w:r>
      <w:r>
        <w:t xml:space="preserve">DACCS</w:t>
      </w:r>
      <w:r>
        <w:t xml:space="preserve"> </w:t>
      </w:r>
      <w:r>
        <w:t xml:space="preserve">removal</w:t>
      </w:r>
      <w:r>
        <w:t xml:space="preserve"> </w:t>
      </w:r>
      <w:r>
        <w:t xml:space="preserve">unit</w:t>
      </w:r>
      <w:r>
        <w:br/>
      </w:r>
      <w:r>
        <w:t xml:space="preserve">price estimate</w:t>
      </w:r>
      <w:r>
        <w:t xml:space="preserve"> </w:t>
      </w:r>
      <w:r>
        <w:t xml:space="preserve">(EUR)</w:t>
      </w:r>
      <w:r>
        <w:br/>
      </w:r>
      <w:r>
        <w:t xml:space="preserve">428</w:t>
      </w:r>
      <w:r>
        <w:t xml:space="preserve"> </w:t>
      </w:r>
      <w:r>
        <w:t xml:space="preserve">403</w:t>
      </w:r>
      <w:r>
        <w:t xml:space="preserve"> </w:t>
      </w:r>
      <w:r>
        <w:t xml:space="preserve">378</w:t>
      </w:r>
      <w:r>
        <w:t xml:space="preserve"> </w:t>
      </w:r>
      <w:r>
        <w:t xml:space="preserve">352</w:t>
      </w:r>
      <w:r>
        <w:t xml:space="preserve"> </w:t>
      </w:r>
      <w:r>
        <w:t xml:space="preserve">327</w:t>
      </w:r>
      <w:r>
        <w:t xml:space="preserve"> </w:t>
      </w:r>
      <w:r>
        <w:t xml:space="preserve">302</w:t>
      </w:r>
      <w:r>
        <w:t xml:space="preserve"> </w:t>
      </w:r>
      <w:r>
        <w:t xml:space="preserve">297</w:t>
      </w:r>
      <w:r>
        <w:t xml:space="preserve"> </w:t>
      </w:r>
      <w:r>
        <w:t xml:space="preserve">292</w:t>
      </w:r>
      <w:r>
        <w:t xml:space="preserve"> </w:t>
      </w:r>
      <w:r>
        <w:t xml:space="preserve">288</w:t>
      </w:r>
      <w:r>
        <w:t xml:space="preserve"> </w:t>
      </w:r>
      <w:r>
        <w:t xml:space="preserve">283</w:t>
      </w:r>
      <w:r>
        <w:t xml:space="preserve"> </w:t>
      </w:r>
      <w:r>
        <w:t xml:space="preserve">278</w:t>
      </w:r>
      <w:r>
        <w:t xml:space="preserve"> </w:t>
      </w:r>
      <w:r>
        <w:t xml:space="preserve">Technology costs from European Commission: Directorate-General for Climate Action, Ramboll Management</w:t>
      </w:r>
      <w:r>
        <w:t xml:space="preserve"> </w:t>
      </w:r>
      <w:r>
        <w:t xml:space="preserve">Consulting, Witteveen, E., Marton, C., Bert, N. et al., Carbon removals in the EU – Review of current carbon</w:t>
      </w:r>
      <w:r>
        <w:t xml:space="preserve"> </w:t>
      </w:r>
      <w:r>
        <w:t xml:space="preserve">removal projects and early-stage financing, Publications Office of the European Union, 202521 22</w:t>
      </w:r>
      <w:r>
        <w:br/>
      </w:r>
      <w:r>
        <w:t xml:space="preserve">Based on these technology costs, removal units from BECCS are expected to become cost</w:t>
      </w:r>
      <w:r>
        <w:t xml:space="preserve"> </w:t>
      </w:r>
      <w:r>
        <w:t xml:space="preserve">competitive vis-à-vis the allowance price in 2036-38, whereas DACCS removal units would</w:t>
      </w:r>
      <w:r>
        <w:t xml:space="preserve"> </w:t>
      </w:r>
      <w:r>
        <w:t xml:space="preserve">not reach cost competitiveness within the period.</w:t>
      </w:r>
      <w:r>
        <w:br/>
      </w:r>
      <w:r>
        <w:t xml:space="preserve">It is important to note that the CDR supply figures in Table 3 present the modelled optimal</w:t>
      </w:r>
      <w:r>
        <w:t xml:space="preserve"> </w:t>
      </w:r>
      <w:r>
        <w:t xml:space="preserve">supply for target achievement from the model runs (see Annex 4 Analytical methods for more</w:t>
      </w:r>
      <w:r>
        <w:t xml:space="preserve"> </w:t>
      </w:r>
      <w:r>
        <w:t xml:space="preserve">information). They are related to but distinct from estimates on CDR supply potential. The</w:t>
      </w:r>
      <w:r>
        <w:t xml:space="preserve"> </w:t>
      </w:r>
      <w:r>
        <w:t xml:space="preserve">CDR supply assumed above lies within the estimates of CDR supply in a recent Commission</w:t>
      </w:r>
      <w:r>
        <w:t xml:space="preserve"> </w:t>
      </w:r>
      <w:r>
        <w:t xml:space="preserve">study, which estimates around 4Mt of BioCCS and DACCS per year in 2030 and 15-25 Mt per</w:t>
      </w:r>
    </w:p>
    <w:p>
      <w:pPr>
        <w:pStyle w:val="BodyText"/>
      </w:pPr>
      <w:r>
        <w:t xml:space="preserve">21 European Commission: Directorate-General for Climate Action, Ramboll Management Consulting,</w:t>
      </w:r>
      <w:r>
        <w:t xml:space="preserve"> </w:t>
      </w:r>
      <w:r>
        <w:t xml:space="preserve">Witteveen, E., Marton, C., Bert, N. et al., Carbon removals in the EU – Review of current carbon removal</w:t>
      </w:r>
      <w:r>
        <w:t xml:space="preserve"> </w:t>
      </w:r>
      <w:r>
        <w:t xml:space="preserve">projects</w:t>
      </w:r>
      <w:r>
        <w:t xml:space="preserve"> </w:t>
      </w:r>
      <w:r>
        <w:t xml:space="preserve">and</w:t>
      </w:r>
      <w:r>
        <w:t xml:space="preserve"> </w:t>
      </w:r>
      <w:r>
        <w:t xml:space="preserve">early-stage</w:t>
      </w:r>
      <w:r>
        <w:t xml:space="preserve"> </w:t>
      </w:r>
      <w:r>
        <w:t xml:space="preserve">financing,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2025, https://data.europa.eu/doi/10.2834/0004994</w:t>
      </w:r>
      <w:r>
        <w:br/>
      </w:r>
      <w:r>
        <w:t xml:space="preserve">22 The cost of DACCS and BECCS follow a complex structure subject to many factors, as shown in the</w:t>
      </w:r>
      <w:r>
        <w:t xml:space="preserve"> </w:t>
      </w:r>
      <w:r>
        <w:t xml:space="preserve">following report on CCUS in the EU: European Commission: Joint Research Centre, Clean Energy</w:t>
      </w:r>
      <w:r>
        <w:t xml:space="preserve"> </w:t>
      </w:r>
      <w:r>
        <w:t xml:space="preserve">Technology Observatory, Carbon capture utilisation and storage in the European Union – Status report on</w:t>
      </w:r>
      <w:r>
        <w:t xml:space="preserve"> </w:t>
      </w:r>
      <w:r>
        <w:t xml:space="preserve">technology development, trends, value chains and markets. – 2025, Publications Office of the European</w:t>
      </w:r>
      <w:r>
        <w:t xml:space="preserve"> </w:t>
      </w:r>
      <w:r>
        <w:t xml:space="preserve">Union, 2025, https://data.europa.eu/doi/10.2760/0214409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year in 2035, all of which will require the successful development of geological CO2 storage</w:t>
      </w:r>
      <w:r>
        <w:t xml:space="preserve"> </w:t>
      </w:r>
      <w:r>
        <w:t xml:space="preserve">capacity in the EEA.</w:t>
      </w:r>
      <w:r>
        <w:br/>
      </w:r>
      <w:r>
        <w:t xml:space="preserve">Equally, it is important to note that (i) CDR cost and supply estimates are highly variable and</w:t>
      </w:r>
      <w:r>
        <w:t xml:space="preserve"> </w:t>
      </w:r>
      <w:r>
        <w:t xml:space="preserve">uncertain23 – and thus on their cost-competitiveness and potential impact on the EU ETS – and</w:t>
      </w:r>
      <w:r>
        <w:t xml:space="preserve"> </w:t>
      </w:r>
      <w:r>
        <w:t xml:space="preserve">(ii) can be significantly affected by policy support for CDR outside the ETS. An effective</w:t>
      </w:r>
      <w:r>
        <w:t xml:space="preserve"> </w:t>
      </w:r>
      <w:r>
        <w:t xml:space="preserve">contract for difference scheme, for example, could create a compelling business case for CDR</w:t>
      </w:r>
      <w:r>
        <w:t xml:space="preserve"> </w:t>
      </w:r>
      <w:r>
        <w:t xml:space="preserve">and bridge large cost differentials, enabling significant CDR inflows into the EU ETS where</w:t>
      </w:r>
      <w:r>
        <w:t xml:space="preserve"> </w:t>
      </w:r>
      <w:r>
        <w:t xml:space="preserve">none would have existed otherwise. Such public subsidies will in particular be essential to</w:t>
      </w:r>
      <w:r>
        <w:t xml:space="preserve"> </w:t>
      </w:r>
      <w:r>
        <w:t xml:space="preserve">scale-up removals. The assessment below thus tries to withhold judgement on the cost-</w:t>
      </w:r>
      <w:r>
        <w:t xml:space="preserve"> </w:t>
      </w:r>
      <w:r>
        <w:t xml:space="preserve">competitiveness of removal units in the ETS, notwithstanding the figures contained in the table</w:t>
      </w:r>
      <w:r>
        <w:t xml:space="preserve"> </w:t>
      </w:r>
      <w:r>
        <w:t xml:space="preserve">above. In particular, this means that the assessment below does not rely on the cost differential</w:t>
      </w:r>
      <w:r>
        <w:t xml:space="preserve"> </w:t>
      </w:r>
      <w:r>
        <w:t xml:space="preserve">between removal units and the carbon prices as a potential ‘solution’ to any risks that an</w:t>
      </w:r>
      <w:r>
        <w:t xml:space="preserve"> </w:t>
      </w:r>
      <w:r>
        <w:t xml:space="preserve">effective inclusion of CDR in the EU ETS would entail.</w:t>
      </w:r>
      <w:r>
        <w:br/>
      </w:r>
      <w:r>
        <w:t xml:space="preserve">Those expected CDR volumes can be compared to the size of the cap in each policy option</w:t>
      </w:r>
      <w:r>
        <w:t xml:space="preserve"> </w:t>
      </w:r>
      <w:r>
        <w:t xml:space="preserve">(including aviation and new sectors, incl. non-CO2 and offshore) PRIMES scenario (EEA),</w:t>
      </w:r>
      <w:r>
        <w:t xml:space="preserve"> </w:t>
      </w:r>
      <w:r>
        <w:t xml:space="preserve">showing how much of the emissions space (gross emissions) of the EU ETS is covered by</w:t>
      </w:r>
      <w:r>
        <w:t xml:space="preserve"> </w:t>
      </w:r>
      <w:r>
        <w:t xml:space="preserve">removals, which is between 2.5% to 5% of the cap during the period and between 10% to 13%</w:t>
      </w:r>
      <w:r>
        <w:t xml:space="preserve"> </w:t>
      </w:r>
      <w:r>
        <w:t xml:space="preserve">in all cap options by 2040. The higher shares would correspond to PO1, followed by PO2 and</w:t>
      </w:r>
      <w:r>
        <w:t xml:space="preserve"> </w:t>
      </w:r>
      <w:r>
        <w:t xml:space="preserve">then PO3.</w:t>
      </w:r>
      <w:r>
        <w:br/>
      </w:r>
      <w:r>
        <w:t xml:space="preserve">Finally, it should be noted that the current cap of the ETS may be adjusted as part of this review</w:t>
      </w:r>
      <w:r>
        <w:t xml:space="preserve"> </w:t>
      </w:r>
      <w:r>
        <w:t xml:space="preserve">in accordance with the future 2040 target and increased as a result of the potential expansion</w:t>
      </w:r>
      <w:r>
        <w:t xml:space="preserve"> </w:t>
      </w:r>
      <w:r>
        <w:t xml:space="preserve">to new sectors. Changes to the Market Stability Reserve may also impact liquidity. Therefore,</w:t>
      </w:r>
      <w:r>
        <w:t xml:space="preserve"> </w:t>
      </w:r>
      <w:r>
        <w:t xml:space="preserve">the full impact of the measures on integration of carbon removals analysed in this chapter can</w:t>
      </w:r>
      <w:r>
        <w:t xml:space="preserve"> </w:t>
      </w:r>
      <w:r>
        <w:t xml:space="preserve">only be assessed in combination with the measures on MSR, cap and scope as part of the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2.3.1. Economic impacts</w:t>
      </w:r>
      <w:r>
        <w:br/>
      </w:r>
      <w:r>
        <w:t xml:space="preserve">2.3.1.1.</w:t>
      </w:r>
      <w:r>
        <w:t xml:space="preserve"> </w:t>
      </w:r>
      <w:r>
        <w:t xml:space="preserve">Conduct of business</w:t>
      </w:r>
      <w:r>
        <w:br/>
      </w:r>
      <w:r>
        <w:t xml:space="preserve">Costs on the conduct of business stem from effects of changes to the allowance price (i.e., EU</w:t>
      </w:r>
      <w:r>
        <w:t xml:space="preserve"> </w:t>
      </w:r>
      <w:r>
        <w:t xml:space="preserve">ETS compliance costs), from market dynamics, and from transaction costs.</w:t>
      </w:r>
      <w:r>
        <w:br/>
      </w:r>
      <w:r>
        <w:t xml:space="preserve">2.3.1.1.1.</w:t>
      </w:r>
      <w:r>
        <w:t xml:space="preserve"> </w:t>
      </w:r>
      <w:r>
        <w:t xml:space="preserve">EU ETS compliance costs</w:t>
      </w:r>
      <w:r>
        <w:br/>
      </w:r>
      <w:r>
        <w:t xml:space="preserve">What are the expected costs on the allowance price? Affects the ETS compliance cost for</w:t>
      </w:r>
      <w:r>
        <w:t xml:space="preserve"> </w:t>
      </w:r>
      <w:r>
        <w:t xml:space="preserve">businesses and the cost of essential and intermediate inputs.</w:t>
      </w:r>
      <w:r>
        <w:br/>
      </w:r>
      <w:r>
        <w:t xml:space="preserve">The following compliance cost effects apply to CR1 ‘Limited operator integration on top of the</w:t>
      </w:r>
      <w:r>
        <w:t xml:space="preserve"> </w:t>
      </w:r>
      <w:r>
        <w:t xml:space="preserve">cap’:</w:t>
      </w:r>
      <w:r>
        <w:t xml:space="preserve"> </w:t>
      </w:r>
      <w:r>
        <w:t xml:space="preserve">Removal units increase compliance unit supply and affect allowance prices depending on their</w:t>
      </w:r>
      <w:r>
        <w:t xml:space="preserve"> </w:t>
      </w:r>
      <w:r>
        <w:t xml:space="preserve">price. This is primarily the case once abatement becomes more expensive than removal,</w:t>
      </w:r>
      <w:r>
        <w:t xml:space="preserve"> </w:t>
      </w:r>
      <w:r>
        <w:t xml:space="preserve">although expectations of future CDR cost declines and availability can already lower EUA</w:t>
      </w:r>
      <w:r>
        <w:t xml:space="preserve"> </w:t>
      </w:r>
      <w:r>
        <w:t xml:space="preserve">prices before parity is reached. Under current assumptions however, and in the absence of</w:t>
      </w:r>
      <w:r>
        <w:t xml:space="preserve"> </w:t>
      </w:r>
      <w:r>
        <w:t xml:space="preserve">additional support to CDR suppliers through e.g. CCfDs, the compliance cost impact would</w:t>
      </w:r>
      <w:r>
        <w:t xml:space="preserve"> </w:t>
      </w:r>
      <w:r>
        <w:t xml:space="preserve">likely be minimal in early years and increase as CDR technologies mature and costs decline.</w:t>
      </w:r>
      <w:r>
        <w:t xml:space="preserve"> </w:t>
      </w:r>
      <w:r>
        <w:t xml:space="preserve">The need for financial support to scale up CDR was strongly advocated for by open</w:t>
      </w:r>
    </w:p>
    <w:p>
      <w:pPr>
        <w:pStyle w:val="BodyText"/>
      </w:pPr>
      <w:r>
        <w:t xml:space="preserve">23 JRC, 2025, “Clean Energy Technology Observatory: Carbon Capture, Utilisation and Storage in the European</w:t>
      </w:r>
      <w:r>
        <w:t xml:space="preserve"> </w:t>
      </w:r>
      <w:r>
        <w:t xml:space="preserve">Union - 2025 Status Report on Technology Development, Trends, Value Chains and Markets”,</w:t>
      </w:r>
      <w:r>
        <w:t xml:space="preserve"> </w:t>
      </w:r>
      <w:r>
        <w:t xml:space="preserve">https://publications.jrc.ec.europa.eu/repository/handle/JRC144142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consultation respondents, with many citing CCfDs24. If and when removal units become cost</w:t>
      </w:r>
      <w:r>
        <w:t xml:space="preserve"> </w:t>
      </w:r>
      <w:r>
        <w:t xml:space="preserve">competitive in the EU ETS, they can reduce the allowance price compared to a situation where</w:t>
      </w:r>
      <w:r>
        <w:t xml:space="preserve"> </w:t>
      </w:r>
      <w:r>
        <w:t xml:space="preserve">no CDR is allowed in (under current assumptions, BECCS would become cost competitive in</w:t>
      </w:r>
      <w:r>
        <w:t xml:space="preserve"> </w:t>
      </w:r>
      <w:r>
        <w:t xml:space="preserve">2036-2038, with DACCS not reaching cost competitiveness within the period). This effect on</w:t>
      </w:r>
      <w:r>
        <w:t xml:space="preserve"> </w:t>
      </w:r>
      <w:r>
        <w:t xml:space="preserve">compliance costs would be attenuated by the limit for CDR use (as the quantitative limit would</w:t>
      </w:r>
      <w:r>
        <w:t xml:space="preserve"> </w:t>
      </w:r>
      <w:r>
        <w:t xml:space="preserve">restrict the extent of any allowance price reduction) and, more importantly, by the technical</w:t>
      </w:r>
      <w:r>
        <w:t xml:space="preserve"> </w:t>
      </w:r>
      <w:r>
        <w:t xml:space="preserve">potential of the technology and the slope of its marginal cost curve. Regulatory uncertainty can</w:t>
      </w:r>
      <w:r>
        <w:t xml:space="preserve"> </w:t>
      </w:r>
      <w:r>
        <w:t xml:space="preserve">play an important role in longer-term price expectations. For example, if ETS market</w:t>
      </w:r>
      <w:r>
        <w:t xml:space="preserve"> </w:t>
      </w:r>
      <w:r>
        <w:t xml:space="preserve">participants expect the regulator to relax or remove the CDR limit in the future, then</w:t>
      </w:r>
      <w:r>
        <w:t xml:space="preserve"> </w:t>
      </w:r>
      <w:r>
        <w:t xml:space="preserve">expectations for the future allowance price would approximate expectations on future CDR</w:t>
      </w:r>
      <w:r>
        <w:t xml:space="preserve"> </w:t>
      </w:r>
      <w:r>
        <w:t xml:space="preserve">costs. It is worth noting that, given a certain scarcity level and assuming usual enforcement,</w:t>
      </w:r>
      <w:r>
        <w:t xml:space="preserve"> </w:t>
      </w:r>
      <w:r>
        <w:t xml:space="preserve">under CR1 much of the risk from CDR technologies (e.g. under-delivery, price risk) would be</w:t>
      </w:r>
      <w:r>
        <w:t xml:space="preserve"> </w:t>
      </w:r>
      <w:r>
        <w:t xml:space="preserve">borne by ETS regulated entities. This is because lower-than-expected CDR volumes and/or</w:t>
      </w:r>
      <w:r>
        <w:t xml:space="preserve"> </w:t>
      </w:r>
      <w:r>
        <w:t xml:space="preserve">higher-than expected CDR prices (assuming that the cap is not relaxed and that compliance is</w:t>
      </w:r>
      <w:r>
        <w:t xml:space="preserve"> </w:t>
      </w:r>
      <w:r>
        <w:t xml:space="preserve">enforced) could mean significant increases in the ETS price – such that ultimately, operators</w:t>
      </w:r>
      <w:r>
        <w:t xml:space="preserve"> </w:t>
      </w:r>
      <w:r>
        <w:t xml:space="preserve">bear the risk of CDR not materializing.</w:t>
      </w:r>
      <w:r>
        <w:br/>
      </w:r>
      <w:r>
        <w:t xml:space="preserve">Uncertainty on future CDR costs could also affect prices in the short term. With the inclusion</w:t>
      </w:r>
      <w:r>
        <w:t xml:space="preserve"> </w:t>
      </w:r>
      <w:r>
        <w:t xml:space="preserve">of CDR in the EU ETS, the availability and price of removal units would become another</w:t>
      </w:r>
      <w:r>
        <w:t xml:space="preserve"> </w:t>
      </w:r>
      <w:r>
        <w:t xml:space="preserve">uncertain variable in the compliance strategy of operators. Operators thus would need to</w:t>
      </w:r>
      <w:r>
        <w:t xml:space="preserve"> </w:t>
      </w:r>
      <w:r>
        <w:t xml:space="preserve">estimate not only future EUA prices (in terms of abatement costs across industries) but also</w:t>
      </w:r>
      <w:r>
        <w:t xml:space="preserve"> </w:t>
      </w:r>
      <w:r>
        <w:t xml:space="preserve">future CDR costs and availability. This could complicate investment decisions in long-term</w:t>
      </w:r>
      <w:r>
        <w:t xml:space="preserve"> </w:t>
      </w:r>
      <w:r>
        <w:t xml:space="preserve">abatement projects.</w:t>
      </w:r>
      <w:r>
        <w:br/>
      </w:r>
      <w:r>
        <w:t xml:space="preserve">The following compliance cost effects apply to CR2 ‘Unlimited operator integration on top of</w:t>
      </w:r>
      <w:r>
        <w:t xml:space="preserve"> </w:t>
      </w:r>
      <w:r>
        <w:t xml:space="preserve">the cap’:</w:t>
      </w:r>
      <w:r>
        <w:t xml:space="preserve"> </w:t>
      </w:r>
      <w:r>
        <w:t xml:space="preserve">Similar to CR1 ‘Limited operator integration on top of the cap’, removal units would increase</w:t>
      </w:r>
      <w:r>
        <w:t xml:space="preserve"> </w:t>
      </w:r>
      <w:r>
        <w:t xml:space="preserve">compliance unit supply and affect allowance prices if and when marginal abatement costs equal</w:t>
      </w:r>
      <w:r>
        <w:t xml:space="preserve"> </w:t>
      </w:r>
      <w:r>
        <w:t xml:space="preserve">or exceed marginal removal costs, with much of the CDR risk borne by ETS regulated entities.</w:t>
      </w:r>
      <w:r>
        <w:t xml:space="preserve"> </w:t>
      </w:r>
      <w:r>
        <w:t xml:space="preserve">Here, however, there would be no limit on CDR use. Removal units would thus act as a de-</w:t>
      </w:r>
      <w:r>
        <w:t xml:space="preserve"> </w:t>
      </w:r>
      <w:r>
        <w:t xml:space="preserve">facto price ceiling, albeit a soft one that is determined by the slope of the CDR supply curve at</w:t>
      </w:r>
      <w:r>
        <w:t xml:space="preserve"> </w:t>
      </w:r>
      <w:r>
        <w:t xml:space="preserve">volumes deliverable within compliance timelines. Expectations for the future ETS price would</w:t>
      </w:r>
      <w:r>
        <w:t xml:space="preserve"> </w:t>
      </w:r>
      <w:r>
        <w:t xml:space="preserve">be anchored to expectations on future marginal CDR costs and delivery volumes, which could</w:t>
      </w:r>
      <w:r>
        <w:t xml:space="preserve"> </w:t>
      </w:r>
      <w:r>
        <w:t xml:space="preserve">amplify the effects of uncertainty about future CDR costs and availability, complicating long-</w:t>
      </w:r>
      <w:r>
        <w:t xml:space="preserve"> </w:t>
      </w:r>
      <w:r>
        <w:t xml:space="preserve">term abatement decisions as compared to CR1. While overall a broad majority of stakeholders</w:t>
      </w:r>
      <w:r>
        <w:t xml:space="preserve"> </w:t>
      </w:r>
      <w:r>
        <w:t xml:space="preserve">in the open consultation (70%), from a diverse range of stakeholders, expressed support that</w:t>
      </w:r>
      <w:r>
        <w:t xml:space="preserve"> </w:t>
      </w:r>
      <w:r>
        <w:t xml:space="preserve">the use of removals by regulated entities should be subject to some restrictions and not be</w:t>
      </w:r>
      <w:r>
        <w:t xml:space="preserve"> </w:t>
      </w:r>
      <w:r>
        <w:t xml:space="preserve">unlimited, some stakeholders argued in favour of allowing for a limitless use of CDR in the</w:t>
      </w:r>
    </w:p>
    <w:p>
      <w:pPr>
        <w:pStyle w:val="BodyText"/>
      </w:pPr>
      <w:r>
        <w:t xml:space="preserve">24 The form of this financial support varied but contract for differences was the most often cited as a financial</w:t>
      </w:r>
      <w:r>
        <w:t xml:space="preserve"> </w:t>
      </w:r>
      <w:r>
        <w:t xml:space="preserve">instrument that could help to address the current gap that exists between the ETS price signal and the higher</w:t>
      </w:r>
      <w:r>
        <w:t xml:space="preserve"> </w:t>
      </w:r>
      <w:r>
        <w:t xml:space="preserve">abatement cost associated with the more early-stage removal technologies. In addition, other financial</w:t>
      </w:r>
      <w:r>
        <w:t xml:space="preserve"> </w:t>
      </w:r>
      <w:r>
        <w:t xml:space="preserve">instruments supported involved such as state aid and grants and other financial measures to de-risk the</w:t>
      </w:r>
      <w:r>
        <w:t xml:space="preserve"> </w:t>
      </w:r>
      <w:r>
        <w:t xml:space="preserve">investments necessary to scale up carbon removals. A distinction was made in the categorisation when</w:t>
      </w:r>
      <w:r>
        <w:t xml:space="preserve"> </w:t>
      </w:r>
      <w:r>
        <w:t xml:space="preserve">respondents specifically mentioned R&amp;D support (34 responses) that was more linked to innovation funding</w:t>
      </w:r>
      <w:r>
        <w:t xml:space="preserve"> </w:t>
      </w:r>
      <w:r>
        <w:t xml:space="preserve">to help bring down the costs of these technologies over the medium to longer term. The need for financial</w:t>
      </w:r>
      <w:r>
        <w:t xml:space="preserve"> </w:t>
      </w:r>
      <w:r>
        <w:t xml:space="preserve">support for building up the infrastructure required to support carbon removals in terms of both the storage</w:t>
      </w:r>
      <w:r>
        <w:t xml:space="preserve"> </w:t>
      </w:r>
      <w:r>
        <w:t xml:space="preserve">and transportation of CO2 was frequently raised by the respondents. Demand side measures to help ensure a</w:t>
      </w:r>
      <w:r>
        <w:t xml:space="preserve"> </w:t>
      </w:r>
      <w:r>
        <w:t xml:space="preserve">market for carbon removals was strongly supported by the respondents with 52 responses. Amongst the range</w:t>
      </w:r>
      <w:r>
        <w:t xml:space="preserve"> </w:t>
      </w:r>
      <w:r>
        <w:t xml:space="preserve">of proposals on what demand side measures would be most suitable to scale up carbon removals, the need for</w:t>
      </w:r>
      <w:r>
        <w:t xml:space="preserve"> </w:t>
      </w:r>
      <w:r>
        <w:t xml:space="preserve">procurement of CDR credits by governments was often suggested alongside specific targets for removal use</w:t>
      </w:r>
      <w:r>
        <w:t xml:space="preserve"> </w:t>
      </w:r>
      <w:r>
        <w:t xml:space="preserve">to further help stimulate demand.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EU ETS in order to address emissions in hard-to-abate sectors and to lower the cost of</w:t>
      </w:r>
      <w:r>
        <w:t xml:space="preserve"> </w:t>
      </w:r>
      <w:r>
        <w:t xml:space="preserve">compliance.</w:t>
      </w:r>
      <w:r>
        <w:br/>
      </w:r>
      <w:r>
        <w:t xml:space="preserve">The following compliance cost effects apply to CR3 ‘Limited operator integration under the</w:t>
      </w:r>
      <w:r>
        <w:t xml:space="preserve"> </w:t>
      </w:r>
      <w:r>
        <w:t xml:space="preserve">cap (one-in-one-out)’:</w:t>
      </w:r>
      <w:r>
        <w:br/>
      </w:r>
      <w:r>
        <w:t xml:space="preserve">Under CR3, the regulator would pre-increase the number of conventional allowances in</w:t>
      </w:r>
      <w:r>
        <w:t xml:space="preserve"> </w:t>
      </w:r>
      <w:r>
        <w:t xml:space="preserve">circulation through an increase in allowance auction volumes distributed throughout the period.</w:t>
      </w:r>
      <w:r>
        <w:t xml:space="preserve"> </w:t>
      </w:r>
      <w:r>
        <w:t xml:space="preserve">This increase in conventional allowances would not be conditional on removal units coming</w:t>
      </w:r>
      <w:r>
        <w:t xml:space="preserve"> </w:t>
      </w:r>
      <w:r>
        <w:t xml:space="preserve">in. This would reduce scarcity in the EU ETS and exert downward pressure on the price -</w:t>
      </w:r>
      <w:r>
        <w:t xml:space="preserve"> </w:t>
      </w:r>
      <w:r>
        <w:t xml:space="preserve">thereby reducing compliance costs compared to the baseline. Conversely, the use of removal</w:t>
      </w:r>
      <w:r>
        <w:t xml:space="preserve"> </w:t>
      </w:r>
      <w:r>
        <w:t xml:space="preserve">units would trigger the cancellation of a conventional allowance from future auctions, thereby</w:t>
      </w:r>
      <w:r>
        <w:t xml:space="preserve"> </w:t>
      </w:r>
      <w:r>
        <w:t xml:space="preserve">creating an upward price pressure. The time lag between CDR use and allowance cancellation</w:t>
      </w:r>
      <w:r>
        <w:t xml:space="preserve"> </w:t>
      </w:r>
      <w:r>
        <w:t xml:space="preserve">could create temporal arbitrage opportunities. The net effect on compliance costs would depend</w:t>
      </w:r>
      <w:r>
        <w:t xml:space="preserve"> </w:t>
      </w:r>
      <w:r>
        <w:t xml:space="preserve">among others on marginal abatement costs, on the removal supply curve and on complementary</w:t>
      </w:r>
      <w:r>
        <w:t xml:space="preserve"> </w:t>
      </w:r>
      <w:r>
        <w:t xml:space="preserve">CDR support instruments.</w:t>
      </w:r>
      <w:r>
        <w:br/>
      </w:r>
      <w:r>
        <w:t xml:space="preserve">It is important to note that the reduced scarcity from the increase in conventional allowances</w:t>
      </w:r>
      <w:r>
        <w:t xml:space="preserve"> </w:t>
      </w:r>
      <w:r>
        <w:t xml:space="preserve">could affect the cost-competitiveness of removal units in the ETS.</w:t>
      </w:r>
      <w:r>
        <w:br/>
      </w:r>
      <w:r>
        <w:t xml:space="preserve">• If removal units are not cost-competitive in the ETS before the allowance volume</w:t>
      </w:r>
      <w:r>
        <w:t xml:space="preserve"> </w:t>
      </w:r>
      <w:r>
        <w:t xml:space="preserve">increase from CR3, then reduced scarcity under CR3 would reduce the allowance price,</w:t>
      </w:r>
      <w:r>
        <w:t xml:space="preserve"> </w:t>
      </w:r>
      <w:r>
        <w:t xml:space="preserve">making removal units less cost-competitive and no removal units would enter the EU</w:t>
      </w:r>
      <w:r>
        <w:t xml:space="preserve"> </w:t>
      </w:r>
      <w:r>
        <w:t xml:space="preserve">ETS (absent complementary support instruments for CDR).</w:t>
      </w:r>
      <w:r>
        <w:br/>
      </w:r>
      <w:r>
        <w:t xml:space="preserve">• If removal units are cost competitive in the ETS before the allowance volume increase</w:t>
      </w:r>
      <w:r>
        <w:t xml:space="preserve"> </w:t>
      </w:r>
      <w:r>
        <w:t xml:space="preserve">from CR3, then the effect depends on whether they remain cost-competitive even after</w:t>
      </w:r>
      <w:r>
        <w:t xml:space="preserve"> </w:t>
      </w:r>
      <w:r>
        <w:t xml:space="preserve">the reduced scarcity from CR3. If removal units cease to be cost-competitive, then the</w:t>
      </w:r>
      <w:r>
        <w:t xml:space="preserve"> </w:t>
      </w:r>
      <w:r>
        <w:t xml:space="preserve">previously described scenario applies. If removal units remain cost competitive, then</w:t>
      </w:r>
      <w:r>
        <w:t xml:space="preserve"> </w:t>
      </w:r>
      <w:r>
        <w:t xml:space="preserve">some removal units would flow into the system.</w:t>
      </w:r>
      <w:r>
        <w:br/>
      </w:r>
      <w:r>
        <w:t xml:space="preserve">The following compliance cost effects apply to CR4 ‘Public authority integration through</w:t>
      </w:r>
      <w:r>
        <w:t xml:space="preserve"> </w:t>
      </w:r>
      <w:r>
        <w:t xml:space="preserve">regular auctions under the cap’:</w:t>
      </w:r>
      <w:r>
        <w:br/>
      </w:r>
      <w:r>
        <w:t xml:space="preserve">The allowance price is expected to go down as compared to the baseline in line with the</w:t>
      </w:r>
      <w:r>
        <w:t xml:space="preserve"> </w:t>
      </w:r>
      <w:r>
        <w:t xml:space="preserve">increased availability of allowances as removal-backed allowances become available. Under</w:t>
      </w:r>
      <w:r>
        <w:t xml:space="preserve"> </w:t>
      </w:r>
      <w:r>
        <w:t xml:space="preserve">CR4, the risk of under-delivery (e.g. in the context of long￼term purchase agreements) and</w:t>
      </w:r>
      <w:r>
        <w:t xml:space="preserve"> </w:t>
      </w:r>
      <w:r>
        <w:t xml:space="preserve">price risk from CDR technologies is borne by the regulator.</w:t>
      </w:r>
      <w:r>
        <w:br/>
      </w:r>
      <w:r>
        <w:t xml:space="preserve">The following compliance cost effects apply to CR5 ‘Public authority integration through MSR</w:t>
      </w:r>
      <w:r>
        <w:t xml:space="preserve"> </w:t>
      </w:r>
      <w:r>
        <w:t xml:space="preserve">on top of the cap’:</w:t>
      </w:r>
      <w:r>
        <w:t xml:space="preserve"> </w:t>
      </w:r>
      <w:r>
        <w:t xml:space="preserve">Under CR5, removal units are an instrument of market stabilization. While the same volume</w:t>
      </w:r>
      <w:r>
        <w:t xml:space="preserve"> </w:t>
      </w:r>
      <w:r>
        <w:t xml:space="preserve">of CDR would flow into the MSR as compared to (the maximum volume allowed under) CR1,</w:t>
      </w:r>
      <w:r>
        <w:t xml:space="preserve"> </w:t>
      </w:r>
      <w:r>
        <w:t xml:space="preserve">CR3 and CR4, the effect of CDR introduction on the allowance price would depend on if and</w:t>
      </w:r>
      <w:r>
        <w:t xml:space="preserve"> </w:t>
      </w:r>
      <w:r>
        <w:t xml:space="preserve">when such MSR releases occur. The effect would thus depend on MSR design, including rules</w:t>
      </w:r>
      <w:r>
        <w:t xml:space="preserve"> </w:t>
      </w:r>
      <w:r>
        <w:t xml:space="preserve">around invalidation and order of release of allowances and removals. This could mean that</w:t>
      </w:r>
      <w:r>
        <w:t xml:space="preserve"> </w:t>
      </w:r>
      <w:r>
        <w:t xml:space="preserve">some of the removal units purchased by the regulator would not make it into the market.</w:t>
      </w:r>
      <w:r>
        <w:br/>
      </w:r>
      <w:r>
        <w:t xml:space="preserve">In fact, as described in section Annex 8 Part III on the MSR section, under the parameters of</w:t>
      </w:r>
      <w:r>
        <w:t xml:space="preserve"> </w:t>
      </w:r>
      <w:r>
        <w:t xml:space="preserve">MSR1 and of MSR3 (the two measures included in the modelled policy options for the MSR)</w:t>
      </w:r>
      <w:r>
        <w:t xml:space="preserve"> </w:t>
      </w:r>
      <w:r>
        <w:t xml:space="preserve">the MSR is expected to release units only in the mid-2030s. Barring large releases due to</w:t>
      </w:r>
      <w:r>
        <w:t xml:space="preserve"> </w:t>
      </w:r>
      <w:r>
        <w:t xml:space="preserve">sudden price increases, for both MSR1 and MSR3 there remains “sufficient” allowances in</w:t>
      </w:r>
      <w:r>
        <w:t xml:space="preserve"> </w:t>
      </w:r>
      <w:r>
        <w:t xml:space="preserve">the reserve by 2040 – such that it seems possible that no removal units would enter into</w:t>
      </w:r>
      <w:r>
        <w:t xml:space="preserve"> </w:t>
      </w:r>
      <w:r>
        <w:t xml:space="preserve">circulation in the 2031-2040 period. The inclusion of removal units in the MSR would affect</w:t>
      </w:r>
      <w:r>
        <w:t xml:space="preserve"> </w:t>
      </w:r>
      <w:r>
        <w:t xml:space="preserve">market expectations, e.g. by prolonging the MSR and providing an additional inflow of units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after 2040, although it seems possible that allowance prices would be higher than in other</w:t>
      </w:r>
      <w:r>
        <w:t xml:space="preserve"> </w:t>
      </w:r>
      <w:r>
        <w:t xml:space="preserve">measures considered here, albeit lower than the baseline. Transparency and predictability are</w:t>
      </w:r>
      <w:r>
        <w:t xml:space="preserve"> </w:t>
      </w:r>
      <w:r>
        <w:t xml:space="preserve">facilitated if the authority’s procurement strategy (volumes, types of CDR, prices paid if public)</w:t>
      </w:r>
      <w:r>
        <w:t xml:space="preserve"> </w:t>
      </w:r>
      <w:r>
        <w:t xml:space="preserve">and MSR release rules are clearly communicated, but some uncertainty would remain. As under</w:t>
      </w:r>
      <w:r>
        <w:t xml:space="preserve"> </w:t>
      </w:r>
      <w:r>
        <w:t xml:space="preserve">CR4, in CR5 the CDR under delivery and price risks are borne by the regulator.</w:t>
      </w:r>
      <w:r>
        <w:br/>
      </w:r>
      <w:r>
        <w:t xml:space="preserve">2.3.1.1.2.</w:t>
      </w:r>
      <w:r>
        <w:t xml:space="preserve"> </w:t>
      </w:r>
      <w:r>
        <w:t xml:space="preserve">Market dynamics</w:t>
      </w:r>
      <w:r>
        <w:br/>
      </w:r>
      <w:r>
        <w:t xml:space="preserve">Will it be possible to ensure that the carbon market keeps functioning well with the integration</w:t>
      </w:r>
      <w:r>
        <w:t xml:space="preserve"> </w:t>
      </w:r>
      <w:r>
        <w:t xml:space="preserve">of carbon removals into the ETS?</w:t>
      </w:r>
      <w:r>
        <w:br/>
      </w:r>
      <w:r>
        <w:t xml:space="preserve">Expected impacts on the functioning of the market (e.g. trade volumes, market fragmentation,</w:t>
      </w:r>
      <w:r>
        <w:t xml:space="preserve"> </w:t>
      </w:r>
      <w:r>
        <w:t xml:space="preserve">flow of allowances and regularity of supply, transparency and predictability for market</w:t>
      </w:r>
      <w:r>
        <w:t xml:space="preserve"> </w:t>
      </w:r>
      <w:r>
        <w:t xml:space="preserve">participants) can affects the allowance price and, accordingly, the ETS compliance cost for</w:t>
      </w:r>
      <w:r>
        <w:t xml:space="preserve"> </w:t>
      </w:r>
      <w:r>
        <w:t xml:space="preserve">businesses and the cost of essential and intermediate inputs. The impacts are assessed</w:t>
      </w:r>
      <w:r>
        <w:t xml:space="preserve"> </w:t>
      </w:r>
      <w:r>
        <w:t xml:space="preserve">qualitatively. Modelling results are provided for the policy options in the main body of the</w:t>
      </w:r>
      <w:r>
        <w:t xml:space="preserve"> </w:t>
      </w:r>
      <w:r>
        <w:t xml:space="preserve">impact assessment.</w:t>
      </w:r>
      <w:r>
        <w:br/>
      </w:r>
      <w:r>
        <w:t xml:space="preserve">The following market dynamics effects apply to all measures that entail operator integration</w:t>
      </w:r>
      <w:r>
        <w:t xml:space="preserve"> </w:t>
      </w:r>
      <w:r>
        <w:t xml:space="preserve">between the EU ETS and CDR suppliers - that is, all options where EU ETS operators can</w:t>
      </w:r>
      <w:r>
        <w:t xml:space="preserve"> </w:t>
      </w:r>
      <w:r>
        <w:t xml:space="preserve">purchase removal units directly from CDR suppliers:</w:t>
      </w:r>
      <w:r>
        <w:br/>
      </w:r>
      <w:r>
        <w:t xml:space="preserve">This applies to CR1 (‘Limited operator integration on top of the cap’), CR2 (‘Unlimited</w:t>
      </w:r>
      <w:r>
        <w:t xml:space="preserve"> </w:t>
      </w:r>
      <w:r>
        <w:t xml:space="preserve">operator integration on top of the cap’), and CR3 (‘Limited operator integration under the cap</w:t>
      </w:r>
      <w:r>
        <w:t xml:space="preserve"> </w:t>
      </w:r>
      <w:r>
        <w:t xml:space="preserve">(one-in-one-out)’).</w:t>
      </w:r>
      <w:r>
        <w:t xml:space="preserve"> </w:t>
      </w:r>
      <w:r>
        <w:t xml:space="preserve">There would be a clear market access pathway for CDR technologies in the ETS. This,</w:t>
      </w:r>
      <w:r>
        <w:t xml:space="preserve"> </w:t>
      </w:r>
      <w:r>
        <w:t xml:space="preserve">however, would be contingent on removal units actually being used in the EU ETS. The actual</w:t>
      </w:r>
      <w:r>
        <w:t xml:space="preserve"> </w:t>
      </w:r>
      <w:r>
        <w:t xml:space="preserve">flow of removal units would depend on the relative price between abatement and removal costs.</w:t>
      </w:r>
      <w:r>
        <w:t xml:space="preserve"> </w:t>
      </w:r>
      <w:r>
        <w:t xml:space="preserve">As prices and costs stand (see Tables 3 and 4), and in the absence of additional support to CDR</w:t>
      </w:r>
      <w:r>
        <w:t xml:space="preserve"> </w:t>
      </w:r>
      <w:r>
        <w:t xml:space="preserve">suppliers through e.g. carbon contracts for difference (CCfDs), very few if any removal units</w:t>
      </w:r>
      <w:r>
        <w:t xml:space="preserve"> </w:t>
      </w:r>
      <w:r>
        <w:t xml:space="preserve">would enter the EU ETS before the end of 2031-2040. Nevertheless, even before significant</w:t>
      </w:r>
      <w:r>
        <w:t xml:space="preserve"> </w:t>
      </w:r>
      <w:r>
        <w:t xml:space="preserve">physical removal unit inflows, expectations about future CDR flows and costs could reshape</w:t>
      </w:r>
      <w:r>
        <w:t xml:space="preserve"> </w:t>
      </w:r>
      <w:r>
        <w:t xml:space="preserve">operators’ EUA banking and hedging, affecting liquidity and price formation.</w:t>
      </w:r>
      <w:r>
        <w:br/>
      </w:r>
      <w:r>
        <w:t xml:space="preserve">The EU ETS supply of ‘permits to emit CO2’ would no longer be determined only by the public</w:t>
      </w:r>
      <w:r>
        <w:t xml:space="preserve"> </w:t>
      </w:r>
      <w:r>
        <w:t xml:space="preserve">sector decisions on the issuance of allowances, but also by the physical reality of carbon</w:t>
      </w:r>
      <w:r>
        <w:t xml:space="preserve"> </w:t>
      </w:r>
      <w:r>
        <w:t xml:space="preserve">removals for which certified removal units are generated. These would be two distinct sources</w:t>
      </w:r>
      <w:r>
        <w:t xml:space="preserve"> </w:t>
      </w:r>
      <w:r>
        <w:t xml:space="preserve">of supply but lead to direct price competition between abatement in the ETS and CDR costs</w:t>
      </w:r>
      <w:r>
        <w:t xml:space="preserve"> </w:t>
      </w:r>
      <w:r>
        <w:t xml:space="preserve">within the limits for CDR supply (if applicable). Market transparency and price formation in</w:t>
      </w:r>
      <w:r>
        <w:t xml:space="preserve"> </w:t>
      </w:r>
      <w:r>
        <w:t xml:space="preserve">the CDR market would depend on how the primary market is structured. While over-the-</w:t>
      </w:r>
      <w:r>
        <w:t xml:space="preserve"> </w:t>
      </w:r>
      <w:r>
        <w:t xml:space="preserve">counter (OTC) trades would provide for low transparency, exchange-based trading and</w:t>
      </w:r>
      <w:r>
        <w:t xml:space="preserve"> </w:t>
      </w:r>
      <w:r>
        <w:t xml:space="preserve">centralized auctions (as currently planned in the UK)25 could improve price transparency as</w:t>
      </w:r>
      <w:r>
        <w:t xml:space="preserve"> </w:t>
      </w:r>
      <w:r>
        <w:t xml:space="preserve">well as information about CDR technology costs and availability. It seems possible that the</w:t>
      </w:r>
      <w:r>
        <w:t xml:space="preserve"> </w:t>
      </w:r>
      <w:r>
        <w:t xml:space="preserve">CDR market would see purchases not only for EU ETS compliance, but also for voluntary</w:t>
      </w:r>
      <w:r>
        <w:t xml:space="preserve"> </w:t>
      </w:r>
      <w:r>
        <w:t xml:space="preserve">demand and, potentially, for compliance demand (e.g. by national governments) towards</w:t>
      </w:r>
      <w:r>
        <w:t xml:space="preserve"> </w:t>
      </w:r>
      <w:r>
        <w:t xml:space="preserve">national target achievement and as a means of supporting the development and deployment of</w:t>
      </w:r>
      <w:r>
        <w:t xml:space="preserve"> </w:t>
      </w:r>
      <w:r>
        <w:t xml:space="preserve">CDR technologies.</w:t>
      </w:r>
      <w:r>
        <w:br/>
      </w:r>
      <w:r>
        <w:t xml:space="preserve">The functioning of the market for removal units would depend on the units employed (see</w:t>
      </w:r>
      <w:r>
        <w:t xml:space="preserve"> </w:t>
      </w:r>
      <w:r>
        <w:t xml:space="preserve">section 4.2. unit differentiation) and on how limits are enforced (see section 4.4 on limits). If</w:t>
      </w:r>
      <w:r>
        <w:t xml:space="preserve"> </w:t>
      </w:r>
      <w:r>
        <w:t xml:space="preserve">limits are enforced at the Union Registry ‘border’ and removal-backed allowances have the</w:t>
      </w:r>
    </w:p>
    <w:p>
      <w:pPr>
        <w:pStyle w:val="BodyText"/>
      </w:pPr>
      <w:r>
        <w:t xml:space="preserve">25 See ‘Route to market’ under:</w:t>
      </w:r>
      <w:r>
        <w:br/>
      </w:r>
      <w:r>
        <w:t xml:space="preserve">https://assets.publishing.service.gov.uk/media/687f61598adf4250705c9765/uk-ets-ggrs-main-response.pdf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same compliance value as conventional allowances, the market should function as it does</w:t>
      </w:r>
      <w:r>
        <w:t xml:space="preserve"> </w:t>
      </w:r>
      <w:r>
        <w:t xml:space="preserve">today. This holds when removal-backed allowances are indistinguishable from conventional</w:t>
      </w:r>
      <w:r>
        <w:t xml:space="preserve"> </w:t>
      </w:r>
      <w:r>
        <w:t xml:space="preserve">EUAs. If, instead, removal-backed allowances are differentiated (e.g., tagged) and attract a</w:t>
      </w:r>
      <w:r>
        <w:t xml:space="preserve"> </w:t>
      </w:r>
      <w:r>
        <w:t xml:space="preserve">price premium, the market could bifurcate into two instruments with potentially different</w:t>
      </w:r>
      <w:r>
        <w:t xml:space="preserve"> </w:t>
      </w:r>
      <w:r>
        <w:t xml:space="preserve">liquidity and pricing.</w:t>
      </w:r>
      <w:r>
        <w:br/>
      </w:r>
      <w:r>
        <w:t xml:space="preserve">CDR supply concentration (which is likely in early, small markets) could enable suppliers to</w:t>
      </w:r>
      <w:r>
        <w:t xml:space="preserve"> </w:t>
      </w:r>
      <w:r>
        <w:t xml:space="preserve">exercise market power, which could among others impact prices and liquidity.</w:t>
      </w:r>
      <w:r>
        <w:br/>
      </w:r>
      <w:r>
        <w:t xml:space="preserve">Operator integration would likely mean lower predictability of demand as compared to</w:t>
      </w:r>
      <w:r>
        <w:t xml:space="preserve"> </w:t>
      </w:r>
      <w:r>
        <w:t xml:space="preserve">measures with integration through public authority. In absence of further CDR policy support,</w:t>
      </w:r>
      <w:r>
        <w:t xml:space="preserve"> </w:t>
      </w:r>
      <w:r>
        <w:t xml:space="preserve">the revenue uncertainty could lead to slower and ‘lumpier’ capacity additions on the CDR</w:t>
      </w:r>
      <w:r>
        <w:t xml:space="preserve"> </w:t>
      </w:r>
      <w:r>
        <w:t xml:space="preserve">supply side, thus also affecting the regularity of supply. This could lead to limited transparency</w:t>
      </w:r>
      <w:r>
        <w:t xml:space="preserve"> </w:t>
      </w:r>
      <w:r>
        <w:t xml:space="preserve">and predictability for market participants on both ETS and CDR sides, because of the</w:t>
      </w:r>
      <w:r>
        <w:t xml:space="preserve"> </w:t>
      </w:r>
      <w:r>
        <w:t xml:space="preserve">uncertainty on the ETS price on one side and on the CDR costs on the other. See further</w:t>
      </w:r>
      <w:r>
        <w:t xml:space="preserve"> </w:t>
      </w:r>
      <w:r>
        <w:t xml:space="preserve">discussion on this under ‘Target achievement/environmental’.</w:t>
      </w:r>
      <w:r>
        <w:br/>
      </w:r>
      <w:r>
        <w:t xml:space="preserve">The following market dynamics effects apply to measures that limit the volume of CDR that</w:t>
      </w:r>
      <w:r>
        <w:t xml:space="preserve"> </w:t>
      </w:r>
      <w:r>
        <w:t xml:space="preserve">can flow into the EU ETS (that is, all options except for CR2 (‘Unlimited operator integration</w:t>
      </w:r>
      <w:r>
        <w:t xml:space="preserve"> </w:t>
      </w:r>
      <w:r>
        <w:t xml:space="preserve">on top of the cap’)):</w:t>
      </w:r>
      <w:r>
        <w:br/>
      </w:r>
      <w:r>
        <w:t xml:space="preserve">In the primary CDR market, the direct competition and fungibility between abatement and</w:t>
      </w:r>
      <w:r>
        <w:t xml:space="preserve"> </w:t>
      </w:r>
      <w:r>
        <w:t xml:space="preserve">removal applies only within the limit. There would be limit-induced price distortions in the</w:t>
      </w:r>
      <w:r>
        <w:t xml:space="preserve"> </w:t>
      </w:r>
      <w:r>
        <w:t xml:space="preserve">primary CDR market when constraints bind, preventing effective price discovery after that</w:t>
      </w:r>
      <w:r>
        <w:t xml:space="preserve"> </w:t>
      </w:r>
      <w:r>
        <w:t xml:space="preserve">point. In that case, removal units would face a price discount vis-à-vis conventional allowances,</w:t>
      </w:r>
      <w:r>
        <w:t xml:space="preserve"> </w:t>
      </w:r>
      <w:r>
        <w:t xml:space="preserve">as was the case when Kyoto credits were allowed in the EU ETS, due to the uncertainty on the</w:t>
      </w:r>
      <w:r>
        <w:t xml:space="preserve"> </w:t>
      </w:r>
      <w:r>
        <w:t xml:space="preserve">possibility to use of the removal units that results from the limit. On the other hand, limits to</w:t>
      </w:r>
      <w:r>
        <w:t xml:space="preserve"> </w:t>
      </w:r>
      <w:r>
        <w:t xml:space="preserve">the use of removal units can contribute to preventing cost-ineffective abatement deterrence.</w:t>
      </w:r>
      <w:r>
        <w:br/>
      </w:r>
      <w:r>
        <w:t xml:space="preserve">If limits are enforced at the Union Registry ‘border’ and removal-backed allowances have the</w:t>
      </w:r>
      <w:r>
        <w:t xml:space="preserve"> </w:t>
      </w:r>
      <w:r>
        <w:t xml:space="preserve">same compliance value as conventional allowances, the secondary market should function as</w:t>
      </w:r>
      <w:r>
        <w:t xml:space="preserve"> </w:t>
      </w:r>
      <w:r>
        <w:t xml:space="preserve">it does today. This holds when removal-backed allowances are indistinguishable from</w:t>
      </w:r>
      <w:r>
        <w:t xml:space="preserve"> </w:t>
      </w:r>
      <w:r>
        <w:t xml:space="preserve">conventional EUAs. If, instead, removal-backed allowances are differentiated (e.g., tagged)</w:t>
      </w:r>
      <w:r>
        <w:t xml:space="preserve"> </w:t>
      </w:r>
      <w:r>
        <w:t xml:space="preserve">and attract a price premium, the secondary market could bifurcate into two instruments with</w:t>
      </w:r>
      <w:r>
        <w:t xml:space="preserve"> </w:t>
      </w:r>
      <w:r>
        <w:t xml:space="preserve">potentially different liquidity and pricing.</w:t>
      </w:r>
      <w:r>
        <w:br/>
      </w:r>
      <w:r>
        <w:t xml:space="preserve">Limiting the use of removal units means that the benefit to CDR suppliers is limited to the</w:t>
      </w:r>
      <w:r>
        <w:t xml:space="preserve"> </w:t>
      </w:r>
      <w:r>
        <w:t xml:space="preserve">permissible volume; the extent to which this is relevant in the short and medium term will</w:t>
      </w:r>
      <w:r>
        <w:t xml:space="preserve"> </w:t>
      </w:r>
      <w:r>
        <w:t xml:space="preserve">depend on how ‘tight’ the limit is compared to current CDR capacity. Absent robust policy</w:t>
      </w:r>
      <w:r>
        <w:t xml:space="preserve"> </w:t>
      </w:r>
      <w:r>
        <w:t xml:space="preserve">instruments supporting CDR development and deployment beyond the ETS, a limit of between</w:t>
      </w:r>
      <w:r>
        <w:t xml:space="preserve"> </w:t>
      </w:r>
      <w:r>
        <w:t xml:space="preserve">175 and 330 Mt (85% scenario) applied to the whole phase is, however, very unlikely to bind</w:t>
      </w:r>
      <w:r>
        <w:t xml:space="preserve"> </w:t>
      </w:r>
      <w:r>
        <w:t xml:space="preserve">the supply side during the 2031-2040 period. If removal units are cost competitive in the ETS</w:t>
      </w:r>
      <w:r>
        <w:t xml:space="preserve"> </w:t>
      </w:r>
      <w:r>
        <w:t xml:space="preserve">such that the limit is binding, then it will be necessary to ration the (cheaper) removal units as</w:t>
      </w:r>
      <w:r>
        <w:t xml:space="preserve"> </w:t>
      </w:r>
      <w:r>
        <w:t xml:space="preserve">demand for them could exceed the allowed supply. See section 1.4.4 Consideration on Limits</w:t>
      </w:r>
      <w:r>
        <w:t xml:space="preserve"> </w:t>
      </w:r>
      <w:r>
        <w:t xml:space="preserve">for an analysis.</w:t>
      </w:r>
      <w:r>
        <w:br/>
      </w:r>
      <w:r>
        <w:t xml:space="preserve">Particular market dynamics effects of CR1 (‘Limited operator integration on top of the cap’):</w:t>
      </w:r>
      <w:r>
        <w:br/>
      </w:r>
      <w:r>
        <w:t xml:space="preserve">(See above on general market dynamics effects related to operator integration and to integration</w:t>
      </w:r>
      <w:r>
        <w:t xml:space="preserve"> </w:t>
      </w:r>
      <w:r>
        <w:t xml:space="preserve">with limits).</w:t>
      </w:r>
      <w:r>
        <w:br/>
      </w:r>
      <w:r>
        <w:t xml:space="preserve">The use of removal units could allow for a (limited) increase in gross emissions in the ETS,</w:t>
      </w:r>
      <w:r>
        <w:t xml:space="preserve"> </w:t>
      </w:r>
      <w:r>
        <w:t xml:space="preserve">supporting higher trade volumes and higher liquidity. This, however, is contingent on removal</w:t>
      </w:r>
      <w:r>
        <w:t xml:space="preserve"> </w:t>
      </w:r>
      <w:r>
        <w:t xml:space="preserve">units actually being used in the EU ETS – which, at the current price differentials, would</w:t>
      </w:r>
      <w:r>
        <w:t xml:space="preserve"> </w:t>
      </w:r>
      <w:r>
        <w:t xml:space="preserve">require other CDR support instruments to bridge the gap.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Particular market dynamics effects of CR2 (‘Unlimited operator integration on top of the cap’):</w:t>
      </w:r>
      <w:r>
        <w:br/>
      </w:r>
      <w:r>
        <w:t xml:space="preserve">(See above on general effects related to operator integration).</w:t>
      </w:r>
      <w:r>
        <w:t xml:space="preserve"> </w:t>
      </w:r>
      <w:r>
        <w:t xml:space="preserve">A lack of limits in CDR use in the EU ETS could mean a much higher inflow of CDR units if</w:t>
      </w:r>
      <w:r>
        <w:t xml:space="preserve"> </w:t>
      </w:r>
      <w:r>
        <w:t xml:space="preserve">and when removal costs become competitive vis-à-vis abatement inside the ETS. An increase</w:t>
      </w:r>
      <w:r>
        <w:t xml:space="preserve"> </w:t>
      </w:r>
      <w:r>
        <w:t xml:space="preserve">in gross emissions can increase the size of the market and make it more liquid, facilitating</w:t>
      </w:r>
      <w:r>
        <w:t xml:space="preserve"> </w:t>
      </w:r>
      <w:r>
        <w:t xml:space="preserve">smoother market functioning.</w:t>
      </w:r>
      <w:r>
        <w:t xml:space="preserve"> </w:t>
      </w:r>
      <w:r>
        <w:t xml:space="preserve">A lack of limits would also mean that removal units would not trade at a discount vis-à-vis</w:t>
      </w:r>
      <w:r>
        <w:t xml:space="preserve"> </w:t>
      </w:r>
      <w:r>
        <w:t xml:space="preserve">conventional allowances, which allows in theory for a cost effective mix between abatement</w:t>
      </w:r>
      <w:r>
        <w:t xml:space="preserve"> </w:t>
      </w:r>
      <w:r>
        <w:t xml:space="preserve">and removal. This measure, however, presents a higher risk of cost ineffective abatement</w:t>
      </w:r>
      <w:r>
        <w:t xml:space="preserve"> </w:t>
      </w:r>
      <w:r>
        <w:t xml:space="preserve">deterrence.</w:t>
      </w:r>
      <w:r>
        <w:t xml:space="preserve"> </w:t>
      </w:r>
      <w:r>
        <w:t xml:space="preserve">Particular market dynamics effects of CR3 (‘Limited operator integration under the cap (one-</w:t>
      </w:r>
      <w:r>
        <w:t xml:space="preserve"> </w:t>
      </w:r>
      <w:r>
        <w:t xml:space="preserve">in-one-out)’):</w:t>
      </w:r>
      <w:r>
        <w:br/>
      </w:r>
      <w:r>
        <w:t xml:space="preserve">An important characteristic of this measure is the one-off increase in the volume of</w:t>
      </w:r>
      <w:r>
        <w:t xml:space="preserve"> </w:t>
      </w:r>
      <w:r>
        <w:t xml:space="preserve">conventional allowances through an increase in auction volumes distributed throughout the</w:t>
      </w:r>
      <w:r>
        <w:t xml:space="preserve"> </w:t>
      </w:r>
      <w:r>
        <w:t xml:space="preserve">period. This is what creates the extra “space” for an increase in gross emissions by ETS</w:t>
      </w:r>
      <w:r>
        <w:t xml:space="preserve"> </w:t>
      </w:r>
      <w:r>
        <w:t xml:space="preserve">regulated entities, in line with the expected flow of CDR units in the EU ETS. This increase in</w:t>
      </w:r>
      <w:r>
        <w:t xml:space="preserve"> </w:t>
      </w:r>
      <w:r>
        <w:t xml:space="preserve">allowance volume allows for a (limited) increase in gross emissions, which can lead to higher</w:t>
      </w:r>
      <w:r>
        <w:t xml:space="preserve"> </w:t>
      </w:r>
      <w:r>
        <w:t xml:space="preserve">liquidity and smoother market functioning. Unlike CR1 (‘Limited operator integration on top</w:t>
      </w:r>
      <w:r>
        <w:t xml:space="preserve"> </w:t>
      </w:r>
      <w:r>
        <w:t xml:space="preserve">of the cap’), the additional space for gross emissions is created even if removal units fail to</w:t>
      </w:r>
      <w:r>
        <w:t xml:space="preserve"> </w:t>
      </w:r>
      <w:r>
        <w:t xml:space="preserve">make it into the EU ETS. This is because the extra space for gross emissions is generated by</w:t>
      </w:r>
      <w:r>
        <w:t xml:space="preserve"> </w:t>
      </w:r>
      <w:r>
        <w:t xml:space="preserve">the initial increase in allowances, rather than by the actual flow of removal units into the EU</w:t>
      </w:r>
      <w:r>
        <w:t xml:space="preserve"> </w:t>
      </w:r>
      <w:r>
        <w:t xml:space="preserve">ETS.</w:t>
      </w:r>
      <w:r>
        <w:br/>
      </w:r>
      <w:r>
        <w:t xml:space="preserve">The use of removal units in the EU ETS leads to one allowance being withdrawn from a future</w:t>
      </w:r>
      <w:r>
        <w:t xml:space="preserve"> </w:t>
      </w:r>
      <w:r>
        <w:t xml:space="preserve">allowance auction. The reduction of future auction volumes (due to the ‘swapping’ for the</w:t>
      </w:r>
      <w:r>
        <w:t xml:space="preserve"> </w:t>
      </w:r>
      <w:r>
        <w:t xml:space="preserve">removal unit) could generate uncertainty on future compliance unit supply, as the fluctuations</w:t>
      </w:r>
      <w:r>
        <w:t xml:space="preserve"> </w:t>
      </w:r>
      <w:r>
        <w:t xml:space="preserve">will be hard to predict. It would also be necessary to align this with MSR provisions, e.g. if the</w:t>
      </w:r>
      <w:r>
        <w:t xml:space="preserve"> </w:t>
      </w:r>
      <w:r>
        <w:t xml:space="preserve">one-in-one-out mechanics requires that an allowance be withdrawn from auction while MSR</w:t>
      </w:r>
      <w:r>
        <w:t xml:space="preserve"> </w:t>
      </w:r>
      <w:r>
        <w:t xml:space="preserve">rules require that more allowances be made available. Market effects from the unit ‘swapping’</w:t>
      </w:r>
      <w:r>
        <w:t xml:space="preserve"> </w:t>
      </w:r>
      <w:r>
        <w:t xml:space="preserve">would be mediated by the volume of units flowing in, the transparency of unit flows, and the</w:t>
      </w:r>
      <w:r>
        <w:t xml:space="preserve"> </w:t>
      </w:r>
      <w:r>
        <w:t xml:space="preserve">time to adjustment of the auction volume. Rules for the cancellation of allowances should be</w:t>
      </w:r>
      <w:r>
        <w:t xml:space="preserve"> </w:t>
      </w:r>
      <w:r>
        <w:t xml:space="preserve">designed such that large players cannot strategically time CDR use to influence allowance</w:t>
      </w:r>
      <w:r>
        <w:t xml:space="preserve"> </w:t>
      </w:r>
      <w:r>
        <w:t xml:space="preserve">cancellations and future prices. It is also worth noting that the yearly safeguard limit (set equal</w:t>
      </w:r>
      <w:r>
        <w:t xml:space="preserve"> </w:t>
      </w:r>
      <w:r>
        <w:t xml:space="preserve">to the auction volumes of the following year and meant to act as a backstop in case removal</w:t>
      </w:r>
      <w:r>
        <w:t xml:space="preserve"> </w:t>
      </w:r>
      <w:r>
        <w:t xml:space="preserve">units drop radically in price and/or increase in supply) can have effects on the latter years of</w:t>
      </w:r>
      <w:r>
        <w:t xml:space="preserve"> </w:t>
      </w:r>
      <w:r>
        <w:t xml:space="preserve">the phase. This is because (a) auction volumes are set to decrease over time; (b) removal units</w:t>
      </w:r>
      <w:r>
        <w:t xml:space="preserve"> </w:t>
      </w:r>
      <w:r>
        <w:t xml:space="preserve">may become more available in later years of the period and, potentially, (c) removal units may</w:t>
      </w:r>
      <w:r>
        <w:t xml:space="preserve"> </w:t>
      </w:r>
      <w:r>
        <w:t xml:space="preserve">be cheaper and more abundant than currently envisaged by the regulator. Put together, this</w:t>
      </w:r>
      <w:r>
        <w:t xml:space="preserve"> </w:t>
      </w:r>
      <w:r>
        <w:t xml:space="preserve">could mean that the safeguard limit may be binding towards the latter years of the phase. Given</w:t>
      </w:r>
      <w:r>
        <w:t xml:space="preserve"> </w:t>
      </w:r>
      <w:r>
        <w:t xml:space="preserve">current assumptions (see table 3), however, this seems unlikely to be the case. Under the 85%</w:t>
      </w:r>
      <w:r>
        <w:t xml:space="preserve"> </w:t>
      </w:r>
      <w:r>
        <w:t xml:space="preserve">scenario, the modelled total yearly CDR supply never surpasses the auction volume of the</w:t>
      </w:r>
      <w:r>
        <w:t xml:space="preserve"> </w:t>
      </w:r>
      <w:r>
        <w:t xml:space="preserve">following year. A constraint would only apply if the total allowable CDR supply for the entire</w:t>
      </w:r>
      <w:r>
        <w:t xml:space="preserve"> </w:t>
      </w:r>
      <w:r>
        <w:t xml:space="preserve">period were to flow into the ETS in the year of 2040 alone].</w:t>
      </w:r>
      <w:r>
        <w:t xml:space="preserve"> </w:t>
      </w:r>
      <w:r>
        <w:t xml:space="preserve">Particular market dynamics effects of CR4 (‘Public authority integration through regular</w:t>
      </w:r>
      <w:r>
        <w:t xml:space="preserve"> </w:t>
      </w:r>
      <w:r>
        <w:t xml:space="preserve">auctions under the cap’):</w:t>
      </w:r>
      <w:r>
        <w:br/>
      </w:r>
      <w:r>
        <w:t xml:space="preserve">The purchase of CDR units allow for the increase in cap and with it of gross emissions in the</w:t>
      </w:r>
      <w:r>
        <w:t xml:space="preserve"> </w:t>
      </w:r>
      <w:r>
        <w:t xml:space="preserve">ETS, supporting higher ETS trade volumes and liquidity. Importantly, and unlike CR1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(‘Limited operator integration on top of the cap’) and CR2 (‘Unlimited operator integration on</w:t>
      </w:r>
      <w:r>
        <w:t xml:space="preserve"> </w:t>
      </w:r>
      <w:r>
        <w:t xml:space="preserve">top of the cap’), this measure would not depend on CDR being cost competitive for the higher</w:t>
      </w:r>
      <w:r>
        <w:t xml:space="preserve"> </w:t>
      </w:r>
      <w:r>
        <w:t xml:space="preserve">availability of units to be felt in the market. This is because the regulator ensures the supply</w:t>
      </w:r>
      <w:r>
        <w:t xml:space="preserve"> </w:t>
      </w:r>
      <w:r>
        <w:t xml:space="preserve">and would subsidize the difference between the CDR cost and the ETS allowance auction price.</w:t>
      </w:r>
      <w:r>
        <w:t xml:space="preserve"> </w:t>
      </w:r>
      <w:r>
        <w:t xml:space="preserve">This is an important advantage of CR4 as compared to e.g. CR1 and CR2. The difference on</w:t>
      </w:r>
      <w:r>
        <w:t xml:space="preserve"> </w:t>
      </w:r>
      <w:r>
        <w:t xml:space="preserve">this matter between CR4 and measures such as CR1 and CR2, however, depends on the cost</w:t>
      </w:r>
      <w:r>
        <w:t xml:space="preserve"> </w:t>
      </w:r>
      <w:r>
        <w:t xml:space="preserve">competitiveness of removal units in the ETS and the extent to which different measures are</w:t>
      </w:r>
      <w:r>
        <w:t xml:space="preserve"> </w:t>
      </w:r>
      <w:r>
        <w:t xml:space="preserve">accompanied by effective support mechanisms that similarly bridge the cost differential</w:t>
      </w:r>
      <w:r>
        <w:t xml:space="preserve"> </w:t>
      </w:r>
      <w:r>
        <w:t xml:space="preserve">between abatement and removal. In situations where removal units are cost competitive in the</w:t>
      </w:r>
      <w:r>
        <w:t xml:space="preserve"> </w:t>
      </w:r>
      <w:r>
        <w:t xml:space="preserve">ETS, the intermediation by the public authority could reduce market efficiency. CR4 can</w:t>
      </w:r>
      <w:r>
        <w:t xml:space="preserve"> </w:t>
      </w:r>
      <w:r>
        <w:t xml:space="preserve">reduce market uncertainty for both ETS operators and removals operators, as it decouples the</w:t>
      </w:r>
      <w:r>
        <w:t xml:space="preserve"> </w:t>
      </w:r>
      <w:r>
        <w:t xml:space="preserve">inflow of removals-backed allowances from the relative price signal between abatement and</w:t>
      </w:r>
      <w:r>
        <w:t xml:space="preserve"> </w:t>
      </w:r>
      <w:r>
        <w:t xml:space="preserve">removals, with procurement volumes and timing that are administratively chosen under (high)</w:t>
      </w:r>
      <w:r>
        <w:t xml:space="preserve"> </w:t>
      </w:r>
      <w:r>
        <w:t xml:space="preserve">uncertainty. Several stakeholders in the open consultation mentioned the advantages of</w:t>
      </w:r>
      <w:r>
        <w:t xml:space="preserve"> </w:t>
      </w:r>
      <w:r>
        <w:t xml:space="preserve">increased liquidity but also raised concerns over loss of market efficiency in cases of public</w:t>
      </w:r>
      <w:r>
        <w:t xml:space="preserve"> </w:t>
      </w:r>
      <w:r>
        <w:t xml:space="preserve">authority integration.</w:t>
      </w:r>
      <w:r>
        <w:br/>
      </w:r>
      <w:r>
        <w:t xml:space="preserve">The supply of removal-backed allowances into the ETS would be predictable, as it would be</w:t>
      </w:r>
      <w:r>
        <w:t xml:space="preserve"> </w:t>
      </w:r>
      <w:r>
        <w:t xml:space="preserve">determined by the public authority’s pre-set purchase volumes and auction schedule. This could</w:t>
      </w:r>
      <w:r>
        <w:t xml:space="preserve"> </w:t>
      </w:r>
      <w:r>
        <w:t xml:space="preserve">support market stability. Rules (or unit buffers) would be necessary to provide clarity on</w:t>
      </w:r>
      <w:r>
        <w:t xml:space="preserve"> </w:t>
      </w:r>
      <w:r>
        <w:t xml:space="preserve">auctioning schedules in case of CDR procurement delays or under-delivery by CDR suppliers.</w:t>
      </w:r>
      <w:r>
        <w:t xml:space="preserve"> </w:t>
      </w:r>
      <w:r>
        <w:t xml:space="preserve">Transparency and predictability for operators are facilitated if the authority’s procurement</w:t>
      </w:r>
      <w:r>
        <w:t xml:space="preserve"> </w:t>
      </w:r>
      <w:r>
        <w:t xml:space="preserve">strategy (volumes, types of CDR, prices paid if public) and auctioning rules are clearly</w:t>
      </w:r>
      <w:r>
        <w:t xml:space="preserve"> </w:t>
      </w:r>
      <w:r>
        <w:t xml:space="preserve">communicated. An effective CDR price discovery would require a well-designed CDR</w:t>
      </w:r>
      <w:r>
        <w:t xml:space="preserve"> </w:t>
      </w:r>
      <w:r>
        <w:t xml:space="preserve">purchasing strategy.</w:t>
      </w:r>
      <w:r>
        <w:br/>
      </w:r>
      <w:r>
        <w:t xml:space="preserve">There would be no fundamental change to the way the primary market for allowances works</w:t>
      </w:r>
      <w:r>
        <w:t xml:space="preserve"> </w:t>
      </w:r>
      <w:r>
        <w:t xml:space="preserve">for operators. The regulator would remain as the sole provider of allowances in the primary</w:t>
      </w:r>
      <w:r>
        <w:t xml:space="preserve"> </w:t>
      </w:r>
      <w:r>
        <w:t xml:space="preserve">market as it would centralize the interaction with CDR providers. Nevertheless, also in this</w:t>
      </w:r>
      <w:r>
        <w:t xml:space="preserve"> </w:t>
      </w:r>
      <w:r>
        <w:t xml:space="preserve">case we would expect a market for CDR units to operate outside the EU ETS, e.g. for voluntary</w:t>
      </w:r>
      <w:r>
        <w:t xml:space="preserve"> </w:t>
      </w:r>
      <w:r>
        <w:t xml:space="preserve">demand and, potentially, for demand by national governments towards target achievement and</w:t>
      </w:r>
      <w:r>
        <w:t xml:space="preserve"> </w:t>
      </w:r>
      <w:r>
        <w:t xml:space="preserve">CDR support.</w:t>
      </w:r>
      <w:r>
        <w:t xml:space="preserve"> </w:t>
      </w:r>
      <w:r>
        <w:t xml:space="preserve">Particular market dynamics effects of CR5 (‘Public authority integration through MSR on top</w:t>
      </w:r>
      <w:r>
        <w:t xml:space="preserve"> </w:t>
      </w:r>
      <w:r>
        <w:t xml:space="preserve">of the cap’):</w:t>
      </w:r>
      <w:r>
        <w:br/>
      </w:r>
      <w:r>
        <w:t xml:space="preserve">This measure would see no immediate effect on trade volumes, as CDR units are kept in the</w:t>
      </w:r>
      <w:r>
        <w:t xml:space="preserve"> </w:t>
      </w:r>
      <w:r>
        <w:t xml:space="preserve">MSR and only released in times of scarcity. As already mentioned under the CR5 analysis</w:t>
      </w:r>
      <w:r>
        <w:t xml:space="preserve"> </w:t>
      </w:r>
      <w:r>
        <w:t xml:space="preserve">regarding ‘EU ETS compliance costs’, under current assumptions it is possible that no removal</w:t>
      </w:r>
      <w:r>
        <w:t xml:space="preserve"> </w:t>
      </w:r>
      <w:r>
        <w:t xml:space="preserve">units would enter into circulation through the MSR in the 2031-2040 period.</w:t>
      </w:r>
      <w:r>
        <w:br/>
      </w:r>
      <w:r>
        <w:t xml:space="preserve">By replenishing the MSR, CR5 would extend the MSR’s operational life beyond that implied</w:t>
      </w:r>
      <w:r>
        <w:t xml:space="preserve"> </w:t>
      </w:r>
      <w:r>
        <w:t xml:space="preserve">by the number of (conventional) allowances in the reserve and current MSR’s rules and</w:t>
      </w:r>
      <w:r>
        <w:t xml:space="preserve"> </w:t>
      </w:r>
      <w:r>
        <w:t xml:space="preserve">parameters. Consequently, CR5 prolongs the market stability service that the MSR provides to</w:t>
      </w:r>
      <w:r>
        <w:t xml:space="preserve"> </w:t>
      </w:r>
      <w:r>
        <w:t xml:space="preserve">the EU ETS. Moreover, and compared to CR4, measure CR5 could be more responsive to</w:t>
      </w:r>
      <w:r>
        <w:t xml:space="preserve"> </w:t>
      </w:r>
      <w:r>
        <w:t xml:space="preserve">market needs than a fixed and predetermined schedule.</w:t>
      </w:r>
      <w:r>
        <w:br/>
      </w:r>
      <w:r>
        <w:t xml:space="preserve">As in the case of CR4, there would be no fundamental change to the way the primary market</w:t>
      </w:r>
      <w:r>
        <w:t xml:space="preserve"> </w:t>
      </w:r>
      <w:r>
        <w:t xml:space="preserve">for allowances works for operators, as the regulator would remain as the sole provider of</w:t>
      </w:r>
      <w:r>
        <w:t xml:space="preserve"> </w:t>
      </w:r>
      <w:r>
        <w:t xml:space="preserve">allowances.</w:t>
      </w:r>
      <w:r>
        <w:br/>
      </w:r>
      <w:r>
        <w:t xml:space="preserve">It is worth noting that with the exception of CR2 (‘direct integration without a limit, net cap’),</w:t>
      </w:r>
      <w:r>
        <w:t xml:space="preserve"> </w:t>
      </w:r>
      <w:r>
        <w:t xml:space="preserve">in all measures discussed above the limit for CDR use is the same, but measures differ in terms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of when and how the extra compliance units (and thus the extra ‘space’ for gross emissions and</w:t>
      </w:r>
      <w:r>
        <w:t xml:space="preserve"> </w:t>
      </w:r>
      <w:r>
        <w:t xml:space="preserve">the corresponding effect on market dynamics) flow into the ETS. Under CR1 (‘Limited</w:t>
      </w:r>
      <w:r>
        <w:t xml:space="preserve"> </w:t>
      </w:r>
      <w:r>
        <w:t xml:space="preserve">operator integration on top of the cap’), gross emissions only increase if removal units are cost</w:t>
      </w:r>
      <w:r>
        <w:t xml:space="preserve"> </w:t>
      </w:r>
      <w:r>
        <w:t xml:space="preserve">competitive vis-à-vis the allowance price (also taking into account support policies outside the</w:t>
      </w:r>
      <w:r>
        <w:t xml:space="preserve"> </w:t>
      </w:r>
      <w:r>
        <w:t xml:space="preserve">EU ETS). By contrast, under CR3 (‘Limited operator integration under the cap (one-in-one-</w:t>
      </w:r>
      <w:r>
        <w:t xml:space="preserve"> </w:t>
      </w:r>
      <w:r>
        <w:t xml:space="preserve">out)’), gross emissions increase as a result of the initial increase in the allowance volume and</w:t>
      </w:r>
      <w:r>
        <w:t xml:space="preserve"> </w:t>
      </w:r>
      <w:r>
        <w:t xml:space="preserve">thus do not depend on removal units actually flowing in. Under CR4 (‘Public authority</w:t>
      </w:r>
      <w:r>
        <w:t xml:space="preserve"> </w:t>
      </w:r>
      <w:r>
        <w:t xml:space="preserve">integration through regular auctions under the cap’), the increase in compliance units is</w:t>
      </w:r>
      <w:r>
        <w:t xml:space="preserve"> </w:t>
      </w:r>
      <w:r>
        <w:t xml:space="preserve">reflected from the start in the increased cap, and their release is predictably scheduled alongside</w:t>
      </w:r>
      <w:r>
        <w:t xml:space="preserve"> </w:t>
      </w:r>
      <w:r>
        <w:t xml:space="preserve">those of regular allowances via the auction calendar. Under CR5 (‘Public authority integration</w:t>
      </w:r>
      <w:r>
        <w:t xml:space="preserve"> </w:t>
      </w:r>
      <w:r>
        <w:t xml:space="preserve">through MSR on top of the cap’), the increase in compliance units would occur in line with</w:t>
      </w:r>
      <w:r>
        <w:t xml:space="preserve"> </w:t>
      </w:r>
      <w:r>
        <w:t xml:space="preserve">MSR rules and be less predictable.</w:t>
      </w:r>
      <w:r>
        <w:br/>
      </w:r>
      <w:r>
        <w:t xml:space="preserve">2.3.1.1.3.</w:t>
      </w:r>
      <w:r>
        <w:t xml:space="preserve"> </w:t>
      </w:r>
      <w:r>
        <w:t xml:space="preserve">Transaction costs</w:t>
      </w:r>
      <w:r>
        <w:br/>
      </w:r>
      <w:r>
        <w:t xml:space="preserve">What are the expected transaction costs on EU ETS operators? Influenced among others by the</w:t>
      </w:r>
      <w:r>
        <w:t xml:space="preserve"> </w:t>
      </w:r>
      <w:r>
        <w:t xml:space="preserve">channel through which operators procure compliance units, contract standardisation and</w:t>
      </w:r>
      <w:r>
        <w:t xml:space="preserve"> </w:t>
      </w:r>
      <w:r>
        <w:t xml:space="preserve">market infrastructure, and risk management needs.</w:t>
      </w:r>
      <w:r>
        <w:br/>
      </w:r>
      <w:r>
        <w:t xml:space="preserve">CR1 ‘Limited operator integration on top of the cap’: Direct market access through e.g. </w:t>
      </w:r>
      <w:r>
        <w:t xml:space="preserve"> </w:t>
      </w:r>
      <w:r>
        <w:t xml:space="preserve">standardized contracts would minimize intermediary fees. However, higher transaction costs</w:t>
      </w:r>
      <w:r>
        <w:t xml:space="preserve"> </w:t>
      </w:r>
      <w:r>
        <w:t xml:space="preserve">compared to a baseline of no CDR integration would nevertheless apply to the extent that</w:t>
      </w:r>
      <w:r>
        <w:t xml:space="preserve"> </w:t>
      </w:r>
      <w:r>
        <w:t xml:space="preserve">operators would have to evaluate e.g. the reliability of CDR technologies and suppliers (due</w:t>
      </w:r>
      <w:r>
        <w:t xml:space="preserve"> </w:t>
      </w:r>
      <w:r>
        <w:t xml:space="preserve">diligence costs) when engaging in forward purchase contracts. The inclusion of another</w:t>
      </w:r>
      <w:r>
        <w:t xml:space="preserve"> </w:t>
      </w:r>
      <w:r>
        <w:t xml:space="preserve">compliance unit would mean that operators could face higher portfolio management</w:t>
      </w:r>
      <w:r>
        <w:t xml:space="preserve"> </w:t>
      </w:r>
      <w:r>
        <w:t xml:space="preserve">complexity - optimizing between allowances, CDR types, and timing, including risk</w:t>
      </w:r>
      <w:r>
        <w:t xml:space="preserve"> </w:t>
      </w:r>
      <w:r>
        <w:t xml:space="preserve">management costs.</w:t>
      </w:r>
      <w:r>
        <w:t xml:space="preserve"> </w:t>
      </w:r>
      <w:r>
        <w:t xml:space="preserve">CR2 ‘Unlimited operator integration on top of the cap’: Similar effects as under CR1,</w:t>
      </w:r>
      <w:r>
        <w:t xml:space="preserve"> </w:t>
      </w:r>
      <w:r>
        <w:t xml:space="preserve">amplified by the fact that operators would potentially have to track a larger and more dynamic</w:t>
      </w:r>
      <w:r>
        <w:t xml:space="preserve"> </w:t>
      </w:r>
      <w:r>
        <w:t xml:space="preserve">CDR market (if removal units are cost competitive in the ETS) and manage higher exposure to</w:t>
      </w:r>
      <w:r>
        <w:t xml:space="preserve"> </w:t>
      </w:r>
      <w:r>
        <w:t xml:space="preserve">CDR costs.</w:t>
      </w:r>
      <w:r>
        <w:br/>
      </w:r>
      <w:r>
        <w:t xml:space="preserve">CR3 ‘Limited operator integration under the cap (one-in-one-out)’: Similar as under CR1, with</w:t>
      </w:r>
      <w:r>
        <w:t xml:space="preserve"> </w:t>
      </w:r>
      <w:r>
        <w:t xml:space="preserve">extra operational complexity from tracking the one‑in‑one‑out mechanics.</w:t>
      </w:r>
      <w:r>
        <w:t xml:space="preserve"> </w:t>
      </w:r>
      <w:r>
        <w:t xml:space="preserve">CR4 ‘Public authority integration through regular auctions under the cap’: For operators,</w:t>
      </w:r>
      <w:r>
        <w:t xml:space="preserve"> </w:t>
      </w:r>
      <w:r>
        <w:t xml:space="preserve">transaction costs related to CDR purchases under this measure would be lower than under</w:t>
      </w:r>
      <w:r>
        <w:t xml:space="preserve"> </w:t>
      </w:r>
      <w:r>
        <w:t xml:space="preserve">measures with operator integration (CR1-CR3) as operators would acquire all allowances</w:t>
      </w:r>
      <w:r>
        <w:t xml:space="preserve"> </w:t>
      </w:r>
      <w:r>
        <w:t xml:space="preserve">(including removal-backed ones) through regular ETS auctions or the secondary market. There</w:t>
      </w:r>
      <w:r>
        <w:t xml:space="preserve"> </w:t>
      </w:r>
      <w:r>
        <w:t xml:space="preserve">would be no need to engage in separate procurement of CDR units.</w:t>
      </w:r>
      <w:r>
        <w:t xml:space="preserve"> </w:t>
      </w:r>
      <w:r>
        <w:t xml:space="preserve">CR5 ‘Public authority integration through MSR on top of the cap’: same effect as under CR4.</w:t>
      </w:r>
      <w:r>
        <w:br/>
      </w:r>
      <w:r>
        <w:t xml:space="preserve">2.3.1.2.</w:t>
      </w:r>
      <w:r>
        <w:t xml:space="preserve"> </w:t>
      </w:r>
      <w:r>
        <w:t xml:space="preserve">Public authorities and budgets</w:t>
      </w:r>
      <w:r>
        <w:br/>
      </w:r>
      <w:r>
        <w:t xml:space="preserve">What are the expected impacts on revenues and costs for the regulator, e.g. allowance auction</w:t>
      </w:r>
      <w:r>
        <w:t xml:space="preserve"> </w:t>
      </w:r>
      <w:r>
        <w:t xml:space="preserve">revenues, removal unit purchase costs, and administrative costs?</w:t>
      </w:r>
      <w:r>
        <w:t xml:space="preserve"> </w:t>
      </w:r>
      <w:r>
        <w:t xml:space="preserve">The investment needed to support the development and deployment of CDR technologies does</w:t>
      </w:r>
      <w:r>
        <w:t xml:space="preserve"> </w:t>
      </w:r>
      <w:r>
        <w:t xml:space="preserve">not a priori change materially across the measures assessed here, and public finance has a</w:t>
      </w:r>
      <w:r>
        <w:t xml:space="preserve"> </w:t>
      </w:r>
      <w:r>
        <w:t xml:space="preserve">crucial role to play26. Public disbursement can occur through the EU ETS (e.g. through</w:t>
      </w:r>
      <w:r>
        <w:t xml:space="preserve"> </w:t>
      </w:r>
      <w:r>
        <w:t xml:space="preserve">measures CR4 and CR5) and/or through other support policies (e.g. CCfDs or a public</w:t>
      </w:r>
      <w:r>
        <w:t xml:space="preserve"> </w:t>
      </w:r>
      <w:r>
        <w:t xml:space="preserve">purchasing programme). In either case, total expenditure could be similar if the regulator has a</w:t>
      </w:r>
    </w:p>
    <w:p>
      <w:pPr>
        <w:pStyle w:val="BodyText"/>
      </w:pPr>
      <w:r>
        <w:t xml:space="preserve">26 See footnote 18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clear commitment towards procuring enough CDR that guarantees the extra gross emissions</w:t>
      </w:r>
      <w:r>
        <w:t xml:space="preserve"> </w:t>
      </w:r>
      <w:r>
        <w:t xml:space="preserve">headroom for operators (CR1 and CR2) or to deliver the net emissions outcome (CR3).</w:t>
      </w:r>
      <w:r>
        <w:br/>
      </w:r>
      <w:r>
        <w:t xml:space="preserve">That said, the measures do vary considerably in terms of risk distribution and upfront finance</w:t>
      </w:r>
      <w:r>
        <w:t xml:space="preserve"> </w:t>
      </w:r>
      <w:r>
        <w:t xml:space="preserve">for CDR development and deployment – and this latter point can materially affect the viability</w:t>
      </w:r>
      <w:r>
        <w:t xml:space="preserve"> </w:t>
      </w:r>
      <w:r>
        <w:t xml:space="preserve">of achieving the climate targets, especially if CDR technologies do not reach the scale required</w:t>
      </w:r>
      <w:r>
        <w:t xml:space="preserve"> </w:t>
      </w:r>
      <w:r>
        <w:t xml:space="preserve">on time. For example, apparent ‘cost savings’ for the regulator from CR1, CR2 and CR3</w:t>
      </w:r>
      <w:r>
        <w:t xml:space="preserve"> </w:t>
      </w:r>
      <w:r>
        <w:t xml:space="preserve">(notably from not having to invest into the purchase of removal units) entail risk transfers to</w:t>
      </w:r>
      <w:r>
        <w:t xml:space="preserve"> </w:t>
      </w:r>
      <w:r>
        <w:t xml:space="preserve">the private sector that could materialize as higher costs for the regulator later on, e.g. if CDR</w:t>
      </w:r>
      <w:r>
        <w:t xml:space="preserve"> </w:t>
      </w:r>
      <w:r>
        <w:t xml:space="preserve">technologies do not scale as required in time for target achievement, and especially if the</w:t>
      </w:r>
      <w:r>
        <w:t xml:space="preserve"> </w:t>
      </w:r>
      <w:r>
        <w:t xml:space="preserve">regulator is left with little time to react to a CDR supply shortfall.</w:t>
      </w:r>
      <w:r>
        <w:br/>
      </w:r>
      <w:r>
        <w:t xml:space="preserve">Generally, fiscal costs across the measures considered here are different from the fiscal costs</w:t>
      </w:r>
      <w:r>
        <w:t xml:space="preserve"> </w:t>
      </w:r>
      <w:r>
        <w:t xml:space="preserve">in the baseline of no CDR integration, in which the ETS would ultimately reach absolute zero</w:t>
      </w:r>
      <w:r>
        <w:t xml:space="preserve"> </w:t>
      </w:r>
      <w:r>
        <w:t xml:space="preserve">emissions. This is because the measures considered here increase the regulatory ‘space’ for</w:t>
      </w:r>
      <w:r>
        <w:t xml:space="preserve"> </w:t>
      </w:r>
      <w:r>
        <w:t xml:space="preserve">residual emissions under the ETS, which means that part of the mitigation costs that would</w:t>
      </w:r>
      <w:r>
        <w:t xml:space="preserve"> </w:t>
      </w:r>
      <w:r>
        <w:t xml:space="preserve">have been incurred by regulated entities move onto the regulator in one way or another. This</w:t>
      </w:r>
      <w:r>
        <w:t xml:space="preserve"> </w:t>
      </w:r>
      <w:r>
        <w:t xml:space="preserve">can happen in various ways. First, a decrease in scarcity is likely to lead to reduced allowance</w:t>
      </w:r>
      <w:r>
        <w:t xml:space="preserve"> </w:t>
      </w:r>
      <w:r>
        <w:t xml:space="preserve">auction revenues to Member States27. Moreover, using removal units rather than conventional</w:t>
      </w:r>
      <w:r>
        <w:t xml:space="preserve"> </w:t>
      </w:r>
      <w:r>
        <w:t xml:space="preserve">allowances towards compliance obligations would mean that CDR suppliers are the ones</w:t>
      </w:r>
      <w:r>
        <w:t xml:space="preserve"> </w:t>
      </w:r>
      <w:r>
        <w:t xml:space="preserve">receiving payments from operators, rather than the Member State through allowance auctions.</w:t>
      </w:r>
      <w:r>
        <w:t xml:space="preserve"> </w:t>
      </w:r>
      <w:r>
        <w:t xml:space="preserve">Also, the integration of CDR into the EU ETS would require regulation and oversight on CDR</w:t>
      </w:r>
      <w:r>
        <w:t xml:space="preserve"> </w:t>
      </w:r>
      <w:r>
        <w:t xml:space="preserve">eligibility and market surveillance, thus resulting in administrative costs.</w:t>
      </w:r>
      <w:r>
        <w:br/>
      </w:r>
      <w:r>
        <w:t xml:space="preserve">CR1 (‘Limited operator integration on top of the cap’) and CR2 (‘Unlimited operator</w:t>
      </w:r>
      <w:r>
        <w:t xml:space="preserve"> </w:t>
      </w:r>
      <w:r>
        <w:t xml:space="preserve">integration on top of the cap’), in theory, would entail lower direct EU ETS purchase costs for</w:t>
      </w:r>
      <w:r>
        <w:t xml:space="preserve"> </w:t>
      </w:r>
      <w:r>
        <w:t xml:space="preserve">the regulator as compared to CR4 and CR5, although, in the absence of public investments in</w:t>
      </w:r>
      <w:r>
        <w:t xml:space="preserve"> </w:t>
      </w:r>
      <w:r>
        <w:t xml:space="preserve">CDR through other policies, risks that the CDR development and deployment not take place in</w:t>
      </w:r>
      <w:r>
        <w:t xml:space="preserve"> </w:t>
      </w:r>
      <w:r>
        <w:t xml:space="preserve">time for the CDR scaleup required and that the extra ‘space’ for residual emissions inside the</w:t>
      </w:r>
      <w:r>
        <w:t xml:space="preserve"> </w:t>
      </w:r>
      <w:r>
        <w:t xml:space="preserve">ETS therefore not materialize.</w:t>
      </w:r>
      <w:r>
        <w:br/>
      </w:r>
      <w:r>
        <w:t xml:space="preserve">CR3 (‘Limited operator integration under the cap (one-in-one-out)’) would see a similar effect</w:t>
      </w:r>
      <w:r>
        <w:t xml:space="preserve"> </w:t>
      </w:r>
      <w:r>
        <w:t xml:space="preserve">as for CR1 and CR2 in lower direct EU ETS costs for the regulator not having to purchase the</w:t>
      </w:r>
      <w:r>
        <w:t xml:space="preserve"> </w:t>
      </w:r>
      <w:r>
        <w:t xml:space="preserve">removals itself, again with the need for further support policies to ensure that CDR</w:t>
      </w:r>
      <w:r>
        <w:t xml:space="preserve"> </w:t>
      </w:r>
      <w:r>
        <w:t xml:space="preserve">development and deployment take place in time for the CDR scaleup required. This is</w:t>
      </w:r>
      <w:r>
        <w:t xml:space="preserve"> </w:t>
      </w:r>
      <w:r>
        <w:t xml:space="preserve">aggravated by the initial reduction in scarcity, which could reduce incentives for abatement</w:t>
      </w:r>
      <w:r>
        <w:t xml:space="preserve"> </w:t>
      </w:r>
      <w:r>
        <w:t xml:space="preserve">and investment in removal by regulated entities – thus potentially requiring further investments</w:t>
      </w:r>
      <w:r>
        <w:t xml:space="preserve"> </w:t>
      </w:r>
      <w:r>
        <w:t xml:space="preserve">in abatement and removal by the regulator outside the ETS. Effects are also expected on auction</w:t>
      </w:r>
      <w:r>
        <w:t xml:space="preserve"> </w:t>
      </w:r>
      <w:r>
        <w:t xml:space="preserve">revenues. Under CR3, Member States would see an increase in the number of allowances for</w:t>
      </w:r>
      <w:r>
        <w:t xml:space="preserve"> </w:t>
      </w:r>
      <w:r>
        <w:t xml:space="preserve">auction, but it is unclear whether this would entail higher revenues as the increase in the</w:t>
      </w:r>
      <w:r>
        <w:t xml:space="preserve"> </w:t>
      </w:r>
      <w:r>
        <w:t xml:space="preserve">allowance volume may be offset by a price drop due to the reduced scarcity.</w:t>
      </w:r>
      <w:r>
        <w:br/>
      </w:r>
      <w:r>
        <w:t xml:space="preserve">CR4 (‘Public authority integration through regular auctions under the cap’) would see the</w:t>
      </w:r>
      <w:r>
        <w:t xml:space="preserve"> </w:t>
      </w:r>
      <w:r>
        <w:t xml:space="preserve">regulator purchase removal units even if they are not cost competitive vis-à-vis the allowance</w:t>
      </w:r>
      <w:r>
        <w:t xml:space="preserve"> </w:t>
      </w:r>
      <w:r>
        <w:t xml:space="preserve">price. This would create an avenue to bridge the price gap between abatement and removals</w:t>
      </w:r>
      <w:r>
        <w:t xml:space="preserve"> </w:t>
      </w:r>
      <w:r>
        <w:t xml:space="preserve">and thereby provide significant support to the development and scale-up of CDR technologies.</w:t>
      </w:r>
      <w:r>
        <w:t xml:space="preserve"> </w:t>
      </w:r>
      <w:r>
        <w:t xml:space="preserve">Importantly however, this would entail arranging for a significant financial endowment from</w:t>
      </w:r>
      <w:r>
        <w:t xml:space="preserve"> </w:t>
      </w:r>
      <w:r>
        <w:t xml:space="preserve">the ETS auction revenues, which could be politically challenging but necessary to ensure the</w:t>
      </w:r>
      <w:r>
        <w:t xml:space="preserve"> </w:t>
      </w:r>
      <w:r>
        <w:t xml:space="preserve">necessary amount of removals is purchased. Thus, CR4 would likely entail significant costs for</w:t>
      </w:r>
      <w:r>
        <w:t xml:space="preserve"> </w:t>
      </w:r>
      <w:r>
        <w:t xml:space="preserve">the regulator in e.g. the procurement of removal units, although it seems possible that</w:t>
      </w:r>
    </w:p>
    <w:p>
      <w:pPr>
        <w:pStyle w:val="BodyText"/>
      </w:pPr>
      <w:r>
        <w:t xml:space="preserve">27 The final outcome depends on if the decrease in prices is counterbalanced sufficiently by the increase in</w:t>
      </w:r>
      <w:r>
        <w:t xml:space="preserve"> </w:t>
      </w:r>
      <w:r>
        <w:t xml:space="preserve">supply, such that the overall the auction revenues remain equal or are even higher despite the lower prices.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procurement methods such as reverse auctions could yield lower overall transaction costs than</w:t>
      </w:r>
      <w:r>
        <w:t xml:space="preserve"> </w:t>
      </w:r>
      <w:r>
        <w:t xml:space="preserve">if purchases were done by a large number of individual regulated entities in the primary CDR</w:t>
      </w:r>
      <w:r>
        <w:t xml:space="preserve"> </w:t>
      </w:r>
      <w:r>
        <w:t xml:space="preserve">market, and would need to be compared with the administrative cost of complementary support</w:t>
      </w:r>
      <w:r>
        <w:t xml:space="preserve"> </w:t>
      </w:r>
      <w:r>
        <w:t xml:space="preserve">measures needed under CR1 and CR2 (e.g. CCfDs). Compared to CR5, measure CR4 has the</w:t>
      </w:r>
      <w:r>
        <w:t xml:space="preserve"> </w:t>
      </w:r>
      <w:r>
        <w:t xml:space="preserve">advantage of the predictability of the regulator in recouping some of the CDR purchase costs</w:t>
      </w:r>
      <w:r>
        <w:t xml:space="preserve"> </w:t>
      </w:r>
      <w:r>
        <w:t xml:space="preserve">by auctioning removals-backed allowances in the market.</w:t>
      </w:r>
      <w:r>
        <w:br/>
      </w:r>
      <w:r>
        <w:t xml:space="preserve">CR5 (‘Public authority integration through MSR on top of the cap’) would be similar to CR4</w:t>
      </w:r>
      <w:r>
        <w:t xml:space="preserve"> </w:t>
      </w:r>
      <w:r>
        <w:t xml:space="preserve">in that the regulator would purchase removal units even if they are not cost competitive in the</w:t>
      </w:r>
      <w:r>
        <w:t xml:space="preserve"> </w:t>
      </w:r>
      <w:r>
        <w:t xml:space="preserve">EU ETS, providing material support to the development and deployment of CDR technologies</w:t>
      </w:r>
      <w:r>
        <w:t xml:space="preserve"> </w:t>
      </w:r>
      <w:r>
        <w:t xml:space="preserve">but requiring a significant endowment of funds to do so. Different from CR4, in CR5 there is</w:t>
      </w:r>
      <w:r>
        <w:t xml:space="preserve"> </w:t>
      </w:r>
      <w:r>
        <w:t xml:space="preserve">less predictability on the ability of the regulator to recoup CDR purchase costs through</w:t>
      </w:r>
      <w:r>
        <w:t xml:space="preserve"> </w:t>
      </w:r>
      <w:r>
        <w:t xml:space="preserve">allowance auctions, as MSR allowance releases would follow MSR triggers, which provide for</w:t>
      </w:r>
      <w:r>
        <w:t xml:space="preserve"> </w:t>
      </w:r>
      <w:r>
        <w:t xml:space="preserve">less predictability than pre-set schedules. It seems possible, however, that by the time the MSR</w:t>
      </w:r>
      <w:r>
        <w:t xml:space="preserve"> </w:t>
      </w:r>
      <w:r>
        <w:t xml:space="preserve">kicks in, auction prices be higher than they would have been under CR4 – thus yielding higher</w:t>
      </w:r>
      <w:r>
        <w:t xml:space="preserve"> </w:t>
      </w:r>
      <w:r>
        <w:t xml:space="preserve">auction revenues. Nevertheless, even if the difference were not as stark between CR4 and CR5</w:t>
      </w:r>
      <w:r>
        <w:t xml:space="preserve"> </w:t>
      </w:r>
      <w:r>
        <w:t xml:space="preserve">regarding the overall flow of expenditures and revenues, the predictability with which they</w:t>
      </w:r>
      <w:r>
        <w:t xml:space="preserve"> </w:t>
      </w:r>
      <w:r>
        <w:t xml:space="preserve">happen would have a crucial impact. As already mentioned under the CR5 analysis regarding</w:t>
      </w:r>
      <w:r>
        <w:t xml:space="preserve"> </w:t>
      </w:r>
      <w:r>
        <w:t xml:space="preserve">‘EU ETS compliance costs’, under current assumptions it seems possible that the MSR would</w:t>
      </w:r>
      <w:r>
        <w:t xml:space="preserve"> </w:t>
      </w:r>
      <w:r>
        <w:t xml:space="preserve">auction no removal units in the 2031-2040 period. Releases start in the mid-2030s and the MSR</w:t>
      </w:r>
      <w:r>
        <w:t xml:space="preserve"> </w:t>
      </w:r>
      <w:r>
        <w:t xml:space="preserve">has an extensive number of allowances to support liquidity in the EU ETS in the 2030s, under</w:t>
      </w:r>
      <w:r>
        <w:t xml:space="preserve"> </w:t>
      </w:r>
      <w:r>
        <w:t xml:space="preserve">the parameters examined in above.</w:t>
      </w:r>
      <w:r>
        <w:t xml:space="preserve"> </w:t>
      </w:r>
      <w:r>
        <w:t xml:space="preserve">Estimated fiscal costs in CR4</w:t>
      </w:r>
      <w:r>
        <w:t xml:space="preserve"> </w:t>
      </w:r>
      <w:r>
        <w:t xml:space="preserve">The fiscal cost for the public authority in CR4 is calculated as the investment requirements</w:t>
      </w:r>
      <w:r>
        <w:t xml:space="preserve"> </w:t>
      </w:r>
      <w:r>
        <w:t xml:space="preserve">(i.e., tonnes procured) minus revenues from allowance sales made by the public authority to</w:t>
      </w:r>
      <w:r>
        <w:t xml:space="preserve"> </w:t>
      </w:r>
      <w:r>
        <w:t xml:space="preserve">ETS participants. It should be noted that the following are illustrative calculations based on an</w:t>
      </w:r>
      <w:r>
        <w:t xml:space="preserve"> </w:t>
      </w:r>
      <w:r>
        <w:t xml:space="preserve">85% ambition scenario for 2031-2040. The investment requirements and final fiscal cost for a</w:t>
      </w:r>
      <w:r>
        <w:t xml:space="preserve"> </w:t>
      </w:r>
      <w:r>
        <w:t xml:space="preserve">potential removal integration as per CR4, strongly depend on the price of removals, total</w:t>
      </w:r>
      <w:r>
        <w:t xml:space="preserve"> </w:t>
      </w:r>
      <w:r>
        <w:t xml:space="preserve">volume of removals to be purchased, the final ambition level set out, the corresponding ETS</w:t>
      </w:r>
      <w:r>
        <w:t xml:space="preserve"> </w:t>
      </w:r>
      <w:r>
        <w:t xml:space="preserve">prices, the ratio of BioCCS to DACCS in the portfolio, and timing of the purchase of the</w:t>
      </w:r>
      <w:r>
        <w:t xml:space="preserve"> </w:t>
      </w:r>
      <w:r>
        <w:t xml:space="preserve">removals compared to the sale of the allowances. In particular, the timing of the purchase of</w:t>
      </w:r>
      <w:r>
        <w:t xml:space="preserve"> </w:t>
      </w:r>
      <w:r>
        <w:t xml:space="preserve">the removals compared to the sale of the allowances can have an impact on the final fiscal cost,</w:t>
      </w:r>
      <w:r>
        <w:t xml:space="preserve"> </w:t>
      </w:r>
      <w:r>
        <w:t xml:space="preserve">while it is likely that it cannot be fully optimised (e.g. delay in the sale of allowances to a time</w:t>
      </w:r>
      <w:r>
        <w:t xml:space="preserve"> </w:t>
      </w:r>
      <w:r>
        <w:t xml:space="preserve">when ETS prices are highest and purchase of removals when the removal prices have</w:t>
      </w:r>
      <w:r>
        <w:t xml:space="preserve"> </w:t>
      </w:r>
      <w:r>
        <w:t xml:space="preserve">decreased) due to the need to kick start the market, and the uncertainty in ETS and removal</w:t>
      </w:r>
      <w:r>
        <w:t xml:space="preserve"> </w:t>
      </w:r>
      <w:r>
        <w:t xml:space="preserve">prices.</w:t>
      </w:r>
      <w:r>
        <w:t xml:space="preserve"> </w:t>
      </w:r>
      <w:r>
        <w:t xml:space="preserve">▪ Total investment required for the purchase of CDR</w:t>
      </w:r>
      <w:r>
        <w:t xml:space="preserve"> </w:t>
      </w:r>
      <w:r>
        <w:t xml:space="preserve">The following graph represents the cumulative cost BioCCS and DACCS in each of the two</w:t>
      </w:r>
      <w:r>
        <w:t xml:space="preserve"> </w:t>
      </w:r>
      <w:r>
        <w:t xml:space="preserve">models considered, PRIMES and POTEnCIA (see Table 3), based on the technology costs and</w:t>
      </w:r>
      <w:r>
        <w:t xml:space="preserve"> </w:t>
      </w:r>
      <w:r>
        <w:t xml:space="preserve">tonnes demanded from each technology, (i.e. portfolio costs overtime). POTEnCIA models</w:t>
      </w:r>
      <w:r>
        <w:t xml:space="preserve"> </w:t>
      </w:r>
      <w:r>
        <w:t xml:space="preserve">a higher volume of removals, thus shows higher upfront investment costs for the purchase by</w:t>
      </w:r>
      <w:r>
        <w:t xml:space="preserve"> </w:t>
      </w:r>
      <w:r>
        <w:t xml:space="preserve">the public authority (EUR 55.5 billion) compared to PRIMES (EUR 35.7 bn) based on average</w:t>
      </w:r>
      <w:r>
        <w:t xml:space="preserve"> </w:t>
      </w:r>
      <w:r>
        <w:t xml:space="preserve">costs, which include costs and thus revenues for CO2 storage operators in the EEA.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Figure 3:</w:t>
      </w:r>
      <w:r>
        <w:t xml:space="preserve"> </w:t>
      </w:r>
      <w:r>
        <w:t xml:space="preserve">Cumulative PRIMES and POTEnCIA average costs</w:t>
      </w:r>
    </w:p>
    <w:p>
      <w:pPr>
        <w:pStyle w:val="BodyText"/>
      </w:pPr>
      <w:r>
        <w:t xml:space="preserve">Source: PRIMES (in red) and POTEnCIA average costs (in orange)</w:t>
      </w:r>
      <w:r>
        <w:t xml:space="preserve"> </w:t>
      </w:r>
      <w:r>
        <w:t xml:space="preserve">These costs are based on technology costs set out below, with a range of estimates for 2030,</w:t>
      </w:r>
      <w:r>
        <w:t xml:space="preserve"> </w:t>
      </w:r>
      <w:r>
        <w:t xml:space="preserve">2035 and 2040 that were linearly extrapolated between given years with data. Cost decreases</w:t>
      </w:r>
      <w:r>
        <w:t xml:space="preserve"> </w:t>
      </w:r>
      <w:r>
        <w:t xml:space="preserve">achieved by 2040 significantly shape the results, given how low they are relative to current</w:t>
      </w:r>
      <w:r>
        <w:t xml:space="preserve"> </w:t>
      </w:r>
      <w:r>
        <w:t xml:space="preserve">removals costs and the expected future ETS prices.</w:t>
      </w:r>
      <w:r>
        <w:br/>
      </w:r>
      <w:r>
        <w:t xml:space="preserve">Considering different technological costs, upfront investment needs amount to between EUR</w:t>
      </w:r>
      <w:r>
        <w:t xml:space="preserve"> </w:t>
      </w:r>
      <w:r>
        <w:t xml:space="preserve">46 and EUR 65 billion in POTEnCIA and between EUR 29 bn and EUR 43 bn in PRIMES</w:t>
      </w:r>
      <w:r>
        <w:t xml:space="preserve"> </w:t>
      </w:r>
      <w:r>
        <w:t xml:space="preserve">(ranges based lower and upper bound of technology costs).</w:t>
      </w:r>
      <w:r>
        <w:t xml:space="preserve"> </w:t>
      </w:r>
      <w:r>
        <w:t xml:space="preserve">Table 5:</w:t>
      </w:r>
      <w:r>
        <w:t xml:space="preserve"> </w:t>
      </w:r>
      <w:r>
        <w:t xml:space="preserve">CDR technology cost estimates in Euros</w:t>
      </w:r>
      <w:r>
        <w:t xml:space="preserve"> </w:t>
      </w:r>
      <w:r>
        <w:t xml:space="preserve">Source: see footnote 2129</w:t>
      </w:r>
    </w:p>
    <w:p>
      <w:pPr>
        <w:pStyle w:val="BodyText"/>
      </w:pPr>
      <w:r>
        <w:t xml:space="preserve">29 See footnote 21. The cost estimates for the CDR technologies are based on a comprehensive literature review,</w:t>
      </w:r>
      <w:r>
        <w:t xml:space="preserve"> </w:t>
      </w:r>
      <w:r>
        <w:t xml:space="preserve">supplemented by survey findings and conducted interviews. Literature sources provided baseline estimates</w:t>
      </w:r>
      <w:r>
        <w:t xml:space="preserve"> </w:t>
      </w:r>
      <w:r>
        <w:t xml:space="preserve">for current and future costs, while survey responses provided a means for partial validation and refinement.</w:t>
      </w:r>
      <w:r>
        <w:t xml:space="preserve"> </w:t>
      </w:r>
      <w:r>
        <w:t xml:space="preserve">Given the uncertainty surrounding the current and future costs of all CDR technologies, costs were</w:t>
      </w:r>
      <w:r>
        <w:t xml:space="preserve"> </w:t>
      </w:r>
      <w:r>
        <w:t xml:space="preserve">represented as ranges, with most likely upper- and lower bound limits. These uncertainties make precise</w:t>
      </w:r>
      <w:r>
        <w:t xml:space="preserve"> </w:t>
      </w:r>
      <w:r>
        <w:t xml:space="preserve">0 €</w:t>
      </w:r>
      <w:r>
        <w:t xml:space="preserve"> </w:t>
      </w:r>
      <w:r>
        <w:t xml:space="preserve">10 €</w:t>
      </w:r>
      <w:r>
        <w:t xml:space="preserve"> </w:t>
      </w:r>
      <w:r>
        <w:t xml:space="preserve">20 €</w:t>
      </w:r>
      <w:r>
        <w:t xml:space="preserve"> </w:t>
      </w:r>
      <w:r>
        <w:t xml:space="preserve">30 €</w:t>
      </w:r>
      <w:r>
        <w:t xml:space="preserve"> </w:t>
      </w:r>
      <w:r>
        <w:t xml:space="preserve">40 €</w:t>
      </w:r>
      <w:r>
        <w:t xml:space="preserve"> </w:t>
      </w:r>
      <w:r>
        <w:t xml:space="preserve">50 €</w:t>
      </w:r>
      <w:r>
        <w:t xml:space="preserve"> </w:t>
      </w:r>
      <w:r>
        <w:t xml:space="preserve">60 €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bn € €</w:t>
      </w:r>
      <w:r>
        <w:br/>
      </w:r>
      <w:r>
        <w:t xml:space="preserve">Technology</w:t>
      </w:r>
      <w:r>
        <w:t xml:space="preserve"> </w:t>
      </w:r>
      <w:r>
        <w:t xml:space="preserve">costs</w:t>
      </w:r>
      <w:r>
        <w:t xml:space="preserve"> </w:t>
      </w:r>
      <w:r>
        <w:t xml:space="preserve">(EUR)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BECCS28</w:t>
      </w:r>
      <w:r>
        <w:t xml:space="preserve"> </w:t>
      </w:r>
      <w:r>
        <w:t xml:space="preserve">DACCS</w:t>
      </w:r>
      <w:r>
        <w:t xml:space="preserve"> </w:t>
      </w:r>
      <w:r>
        <w:t xml:space="preserve">Biochar</w:t>
      </w:r>
      <w:r>
        <w:t xml:space="preserve"> </w:t>
      </w:r>
      <w:r>
        <w:t xml:space="preserve">BECCS</w:t>
      </w:r>
      <w:r>
        <w:t xml:space="preserve"> </w:t>
      </w:r>
      <w:r>
        <w:t xml:space="preserve">DACCS</w:t>
      </w:r>
      <w:r>
        <w:t xml:space="preserve"> </w:t>
      </w:r>
      <w:r>
        <w:t xml:space="preserve">Biochar</w:t>
      </w:r>
      <w:r>
        <w:t xml:space="preserve"> </w:t>
      </w:r>
      <w:r>
        <w:t xml:space="preserve">BECCS</w:t>
      </w:r>
      <w:r>
        <w:t xml:space="preserve"> </w:t>
      </w:r>
      <w:r>
        <w:t xml:space="preserve">DACCS</w:t>
      </w:r>
      <w:r>
        <w:t xml:space="preserve"> </w:t>
      </w:r>
      <w:r>
        <w:t xml:space="preserve">Biochar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br/>
      </w:r>
      <w:r>
        <w:t xml:space="preserve">167</w:t>
      </w:r>
      <w:r>
        <w:t xml:space="preserve"> </w:t>
      </w:r>
      <w:r>
        <w:t xml:space="preserve">288</w:t>
      </w:r>
      <w:r>
        <w:t xml:space="preserve"> </w:t>
      </w:r>
      <w:r>
        <w:t xml:space="preserve">66</w:t>
      </w:r>
      <w:r>
        <w:t xml:space="preserve"> </w:t>
      </w:r>
      <w:r>
        <w:t xml:space="preserve">163</w:t>
      </w:r>
      <w:r>
        <w:t xml:space="preserve"> </w:t>
      </w:r>
      <w:r>
        <w:t xml:space="preserve">201</w:t>
      </w:r>
      <w:r>
        <w:t xml:space="preserve"> </w:t>
      </w:r>
      <w:r>
        <w:t xml:space="preserve">50</w:t>
      </w:r>
      <w:r>
        <w:t xml:space="preserve"> </w:t>
      </w:r>
      <w:r>
        <w:t xml:space="preserve">160</w:t>
      </w:r>
      <w:r>
        <w:t xml:space="preserve"> </w:t>
      </w:r>
      <w:r>
        <w:t xml:space="preserve">185</w:t>
      </w:r>
      <w:r>
        <w:t xml:space="preserve"> </w:t>
      </w:r>
      <w:r>
        <w:t xml:space="preserve">37</w:t>
      </w:r>
      <w:r>
        <w:t xml:space="preserve"> </w:t>
      </w:r>
      <w:r>
        <w:t xml:space="preserve">Average</w:t>
      </w:r>
      <w:r>
        <w:t xml:space="preserve"> </w:t>
      </w:r>
      <w:r>
        <w:t xml:space="preserve">214</w:t>
      </w:r>
      <w:r>
        <w:t xml:space="preserve"> </w:t>
      </w:r>
      <w:r>
        <w:t xml:space="preserve">428</w:t>
      </w:r>
      <w:r>
        <w:t xml:space="preserve"> </w:t>
      </w:r>
      <w:r>
        <w:t xml:space="preserve">141</w:t>
      </w:r>
      <w:r>
        <w:t xml:space="preserve"> </w:t>
      </w:r>
      <w:r>
        <w:t xml:space="preserve">196</w:t>
      </w:r>
      <w:r>
        <w:t xml:space="preserve"> </w:t>
      </w:r>
      <w:r>
        <w:t xml:space="preserve">302</w:t>
      </w:r>
      <w:r>
        <w:t xml:space="preserve"> </w:t>
      </w:r>
      <w:r>
        <w:t xml:space="preserve">113</w:t>
      </w:r>
      <w:r>
        <w:t xml:space="preserve"> </w:t>
      </w:r>
      <w:r>
        <w:t xml:space="preserve">176</w:t>
      </w:r>
      <w:r>
        <w:t xml:space="preserve"> </w:t>
      </w:r>
      <w:r>
        <w:t xml:space="preserve">278</w:t>
      </w:r>
      <w:r>
        <w:t xml:space="preserve"> </w:t>
      </w:r>
      <w:r>
        <w:t xml:space="preserve">88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261</w:t>
      </w:r>
      <w:r>
        <w:t xml:space="preserve"> </w:t>
      </w:r>
      <w:r>
        <w:t xml:space="preserve">567</w:t>
      </w:r>
      <w:r>
        <w:t xml:space="preserve"> </w:t>
      </w:r>
      <w:r>
        <w:t xml:space="preserve">215</w:t>
      </w:r>
      <w:r>
        <w:t xml:space="preserve"> </w:t>
      </w:r>
      <w:r>
        <w:t xml:space="preserve">228</w:t>
      </w:r>
      <w:r>
        <w:t xml:space="preserve"> </w:t>
      </w:r>
      <w:r>
        <w:t xml:space="preserve">402</w:t>
      </w:r>
      <w:r>
        <w:t xml:space="preserve"> </w:t>
      </w:r>
      <w:r>
        <w:t xml:space="preserve">175</w:t>
      </w:r>
      <w:r>
        <w:t xml:space="preserve"> </w:t>
      </w:r>
      <w:r>
        <w:t xml:space="preserve">192</w:t>
      </w:r>
      <w:r>
        <w:t xml:space="preserve"> </w:t>
      </w:r>
      <w:r>
        <w:t xml:space="preserve">370</w:t>
      </w:r>
      <w:r>
        <w:t xml:space="preserve"> </w:t>
      </w:r>
      <w:r>
        <w:t xml:space="preserve">138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For reference, PRIMES estimates the following unit costs of removals (includes transport,</w:t>
      </w:r>
      <w:r>
        <w:t xml:space="preserve"> </w:t>
      </w:r>
      <w:r>
        <w:t xml:space="preserve">storage and capture), which are closer to the lower bound for BECCS, to the lower bound for</w:t>
      </w:r>
      <w:r>
        <w:t xml:space="preserve"> </w:t>
      </w:r>
      <w:r>
        <w:t xml:space="preserve">BioCCS except in 2040, and to the higher and mid-point bound for DACCS, depending on the</w:t>
      </w:r>
      <w:r>
        <w:t xml:space="preserve"> </w:t>
      </w:r>
      <w:r>
        <w:t xml:space="preserve">year:</w:t>
      </w:r>
      <w:r>
        <w:t xml:space="preserve"> </w:t>
      </w:r>
      <w:r>
        <w:t xml:space="preserve">Table 6:</w:t>
      </w:r>
      <w:r>
        <w:t xml:space="preserve"> </w:t>
      </w:r>
      <w:r>
        <w:t xml:space="preserve">PRIMES CDR cost estimates</w:t>
      </w:r>
      <w:r>
        <w:t xml:space="preserve"> </w:t>
      </w:r>
      <w:r>
        <w:t xml:space="preserve">EUR 23/tCO2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Cost of capture &amp; transport &amp; storage: DACCS</w:t>
      </w:r>
      <w:r>
        <w:br/>
      </w:r>
      <w:r>
        <w:t xml:space="preserve">518</w:t>
      </w:r>
      <w:r>
        <w:br/>
      </w:r>
      <w:r>
        <w:t xml:space="preserve">375</w:t>
      </w:r>
      <w:r>
        <w:br/>
      </w:r>
      <w:r>
        <w:t xml:space="preserve">251</w:t>
      </w:r>
      <w:r>
        <w:br/>
      </w:r>
      <w:r>
        <w:t xml:space="preserve">Cost of capture &amp; transport &amp; storage: BECCS</w:t>
      </w:r>
      <w:r>
        <w:t xml:space="preserve"> </w:t>
      </w:r>
      <w:r>
        <w:t xml:space="preserve">171</w:t>
      </w:r>
      <w:r>
        <w:br/>
      </w:r>
      <w:r>
        <w:t xml:space="preserve">159</w:t>
      </w:r>
      <w:r>
        <w:br/>
      </w:r>
      <w:r>
        <w:t xml:space="preserve">148</w:t>
      </w:r>
      <w:r>
        <w:br/>
      </w:r>
      <w:r>
        <w:t xml:space="preserve">Costs of capture from biomass processing</w:t>
      </w:r>
      <w:r>
        <w:t xml:space="preserve"> </w:t>
      </w:r>
      <w:r>
        <w:t xml:space="preserve">66</w:t>
      </w:r>
      <w:r>
        <w:br/>
      </w:r>
      <w:r>
        <w:t xml:space="preserve">65</w:t>
      </w:r>
      <w:r>
        <w:br/>
      </w:r>
      <w:r>
        <w:t xml:space="preserve">64</w:t>
      </w:r>
      <w:r>
        <w:br/>
      </w:r>
      <w:r>
        <w:t xml:space="preserve">Source: PRIMES</w:t>
      </w:r>
      <w:r>
        <w:t xml:space="preserve"> </w:t>
      </w:r>
      <w:r>
        <w:t xml:space="preserve">▪ Expected revenue generation from removal-backed allowances</w:t>
      </w:r>
      <w:r>
        <w:t xml:space="preserve"> </w:t>
      </w:r>
      <w:r>
        <w:t xml:space="preserve">Similary, the expected revenues from the sale of removal-backed allowances is higher in</w:t>
      </w:r>
      <w:r>
        <w:t xml:space="preserve"> </w:t>
      </w:r>
      <w:r>
        <w:t xml:space="preserve">POTEnCIA, as it models higher removal volumes of BioCCS and DACCS than PRIMES.</w:t>
      </w:r>
      <w:r>
        <w:t xml:space="preserve"> </w:t>
      </w:r>
      <w:r>
        <w:t xml:space="preserve">Figure 4:</w:t>
      </w:r>
      <w:r>
        <w:t xml:space="preserve"> </w:t>
      </w:r>
      <w:r>
        <w:t xml:space="preserve">PRIMES and POTEnCIA revenue generation from removal-backed allowances</w:t>
      </w:r>
    </w:p>
    <w:p>
      <w:pPr>
        <w:pStyle w:val="BodyText"/>
      </w:pPr>
      <w:r>
        <w:t xml:space="preserve">PRIMES 85% BioCCS and DACCS results are shown on the left (blue), and POTEnCIA 85% BioCCS and DACCS</w:t>
      </w:r>
      <w:r>
        <w:t xml:space="preserve"> </w:t>
      </w:r>
      <w:r>
        <w:t xml:space="preserve">are shown on the right (red)</w:t>
      </w:r>
      <w:r>
        <w:t xml:space="preserve"> </w:t>
      </w:r>
      <w:r>
        <w:t xml:space="preserve">▪ Final fiscal cost</w:t>
      </w:r>
    </w:p>
    <w:p>
      <w:pPr>
        <w:pStyle w:val="BodyText"/>
      </w:pPr>
      <w:r>
        <w:t xml:space="preserve">forecasting challenging. Reliable cost estimates are only available for BECCS. For other BioCCS</w:t>
      </w:r>
      <w:r>
        <w:t xml:space="preserve"> </w:t>
      </w:r>
      <w:r>
        <w:t xml:space="preserve">technologies, there is limited and less reliable data on TRL, costs and scalability, resulting in a broader and</w:t>
      </w:r>
      <w:r>
        <w:t xml:space="preserve"> </w:t>
      </w:r>
      <w:r>
        <w:t xml:space="preserve">more uncertain cost range. For this reason we assume BECCS costs to be equivalent to BioCCS costs for this</w:t>
      </w:r>
      <w:r>
        <w:t xml:space="preserve"> </w:t>
      </w:r>
      <w:r>
        <w:t xml:space="preserve">exercise.</w:t>
      </w:r>
      <w:r>
        <w:t xml:space="preserve"> </w:t>
      </w:r>
      <w:r>
        <w:t xml:space="preserve">0 €</w:t>
      </w:r>
      <w:r>
        <w:t xml:space="preserve"> </w:t>
      </w:r>
      <w:r>
        <w:t xml:space="preserve">2 €</w:t>
      </w:r>
      <w:r>
        <w:t xml:space="preserve"> </w:t>
      </w:r>
      <w:r>
        <w:t xml:space="preserve">4 €</w:t>
      </w:r>
      <w:r>
        <w:t xml:space="preserve"> </w:t>
      </w:r>
      <w:r>
        <w:t xml:space="preserve">6 €</w:t>
      </w:r>
      <w:r>
        <w:t xml:space="preserve"> </w:t>
      </w:r>
      <w:r>
        <w:t xml:space="preserve">8 €</w:t>
      </w:r>
      <w:r>
        <w:t xml:space="preserve"> </w:t>
      </w:r>
      <w:r>
        <w:t xml:space="preserve">10 €</w:t>
      </w:r>
      <w:r>
        <w:t xml:space="preserve"> </w:t>
      </w:r>
      <w:r>
        <w:t xml:space="preserve">12 €</w:t>
      </w:r>
      <w:r>
        <w:t xml:space="preserve"> </w:t>
      </w:r>
      <w:r>
        <w:t xml:space="preserve">14 €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Billion €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Considering the results above, PRIMES and POTEnCIA result in final costs for the public</w:t>
      </w:r>
      <w:r>
        <w:t xml:space="preserve"> </w:t>
      </w:r>
      <w:r>
        <w:t xml:space="preserve">authority between EUR 1 bn and EUR 0.37bn for 2031 and 2035, and both give negative costs</w:t>
      </w:r>
      <w:r>
        <w:t xml:space="preserve"> </w:t>
      </w:r>
      <w:r>
        <w:t xml:space="preserve">for 2040, as seen in the following graph.</w:t>
      </w:r>
      <w:r>
        <w:t xml:space="preserve"> </w:t>
      </w:r>
      <w:r>
        <w:t xml:space="preserve">Figure 5:</w:t>
      </w:r>
      <w:r>
        <w:t xml:space="preserve"> </w:t>
      </w:r>
      <w:r>
        <w:t xml:space="preserve">Final fiscal costs in PRIMES and POTEnCIA</w:t>
      </w:r>
    </w:p>
    <w:p>
      <w:pPr>
        <w:pStyle w:val="BodyText"/>
      </w:pPr>
      <w:r>
        <w:t xml:space="preserve">PRIMES 85% BioCCS and DACCS results are shown on the left, and POTEnCIA 85% BioCCS and DACCS are</w:t>
      </w:r>
      <w:r>
        <w:t xml:space="preserve"> </w:t>
      </w:r>
      <w:r>
        <w:t xml:space="preserve">shown on the right.</w:t>
      </w:r>
      <w:r>
        <w:br/>
      </w:r>
      <w:r>
        <w:t xml:space="preserve">Concretely, based on average technology costs, the purchasing programme under</w:t>
      </w:r>
      <w:r>
        <w:t xml:space="preserve"> </w:t>
      </w:r>
      <w:r>
        <w:t xml:space="preserve">PRIMES would have an illustrative final fiscal cost of Euro EUR 3 bn and of EUR –1.7bn</w:t>
      </w:r>
      <w:r>
        <w:t xml:space="preserve"> </w:t>
      </w:r>
      <w:r>
        <w:t xml:space="preserve">under POTEnCIA.</w:t>
      </w:r>
      <w:r>
        <w:t xml:space="preserve"> </w:t>
      </w:r>
      <w:r>
        <w:t xml:space="preserve">Negative fiscal costs result for 2040 mean that there are net revenues from the sale of CDR</w:t>
      </w:r>
      <w:r>
        <w:t xml:space="preserve"> </w:t>
      </w:r>
      <w:r>
        <w:t xml:space="preserve">allowances into the ETS (i.e., overall removals costs are lower than the carbon price). This</w:t>
      </w:r>
      <w:r>
        <w:t xml:space="preserve"> </w:t>
      </w:r>
      <w:r>
        <w:t xml:space="preserve">suggests that the sale of removals into the EU ETS could potentially cover the full cost of the</w:t>
      </w:r>
      <w:r>
        <w:t xml:space="preserve"> </w:t>
      </w:r>
      <w:r>
        <w:t xml:space="preserve">purchasing programme and even raise additional funds to purchase more removals or</w:t>
      </w:r>
      <w:r>
        <w:t xml:space="preserve"> </w:t>
      </w:r>
      <w:r>
        <w:t xml:space="preserve">contribute to other funds (e.g., Innovation Fund).</w:t>
      </w:r>
      <w:r>
        <w:br/>
      </w:r>
      <w:r>
        <w:t xml:space="preserve">However, as mentioned at the start of this section, significant caveats and assumptions must be</w:t>
      </w:r>
      <w:r>
        <w:t xml:space="preserve"> </w:t>
      </w:r>
      <w:r>
        <w:t xml:space="preserve">considered.</w:t>
      </w:r>
      <w:r>
        <w:br/>
      </w:r>
      <w:r>
        <w:t xml:space="preserve">• .</w:t>
      </w:r>
      <w:r>
        <w:br/>
      </w:r>
      <w:r>
        <w:t xml:space="preserve">▪ Fiscal cost for CR1-CR3 and CR5</w:t>
      </w:r>
      <w:r>
        <w:t xml:space="preserve"> </w:t>
      </w:r>
      <w:r>
        <w:t xml:space="preserve">Assuming that it is decided to ensure the same emissions space to the ETS sectors under CR1–</w:t>
      </w:r>
      <w:r>
        <w:t xml:space="preserve"> </w:t>
      </w:r>
      <w:r>
        <w:t xml:space="preserve">CR3, with the aim of avoiding carbon leakage and achieving the net-target contribution, the</w:t>
      </w:r>
      <w:r>
        <w:t xml:space="preserve"> </w:t>
      </w:r>
      <w:r>
        <w:t xml:space="preserve">cost of CR1–CR3 should be similar to CR4, as the public authority would pay the full price of</w:t>
      </w:r>
      <w:r>
        <w:t xml:space="preserve"> </w:t>
      </w:r>
      <w:r>
        <w:t xml:space="preserve">each CDR credit upfront but then recover the price difference with EUAs when the removal-</w:t>
      </w:r>
      <w:r>
        <w:t xml:space="preserve"> </w:t>
      </w:r>
      <w:r>
        <w:t xml:space="preserve">backed EUAs are auctioned, covering only the price difference in the end. The exact amounts</w:t>
      </w:r>
      <w:r>
        <w:t xml:space="preserve"> </w:t>
      </w:r>
      <w:r>
        <w:t xml:space="preserve">will depend on the timing of the purchase of the removals and the sale of allowances.</w:t>
      </w:r>
      <w:r>
        <w:t xml:space="preserve"> </w:t>
      </w:r>
      <w:r>
        <w:t xml:space="preserve">For CR5, the investment needs (i.e., fiscal cost) of the purchasing programme for the MSR</w:t>
      </w:r>
      <w:r>
        <w:t xml:space="preserve"> </w:t>
      </w:r>
      <w:r>
        <w:t xml:space="preserve">option is equal to the investment needs calculated above, because we assume for this policy</w:t>
      </w:r>
      <w:r>
        <w:t xml:space="preserve"> </w:t>
      </w:r>
      <w:r>
        <w:t xml:space="preserve">option that there is no release of MSR allowances into the EU ETS, and therefore no revenues</w:t>
      </w:r>
      <w:r>
        <w:t xml:space="preserve"> </w:t>
      </w:r>
      <w:r>
        <w:t xml:space="preserve">are obtained from the sale of the removal-backed allowances to ETS participants (unlike the</w:t>
      </w:r>
      <w:r>
        <w:t xml:space="preserve"> </w:t>
      </w:r>
      <w:r>
        <w:t xml:space="preserve">0,41 €</w:t>
      </w:r>
      <w:r>
        <w:t xml:space="preserve"> </w:t>
      </w:r>
      <w:r>
        <w:t xml:space="preserve">1,04 €</w:t>
      </w:r>
      <w:r>
        <w:t xml:space="preserve"> </w:t>
      </w:r>
      <w:r>
        <w:t xml:space="preserve">0,39 €</w:t>
      </w:r>
      <w:r>
        <w:t xml:space="preserve"> </w:t>
      </w:r>
      <w:r>
        <w:t xml:space="preserve">0,37 €</w:t>
      </w:r>
      <w:r>
        <w:t xml:space="preserve"> </w:t>
      </w:r>
      <w:r>
        <w:t xml:space="preserve">-0,92 €</w:t>
      </w:r>
      <w:r>
        <w:t xml:space="preserve"> </w:t>
      </w:r>
      <w:r>
        <w:t xml:space="preserve">-2,92 €</w:t>
      </w:r>
      <w:r>
        <w:t xml:space="preserve"> </w:t>
      </w:r>
      <w:r>
        <w:t xml:space="preserve">-4 €</w:t>
      </w:r>
      <w:r>
        <w:t xml:space="preserve"> </w:t>
      </w:r>
      <w:r>
        <w:t xml:space="preserve">-3 €</w:t>
      </w:r>
      <w:r>
        <w:t xml:space="preserve"> </w:t>
      </w:r>
      <w:r>
        <w:t xml:space="preserve">-3 €</w:t>
      </w:r>
      <w:r>
        <w:t xml:space="preserve"> </w:t>
      </w:r>
      <w:r>
        <w:t xml:space="preserve">-2 €</w:t>
      </w:r>
      <w:r>
        <w:t xml:space="preserve"> </w:t>
      </w:r>
      <w:r>
        <w:t xml:space="preserve">-2 €</w:t>
      </w:r>
      <w:r>
        <w:t xml:space="preserve"> </w:t>
      </w:r>
      <w:r>
        <w:t xml:space="preserve">-1 €</w:t>
      </w:r>
      <w:r>
        <w:t xml:space="preserve"> </w:t>
      </w:r>
      <w:r>
        <w:t xml:space="preserve">-1 €</w:t>
      </w:r>
      <w:r>
        <w:t xml:space="preserve"> </w:t>
      </w:r>
      <w:r>
        <w:t xml:space="preserve">0 €</w:t>
      </w:r>
      <w:r>
        <w:t xml:space="preserve"> </w:t>
      </w:r>
      <w:r>
        <w:t xml:space="preserve">1 €</w:t>
      </w:r>
      <w:r>
        <w:t xml:space="preserve"> </w:t>
      </w:r>
      <w:r>
        <w:t xml:space="preserve">1 €</w:t>
      </w:r>
      <w:r>
        <w:t xml:space="preserve"> </w:t>
      </w:r>
      <w:r>
        <w:t xml:space="preserve">2 €</w:t>
      </w:r>
      <w:r>
        <w:t xml:space="preserve"> </w:t>
      </w:r>
      <w:r>
        <w:t xml:space="preserve">Billion €</w:t>
      </w:r>
      <w:r>
        <w:t xml:space="preserve"> </w:t>
      </w:r>
      <w:r>
        <w:t xml:space="preserve">2031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public authority option where revenues are collected and used to fund the purchasing</w:t>
      </w:r>
      <w:r>
        <w:t xml:space="preserve"> </w:t>
      </w:r>
      <w:r>
        <w:t xml:space="preserve">programme – see below).</w:t>
      </w:r>
      <w:r>
        <w:t xml:space="preserve"> </w:t>
      </w:r>
      <w:r>
        <w:t xml:space="preserve">2.3.2. Social impacts</w:t>
      </w:r>
      <w:r>
        <w:br/>
      </w:r>
      <w:r>
        <w:t xml:space="preserve">2.3.2.1.</w:t>
      </w:r>
      <w:r>
        <w:t xml:space="preserve"> </w:t>
      </w:r>
      <w:r>
        <w:t xml:space="preserve">Employment</w:t>
      </w:r>
      <w:r>
        <w:t xml:space="preserve"> </w:t>
      </w:r>
      <w:r>
        <w:t xml:space="preserve">CDR integration into the EU ETS can influence employment positively, mainly through its</w:t>
      </w:r>
      <w:r>
        <w:t xml:space="preserve"> </w:t>
      </w:r>
      <w:r>
        <w:t xml:space="preserve">impact on the pace and predictability of domestic CDR deployment and associated supply</w:t>
      </w:r>
      <w:r>
        <w:t xml:space="preserve"> </w:t>
      </w:r>
      <w:r>
        <w:t xml:space="preserve">chains. The precise extent of the impact on jobs in the CDR industry can differ per measure.</w:t>
      </w:r>
      <w:r>
        <w:br/>
      </w:r>
      <w:r>
        <w:t xml:space="preserve">• Measures that provide predictable demand and bankable revenue streams for removals</w:t>
      </w:r>
      <w:r>
        <w:t xml:space="preserve"> </w:t>
      </w:r>
      <w:r>
        <w:t xml:space="preserve">(CR4 and CR5) are more likely to catalyse near‑term investment and job creation in the</w:t>
      </w:r>
      <w:r>
        <w:t xml:space="preserve"> </w:t>
      </w:r>
      <w:r>
        <w:t xml:space="preserve">European CDR industry.</w:t>
      </w:r>
      <w:r>
        <w:br/>
      </w:r>
      <w:r>
        <w:t xml:space="preserve">• Operator‑integration measures (CR1–CR3) can deliver similar employment benefits if</w:t>
      </w:r>
      <w:r>
        <w:t xml:space="preserve"> </w:t>
      </w:r>
      <w:r>
        <w:t xml:space="preserve">complemented by CDR policy support outside the ETS. Unlimited integration in CR2</w:t>
      </w:r>
      <w:r>
        <w:t xml:space="preserve"> </w:t>
      </w:r>
      <w:r>
        <w:t xml:space="preserve">may create further benefits, as it removed the uncertainty generated by the limit (see</w:t>
      </w:r>
      <w:r>
        <w:t xml:space="preserve"> </w:t>
      </w:r>
      <w:r>
        <w:t xml:space="preserve">section 1.4.4.1) and allows more removals to enter the system, if they are price</w:t>
      </w:r>
      <w:r>
        <w:t xml:space="preserve"> </w:t>
      </w:r>
      <w:r>
        <w:t xml:space="preserve">competitive, although this effect may be counterbalanced by the mitigation deterrence</w:t>
      </w:r>
      <w:r>
        <w:t xml:space="preserve"> </w:t>
      </w:r>
      <w:r>
        <w:t xml:space="preserve">impact on the ETS. Absent support measures, however, the weaker visibility of demand</w:t>
      </w:r>
      <w:r>
        <w:t xml:space="preserve"> </w:t>
      </w:r>
      <w:r>
        <w:t xml:space="preserve">in CR1-3 may delay investment decisions and temper job growth.</w:t>
      </w:r>
      <w:r>
        <w:br/>
      </w:r>
      <w:r>
        <w:t xml:space="preserve">Regarding jobs in ETS industries, the introduction of removals transforms the system from</w:t>
      </w:r>
      <w:r>
        <w:t xml:space="preserve"> </w:t>
      </w:r>
      <w:r>
        <w:t xml:space="preserve">one that goes to absolute zero to one that can sustain a positive cap. While other ways of</w:t>
      </w:r>
      <w:r>
        <w:t xml:space="preserve"> </w:t>
      </w:r>
      <w:r>
        <w:t xml:space="preserve">maintaining a positive cap exists, the choice to implement one of them (removals integration)</w:t>
      </w:r>
      <w:r>
        <w:t xml:space="preserve"> </w:t>
      </w:r>
      <w:r>
        <w:t xml:space="preserve">supports the EU’s competitiveness and thus employment. Nevertheless, if cheaper CDR</w:t>
      </w:r>
      <w:r>
        <w:t xml:space="preserve"> </w:t>
      </w:r>
      <w:r>
        <w:t xml:space="preserve">displaces abatement action in certain sectors, it prevents the generation of jobs in ETS clean</w:t>
      </w:r>
      <w:r>
        <w:t xml:space="preserve"> </w:t>
      </w:r>
      <w:r>
        <w:t xml:space="preserve">industries. As a result, some jobs in the CDR industry may represent a shift from cleaner</w:t>
      </w:r>
      <w:r>
        <w:t xml:space="preserve"> </w:t>
      </w:r>
      <w:r>
        <w:t xml:space="preserve">industries rather than net‑increase.</w:t>
      </w:r>
      <w:r>
        <w:t xml:space="preserve"> </w:t>
      </w:r>
      <w:r>
        <w:t xml:space="preserve">Estimates from Boston Consulting Group conclude that the development of the CDR industry</w:t>
      </w:r>
      <w:r>
        <w:t xml:space="preserve"> </w:t>
      </w:r>
      <w:r>
        <w:t xml:space="preserve">could bring substantial economic growth and also significant job creation. They conclude that</w:t>
      </w:r>
      <w:r>
        <w:t xml:space="preserve"> </w:t>
      </w:r>
      <w:r>
        <w:t xml:space="preserve">by 2050, the CDR sector in Europe could support up to 670,000 jobs. This growth trajectory</w:t>
      </w:r>
      <w:r>
        <w:t xml:space="preserve"> </w:t>
      </w:r>
      <w:r>
        <w:t xml:space="preserve">indicates substantial employment opportunities across various sectors involved in CDR,</w:t>
      </w:r>
      <w:r>
        <w:t xml:space="preserve"> </w:t>
      </w:r>
      <w:r>
        <w:t xml:space="preserve">including engineering &amp; manufacturing, energy, and (digital) services. Concretely, if CDR</w:t>
      </w:r>
      <w:r>
        <w:t xml:space="preserve"> </w:t>
      </w:r>
      <w:r>
        <w:t xml:space="preserve">develops as modelled in the 1.5°C- and 2°C-compatible scenarios, the job potential in the CDR</w:t>
      </w:r>
      <w:r>
        <w:t xml:space="preserve"> </w:t>
      </w:r>
      <w:r>
        <w:t xml:space="preserve">industry is expected to increase gradually, with a relatively modest growth in the next years.</w:t>
      </w:r>
      <w:r>
        <w:t xml:space="preserve"> </w:t>
      </w:r>
      <w:r>
        <w:t xml:space="preserve">By 2035, however, the sector could already support 125,000-180,000 jobs in broader Europe.</w:t>
      </w:r>
      <w:r>
        <w:t xml:space="preserve"> </w:t>
      </w:r>
      <w:r>
        <w:t xml:space="preserve">The job potential is estimated based on current sector ratios of jobs per EUR 1 million value</w:t>
      </w:r>
      <w:r>
        <w:t xml:space="preserve"> </w:t>
      </w:r>
      <w:r>
        <w:t xml:space="preserve">added.</w:t>
      </w:r>
      <w:r>
        <w:t xml:space="preserve"> </w:t>
      </w:r>
      <w:r>
        <w:t xml:space="preserve">2.3.2.2.</w:t>
      </w:r>
      <w:r>
        <w:t xml:space="preserve"> </w:t>
      </w:r>
      <w:r>
        <w:t xml:space="preserve">Income distribution, social protection, and social inclusion (of particular</w:t>
      </w:r>
      <w:r>
        <w:t xml:space="preserve"> </w:t>
      </w:r>
      <w:r>
        <w:t xml:space="preserve">groups)</w:t>
      </w:r>
      <w:r>
        <w:t xml:space="preserve"> </w:t>
      </w:r>
      <w:r>
        <w:t xml:space="preserve">The assessment of the impacts on income distribution, social protection and social inclusion is</w:t>
      </w:r>
      <w:r>
        <w:t xml:space="preserve"> </w:t>
      </w:r>
      <w:r>
        <w:t xml:space="preserve">undertaken quantitatively at the policy option level in main body of the impact assessment.</w:t>
      </w:r>
      <w:r>
        <w:t xml:space="preserve"> </w:t>
      </w:r>
      <w:r>
        <w:t xml:space="preserve">2.3.2.3.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Fundamental rights afford basic legal protection for political, social, and procedural rights to</w:t>
      </w:r>
      <w:r>
        <w:t xml:space="preserve"> </w:t>
      </w:r>
      <w:r>
        <w:t xml:space="preserve">individuals and legal entities. The Charter of Fundamental Rights of the European Union (the</w:t>
      </w:r>
      <w:r>
        <w:t xml:space="preserve"> </w:t>
      </w:r>
      <w:r>
        <w:t xml:space="preserve">Charter) is an instrument of primary EU law that enshrines the fundamental rights people enjoy</w:t>
      </w:r>
      <w:r>
        <w:t xml:space="preserve"> </w:t>
      </w:r>
      <w:r>
        <w:t xml:space="preserve">in the EU. All measures were assessed having regard to the relevant EU instrument and it was</w:t>
      </w:r>
      <w:r>
        <w:t xml:space="preserve"> </w:t>
      </w:r>
      <w:r>
        <w:t xml:space="preserve">concluded that they maintain full respect for human and fundamental rights.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As discussed in section 1.2.3.3 below, the measures will have impacts on Article 37, which</w:t>
      </w:r>
      <w:r>
        <w:t xml:space="preserve"> </w:t>
      </w:r>
      <w:r>
        <w:t xml:space="preserve">states with regards to environmental protection that a “high level of environmental protection</w:t>
      </w:r>
      <w:r>
        <w:t xml:space="preserve"> </w:t>
      </w:r>
      <w:r>
        <w:t xml:space="preserve">and the improvement of the quality of the environment must be integrated into the policies of</w:t>
      </w:r>
      <w:r>
        <w:t xml:space="preserve"> </w:t>
      </w:r>
      <w:r>
        <w:t xml:space="preserve">the Union and ensured in accordance with the principle of sustainable development”.</w:t>
      </w:r>
      <w:r>
        <w:t xml:space="preserve"> </w:t>
      </w:r>
      <w:r>
        <w:t xml:space="preserve">Fundamental rights could be affected by measures’ impact on environmental target</w:t>
      </w:r>
      <w:r>
        <w:t xml:space="preserve"> </w:t>
      </w:r>
      <w:r>
        <w:t xml:space="preserve">achievement and by an increase in competition for land-use to increased biomass demand, as</w:t>
      </w:r>
      <w:r>
        <w:t xml:space="preserve"> </w:t>
      </w:r>
      <w:r>
        <w:t xml:space="preserve">discussed regarding climate target achievement in that and biodiversity in that section.</w:t>
      </w:r>
      <w:r>
        <w:br/>
      </w:r>
      <w:r>
        <w:t xml:space="preserve">2.3.3. Environmental impacts</w:t>
      </w:r>
      <w:r>
        <w:br/>
      </w:r>
      <w:r>
        <w:t xml:space="preserve">The assessment of environmental impacts assumes equivalent environmental quality between</w:t>
      </w:r>
      <w:r>
        <w:t xml:space="preserve"> </w:t>
      </w:r>
      <w:r>
        <w:t xml:space="preserve">an abatement and removal and makes abstraction of the broader environmental impacts of the</w:t>
      </w:r>
      <w:r>
        <w:t xml:space="preserve"> </w:t>
      </w:r>
      <w:r>
        <w:t xml:space="preserve">different removal types, which is a matter addressed by the CRCF Regulation and</w:t>
      </w:r>
      <w:r>
        <w:t xml:space="preserve"> </w:t>
      </w:r>
      <w:r>
        <w:t xml:space="preserve">methodologies. This assessment focuses of the difference between the integration options</w:t>
      </w:r>
      <w:r>
        <w:t xml:space="preserve"> </w:t>
      </w:r>
      <w:r>
        <w:t xml:space="preserve">against the baseline in terms of environmental impacts.</w:t>
      </w:r>
      <w:r>
        <w:t xml:space="preserve"> </w:t>
      </w:r>
      <w:r>
        <w:t xml:space="preserve">2.3.3.1.</w:t>
      </w:r>
      <w:r>
        <w:t xml:space="preserve"> </w:t>
      </w:r>
      <w:r>
        <w:t xml:space="preserve">Climate target achievement</w:t>
      </w:r>
      <w:r>
        <w:br/>
      </w:r>
      <w:r>
        <w:t xml:space="preserve">To what extent could the inclusion of CDR into the ETS affect the achievement of EU climate</w:t>
      </w:r>
      <w:r>
        <w:t xml:space="preserve"> </w:t>
      </w:r>
      <w:r>
        <w:t xml:space="preserve">targets? Expected impacts on EU-level target achievement in terms of risk to the achievement</w:t>
      </w:r>
      <w:r>
        <w:t xml:space="preserve"> </w:t>
      </w:r>
      <w:r>
        <w:t xml:space="preserve">of EU climate targets given the uncertainty in supply and cost of CDR.</w:t>
      </w:r>
      <w:r>
        <w:br/>
      </w:r>
      <w:r>
        <w:t xml:space="preserve">The analysis below considers risks to target achievement along several dimensions: Net and</w:t>
      </w:r>
      <w:r>
        <w:t xml:space="preserve"> </w:t>
      </w:r>
      <w:r>
        <w:t xml:space="preserve">gross emissions, certainty within them, and control by the regulator on the balance between</w:t>
      </w:r>
      <w:r>
        <w:t xml:space="preserve"> </w:t>
      </w:r>
      <w:r>
        <w:t xml:space="preserve">abatement and removal; cost effectiveness in target achievement; abatement deterrence;30</w:t>
      </w:r>
      <w:r>
        <w:t xml:space="preserve"> </w:t>
      </w:r>
      <w:r>
        <w:t xml:space="preserve">support to CDR development and deployment as essential elements of achieving EU climate</w:t>
      </w:r>
      <w:r>
        <w:t xml:space="preserve"> </w:t>
      </w:r>
      <w:r>
        <w:t xml:space="preserve">targets; and risk distribution on the achievement of environmental targets.</w:t>
      </w:r>
      <w:r>
        <w:br/>
      </w:r>
      <w:r>
        <w:t xml:space="preserve">Climate target achievement effects of CR1 (‘Limited operator integration on top of the cap’):</w:t>
      </w:r>
      <w:r>
        <w:t xml:space="preserve"> </w:t>
      </w:r>
      <w:r>
        <w:t xml:space="preserve">Emissions, certainty levels, control levels: Under CR1 there would be a clear limit on both</w:t>
      </w:r>
      <w:r>
        <w:t xml:space="preserve"> </w:t>
      </w:r>
      <w:r>
        <w:t xml:space="preserve">gross and net emissions, with constraints by the regulator on the balance of abatement and</w:t>
      </w:r>
      <w:r>
        <w:t xml:space="preserve"> </w:t>
      </w:r>
      <w:r>
        <w:t xml:space="preserve">removals inside the ETS. For as long as abatement costs remain lower than removal costs, only</w:t>
      </w:r>
      <w:r>
        <w:t xml:space="preserve"> </w:t>
      </w:r>
      <w:r>
        <w:t xml:space="preserve">conventional allowances would be used.31 Once abatement costs are equal to or higher than</w:t>
      </w:r>
      <w:r>
        <w:t xml:space="preserve"> </w:t>
      </w:r>
      <w:r>
        <w:t xml:space="preserve">removal costs, then gross emissions could increase within the CDR limit. This would create</w:t>
      </w:r>
      <w:r>
        <w:t xml:space="preserve"> </w:t>
      </w:r>
      <w:r>
        <w:t xml:space="preserve">some uncertainty on gross emissions, but always within bounds. For as long as CDR is too</w:t>
      </w:r>
      <w:r>
        <w:t xml:space="preserve"> </w:t>
      </w:r>
      <w:r>
        <w:t xml:space="preserve">expensive or public CDR support is lacking, the extra ‘space’ for gross emissions would not</w:t>
      </w:r>
      <w:r>
        <w:t xml:space="preserve"> </w:t>
      </w:r>
      <w:r>
        <w:t xml:space="preserve">be used and the gross limit would not be achieved.</w:t>
      </w:r>
      <w:r>
        <w:br/>
      </w:r>
      <w:r>
        <w:t xml:space="preserve">Cost effectiveness: There is direct price competition between abatement in the ETS and CDR</w:t>
      </w:r>
      <w:r>
        <w:t xml:space="preserve"> </w:t>
      </w:r>
      <w:r>
        <w:t xml:space="preserve">costs within the limit, with real-time market signals about CDR technology costs and</w:t>
      </w:r>
      <w:r>
        <w:t xml:space="preserve"> </w:t>
      </w:r>
      <w:r>
        <w:t xml:space="preserve">availability and price visibility through direct market participation. CR1 would provide for</w:t>
      </w:r>
      <w:r>
        <w:t xml:space="preserve"> </w:t>
      </w:r>
      <w:r>
        <w:t xml:space="preserve">cost-effective mitigation action as long as the limit isn’t binding (which, as discussed above, is</w:t>
      </w:r>
      <w:r>
        <w:t xml:space="preserve"> </w:t>
      </w:r>
      <w:r>
        <w:t xml:space="preserve">likely to be the case except in the presence of robust CDR support measures). A cost-effective</w:t>
      </w:r>
      <w:r>
        <w:t xml:space="preserve"> </w:t>
      </w:r>
      <w:r>
        <w:t xml:space="preserve">mix of abatement and removal could facilitate political support for the ETS even if compliance</w:t>
      </w:r>
      <w:r>
        <w:t xml:space="preserve"> </w:t>
      </w:r>
      <w:r>
        <w:t xml:space="preserve">costs increase. If and when the limit becomes binding, the system would lose in cost-</w:t>
      </w:r>
      <w:r>
        <w:t xml:space="preserve"> </w:t>
      </w:r>
      <w:r>
        <w:t xml:space="preserve">effectiveness, although this could be somewhat mitigated by the role of the limit in addressing</w:t>
      </w:r>
      <w:r>
        <w:t xml:space="preserve"> </w:t>
      </w:r>
      <w:r>
        <w:t xml:space="preserve">abatement deterrence.</w:t>
      </w:r>
    </w:p>
    <w:p>
      <w:pPr>
        <w:pStyle w:val="BodyText"/>
      </w:pPr>
      <w:r>
        <w:t xml:space="preserve">30 Abatement deterrence relates to expected impacts on reduced or delayed abatement action by ETS covered</w:t>
      </w:r>
      <w:r>
        <w:t xml:space="preserve"> </w:t>
      </w:r>
      <w:r>
        <w:t xml:space="preserve">entities due to the introduction or expectation of carbon removals and the uncertainty in their costs and</w:t>
      </w:r>
      <w:r>
        <w:t xml:space="preserve"> </w:t>
      </w:r>
      <w:r>
        <w:t xml:space="preserve">availability.</w:t>
      </w:r>
      <w:r>
        <w:br/>
      </w:r>
      <w:r>
        <w:t xml:space="preserve">31 Excluding non-compliance demand (eg towards voluntary carbon neutrality claims) and noting that</w:t>
      </w:r>
      <w:r>
        <w:t xml:space="preserve"> </w:t>
      </w:r>
      <w:r>
        <w:t xml:space="preserve">expectations of future CDR volume and costs can impact EUA banking and investment behaviour before cost</w:t>
      </w:r>
      <w:r>
        <w:t xml:space="preserve"> </w:t>
      </w:r>
      <w:r>
        <w:t xml:space="preserve">parity.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Abatement deterrence: The CDR limit would mean that the CDR cost would not act as a</w:t>
      </w:r>
      <w:r>
        <w:t xml:space="preserve"> </w:t>
      </w:r>
      <w:r>
        <w:t xml:space="preserve">(soft) price ceiling for the ETS once CDR becomes cost-competitive in the ETS, thereby</w:t>
      </w:r>
      <w:r>
        <w:t xml:space="preserve"> </w:t>
      </w:r>
      <w:r>
        <w:t xml:space="preserve">reducing abatement deterrence risks. This, however, would be valid only to the extent that there</w:t>
      </w:r>
      <w:r>
        <w:t xml:space="preserve"> </w:t>
      </w:r>
      <w:r>
        <w:t xml:space="preserve">is policy credibility for the CDR limit. E.g. if ETS market participants expect the regulator to</w:t>
      </w:r>
      <w:r>
        <w:t xml:space="preserve"> </w:t>
      </w:r>
      <w:r>
        <w:t xml:space="preserve">relax or remove the CDR limit, then expectations for the future price would approximate</w:t>
      </w:r>
      <w:r>
        <w:t xml:space="preserve"> </w:t>
      </w:r>
      <w:r>
        <w:t xml:space="preserve">expectations on future CDR costs, such that CDR could be perceived as a soft price ceiling by</w:t>
      </w:r>
      <w:r>
        <w:t xml:space="preserve"> </w:t>
      </w:r>
      <w:r>
        <w:t xml:space="preserve">market participants.</w:t>
      </w:r>
      <w:r>
        <w:t xml:space="preserve"> </w:t>
      </w:r>
      <w:r>
        <w:t xml:space="preserve">Support to CDR development and deployment: Under CR1, the operator integration of CDR</w:t>
      </w:r>
      <w:r>
        <w:t xml:space="preserve"> </w:t>
      </w:r>
      <w:r>
        <w:t xml:space="preserve">in the EU ETS would expose CDR suppliers to the ETS price risk as well as to a lack of</w:t>
      </w:r>
      <w:r>
        <w:t xml:space="preserve"> </w:t>
      </w:r>
      <w:r>
        <w:t xml:space="preserve">predictability in the timing of demand – both of which present challenges for investment</w:t>
      </w:r>
      <w:r>
        <w:t xml:space="preserve"> </w:t>
      </w:r>
      <w:r>
        <w:t xml:space="preserve">decisions and project finance.32 This is a concern raised by several stakeholders in interviews</w:t>
      </w:r>
      <w:r>
        <w:t xml:space="preserve"> </w:t>
      </w:r>
      <w:r>
        <w:t xml:space="preserve">and in the open consultation, where two thirds of respondents argued for the need for</w:t>
      </w:r>
      <w:r>
        <w:t xml:space="preserve"> </w:t>
      </w:r>
      <w:r>
        <w:t xml:space="preserve">complementary measures, with CCfDs most often cited as a financial instrument to support</w:t>
      </w:r>
      <w:r>
        <w:t xml:space="preserve"> </w:t>
      </w:r>
      <w:r>
        <w:t xml:space="preserve">CDR development and deployment and bridge the cost differential between removals and</w:t>
      </w:r>
      <w:r>
        <w:t xml:space="preserve"> </w:t>
      </w:r>
      <w:r>
        <w:t xml:space="preserve">abatement in the EU ETS while safeguarding the competitiveness of European industry. The</w:t>
      </w:r>
      <w:r>
        <w:t xml:space="preserve"> </w:t>
      </w:r>
      <w:r>
        <w:t xml:space="preserve">severity of these uncertainties would depend critically on whether CDR is cost competitive in</w:t>
      </w:r>
      <w:r>
        <w:t xml:space="preserve"> </w:t>
      </w:r>
      <w:r>
        <w:t xml:space="preserve">the ETS and whether non-ETS policy measures are able to provide effective support to CDR</w:t>
      </w:r>
      <w:r>
        <w:t xml:space="preserve"> </w:t>
      </w:r>
      <w:r>
        <w:t xml:space="preserve">development and deployment. Absent such policies and without a stable or predictable price,</w:t>
      </w:r>
      <w:r>
        <w:t xml:space="preserve"> </w:t>
      </w:r>
      <w:r>
        <w:t xml:space="preserve">long-term planning and investment in CDR could remain highly risky. Similarly, leaving</w:t>
      </w:r>
      <w:r>
        <w:t xml:space="preserve"> </w:t>
      </w:r>
      <w:r>
        <w:t xml:space="preserve">decisions on the timing of removal unit purchase to operators could mean very low support to</w:t>
      </w:r>
      <w:r>
        <w:t xml:space="preserve"> </w:t>
      </w:r>
      <w:r>
        <w:t xml:space="preserve">CDR development and deployment in the early phases, leading to the risk that CDR</w:t>
      </w:r>
      <w:r>
        <w:t xml:space="preserve"> </w:t>
      </w:r>
      <w:r>
        <w:t xml:space="preserve">technologies would not scale up as necessary. A policy mix – including bankable revenue</w:t>
      </w:r>
      <w:r>
        <w:t xml:space="preserve"> </w:t>
      </w:r>
      <w:r>
        <w:t xml:space="preserve">streams and enabling infrastructure - will be necessary to make sure that CDR development</w:t>
      </w:r>
      <w:r>
        <w:t xml:space="preserve"> </w:t>
      </w:r>
      <w:r>
        <w:t xml:space="preserve">and deployment ramps up in time not only to (a) achieve EU targets, but also to (b) ensure the</w:t>
      </w:r>
      <w:r>
        <w:t xml:space="preserve"> </w:t>
      </w:r>
      <w:r>
        <w:t xml:space="preserve">extra ‘space’ for residual emissions in the EU ETS to enable cost-efficient abatement while</w:t>
      </w:r>
      <w:r>
        <w:t xml:space="preserve"> </w:t>
      </w:r>
      <w:r>
        <w:t xml:space="preserve">mitigating carbon leakage risks. At the same time, some stakeholders in the open consultation</w:t>
      </w:r>
      <w:r>
        <w:t xml:space="preserve"> </w:t>
      </w:r>
      <w:r>
        <w:t xml:space="preserve">cautioned against CDR limits as they can increase regulatory and demand-side risks for</w:t>
      </w:r>
      <w:r>
        <w:t xml:space="preserve"> </w:t>
      </w:r>
      <w:r>
        <w:t xml:space="preserve">investments.</w:t>
      </w:r>
      <w:r>
        <w:br/>
      </w:r>
      <w:r>
        <w:t xml:space="preserve">Risk distribution on environmental targets: given a certain EU ETS scarcity level and</w:t>
      </w:r>
      <w:r>
        <w:t xml:space="preserve"> </w:t>
      </w:r>
      <w:r>
        <w:t xml:space="preserve">assuming that EU ETS obligations are enforced, under CR1 much of the risk from CDR</w:t>
      </w:r>
      <w:r>
        <w:t xml:space="preserve"> </w:t>
      </w:r>
      <w:r>
        <w:t xml:space="preserve">technologies (e.g. under-delivery, price risk) would be borne by operators – such that if e.g. </w:t>
      </w:r>
      <w:r>
        <w:t xml:space="preserve"> </w:t>
      </w:r>
      <w:r>
        <w:t xml:space="preserve">CDR turns out to be more expensive than expected, allowance prices would increase and ETS</w:t>
      </w:r>
      <w:r>
        <w:t xml:space="preserve"> </w:t>
      </w:r>
      <w:r>
        <w:t xml:space="preserve">regulated entities would thus be subject to higher prices. This risk could be transferred to the</w:t>
      </w:r>
      <w:r>
        <w:t xml:space="preserve"> </w:t>
      </w:r>
      <w:r>
        <w:t xml:space="preserve">regulator if EU ETS prices reach politically unsustainable levels, such that the regulator must</w:t>
      </w:r>
      <w:r>
        <w:t xml:space="preserve"> </w:t>
      </w:r>
      <w:r>
        <w:t xml:space="preserve">intervene by e.g. purchasing removal units (potentially at higher prices) and making them</w:t>
      </w:r>
      <w:r>
        <w:t xml:space="preserve"> </w:t>
      </w:r>
      <w:r>
        <w:t xml:space="preserve">available in the market, and/or by weakening climate targets. In such cases, carbon leakage</w:t>
      </w:r>
      <w:r>
        <w:t xml:space="preserve"> </w:t>
      </w:r>
      <w:r>
        <w:t xml:space="preserve">also presents a significant risk.</w:t>
      </w:r>
      <w:r>
        <w:br/>
      </w:r>
      <w:r>
        <w:t xml:space="preserve">Climate target achievement effects of CR2 (‘Unlimited operator integration on top of the cap’)</w:t>
      </w:r>
      <w:r>
        <w:br/>
      </w:r>
      <w:r>
        <w:t xml:space="preserve">Emissions, certainty levels, control levels: The volume of conventional allowances would</w:t>
      </w:r>
      <w:r>
        <w:t xml:space="preserve"> </w:t>
      </w:r>
      <w:r>
        <w:t xml:space="preserve">determine the maximum net emissions in the system, but there would be no limit on gross</w:t>
      </w:r>
      <w:r>
        <w:t xml:space="preserve"> </w:t>
      </w:r>
      <w:r>
        <w:t xml:space="preserve">emissions (as there would be no limit the volume of removal units that could be used in the</w:t>
      </w:r>
      <w:r>
        <w:t xml:space="preserve"> </w:t>
      </w:r>
      <w:r>
        <w:t xml:space="preserve">system). This also means that the regulator does not have control over decarbonization</w:t>
      </w:r>
      <w:r>
        <w:t xml:space="preserve"> </w:t>
      </w:r>
      <w:r>
        <w:t xml:space="preserve">pathways within the ETS: in the absence of restrictions on the use of CDR in the ETS, the</w:t>
      </w:r>
      <w:r>
        <w:t xml:space="preserve"> </w:t>
      </w:r>
      <w:r>
        <w:t xml:space="preserve">government would not be able to guide decarbonization pathways in terms of choices on</w:t>
      </w:r>
      <w:r>
        <w:t xml:space="preserve"> </w:t>
      </w:r>
      <w:r>
        <w:t xml:space="preserve">abatement vs removals through the EU ETS, and use of removals outside the ETS. This,</w:t>
      </w:r>
    </w:p>
    <w:p>
      <w:pPr>
        <w:pStyle w:val="BodyText"/>
      </w:pPr>
      <w:r>
        <w:t xml:space="preserve">32 Dynamic, market-based pricing can reward lower-cost and higher-performing CDR providers, thereby</w:t>
      </w:r>
      <w:r>
        <w:t xml:space="preserve"> </w:t>
      </w:r>
      <w:r>
        <w:t xml:space="preserve">supporting incremental efficiency gains. However, for capital‑intensive technologies such as bioCCS and</w:t>
      </w:r>
      <w:r>
        <w:t xml:space="preserve"> </w:t>
      </w:r>
      <w:r>
        <w:t xml:space="preserve">DACCS, this signal is very likely insufficient to unlock investment.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however, is only true once CDR become cost competitive. In the short to mid-term, public</w:t>
      </w:r>
      <w:r>
        <w:t xml:space="preserve"> </w:t>
      </w:r>
      <w:r>
        <w:t xml:space="preserve">support could guide the choice between abatement and removal to a great extent.</w:t>
      </w:r>
      <w:r>
        <w:t xml:space="preserve"> </w:t>
      </w:r>
      <w:r>
        <w:t xml:space="preserve">Cost effectiveness: Direct price competition between abatement and removal, with real-time</w:t>
      </w:r>
      <w:r>
        <w:t xml:space="preserve"> </w:t>
      </w:r>
      <w:r>
        <w:t xml:space="preserve">market signals about CDR technology costs and availability and price visibility through direct</w:t>
      </w:r>
      <w:r>
        <w:t xml:space="preserve"> </w:t>
      </w:r>
      <w:r>
        <w:t xml:space="preserve">market participation. Incentives for abatement in ETS covered sectors would be fully merged</w:t>
      </w:r>
      <w:r>
        <w:t xml:space="preserve"> </w:t>
      </w:r>
      <w:r>
        <w:t xml:space="preserve">with incentives for CDR, equalizing price signals and, in theory, enabling an economically</w:t>
      </w:r>
      <w:r>
        <w:t xml:space="preserve"> </w:t>
      </w:r>
      <w:r>
        <w:t xml:space="preserve">efficient allocation of activities if CDR is deliverable at scale and in the absence of market</w:t>
      </w:r>
      <w:r>
        <w:t xml:space="preserve"> </w:t>
      </w:r>
      <w:r>
        <w:t xml:space="preserve">failures. A cost-effective mix of abatement and removal could facilitate political support for</w:t>
      </w:r>
      <w:r>
        <w:t xml:space="preserve"> </w:t>
      </w:r>
      <w:r>
        <w:t xml:space="preserve">the ETS even if compliance costs increase. However, economically ineffective abatement</w:t>
      </w:r>
      <w:r>
        <w:t xml:space="preserve"> </w:t>
      </w:r>
      <w:r>
        <w:t xml:space="preserve">deterrence can arise from uncertainties in removal prices and quantities, and support to CDR</w:t>
      </w:r>
      <w:r>
        <w:t xml:space="preserve"> </w:t>
      </w:r>
      <w:r>
        <w:t xml:space="preserve">development and deployment is very likely to require accompanying policy instruments.</w:t>
      </w:r>
      <w:r>
        <w:t xml:space="preserve"> </w:t>
      </w:r>
      <w:r>
        <w:t xml:space="preserve">Abatement deterrence: This measure brings the highest risk of abatement deterrence of all.</w:t>
      </w:r>
      <w:r>
        <w:t xml:space="preserve"> </w:t>
      </w:r>
      <w:r>
        <w:t xml:space="preserve">As CDR functions as a de-facto soft price ceiling33 in the EU ETS once cost-competitive,</w:t>
      </w:r>
      <w:r>
        <w:t xml:space="preserve"> </w:t>
      </w:r>
      <w:r>
        <w:t xml:space="preserve">operators would need to estimate the future price and availability of removal units in order to</w:t>
      </w:r>
      <w:r>
        <w:t xml:space="preserve"> </w:t>
      </w:r>
      <w:r>
        <w:t xml:space="preserve">estimate the cost-effectiveness of long-term abatement investments. As CDR technologies are</w:t>
      </w:r>
      <w:r>
        <w:t xml:space="preserve"> </w:t>
      </w:r>
      <w:r>
        <w:t xml:space="preserve">still in early stages of development and deployment, however, these figures remain highly</w:t>
      </w:r>
      <w:r>
        <w:t xml:space="preserve"> </w:t>
      </w:r>
      <w:r>
        <w:t xml:space="preserve">uncertain. This uncertainty can lead ETS regulated entities to delay investments in abatement</w:t>
      </w:r>
      <w:r>
        <w:t xml:space="preserve"> </w:t>
      </w:r>
      <w:r>
        <w:t xml:space="preserve">and lead to a high-emissions lock-in. This, in turn, could make long-term targets more</w:t>
      </w:r>
      <w:r>
        <w:t xml:space="preserve"> </w:t>
      </w:r>
      <w:r>
        <w:t xml:space="preserve">expensive to reach, especially if CDR technologies perform worse than expected. This can</w:t>
      </w:r>
      <w:r>
        <w:t xml:space="preserve"> </w:t>
      </w:r>
      <w:r>
        <w:t xml:space="preserve">undermine target achievement if mitigation costs become economically unsustainable. The risk</w:t>
      </w:r>
      <w:r>
        <w:t xml:space="preserve"> </w:t>
      </w:r>
      <w:r>
        <w:t xml:space="preserve">of abatement deterrence was the most frequently cited reason by stakeholders in the open</w:t>
      </w:r>
      <w:r>
        <w:t xml:space="preserve"> </w:t>
      </w:r>
      <w:r>
        <w:t xml:space="preserve">consultation opposing the integration of CDR in the EU ETS.</w:t>
      </w:r>
      <w:r>
        <w:br/>
      </w:r>
      <w:r>
        <w:t xml:space="preserve">Support to CDR development and deployment: Same effects as under CR1 (ETS price risk</w:t>
      </w:r>
      <w:r>
        <w:t xml:space="preserve"> </w:t>
      </w:r>
      <w:r>
        <w:t xml:space="preserve">and lack of early incentives from EU ETS demand towards development and deployment of</w:t>
      </w:r>
      <w:r>
        <w:t xml:space="preserve"> </w:t>
      </w:r>
      <w:r>
        <w:t xml:space="preserve">CDR technologies). Compared to CR1, measure CR2 has the advantage that CDR suppliers</w:t>
      </w:r>
      <w:r>
        <w:t xml:space="preserve"> </w:t>
      </w:r>
      <w:r>
        <w:t xml:space="preserve">would not face the uncertainty of a limit to the demand for removal units in the EU ETS.</w:t>
      </w:r>
      <w:r>
        <w:br/>
      </w:r>
      <w:r>
        <w:t xml:space="preserve">Risk distribution on environmental targets: Same effects as under CR1 in terms of the risks</w:t>
      </w:r>
      <w:r>
        <w:t xml:space="preserve"> </w:t>
      </w:r>
      <w:r>
        <w:t xml:space="preserve">of under-delivery and price from CDR technologies being borne by ETS regulated entities –</w:t>
      </w:r>
      <w:r>
        <w:t xml:space="preserve"> </w:t>
      </w:r>
      <w:r>
        <w:t xml:space="preserve">with the aggravating factor that under CR2, the abatement deterrence effect could lead to higher</w:t>
      </w:r>
      <w:r>
        <w:t xml:space="preserve"> </w:t>
      </w:r>
      <w:r>
        <w:t xml:space="preserve">gross emissions as compared to CR1, thus correspondingly increasing the risk of failure in</w:t>
      </w:r>
      <w:r>
        <w:t xml:space="preserve"> </w:t>
      </w:r>
      <w:r>
        <w:t xml:space="preserve">meeting climate targets. As under CR1, this risk could be transferred to the regulator if EU</w:t>
      </w:r>
      <w:r>
        <w:t xml:space="preserve"> </w:t>
      </w:r>
      <w:r>
        <w:t xml:space="preserve">ETS prices reach politically unsustainable levels and leakage risks would also apply.</w:t>
      </w:r>
      <w:r>
        <w:br/>
      </w:r>
      <w:r>
        <w:t xml:space="preserve">Climate target achievement effects of CR3 (‘Limited operator integration under the cap (one-</w:t>
      </w:r>
      <w:r>
        <w:t xml:space="preserve"> </w:t>
      </w:r>
      <w:r>
        <w:t xml:space="preserve">in-one-out)’)</w:t>
      </w:r>
      <w:r>
        <w:br/>
      </w:r>
      <w:r>
        <w:t xml:space="preserve">Emissions, certainty levels, control levels: The regulator controls gross emissions and the</w:t>
      </w:r>
      <w:r>
        <w:t xml:space="preserve"> </w:t>
      </w:r>
      <w:r>
        <w:t xml:space="preserve">maximum net emissions. Because the use of a CDR unit implies the cancellation of an</w:t>
      </w:r>
      <w:r>
        <w:t xml:space="preserve"> </w:t>
      </w:r>
      <w:r>
        <w:t xml:space="preserve">allowance, the use of removal units reduces net emissions as compared to the (increased)</w:t>
      </w:r>
      <w:r>
        <w:t xml:space="preserve"> </w:t>
      </w:r>
      <w:r>
        <w:t xml:space="preserve">volume of conventional allowances. Unlike CR1, under CR3 the increase in gross emissions</w:t>
      </w:r>
      <w:r>
        <w:t xml:space="preserve"> </w:t>
      </w:r>
      <w:r>
        <w:t xml:space="preserve">occurs even if removal units are not cost-competitive in the ETS. As a result, a key risk of this</w:t>
      </w:r>
      <w:r>
        <w:t xml:space="preserve"> </w:t>
      </w:r>
      <w:r>
        <w:t xml:space="preserve">approach is the achievement of the net contribution of the ETS, which is uncertain – there is a</w:t>
      </w:r>
      <w:r>
        <w:t xml:space="preserve"> </w:t>
      </w:r>
      <w:r>
        <w:t xml:space="preserve">maximum level of removals that can be used (how low net emissions can go) but not a minimum</w:t>
      </w:r>
      <w:r>
        <w:t xml:space="preserve"> </w:t>
      </w:r>
      <w:r>
        <w:t xml:space="preserve">(how high the net emissions can go) as there is no removal obligation). As long as removals</w:t>
      </w:r>
      <w:r>
        <w:t xml:space="preserve"> </w:t>
      </w:r>
      <w:r>
        <w:t xml:space="preserve">are not cost competitive, the net would equal the gross, missing the target.</w:t>
      </w:r>
    </w:p>
    <w:p>
      <w:pPr>
        <w:pStyle w:val="BodyText"/>
      </w:pPr>
      <w:r>
        <w:t xml:space="preserve">33 CDR serves as an effective price ceiling if CDR supply is elastic and at scale; otherwise deterrence stems</w:t>
      </w:r>
      <w:r>
        <w:t xml:space="preserve"> </w:t>
      </w:r>
      <w:r>
        <w:t xml:space="preserve">from expectations rather than realised ceilings.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Cost effectiveness: Similar effects as in CR1 in terms of direct competition and cost-</w:t>
      </w:r>
      <w:r>
        <w:t xml:space="preserve"> </w:t>
      </w:r>
      <w:r>
        <w:t xml:space="preserve">effectiveness, albeit with the disadvantage that ETS prices would fall as a result of the reduced</w:t>
      </w:r>
      <w:r>
        <w:t xml:space="preserve"> </w:t>
      </w:r>
      <w:r>
        <w:t xml:space="preserve">scarcity in the system, which may undermine long-term cost effectiveness.</w:t>
      </w:r>
      <w:r>
        <w:br/>
      </w:r>
      <w:r>
        <w:t xml:space="preserve">Abatement deterrence: Same effects as in CR1 in that limits to the use of CDR could help</w:t>
      </w:r>
      <w:r>
        <w:t xml:space="preserve"> </w:t>
      </w:r>
      <w:r>
        <w:t xml:space="preserve">address abatement deterrence risks. Under CR3 however, the initial increase in the volume of</w:t>
      </w:r>
      <w:r>
        <w:t xml:space="preserve"> </w:t>
      </w:r>
      <w:r>
        <w:t xml:space="preserve">allowances could lead to (a) lower prices, thereby dampening abatement action and (b) reduced</w:t>
      </w:r>
      <w:r>
        <w:t xml:space="preserve"> </w:t>
      </w:r>
      <w:r>
        <w:t xml:space="preserve">political credibility by market participants of the willingness of the regulator to maintain the</w:t>
      </w:r>
      <w:r>
        <w:t xml:space="preserve"> </w:t>
      </w:r>
      <w:r>
        <w:t xml:space="preserve">scarcity of the system – both of which could exacerbate abatement deterrence effects.</w:t>
      </w:r>
      <w:r>
        <w:br/>
      </w:r>
      <w:r>
        <w:t xml:space="preserve">Support to CDR development and deployment: Same effects as under CR1 (ETS price risk,</w:t>
      </w:r>
      <w:r>
        <w:t xml:space="preserve"> </w:t>
      </w:r>
      <w:r>
        <w:t xml:space="preserve">CDR usage limits, and lack of early incentives from EU ETS demand towards development</w:t>
      </w:r>
      <w:r>
        <w:t xml:space="preserve"> </w:t>
      </w:r>
      <w:r>
        <w:t xml:space="preserve">and deployment of CDR technologies).</w:t>
      </w:r>
      <w:r>
        <w:br/>
      </w:r>
      <w:r>
        <w:t xml:space="preserve">Risk distribution on environmental targets: Under CR3, the CDR under-delivery and price</w:t>
      </w:r>
      <w:r>
        <w:t xml:space="preserve"> </w:t>
      </w:r>
      <w:r>
        <w:t xml:space="preserve">risks would be borne by the regulator, as the ‘space’ for additional gross emissions would be</w:t>
      </w:r>
      <w:r>
        <w:t xml:space="preserve"> </w:t>
      </w:r>
      <w:r>
        <w:t xml:space="preserve">created through the initial increase in conventional allowances, before removal units become</w:t>
      </w:r>
      <w:r>
        <w:t xml:space="preserve"> </w:t>
      </w:r>
      <w:r>
        <w:t xml:space="preserve">available. If removal units fail to enter the ETS at the scale of the CDR limit, then net emissions</w:t>
      </w:r>
      <w:r>
        <w:t xml:space="preserve"> </w:t>
      </w:r>
      <w:r>
        <w:t xml:space="preserve">from the ETS would be higher than in all other measures considered here. A credible plan</w:t>
      </w:r>
      <w:r>
        <w:t xml:space="preserve"> </w:t>
      </w:r>
      <w:r>
        <w:t xml:space="preserve">would be required for the regulator to ensure that EU climate targets are achieved despite the</w:t>
      </w:r>
      <w:r>
        <w:t xml:space="preserve"> </w:t>
      </w:r>
      <w:r>
        <w:t xml:space="preserve">increased net emissions under the EU ETS. This effect is aggravated by the fact that the initial</w:t>
      </w:r>
      <w:r>
        <w:t xml:space="preserve"> </w:t>
      </w:r>
      <w:r>
        <w:t xml:space="preserve">reduction in scarcity and accompanying downward price pressure could decrease abatement</w:t>
      </w:r>
      <w:r>
        <w:t xml:space="preserve"> </w:t>
      </w:r>
      <w:r>
        <w:t xml:space="preserve">action and interest in supporting CDR development and deployment.</w:t>
      </w:r>
      <w:r>
        <w:br/>
      </w:r>
      <w:r>
        <w:t xml:space="preserve">Climate target achievement effects of CR4 (‘Public authority integration through regular</w:t>
      </w:r>
      <w:r>
        <w:t xml:space="preserve"> </w:t>
      </w:r>
      <w:r>
        <w:t xml:space="preserve">auctions under the cap’)</w:t>
      </w:r>
      <w:r>
        <w:br/>
      </w:r>
      <w:r>
        <w:t xml:space="preserve">Emissions, certainty levels, control levels: The regulator would have control over both net</w:t>
      </w:r>
      <w:r>
        <w:t xml:space="preserve"> </w:t>
      </w:r>
      <w:r>
        <w:t xml:space="preserve">and gross emissions, albeit subject to timely procurement and delivery of contracted CDR. The</w:t>
      </w:r>
      <w:r>
        <w:t xml:space="preserve"> </w:t>
      </w:r>
      <w:r>
        <w:t xml:space="preserve">purchase of removal units and corresponding issuance of additional (removal-backed)</w:t>
      </w:r>
      <w:r>
        <w:t xml:space="preserve"> </w:t>
      </w:r>
      <w:r>
        <w:t xml:space="preserve">allowances by the regulator would allow gross emissions in the ETS to increase, while</w:t>
      </w:r>
      <w:r>
        <w:t xml:space="preserve"> </w:t>
      </w:r>
      <w:r>
        <w:t xml:space="preserve">maintaining the same level of net emissions. Assuming the procurement of CDR happens on</w:t>
      </w:r>
      <w:r>
        <w:t xml:space="preserve"> </w:t>
      </w:r>
      <w:r>
        <w:t xml:space="preserve">schedule, there is thus certainty on the achievement of net and gross emissions targets. Smaller-</w:t>
      </w:r>
      <w:r>
        <w:t xml:space="preserve"> </w:t>
      </w:r>
      <w:r>
        <w:t xml:space="preserve">than-expected CDR purchases would mean not reaching the net target emissions, assuming all</w:t>
      </w:r>
      <w:r>
        <w:t xml:space="preserve"> </w:t>
      </w:r>
      <w:r>
        <w:t xml:space="preserve">else constant. Compared to measures CR1 and CR2, the increase in allowable gross emissions</w:t>
      </w:r>
      <w:r>
        <w:t xml:space="preserve"> </w:t>
      </w:r>
      <w:r>
        <w:t xml:space="preserve">would be significantly more predictable, as the regulator would increase the cap by the amount</w:t>
      </w:r>
      <w:r>
        <w:t xml:space="preserve"> </w:t>
      </w:r>
      <w:r>
        <w:t xml:space="preserve">of the removal units it sets out to buy, and auction them into the EU ETS even if removal units</w:t>
      </w:r>
      <w:r>
        <w:t xml:space="preserve"> </w:t>
      </w:r>
      <w:r>
        <w:t xml:space="preserve">are not yet cost competitive vis-à-vis the allowance price (the regulator would thus bridge the</w:t>
      </w:r>
      <w:r>
        <w:t xml:space="preserve"> </w:t>
      </w:r>
      <w:r>
        <w:t xml:space="preserve">cost gap between abatement and removal).. Predictability could in theory depend on rule‑based</w:t>
      </w:r>
      <w:r>
        <w:t xml:space="preserve"> </w:t>
      </w:r>
      <w:r>
        <w:t xml:space="preserve">procurement schedules and adjustment measures (e.g. to reflect CDR supply growth), if the</w:t>
      </w:r>
      <w:r>
        <w:t xml:space="preserve"> </w:t>
      </w:r>
      <w:r>
        <w:t xml:space="preserve">auctioning of removals-backed allowances was conditional on the delivery of the removals.</w:t>
      </w:r>
      <w:r>
        <w:t xml:space="preserve"> </w:t>
      </w:r>
      <w:r>
        <w:t xml:space="preserve">However, the measure is designed so the public authority bears the risk of being able to buy</w:t>
      </w:r>
      <w:r>
        <w:t xml:space="preserve"> </w:t>
      </w:r>
      <w:r>
        <w:t xml:space="preserve">the right amount of removals, and the market benefits of the transparency and predictability</w:t>
      </w:r>
      <w:r>
        <w:t xml:space="preserve"> </w:t>
      </w:r>
      <w:r>
        <w:t xml:space="preserve">provided by the increased cap.</w:t>
      </w:r>
      <w:r>
        <w:br/>
      </w:r>
      <w:r>
        <w:t xml:space="preserve">Cost effectiveness: under CR4 there would be no direct competition between abatement inside</w:t>
      </w:r>
      <w:r>
        <w:t xml:space="preserve"> </w:t>
      </w:r>
      <w:r>
        <w:t xml:space="preserve">the ETS and removal outside the ETS, as the regulator would intermediate the relationship</w:t>
      </w:r>
      <w:r>
        <w:t xml:space="preserve"> </w:t>
      </w:r>
      <w:r>
        <w:t xml:space="preserve">between both markets. This can lead to market inefficiencies. For example, pre-set purchase</w:t>
      </w:r>
      <w:r>
        <w:t xml:space="preserve"> </w:t>
      </w:r>
      <w:r>
        <w:t xml:space="preserve">volumes might not always align with the dynamically optimal level of CDR use if abatement</w:t>
      </w:r>
      <w:r>
        <w:t xml:space="preserve"> </w:t>
      </w:r>
      <w:r>
        <w:t xml:space="preserve">or CDR costs change unexpectedly, which could lead to welfare loss compared to a perfectly</w:t>
      </w:r>
      <w:r>
        <w:t xml:space="preserve"> </w:t>
      </w:r>
      <w:r>
        <w:t xml:space="preserve">flexible market. In terms of overall target achievement however, while this can entail short-</w:t>
      </w:r>
      <w:r>
        <w:t xml:space="preserve"> </w:t>
      </w:r>
      <w:r>
        <w:t xml:space="preserve">term welfare losses within the narrow scope of the EU ETS (due to high CDR unit costs as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compared to ETS abatement), this effect could be compensated by a decrease in necessary</w:t>
      </w:r>
      <w:r>
        <w:t xml:space="preserve"> </w:t>
      </w:r>
      <w:r>
        <w:t xml:space="preserve">public expenditures for CDR support through other measure.</w:t>
      </w:r>
      <w:r>
        <w:t xml:space="preserve"> </w:t>
      </w:r>
      <w:r>
        <w:t xml:space="preserve">Abatement deterrence: The introduction of additional (removal-backed) allowances at</w:t>
      </w:r>
      <w:r>
        <w:t xml:space="preserve"> </w:t>
      </w:r>
      <w:r>
        <w:t xml:space="preserve">auction lowers ETS price compared to the baseline, inducing downward price pressure and</w:t>
      </w:r>
      <w:r>
        <w:t xml:space="preserve"> </w:t>
      </w:r>
      <w:r>
        <w:t xml:space="preserve">reducing the incentive for abatement action inside the ETS. Nevertheless, the introduction of</w:t>
      </w:r>
      <w:r>
        <w:t xml:space="preserve"> </w:t>
      </w:r>
      <w:r>
        <w:t xml:space="preserve">CDR through a public authority seems likely to face lower abatement deterrence effects than</w:t>
      </w:r>
      <w:r>
        <w:t xml:space="preserve"> </w:t>
      </w:r>
      <w:r>
        <w:t xml:space="preserve">measures that make use of direct integration (CR1, CR2 and CR3); as operators would not need</w:t>
      </w:r>
      <w:r>
        <w:t xml:space="preserve"> </w:t>
      </w:r>
      <w:r>
        <w:t xml:space="preserve">to purchase CDR units directly and they would not have the possibility to directly substitute</w:t>
      </w:r>
      <w:r>
        <w:t xml:space="preserve"> </w:t>
      </w:r>
      <w:r>
        <w:t xml:space="preserve">abatement by CDR, so abatement signals could be less directly eroded.</w:t>
      </w:r>
      <w:r>
        <w:br/>
      </w:r>
      <w:r>
        <w:t xml:space="preserve">Support to CDR development and deployment: The regulator can choose to (or be</w:t>
      </w:r>
      <w:r>
        <w:t xml:space="preserve"> </w:t>
      </w:r>
      <w:r>
        <w:t xml:space="preserve">effectively obliged to) purchase CDR even if initial costs are high (e.g., for DACCS, bioCCS).</w:t>
      </w:r>
      <w:r>
        <w:t xml:space="preserve"> </w:t>
      </w:r>
      <w:r>
        <w:t xml:space="preserve">This is much more likely to be effective in supporting CDR development and deployment than</w:t>
      </w:r>
      <w:r>
        <w:t xml:space="preserve"> </w:t>
      </w:r>
      <w:r>
        <w:t xml:space="preserve">any measures with operator integration (CR1, CR2 and CR3) and was the most frequently cited</w:t>
      </w:r>
      <w:r>
        <w:t xml:space="preserve"> </w:t>
      </w:r>
      <w:r>
        <w:t xml:space="preserve">reason by stakeholders supporting this option in the open consultation34. The regulator can</w:t>
      </w:r>
      <w:r>
        <w:t xml:space="preserve"> </w:t>
      </w:r>
      <w:r>
        <w:t xml:space="preserve">make strategic long-term investments in procuring initially expensive but promising</w:t>
      </w:r>
      <w:r>
        <w:t xml:space="preserve"> </w:t>
      </w:r>
      <w:r>
        <w:t xml:space="preserve">engineered CDR to stimulate innovation and cost reductions, which could enhance overall</w:t>
      </w:r>
      <w:r>
        <w:t xml:space="preserve"> </w:t>
      </w:r>
      <w:r>
        <w:t xml:space="preserve">economic efficiency in achieving deeper decarbonization goals in the future even if initially</w:t>
      </w:r>
      <w:r>
        <w:t xml:space="preserve"> </w:t>
      </w:r>
      <w:r>
        <w:t xml:space="preserve">more expensive.</w:t>
      </w:r>
      <w:r>
        <w:br/>
      </w:r>
      <w:r>
        <w:t xml:space="preserve">Risk distribution on environmental targets: Under CR4, the CDR under-delivery and price</w:t>
      </w:r>
      <w:r>
        <w:t xml:space="preserve"> </w:t>
      </w:r>
      <w:r>
        <w:t xml:space="preserve">risks are borne by the regulator, who bridges the cost differential between abatement and</w:t>
      </w:r>
      <w:r>
        <w:t xml:space="preserve"> </w:t>
      </w:r>
      <w:r>
        <w:t xml:space="preserve">removal. Assuming the procurement of CDR happens as planned, there would be certainty on</w:t>
      </w:r>
      <w:r>
        <w:t xml:space="preserve"> </w:t>
      </w:r>
      <w:r>
        <w:t xml:space="preserve">the achievement of net emissions targets. This would also reduce carbon leakage risks</w:t>
      </w:r>
      <w:r>
        <w:t xml:space="preserve"> </w:t>
      </w:r>
      <w:r>
        <w:t xml:space="preserve">compared to other measures considered here.</w:t>
      </w:r>
      <w:r>
        <w:br/>
      </w:r>
      <w:r>
        <w:t xml:space="preserve">Climate target achievement effects of CR5 (‘Public authority integration through MSR on top</w:t>
      </w:r>
      <w:r>
        <w:t xml:space="preserve"> </w:t>
      </w:r>
      <w:r>
        <w:t xml:space="preserve">of the cap’)</w:t>
      </w:r>
      <w:r>
        <w:br/>
      </w:r>
      <w:r>
        <w:t xml:space="preserve">Emissions, certainty levels, control levels: The regulator has control and certainty over net</w:t>
      </w:r>
      <w:r>
        <w:t xml:space="preserve"> </w:t>
      </w:r>
      <w:r>
        <w:t xml:space="preserve">emissions, as well as control (albeit not full certainty) over gross emissions. This is because</w:t>
      </w:r>
      <w:r>
        <w:t xml:space="preserve"> </w:t>
      </w:r>
      <w:r>
        <w:t xml:space="preserve">the regulator controls the volume of conventional allowances that are released into the market,</w:t>
      </w:r>
      <w:r>
        <w:t xml:space="preserve"> </w:t>
      </w:r>
      <w:r>
        <w:t xml:space="preserve">but the volume of removal-backed allowances depends on the rules and functioning of the</w:t>
      </w:r>
      <w:r>
        <w:t xml:space="preserve"> </w:t>
      </w:r>
      <w:r>
        <w:t xml:space="preserve">MSR. The rules-based functioning of the MSR means the release of removals is neither entirely</w:t>
      </w:r>
      <w:r>
        <w:t xml:space="preserve"> </w:t>
      </w:r>
      <w:r>
        <w:t xml:space="preserve">predictable nor is it under the control of the regulator other than through the initial setting of</w:t>
      </w:r>
      <w:r>
        <w:t xml:space="preserve"> </w:t>
      </w:r>
      <w:r>
        <w:t xml:space="preserve">MSR rules. To the extent that the MSR does release removal-backed allowances, then this</w:t>
      </w:r>
      <w:r>
        <w:t xml:space="preserve"> </w:t>
      </w:r>
      <w:r>
        <w:t xml:space="preserve">allows gross emissions in the ETS to increase, while maintaining the same level of net</w:t>
      </w:r>
      <w:r>
        <w:t xml:space="preserve"> </w:t>
      </w:r>
      <w:r>
        <w:t xml:space="preserve">emissions.</w:t>
      </w:r>
      <w:r>
        <w:br/>
      </w:r>
      <w:r>
        <w:t xml:space="preserve">Cost effectiveness: similar effect as under CR4, although under CR5 the effect takes place in</w:t>
      </w:r>
      <w:r>
        <w:t xml:space="preserve"> </w:t>
      </w:r>
      <w:r>
        <w:t xml:space="preserve">response to MSR triggers rather than in a smooth fashion.</w:t>
      </w:r>
      <w:r>
        <w:br/>
      </w:r>
      <w:r>
        <w:t xml:space="preserve">Abatement deterrence: Under CR5, the integration of CDR functions more as a safety valve</w:t>
      </w:r>
      <w:r>
        <w:t xml:space="preserve"> </w:t>
      </w:r>
      <w:r>
        <w:t xml:space="preserve">through the MSR than as a routine source of additional compliance units. As such, the</w:t>
      </w:r>
      <w:r>
        <w:t xml:space="preserve"> </w:t>
      </w:r>
      <w:r>
        <w:t xml:space="preserve">abatement deterrence effect of CR5 seems likely to be lowest across all measures considered</w:t>
      </w:r>
    </w:p>
    <w:p>
      <w:pPr>
        <w:pStyle w:val="BodyText"/>
      </w:pPr>
      <w:r>
        <w:t xml:space="preserve">34 Demand side measures to help ensure a market for carbon removals was strongly supported by the</w:t>
      </w:r>
      <w:r>
        <w:t xml:space="preserve"> </w:t>
      </w:r>
      <w:r>
        <w:t xml:space="preserve">respondents with 52 responses. Amongst the range of proposals on what demand side measures would be</w:t>
      </w:r>
      <w:r>
        <w:t xml:space="preserve"> </w:t>
      </w:r>
      <w:r>
        <w:t xml:space="preserve">most suitable to scale up carbon removals, the need for procurement of CDR credits by governments was</w:t>
      </w:r>
      <w:r>
        <w:t xml:space="preserve"> </w:t>
      </w:r>
      <w:r>
        <w:t xml:space="preserve">often suggested alongside specific targets for removal use to further help stimulate demand. Others</w:t>
      </w:r>
      <w:r>
        <w:t xml:space="preserve"> </w:t>
      </w:r>
      <w:r>
        <w:t xml:space="preserve">commented specifically that in the short to medium term, a central EU body could act as a buyer, offering</w:t>
      </w:r>
      <w:r>
        <w:t xml:space="preserve"> </w:t>
      </w:r>
      <w:r>
        <w:t xml:space="preserve">offtake agreements to help CDR developers secure predictable revenue and reach investment-grade scale.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here, as it is the measure that establishes the largest ‘distance’ between the ETS and the CDR</w:t>
      </w:r>
      <w:r>
        <w:t xml:space="preserve"> </w:t>
      </w:r>
      <w:r>
        <w:t xml:space="preserve">market.</w:t>
      </w:r>
      <w:r>
        <w:br/>
      </w:r>
      <w:r>
        <w:t xml:space="preserve">Support to CDR development and deployment: same effect as in CR4 (more likely to be</w:t>
      </w:r>
      <w:r>
        <w:t xml:space="preserve"> </w:t>
      </w:r>
      <w:r>
        <w:t xml:space="preserve">effective in supporting development and deployment than any measures with direct integration,</w:t>
      </w:r>
      <w:r>
        <w:t xml:space="preserve"> </w:t>
      </w:r>
      <w:r>
        <w:t xml:space="preserve">and the regulator can make strategic long-term investments).</w:t>
      </w:r>
      <w:r>
        <w:br/>
      </w:r>
      <w:r>
        <w:t xml:space="preserve">Risk distribution on environmental targets: same effect as under CR4, albeit with the</w:t>
      </w:r>
      <w:r>
        <w:t xml:space="preserve"> </w:t>
      </w:r>
      <w:r>
        <w:t xml:space="preserve">aggravating effect that under CR5, the regulator has less certainty on the timing of recouping</w:t>
      </w:r>
      <w:r>
        <w:t xml:space="preserve"> </w:t>
      </w:r>
      <w:r>
        <w:t xml:space="preserve">of costs through allowance auctions. The uncertainty in the release of allowances means CR5</w:t>
      </w:r>
      <w:r>
        <w:t xml:space="preserve"> </w:t>
      </w:r>
      <w:r>
        <w:t xml:space="preserve">reduces the risk of carbon leakage to a lesser extent than CR4 or CR3.</w:t>
      </w:r>
      <w:r>
        <w:t xml:space="preserve"> </w:t>
      </w:r>
      <w:r>
        <w:t xml:space="preserve">2.3.3.2.</w:t>
      </w:r>
      <w:r>
        <w:t xml:space="preserve"> </w:t>
      </w:r>
      <w:r>
        <w:t xml:space="preserve">Biodiversity and other land-use impacts of biomass use</w:t>
      </w:r>
      <w:r>
        <w:br/>
      </w:r>
      <w:r>
        <w:t xml:space="preserve">Does the integration of removals in the ETS lead to an over incentivization of biomass?</w:t>
      </w:r>
      <w:r>
        <w:br/>
      </w:r>
      <w:r>
        <w:t xml:space="preserve">The availability of sustainable biomass is constrained, and dedicating crops at scale for energy</w:t>
      </w:r>
      <w:r>
        <w:t xml:space="preserve"> </w:t>
      </w:r>
      <w:r>
        <w:t xml:space="preserve">entails competing with food, materials, and conservation. Thus, large-scale biomass use (e.g. </w:t>
      </w:r>
      <w:r>
        <w:t xml:space="preserve"> </w:t>
      </w:r>
      <w:r>
        <w:t xml:space="preserve">from bioCCS) for CDR can create significant land, water, and biodiversity trade-offs.The</w:t>
      </w:r>
      <w:r>
        <w:t xml:space="preserve"> </w:t>
      </w:r>
      <w:r>
        <w:t xml:space="preserve">integration measures in this impact assessment can contribute to that negative impact to the</w:t>
      </w:r>
      <w:r>
        <w:t xml:space="preserve"> </w:t>
      </w:r>
      <w:r>
        <w:t xml:space="preserve">degree they incentivise additional BioCCS.35,36 It is important to note, however, that the</w:t>
      </w:r>
      <w:r>
        <w:t xml:space="preserve"> </w:t>
      </w:r>
      <w:r>
        <w:t xml:space="preserve">primarily levers in addressing risks from biomass over-reliance lie not in the choice of the</w:t>
      </w:r>
      <w:r>
        <w:t xml:space="preserve"> </w:t>
      </w:r>
      <w:r>
        <w:t xml:space="preserve">measure for CDR integration, but primarily on the establishment of strict sustainability criteria,</w:t>
      </w:r>
      <w:r>
        <w:t xml:space="preserve"> </w:t>
      </w:r>
      <w:r>
        <w:t xml:space="preserve">accounting for indirect land-use change, and effectively internalizing externalities from</w:t>
      </w:r>
      <w:r>
        <w:t xml:space="preserve"> </w:t>
      </w:r>
      <w:r>
        <w:t xml:space="preserve">biomass use. The CRCF rules address partly these concerns (see section 3.1.2.4).</w:t>
      </w:r>
      <w:r>
        <w:t xml:space="preserve"> </w:t>
      </w:r>
      <w:r>
        <w:t xml:space="preserve">Broadly speaking, the more effective a measure is at incentivizing CDR deployment (see</w:t>
      </w:r>
      <w:r>
        <w:t xml:space="preserve"> </w:t>
      </w:r>
      <w:r>
        <w:t xml:space="preserve">‘Support to CDR development and deployment’ in the preceding section), the bigger the effect</w:t>
      </w:r>
      <w:r>
        <w:t xml:space="preserve"> </w:t>
      </w:r>
      <w:r>
        <w:t xml:space="preserve">of additional biomass use is expected to be. Private sector integration routes CR1 and CR3</w:t>
      </w:r>
      <w:r>
        <w:t xml:space="preserve"> </w:t>
      </w:r>
      <w:r>
        <w:t xml:space="preserve">would likely see little effect on additional biomass use during the 2031-2040 period, except if</w:t>
      </w:r>
      <w:r>
        <w:t xml:space="preserve"> </w:t>
      </w:r>
      <w:r>
        <w:t xml:space="preserve">further CDR policy support is put in place, as BioCCS is only expected to become price</w:t>
      </w:r>
      <w:r>
        <w:t xml:space="preserve"> </w:t>
      </w:r>
      <w:r>
        <w:t xml:space="preserve">competitive from 2038. CR3 would have the additional effect of the reduced scarcity in the</w:t>
      </w:r>
      <w:r>
        <w:t xml:space="preserve"> </w:t>
      </w:r>
      <w:r>
        <w:t xml:space="preserve">system – and lower prices – making technologies such as bioCCS even less competitive. If</w:t>
      </w:r>
      <w:r>
        <w:t xml:space="preserve"> </w:t>
      </w:r>
      <w:r>
        <w:t xml:space="preserve">there is CDR support outside the ETS however, these measures would see an increase in</w:t>
      </w:r>
      <w:r>
        <w:t xml:space="preserve"> </w:t>
      </w:r>
      <w:r>
        <w:t xml:space="preserve">biomass demand in line with biomass eligibility criteria and the relative cost competitiveness</w:t>
      </w:r>
      <w:r>
        <w:t xml:space="preserve"> </w:t>
      </w:r>
      <w:r>
        <w:t xml:space="preserve">across CDR technologies, bounded by the CDR limit. The same would apply under CR2, albeit</w:t>
      </w:r>
      <w:r>
        <w:t xml:space="preserve"> </w:t>
      </w:r>
      <w:r>
        <w:t xml:space="preserve">with the aggravating factor that the absence of limits on CDR use would mean that once</w:t>
      </w:r>
      <w:r>
        <w:t xml:space="preserve"> </w:t>
      </w:r>
      <w:r>
        <w:t xml:space="preserve">bioCCS becomes cost-competitive in the ETS, CR2 could see a sharper increase in biomass</w:t>
      </w:r>
      <w:r>
        <w:t xml:space="preserve"> </w:t>
      </w:r>
      <w:r>
        <w:t xml:space="preserve">demand compared to measures with CDR limits.</w:t>
      </w:r>
      <w:r>
        <w:br/>
      </w:r>
      <w:r>
        <w:t xml:space="preserve">Meanwhile, the public integration routes CR4 and CR5 would provide more predictable</w:t>
      </w:r>
      <w:r>
        <w:t xml:space="preserve"> </w:t>
      </w:r>
      <w:r>
        <w:t xml:space="preserve">support through the ETS, and thus affect biomass use accordingly. However, the purchasing</w:t>
      </w:r>
      <w:r>
        <w:t xml:space="preserve"> </w:t>
      </w:r>
      <w:r>
        <w:t xml:space="preserve">facility can react better to cost developments as well as any emerging concerns related to the</w:t>
      </w:r>
      <w:r>
        <w:t xml:space="preserve"> </w:t>
      </w:r>
      <w:r>
        <w:t xml:space="preserve">overuse of biomass and manage related sustainability risks. In addition, limiting CDR could</w:t>
      </w:r>
      <w:r>
        <w:t xml:space="preserve"> </w:t>
      </w:r>
      <w:r>
        <w:t xml:space="preserve">increase the reliance on and consumption of biomass as bioenergy use may be the only</w:t>
      </w:r>
      <w:r>
        <w:t xml:space="preserve"> </w:t>
      </w:r>
      <w:r>
        <w:t xml:space="preserve">abatement option for some emissions.</w:t>
      </w:r>
    </w:p>
    <w:p>
      <w:pPr>
        <w:pStyle w:val="BodyText"/>
      </w:pPr>
      <w:r>
        <w:t xml:space="preserve">35 Vermeulen, Hanne and Rasmussen, Martin Birk, Concito 2024, ”Towards a sustainable deployment of</w:t>
      </w:r>
      <w:r>
        <w:t xml:space="preserve"> </w:t>
      </w:r>
      <w:r>
        <w:t xml:space="preserve">BioCCS in the EU”</w:t>
      </w:r>
      <w:r>
        <w:br/>
      </w:r>
      <w:r>
        <w:t xml:space="preserve">36 Lara-Sophie Wähling, Mathias Fridahl, Tobias Heimann, Christine Merk, “The sequence matters: Expert</w:t>
      </w:r>
      <w:r>
        <w:t xml:space="preserve"> </w:t>
      </w:r>
      <w:r>
        <w:t xml:space="preserve">opinions on policy mechanisms for bioenergy with carbon capture and storage”,</w:t>
      </w:r>
      <w:r>
        <w:br/>
      </w:r>
      <w:r>
        <w:t xml:space="preserve">Energy Research &amp; Social Science, https://doi.org/10.1016/j.erss.2023.103215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2.3.4. Summary</w:t>
      </w:r>
      <w:r>
        <w:br/>
      </w:r>
      <w:r>
        <w:t xml:space="preserve">A summary comparison of the measures is provided in the table below. Measures are rated as</w:t>
      </w:r>
      <w:r>
        <w:t xml:space="preserve"> </w:t>
      </w:r>
      <w:r>
        <w:t xml:space="preserve">compared to the baseline of no CDR integration. As highlighted above, the assessment</w:t>
      </w:r>
      <w:r>
        <w:t xml:space="preserve"> </w:t>
      </w:r>
      <w:r>
        <w:t xml:space="preserve">suspends judgement on the existence of policy support for CDR outside the ETS, and,</w:t>
      </w:r>
      <w:r>
        <w:t xml:space="preserve"> </w:t>
      </w:r>
      <w:r>
        <w:t xml:space="preserve">accordingly, on the cost-competitiveness of removal units in the ETS.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Table 7:</w:t>
      </w:r>
      <w:r>
        <w:t xml:space="preserve"> </w:t>
      </w:r>
      <w:r>
        <w:t xml:space="preserve">Comparison of measures against the baseline of no integration in the ETS (cap tending towards absolute zero).</w:t>
      </w:r>
      <w:r>
        <w:t xml:space="preserve"> </w:t>
      </w:r>
      <w:r>
        <w:t xml:space="preserve">Criterion</w:t>
      </w:r>
      <w:r>
        <w:t xml:space="preserve"> </w:t>
      </w:r>
      <w:r>
        <w:t xml:space="preserve">CR1</w:t>
      </w:r>
      <w:r>
        <w:t xml:space="preserve"> </w:t>
      </w:r>
      <w:r>
        <w:t xml:space="preserve">(‘Limited</w:t>
      </w:r>
      <w:r>
        <w:t xml:space="preserve"> </w:t>
      </w:r>
      <w:r>
        <w:t xml:space="preserve">operator</w:t>
      </w:r>
      <w:r>
        <w:t xml:space="preserve"> </w:t>
      </w:r>
      <w:r>
        <w:t xml:space="preserve">integration</w:t>
      </w:r>
      <w:r>
        <w:t xml:space="preserve"> </w:t>
      </w:r>
      <w:r>
        <w:t xml:space="preserve">on top of the cap’)</w:t>
      </w:r>
      <w:r>
        <w:t xml:space="preserve"> </w:t>
      </w:r>
      <w:r>
        <w:t xml:space="preserve">CR2</w:t>
      </w:r>
      <w:r>
        <w:t xml:space="preserve"> </w:t>
      </w:r>
      <w:r>
        <w:t xml:space="preserve">(‘Unlimited</w:t>
      </w:r>
      <w:r>
        <w:t xml:space="preserve"> </w:t>
      </w:r>
      <w:r>
        <w:t xml:space="preserve">operator</w:t>
      </w:r>
      <w:r>
        <w:t xml:space="preserve"> </w:t>
      </w:r>
      <w:r>
        <w:t xml:space="preserve">integration</w:t>
      </w:r>
      <w:r>
        <w:t xml:space="preserve"> </w:t>
      </w:r>
      <w:r>
        <w:t xml:space="preserve">on top of the cap’)</w:t>
      </w:r>
      <w:r>
        <w:t xml:space="preserve"> </w:t>
      </w:r>
      <w:r>
        <w:t xml:space="preserve">CR3 (‘Limited operator</w:t>
      </w:r>
      <w:r>
        <w:t xml:space="preserve"> </w:t>
      </w:r>
      <w:r>
        <w:t xml:space="preserve">integration under the cap</w:t>
      </w:r>
      <w:r>
        <w:t xml:space="preserve"> </w:t>
      </w:r>
      <w:r>
        <w:t xml:space="preserve">(one-in-one-out)’)</w:t>
      </w:r>
      <w:r>
        <w:t xml:space="preserve"> </w:t>
      </w:r>
      <w:r>
        <w:t xml:space="preserve">CR4</w:t>
      </w:r>
      <w:r>
        <w:t xml:space="preserve"> </w:t>
      </w:r>
      <w:r>
        <w:t xml:space="preserve">(‘Public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integration through regular</w:t>
      </w:r>
      <w:r>
        <w:t xml:space="preserve"> </w:t>
      </w:r>
      <w:r>
        <w:t xml:space="preserve">auctions under the cap’)</w:t>
      </w:r>
      <w:r>
        <w:t xml:space="preserve"> </w:t>
      </w:r>
      <w:r>
        <w:t xml:space="preserve">CR5 (‘Public authority</w:t>
      </w:r>
      <w:r>
        <w:t xml:space="preserve"> </w:t>
      </w:r>
      <w:r>
        <w:t xml:space="preserve">integration</w:t>
      </w:r>
      <w:r>
        <w:t xml:space="preserve"> </w:t>
      </w:r>
      <w:r>
        <w:t xml:space="preserve">through</w:t>
      </w:r>
      <w:r>
        <w:t xml:space="preserve"> </w:t>
      </w:r>
      <w:r>
        <w:t xml:space="preserve">MSR on top of the cap’)</w:t>
      </w:r>
      <w:r>
        <w:t xml:space="preserve"> </w:t>
      </w:r>
      <w:r>
        <w:t xml:space="preserve">Economic</w:t>
      </w:r>
      <w:r>
        <w:t xml:space="preserve"> </w:t>
      </w:r>
      <w:r>
        <w:t xml:space="preserve">/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ETS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Cost-reduction if CDR</w:t>
      </w:r>
      <w:r>
        <w:t xml:space="preserve"> </w:t>
      </w:r>
      <w:r>
        <w:t xml:space="preserve">is competitive</w:t>
      </w:r>
      <w:r>
        <w:t xml:space="preserve"> </w:t>
      </w:r>
      <w:r>
        <w:t xml:space="preserve">+/++</w:t>
      </w:r>
    </w:p>
    <w:p>
      <w:pPr>
        <w:pStyle w:val="BodyText"/>
      </w:pPr>
      <w:r>
        <w:t xml:space="preserve">Cost-reduction if CDR</w:t>
      </w:r>
      <w:r>
        <w:t xml:space="preserve"> </w:t>
      </w:r>
      <w:r>
        <w:t xml:space="preserve">is competitive</w:t>
      </w:r>
    </w:p>
    <w:p>
      <w:pPr>
        <w:pStyle w:val="BodyText"/>
      </w:pPr>
      <w:r>
        <w:t xml:space="preserve">+++</w:t>
      </w:r>
    </w:p>
    <w:p>
      <w:pPr>
        <w:pStyle w:val="BodyText"/>
      </w:pPr>
      <w:r>
        <w:t xml:space="preserve">Initial</w:t>
      </w:r>
      <w:r>
        <w:t xml:space="preserve"> </w:t>
      </w:r>
      <w:r>
        <w:t xml:space="preserve">downward</w:t>
      </w:r>
      <w:r>
        <w:t xml:space="preserve"> </w:t>
      </w:r>
      <w:r>
        <w:t xml:space="preserve">price</w:t>
      </w:r>
      <w:r>
        <w:t xml:space="preserve"> </w:t>
      </w:r>
      <w:r>
        <w:t xml:space="preserve">pressure due to reduced</w:t>
      </w:r>
      <w:r>
        <w:t xml:space="preserve"> </w:t>
      </w:r>
      <w:r>
        <w:t xml:space="preserve">scarcity.</w:t>
      </w:r>
      <w:r>
        <w:br/>
      </w:r>
      <w:r>
        <w:t xml:space="preserve">(Further) cost-reduction if</w:t>
      </w:r>
      <w:r>
        <w:t xml:space="preserve"> </w:t>
      </w:r>
      <w:r>
        <w:t xml:space="preserve">CDR is competitive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Downward pressure due to</w:t>
      </w:r>
      <w:r>
        <w:t xml:space="preserve"> </w:t>
      </w:r>
      <w:r>
        <w:t xml:space="preserve">additional supply of (removal-</w:t>
      </w:r>
      <w:r>
        <w:t xml:space="preserve"> </w:t>
      </w:r>
      <w:r>
        <w:t xml:space="preserve">backed) allowances</w:t>
      </w:r>
    </w:p>
    <w:p>
      <w:pPr>
        <w:pStyle w:val="BodyText"/>
      </w:pPr>
      <w:r>
        <w:t xml:space="preserve">+/++</w:t>
      </w:r>
    </w:p>
    <w:p>
      <w:pPr>
        <w:pStyle w:val="BodyText"/>
      </w:pPr>
      <w:r>
        <w:t xml:space="preserve">MSR</w:t>
      </w:r>
      <w:r>
        <w:t xml:space="preserve"> </w:t>
      </w:r>
      <w:r>
        <w:t xml:space="preserve">provides</w:t>
      </w:r>
      <w:r>
        <w:t xml:space="preserve"> </w:t>
      </w:r>
      <w:r>
        <w:t xml:space="preserve">cost-</w:t>
      </w:r>
      <w:r>
        <w:t xml:space="preserve"> </w:t>
      </w:r>
      <w:r>
        <w:t xml:space="preserve">containment</w:t>
      </w:r>
      <w:r>
        <w:t xml:space="preserve"> </w:t>
      </w:r>
      <w:r>
        <w:t xml:space="preserve">Economic</w:t>
      </w:r>
      <w:r>
        <w:t xml:space="preserve"> </w:t>
      </w:r>
      <w:r>
        <w:t xml:space="preserve">/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business /</w:t>
      </w:r>
    </w:p>
    <w:p>
      <w:pPr>
        <w:pStyle w:val="BodyText"/>
      </w:pPr>
      <w:r>
        <w:t xml:space="preserve">Market</w:t>
      </w:r>
      <w:r>
        <w:t xml:space="preserve"> </w:t>
      </w:r>
      <w:r>
        <w:t xml:space="preserve">dynamics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gross</w:t>
      </w:r>
      <w:r>
        <w:t xml:space="preserve"> </w:t>
      </w:r>
      <w:r>
        <w:t xml:space="preserve">emissions</w:t>
      </w:r>
      <w:r>
        <w:t xml:space="preserve"> </w:t>
      </w:r>
      <w:r>
        <w:t xml:space="preserve">and</w:t>
      </w:r>
      <w:r>
        <w:t xml:space="preserve"> </w:t>
      </w:r>
      <w:r>
        <w:t xml:space="preserve">trade</w:t>
      </w:r>
      <w:r>
        <w:t xml:space="preserve"> </w:t>
      </w:r>
      <w:r>
        <w:t xml:space="preserve">volumes only if CDR is</w:t>
      </w:r>
      <w:r>
        <w:t xml:space="preserve"> </w:t>
      </w:r>
      <w:r>
        <w:t xml:space="preserve">competitive</w:t>
      </w:r>
    </w:p>
    <w:p>
      <w:pPr>
        <w:pStyle w:val="BodyText"/>
      </w:pPr>
      <w:r>
        <w:t xml:space="preserve">+/++</w:t>
      </w:r>
    </w:p>
    <w:p>
      <w:pPr>
        <w:pStyle w:val="BodyText"/>
      </w:pP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gross</w:t>
      </w:r>
      <w:r>
        <w:t xml:space="preserve"> </w:t>
      </w:r>
      <w:r>
        <w:t xml:space="preserve">emissions</w:t>
      </w:r>
      <w:r>
        <w:t xml:space="preserve"> </w:t>
      </w:r>
      <w:r>
        <w:t xml:space="preserve">and</w:t>
      </w:r>
      <w:r>
        <w:t xml:space="preserve"> </w:t>
      </w:r>
      <w:r>
        <w:t xml:space="preserve">trade</w:t>
      </w:r>
      <w:r>
        <w:t xml:space="preserve"> </w:t>
      </w:r>
      <w:r>
        <w:t xml:space="preserve">volumes only if CDR is</w:t>
      </w:r>
      <w:r>
        <w:t xml:space="preserve"> </w:t>
      </w:r>
      <w:r>
        <w:t xml:space="preserve">competitive; unlimited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gross</w:t>
      </w:r>
      <w:r>
        <w:t xml:space="preserve"> </w:t>
      </w:r>
      <w:r>
        <w:t xml:space="preserve">emissions thereafter.</w:t>
      </w:r>
    </w:p>
    <w:p>
      <w:pPr>
        <w:pStyle w:val="BodyText"/>
      </w:pPr>
      <w:r>
        <w:t xml:space="preserve">+/++</w:t>
      </w:r>
    </w:p>
    <w:p>
      <w:pPr>
        <w:pStyle w:val="BodyText"/>
      </w:pPr>
      <w:r>
        <w:t xml:space="preserve">Increase in gross emissions</w:t>
      </w:r>
      <w:r>
        <w:t xml:space="preserve"> </w:t>
      </w:r>
      <w:r>
        <w:t xml:space="preserve">and</w:t>
      </w:r>
      <w:r>
        <w:t xml:space="preserve"> </w:t>
      </w:r>
      <w:r>
        <w:t xml:space="preserve">trade</w:t>
      </w:r>
      <w:r>
        <w:t xml:space="preserve"> </w:t>
      </w:r>
      <w:r>
        <w:t xml:space="preserve">volumes</w:t>
      </w:r>
      <w:r>
        <w:t xml:space="preserve"> </w:t>
      </w:r>
      <w:r>
        <w:t xml:space="preserve">in</w:t>
      </w:r>
      <w:r>
        <w:t xml:space="preserve"> </w:t>
      </w:r>
      <w:r>
        <w:t xml:space="preserve">advance to CDR becoming</w:t>
      </w:r>
      <w:r>
        <w:t xml:space="preserve"> </w:t>
      </w:r>
      <w:r>
        <w:t xml:space="preserve">cost-competitive</w:t>
      </w:r>
    </w:p>
    <w:p>
      <w:pPr>
        <w:pStyle w:val="BodyText"/>
      </w:pPr>
      <w:r>
        <w:t xml:space="preserve">Reduction of future auction</w:t>
      </w:r>
      <w:r>
        <w:t xml:space="preserve"> </w:t>
      </w:r>
      <w:r>
        <w:t xml:space="preserve">volumes due to swapping</w:t>
      </w:r>
      <w:r>
        <w:t xml:space="preserve"> </w:t>
      </w:r>
      <w:r>
        <w:t xml:space="preserve">could generate uncertainty</w:t>
      </w:r>
      <w:r>
        <w:t xml:space="preserve"> </w:t>
      </w:r>
      <w:r>
        <w:t xml:space="preserve">on future supply.</w:t>
      </w:r>
      <w:r>
        <w:br/>
      </w:r>
      <w:r>
        <w:t xml:space="preserve">+++</w:t>
      </w:r>
    </w:p>
    <w:p>
      <w:pPr>
        <w:pStyle w:val="BodyText"/>
      </w:pPr>
      <w:r>
        <w:t xml:space="preserve">Increase in gross emissions and</w:t>
      </w:r>
      <w:r>
        <w:t xml:space="preserve"> </w:t>
      </w:r>
      <w:r>
        <w:t xml:space="preserve">trade volumes in advance to</w:t>
      </w:r>
      <w:r>
        <w:t xml:space="preserve"> </w:t>
      </w:r>
      <w:r>
        <w:t xml:space="preserve">CDR</w:t>
      </w:r>
      <w:r>
        <w:t xml:space="preserve"> </w:t>
      </w:r>
      <w:r>
        <w:t xml:space="preserve">becoming</w:t>
      </w:r>
      <w:r>
        <w:t xml:space="preserve"> </w:t>
      </w:r>
      <w:r>
        <w:t xml:space="preserve">cost-</w:t>
      </w:r>
      <w:r>
        <w:t xml:space="preserve"> </w:t>
      </w:r>
      <w:r>
        <w:t xml:space="preserve">competitive.</w:t>
      </w:r>
    </w:p>
    <w:p>
      <w:pPr>
        <w:pStyle w:val="BodyText"/>
      </w:pPr>
      <w:r>
        <w:t xml:space="preserve">Most predictable across the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+/++</w:t>
      </w:r>
    </w:p>
    <w:p>
      <w:pPr>
        <w:pStyle w:val="BodyText"/>
      </w:pP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gross</w:t>
      </w:r>
      <w:r>
        <w:t xml:space="preserve"> </w:t>
      </w:r>
      <w:r>
        <w:t xml:space="preserve">emissions</w:t>
      </w:r>
      <w:r>
        <w:t xml:space="preserve"> </w:t>
      </w:r>
      <w:r>
        <w:t xml:space="preserve">and</w:t>
      </w:r>
      <w:r>
        <w:t xml:space="preserve"> </w:t>
      </w:r>
      <w:r>
        <w:t xml:space="preserve">trade</w:t>
      </w:r>
      <w:r>
        <w:t xml:space="preserve"> </w:t>
      </w:r>
      <w:r>
        <w:t xml:space="preserve">volumes in response to</w:t>
      </w:r>
      <w:r>
        <w:t xml:space="preserve"> </w:t>
      </w:r>
      <w:r>
        <w:t xml:space="preserve">scarcity triggers.</w:t>
      </w:r>
    </w:p>
    <w:p>
      <w:pPr>
        <w:pStyle w:val="BodyText"/>
      </w:pPr>
      <w:r>
        <w:t xml:space="preserve">Economic</w:t>
      </w:r>
      <w:r>
        <w:t xml:space="preserve"> </w:t>
      </w:r>
      <w:r>
        <w:t xml:space="preserve">/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business /</w:t>
      </w:r>
    </w:p>
    <w:p>
      <w:pPr>
        <w:pStyle w:val="BodyText"/>
      </w:pPr>
      <w:r>
        <w:t xml:space="preserve">Transaction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CDR purchase costs</w:t>
      </w:r>
      <w:r>
        <w:t xml:space="preserve"> </w:t>
      </w:r>
      <w:r>
        <w:t xml:space="preserve">and</w:t>
      </w:r>
      <w:r>
        <w:t xml:space="preserve"> </w:t>
      </w:r>
      <w:r>
        <w:t xml:space="preserve">portfolio</w:t>
      </w:r>
      <w:r>
        <w:t xml:space="preserve"> </w:t>
      </w:r>
      <w:r>
        <w:t xml:space="preserve">complexity</w:t>
      </w:r>
      <w:r>
        <w:t xml:space="preserve"> </w:t>
      </w:r>
      <w:r>
        <w:t xml:space="preserve">- -</w:t>
      </w:r>
    </w:p>
    <w:p>
      <w:pPr>
        <w:pStyle w:val="BodyText"/>
      </w:pPr>
      <w:r>
        <w:t xml:space="preserve">CDR purchase costs</w:t>
      </w:r>
      <w:r>
        <w:t xml:space="preserve"> </w:t>
      </w:r>
      <w:r>
        <w:t xml:space="preserve">and</w:t>
      </w:r>
      <w:r>
        <w:t xml:space="preserve"> </w:t>
      </w:r>
      <w:r>
        <w:t xml:space="preserve">portfolio</w:t>
      </w:r>
      <w:r>
        <w:t xml:space="preserve"> </w:t>
      </w:r>
      <w:r>
        <w:t xml:space="preserve">complexity;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limit increases CDR</w:t>
      </w:r>
      <w:r>
        <w:t xml:space="preserve"> </w:t>
      </w:r>
      <w:r>
        <w:t xml:space="preserve">exposure.</w:t>
      </w:r>
      <w:r>
        <w:t xml:space="preserve"> </w:t>
      </w:r>
      <w:r>
        <w:t xml:space="preserve">- / - -</w:t>
      </w:r>
    </w:p>
    <w:p>
      <w:pPr>
        <w:pStyle w:val="BodyText"/>
      </w:pPr>
      <w:r>
        <w:t xml:space="preserve">CDR purchase costs and</w:t>
      </w:r>
      <w:r>
        <w:t xml:space="preserve"> </w:t>
      </w:r>
      <w:r>
        <w:t xml:space="preserve">portfolio complexity, with</w:t>
      </w:r>
      <w:r>
        <w:t xml:space="preserve"> </w:t>
      </w:r>
      <w:r>
        <w:t xml:space="preserve">extra</w:t>
      </w:r>
      <w:r>
        <w:t xml:space="preserve"> </w:t>
      </w:r>
      <w:r>
        <w:t xml:space="preserve">complexity</w:t>
      </w:r>
      <w:r>
        <w:t xml:space="preserve"> </w:t>
      </w:r>
      <w:r>
        <w:t xml:space="preserve">from</w:t>
      </w:r>
      <w:r>
        <w:t xml:space="preserve"> </w:t>
      </w:r>
      <w:r>
        <w:t xml:space="preserve">tracking the one‑in‑ one‑out</w:t>
      </w:r>
      <w:r>
        <w:t xml:space="preserve"> </w:t>
      </w:r>
      <w:r>
        <w:t xml:space="preserve">mechanics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Operators</w:t>
      </w:r>
      <w:r>
        <w:t xml:space="preserve"> </w:t>
      </w:r>
      <w:r>
        <w:t xml:space="preserve">acquire</w:t>
      </w:r>
      <w:r>
        <w:t xml:space="preserve"> </w:t>
      </w:r>
      <w:r>
        <w:t xml:space="preserve">all</w:t>
      </w:r>
      <w:r>
        <w:t xml:space="preserve"> </w:t>
      </w:r>
      <w:r>
        <w:t xml:space="preserve">compliance</w:t>
      </w:r>
      <w:r>
        <w:t xml:space="preserve"> </w:t>
      </w:r>
      <w:r>
        <w:t xml:space="preserve">units</w:t>
      </w:r>
      <w:r>
        <w:t xml:space="preserve"> </w:t>
      </w:r>
      <w:r>
        <w:t xml:space="preserve">through</w:t>
      </w:r>
      <w:r>
        <w:t xml:space="preserve"> </w:t>
      </w:r>
      <w:r>
        <w:t xml:space="preserve">regular ETS auctions or the</w:t>
      </w:r>
      <w:r>
        <w:t xml:space="preserve"> </w:t>
      </w:r>
      <w:r>
        <w:t xml:space="preserve">secondary market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Operators</w:t>
      </w:r>
      <w:r>
        <w:t xml:space="preserve"> </w:t>
      </w:r>
      <w:r>
        <w:t xml:space="preserve">acquire</w:t>
      </w:r>
      <w:r>
        <w:t xml:space="preserve"> </w:t>
      </w:r>
      <w:r>
        <w:t xml:space="preserve">all</w:t>
      </w:r>
      <w:r>
        <w:t xml:space="preserve"> </w:t>
      </w:r>
      <w:r>
        <w:t xml:space="preserve">compliance units through</w:t>
      </w:r>
      <w:r>
        <w:t xml:space="preserve"> </w:t>
      </w:r>
      <w:r>
        <w:t xml:space="preserve">regular ETS auctions or</w:t>
      </w:r>
      <w:r>
        <w:t xml:space="preserve"> </w:t>
      </w:r>
      <w:r>
        <w:t xml:space="preserve">the secondary market</w:t>
      </w:r>
      <w:r>
        <w:t xml:space="preserve"> </w:t>
      </w:r>
      <w:r>
        <w:t xml:space="preserve">Economic /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58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 and</w:t>
      </w:r>
      <w:r>
        <w:t xml:space="preserve"> </w:t>
      </w:r>
      <w:r>
        <w:t xml:space="preserve">budgets</w:t>
      </w:r>
      <w:r>
        <w:t xml:space="preserve"> </w:t>
      </w:r>
      <w:r>
        <w:t xml:space="preserve">Low direct EU ETS</w:t>
      </w:r>
      <w:r>
        <w:t xml:space="preserve"> </w:t>
      </w:r>
      <w:r>
        <w:t xml:space="preserve">costs for the regulator</w:t>
      </w:r>
      <w:r>
        <w:t xml:space="preserve"> </w:t>
      </w:r>
      <w:r>
        <w:t xml:space="preserve">compared to CR4 and</w:t>
      </w:r>
      <w:r>
        <w:t xml:space="preserve"> </w:t>
      </w:r>
      <w:r>
        <w:t xml:space="preserve">CR5,</w:t>
      </w:r>
      <w:r>
        <w:t xml:space="preserve"> </w:t>
      </w:r>
      <w:r>
        <w:t xml:space="preserve">but</w:t>
      </w:r>
      <w:r>
        <w:t xml:space="preserve"> </w:t>
      </w:r>
      <w:r>
        <w:t xml:space="preserve">requires</w:t>
      </w:r>
      <w:r>
        <w:t xml:space="preserve"> </w:t>
      </w:r>
      <w:r>
        <w:t xml:space="preserve">public investments in</w:t>
      </w:r>
      <w:r>
        <w:t xml:space="preserve"> </w:t>
      </w:r>
      <w:r>
        <w:t xml:space="preserve">CDR</w:t>
      </w:r>
      <w:r>
        <w:t xml:space="preserve"> </w:t>
      </w:r>
      <w:r>
        <w:t xml:space="preserve">through</w:t>
      </w:r>
      <w:r>
        <w:t xml:space="preserve"> </w:t>
      </w:r>
      <w:r>
        <w:t xml:space="preserve">other</w:t>
      </w:r>
      <w:r>
        <w:t xml:space="preserve"> </w:t>
      </w:r>
      <w:r>
        <w:t xml:space="preserve">policies.</w:t>
      </w:r>
      <w:r>
        <w:br/>
      </w:r>
      <w:r>
        <w:t xml:space="preserve">Low direct EU ETS</w:t>
      </w:r>
      <w:r>
        <w:t xml:space="preserve"> </w:t>
      </w:r>
      <w:r>
        <w:t xml:space="preserve">costs for the regulator</w:t>
      </w:r>
      <w:r>
        <w:t xml:space="preserve"> </w:t>
      </w:r>
      <w:r>
        <w:t xml:space="preserve">compared to CR4 and</w:t>
      </w:r>
      <w:r>
        <w:t xml:space="preserve"> </w:t>
      </w:r>
      <w:r>
        <w:t xml:space="preserve">CR5,</w:t>
      </w:r>
      <w:r>
        <w:t xml:space="preserve"> </w:t>
      </w:r>
      <w:r>
        <w:t xml:space="preserve">but</w:t>
      </w:r>
      <w:r>
        <w:t xml:space="preserve"> </w:t>
      </w:r>
      <w:r>
        <w:t xml:space="preserve">requires</w:t>
      </w:r>
      <w:r>
        <w:t xml:space="preserve"> </w:t>
      </w:r>
      <w:r>
        <w:t xml:space="preserve">public investments in</w:t>
      </w:r>
      <w:r>
        <w:t xml:space="preserve"> </w:t>
      </w:r>
      <w:r>
        <w:t xml:space="preserve">CDR</w:t>
      </w:r>
      <w:r>
        <w:t xml:space="preserve"> </w:t>
      </w:r>
      <w:r>
        <w:t xml:space="preserve">through</w:t>
      </w:r>
      <w:r>
        <w:t xml:space="preserve"> </w:t>
      </w:r>
      <w:r>
        <w:t xml:space="preserve">other</w:t>
      </w:r>
      <w:r>
        <w:t xml:space="preserve"> </w:t>
      </w:r>
      <w:r>
        <w:t xml:space="preserve">policies</w:t>
      </w:r>
      <w:r>
        <w:t xml:space="preserve"> </w:t>
      </w:r>
      <w:r>
        <w:t xml:space="preserve">Low direct EU ETS costs for</w:t>
      </w:r>
      <w:r>
        <w:t xml:space="preserve"> </w:t>
      </w:r>
      <w:r>
        <w:t xml:space="preserve">the regulator compared to</w:t>
      </w:r>
      <w:r>
        <w:t xml:space="preserve"> </w:t>
      </w:r>
      <w:r>
        <w:t xml:space="preserve">CR4 and CR5, but requires</w:t>
      </w:r>
      <w:r>
        <w:t xml:space="preserve"> </w:t>
      </w:r>
      <w:r>
        <w:t xml:space="preserve">public investments in CDR</w:t>
      </w:r>
      <w:r>
        <w:t xml:space="preserve"> </w:t>
      </w:r>
      <w:r>
        <w:t xml:space="preserve">through other policies</w:t>
      </w:r>
    </w:p>
    <w:p>
      <w:pPr>
        <w:pStyle w:val="BodyText"/>
      </w:pPr>
      <w:r>
        <w:t xml:space="preserve">Initial reduction in scarcity</w:t>
      </w:r>
      <w:r>
        <w:t xml:space="preserve"> </w:t>
      </w:r>
      <w:r>
        <w:t xml:space="preserve">could increase pressure on</w:t>
      </w:r>
      <w:r>
        <w:t xml:space="preserve"> </w:t>
      </w:r>
      <w:r>
        <w:t xml:space="preserve">regulator in ensuring target</w:t>
      </w:r>
      <w:r>
        <w:t xml:space="preserve"> </w:t>
      </w:r>
      <w:r>
        <w:t xml:space="preserve">achievement.</w:t>
      </w:r>
      <w:r>
        <w:br/>
      </w:r>
      <w:r>
        <w:t xml:space="preserve">High direct EU ETS costs for</w:t>
      </w:r>
      <w:r>
        <w:t xml:space="preserve"> </w:t>
      </w:r>
      <w:r>
        <w:t xml:space="preserve">the regulator compared to CR4</w:t>
      </w:r>
      <w:r>
        <w:t xml:space="preserve"> </w:t>
      </w:r>
      <w:r>
        <w:t xml:space="preserve">and CR5, but relieves the need</w:t>
      </w:r>
      <w:r>
        <w:t xml:space="preserve"> </w:t>
      </w:r>
      <w:r>
        <w:t xml:space="preserve">for</w:t>
      </w:r>
      <w:r>
        <w:t xml:space="preserve"> </w:t>
      </w:r>
      <w:r>
        <w:t xml:space="preserve">equivalent</w:t>
      </w:r>
      <w:r>
        <w:t xml:space="preserve"> </w:t>
      </w:r>
      <w:r>
        <w:t xml:space="preserve">public</w:t>
      </w:r>
      <w:r>
        <w:t xml:space="preserve"> </w:t>
      </w:r>
      <w:r>
        <w:t xml:space="preserve">investments</w:t>
      </w:r>
      <w:r>
        <w:t xml:space="preserve"> </w:t>
      </w:r>
      <w:r>
        <w:t xml:space="preserve">through</w:t>
      </w:r>
      <w:r>
        <w:t xml:space="preserve"> </w:t>
      </w:r>
      <w:r>
        <w:t xml:space="preserve">other</w:t>
      </w:r>
      <w:r>
        <w:t xml:space="preserve"> </w:t>
      </w:r>
      <w:r>
        <w:t xml:space="preserve">policies for CDR integration in</w:t>
      </w:r>
      <w:r>
        <w:t xml:space="preserve"> </w:t>
      </w:r>
      <w:r>
        <w:t xml:space="preserve">the ETS.</w:t>
      </w:r>
    </w:p>
    <w:p>
      <w:pPr>
        <w:pStyle w:val="BodyText"/>
      </w:pPr>
      <w:r>
        <w:t xml:space="preserve">Possibility of recouping some</w:t>
      </w:r>
      <w:r>
        <w:t xml:space="preserve"> </w:t>
      </w:r>
      <w:r>
        <w:t xml:space="preserve">of the CDR purchase costs</w:t>
      </w:r>
      <w:r>
        <w:t xml:space="preserve"> </w:t>
      </w:r>
      <w:r>
        <w:t xml:space="preserve">through allowance auctions</w:t>
      </w:r>
      <w:r>
        <w:br/>
      </w:r>
      <w:r>
        <w:t xml:space="preserve">High direct EU ETS costs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regulator</w:t>
      </w:r>
      <w:r>
        <w:t xml:space="preserve"> </w:t>
      </w:r>
      <w:r>
        <w:t xml:space="preserve">compared to CR4 and</w:t>
      </w:r>
      <w:r>
        <w:t xml:space="preserve"> </w:t>
      </w:r>
      <w:r>
        <w:t xml:space="preserve">CR5, but relieves the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investments</w:t>
      </w:r>
      <w:r>
        <w:t xml:space="preserve"> </w:t>
      </w:r>
      <w:r>
        <w:t xml:space="preserve">in</w:t>
      </w:r>
      <w:r>
        <w:t xml:space="preserve"> </w:t>
      </w:r>
      <w:r>
        <w:t xml:space="preserve">CDR</w:t>
      </w:r>
      <w:r>
        <w:t xml:space="preserve"> </w:t>
      </w:r>
      <w:r>
        <w:t xml:space="preserve">through other policies.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of</w:t>
      </w:r>
      <w:r>
        <w:t xml:space="preserve"> </w:t>
      </w:r>
      <w:r>
        <w:t xml:space="preserve">recouping CDR purchase</w:t>
      </w:r>
      <w:r>
        <w:t xml:space="preserve"> </w:t>
      </w:r>
      <w:r>
        <w:t xml:space="preserve">costs through allowance</w:t>
      </w:r>
      <w:r>
        <w:t xml:space="preserve"> </w:t>
      </w:r>
      <w:r>
        <w:t xml:space="preserve">auctions</w:t>
      </w:r>
      <w:r>
        <w:br/>
      </w:r>
      <w:r>
        <w:t xml:space="preserve">Target:</w:t>
      </w:r>
      <w:r>
        <w:t xml:space="preserve"> </w:t>
      </w:r>
      <w:r>
        <w:t xml:space="preserve">environmental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Certainty</w:t>
      </w:r>
      <w:r>
        <w:t xml:space="preserve"> </w:t>
      </w:r>
      <w:r>
        <w:t xml:space="preserve">on</w:t>
      </w:r>
      <w:r>
        <w:t xml:space="preserve"> </w:t>
      </w:r>
      <w:r>
        <w:t xml:space="preserve">net</w:t>
      </w:r>
      <w:r>
        <w:t xml:space="preserve"> </w:t>
      </w:r>
      <w:r>
        <w:t xml:space="preserve">emissions</w:t>
      </w:r>
      <w:r>
        <w:t xml:space="preserve"> </w:t>
      </w:r>
      <w:r>
        <w:t xml:space="preserve">(baseline</w:t>
      </w:r>
      <w:r>
        <w:t xml:space="preserve"> </w:t>
      </w:r>
      <w:r>
        <w:t xml:space="preserve">conventional</w:t>
      </w:r>
      <w:r>
        <w:t xml:space="preserve"> </w:t>
      </w:r>
      <w:r>
        <w:t xml:space="preserve">allowances).</w:t>
      </w:r>
      <w:r>
        <w:t xml:space="preserve"> </w:t>
      </w:r>
      <w:r>
        <w:t xml:space="preserve">Gross</w:t>
      </w:r>
      <w:r>
        <w:t xml:space="preserve"> </w:t>
      </w:r>
      <w:r>
        <w:t xml:space="preserve">emissions can increase</w:t>
      </w:r>
      <w:r>
        <w:t xml:space="preserve"> </w:t>
      </w:r>
      <w:r>
        <w:t xml:space="preserve">up to the limit.</w:t>
      </w:r>
    </w:p>
    <w:p>
      <w:pPr>
        <w:pStyle w:val="BodyText"/>
      </w:pPr>
      <w:r>
        <w:t xml:space="preserve">Abatement and CDR</w:t>
      </w:r>
      <w:r>
        <w:t xml:space="preserve"> </w:t>
      </w:r>
      <w:r>
        <w:t xml:space="preserve">cost competition up to</w:t>
      </w:r>
      <w:r>
        <w:t xml:space="preserve"> </w:t>
      </w:r>
      <w:r>
        <w:t xml:space="preserve">the limit.</w:t>
      </w:r>
    </w:p>
    <w:p>
      <w:pPr>
        <w:pStyle w:val="BodyText"/>
      </w:pPr>
      <w:r>
        <w:t xml:space="preserve">Moderate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abatement deterrence</w:t>
      </w:r>
      <w:r>
        <w:t xml:space="preserve"> </w:t>
      </w:r>
      <w:r>
        <w:t xml:space="preserve">Little effective support</w:t>
      </w:r>
      <w:r>
        <w:t xml:space="preserve"> </w:t>
      </w:r>
      <w:r>
        <w:t xml:space="preserve">to CDR development</w:t>
      </w:r>
      <w:r>
        <w:t xml:space="preserve"> </w:t>
      </w:r>
      <w:r>
        <w:t xml:space="preserve">absent other policies.</w:t>
      </w:r>
      <w:r>
        <w:br/>
      </w:r>
      <w:r>
        <w:t xml:space="preserve">0/+</w:t>
      </w:r>
    </w:p>
    <w:p>
      <w:pPr>
        <w:pStyle w:val="BodyText"/>
      </w:pPr>
      <w:r>
        <w:t xml:space="preserve">Certainty</w:t>
      </w:r>
      <w:r>
        <w:t xml:space="preserve"> </w:t>
      </w:r>
      <w:r>
        <w:t xml:space="preserve">on</w:t>
      </w:r>
      <w:r>
        <w:t xml:space="preserve"> </w:t>
      </w:r>
      <w:r>
        <w:t xml:space="preserve">net</w:t>
      </w:r>
      <w:r>
        <w:t xml:space="preserve"> </w:t>
      </w:r>
      <w:r>
        <w:t xml:space="preserve">emissions</w:t>
      </w:r>
      <w:r>
        <w:t xml:space="preserve"> </w:t>
      </w:r>
      <w:r>
        <w:t xml:space="preserve">(baseline</w:t>
      </w:r>
      <w:r>
        <w:t xml:space="preserve"> </w:t>
      </w:r>
      <w:r>
        <w:t xml:space="preserve">conventional</w:t>
      </w:r>
      <w:r>
        <w:t xml:space="preserve"> </w:t>
      </w:r>
      <w:r>
        <w:t xml:space="preserve">allowances).</w:t>
      </w:r>
      <w:r>
        <w:t xml:space="preserve"> </w:t>
      </w:r>
      <w:r>
        <w:t xml:space="preserve">Gross</w:t>
      </w:r>
      <w:r>
        <w:t xml:space="preserve"> </w:t>
      </w:r>
      <w:r>
        <w:t xml:space="preserve">emissions can increase</w:t>
      </w:r>
      <w:r>
        <w:t xml:space="preserve"> </w:t>
      </w:r>
      <w:r>
        <w:t xml:space="preserve">without limit.</w:t>
      </w:r>
    </w:p>
    <w:p>
      <w:pPr>
        <w:pStyle w:val="BodyText"/>
      </w:pPr>
      <w:r>
        <w:t xml:space="preserve">Abatement and CDR</w:t>
      </w:r>
      <w:r>
        <w:t xml:space="preserve"> </w:t>
      </w:r>
      <w:r>
        <w:t xml:space="preserve">cost competition</w:t>
      </w:r>
    </w:p>
    <w:p>
      <w:pPr>
        <w:pStyle w:val="BodyText"/>
      </w:pP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significant</w:t>
      </w:r>
      <w:r>
        <w:t xml:space="preserve"> </w:t>
      </w:r>
      <w:r>
        <w:t xml:space="preserve">abatement deterrence</w:t>
      </w:r>
    </w:p>
    <w:p>
      <w:pPr>
        <w:pStyle w:val="BodyText"/>
      </w:pPr>
      <w:r>
        <w:t xml:space="preserve">Little effective support</w:t>
      </w:r>
      <w:r>
        <w:t xml:space="preserve"> </w:t>
      </w:r>
      <w:r>
        <w:t xml:space="preserve">to CDR development</w:t>
      </w:r>
    </w:p>
    <w:p>
      <w:pPr>
        <w:pStyle w:val="BodyText"/>
      </w:pPr>
      <w:r>
        <w:t xml:space="preserve">-0/+</w:t>
      </w:r>
    </w:p>
    <w:p>
      <w:pPr>
        <w:pStyle w:val="BodyText"/>
      </w:pPr>
      <w:r>
        <w:t xml:space="preserve">Uncertainty</w:t>
      </w:r>
      <w:r>
        <w:t xml:space="preserve"> </w:t>
      </w:r>
      <w:r>
        <w:t xml:space="preserve">on</w:t>
      </w:r>
      <w:r>
        <w:t xml:space="preserve"> </w:t>
      </w:r>
      <w:r>
        <w:t xml:space="preserve">net</w:t>
      </w:r>
      <w:r>
        <w:t xml:space="preserve"> </w:t>
      </w:r>
      <w:r>
        <w:t xml:space="preserve">emissions.</w:t>
      </w:r>
      <w:r>
        <w:t xml:space="preserve"> </w:t>
      </w:r>
      <w:r>
        <w:t xml:space="preserve">Use of CDR reduces net</w:t>
      </w:r>
      <w:r>
        <w:t xml:space="preserve"> </w:t>
      </w:r>
      <w:r>
        <w:t xml:space="preserve">emissions,</w:t>
      </w:r>
      <w:r>
        <w:t xml:space="preserve"> </w:t>
      </w:r>
      <w:r>
        <w:t xml:space="preserve">but</w:t>
      </w:r>
      <w:r>
        <w:t xml:space="preserve"> </w:t>
      </w:r>
      <w:r>
        <w:t xml:space="preserve">pre-</w:t>
      </w:r>
      <w:r>
        <w:t xml:space="preserve"> </w:t>
      </w:r>
      <w:r>
        <w:t xml:space="preserve">increased</w:t>
      </w:r>
      <w:r>
        <w:t xml:space="preserve"> </w:t>
      </w:r>
      <w:r>
        <w:t xml:space="preserve">volume</w:t>
      </w:r>
      <w:r>
        <w:t xml:space="preserve"> </w:t>
      </w:r>
      <w:r>
        <w:t xml:space="preserve">of</w:t>
      </w:r>
      <w:r>
        <w:t xml:space="preserve"> </w:t>
      </w:r>
      <w:r>
        <w:t xml:space="preserve">allowances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uncertainty in net target.</w:t>
      </w:r>
      <w:r>
        <w:t xml:space="preserve"> </w:t>
      </w:r>
      <w:r>
        <w:t xml:space="preserve">Gross emissions rise to the</w:t>
      </w:r>
      <w:r>
        <w:t xml:space="preserve"> </w:t>
      </w:r>
      <w:r>
        <w:t xml:space="preserve">increased allowance volume</w:t>
      </w:r>
      <w:r>
        <w:t xml:space="preserve"> </w:t>
      </w:r>
      <w:r>
        <w:t xml:space="preserve">(certainty)</w:t>
      </w:r>
    </w:p>
    <w:p>
      <w:pPr>
        <w:pStyle w:val="BodyText"/>
      </w:pPr>
      <w:r>
        <w:t xml:space="preserve">Detrimental</w:t>
      </w:r>
      <w:r>
        <w:t xml:space="preserve"> </w:t>
      </w:r>
      <w:r>
        <w:t xml:space="preserve">effects</w:t>
      </w:r>
      <w:r>
        <w:t xml:space="preserve"> </w:t>
      </w:r>
      <w:r>
        <w:t xml:space="preserve">of</w:t>
      </w:r>
      <w:r>
        <w:t xml:space="preserve"> </w:t>
      </w:r>
      <w:r>
        <w:t xml:space="preserve">reduced allowance price due</w:t>
      </w:r>
      <w:r>
        <w:t xml:space="preserve"> </w:t>
      </w:r>
      <w:r>
        <w:t xml:space="preserve">to lower scarcity</w:t>
      </w:r>
      <w:r>
        <w:t xml:space="preserve"> </w:t>
      </w:r>
      <w:r>
        <w:t xml:space="preserve">Abatement and CDR cost</w:t>
      </w:r>
      <w:r>
        <w:t xml:space="preserve"> </w:t>
      </w:r>
      <w:r>
        <w:t xml:space="preserve">competition up to the limit</w:t>
      </w:r>
      <w:r>
        <w:t xml:space="preserve"> </w:t>
      </w:r>
      <w:r>
        <w:t xml:space="preserve">Little effective support to</w:t>
      </w:r>
      <w:r>
        <w:t xml:space="preserve"> </w:t>
      </w:r>
      <w:r>
        <w:t xml:space="preserve">CDR development.</w:t>
      </w:r>
      <w:r>
        <w:br/>
      </w:r>
      <w:r>
        <w:t xml:space="preserve">++</w:t>
      </w:r>
    </w:p>
    <w:p>
      <w:pPr>
        <w:pStyle w:val="BodyText"/>
      </w:pPr>
      <w:r>
        <w:t xml:space="preserve">Certainty on net emissions</w:t>
      </w:r>
      <w:r>
        <w:t xml:space="preserve"> </w:t>
      </w:r>
      <w:r>
        <w:t xml:space="preserve">(baseline</w:t>
      </w:r>
      <w:r>
        <w:t xml:space="preserve"> </w:t>
      </w:r>
      <w:r>
        <w:t xml:space="preserve">conventional</w:t>
      </w:r>
      <w:r>
        <w:t xml:space="preserve"> </w:t>
      </w:r>
      <w:r>
        <w:t xml:space="preserve">allowances),</w:t>
      </w:r>
      <w:r>
        <w:t xml:space="preserve"> </w:t>
      </w:r>
      <w:r>
        <w:t xml:space="preserve">assuming</w:t>
      </w:r>
      <w:r>
        <w:t xml:space="preserve"> </w:t>
      </w:r>
      <w:r>
        <w:t xml:space="preserve">the</w:t>
      </w:r>
      <w:r>
        <w:t xml:space="preserve"> </w:t>
      </w:r>
      <w:r>
        <w:t xml:space="preserve">purchasing</w:t>
      </w:r>
      <w:r>
        <w:t xml:space="preserve"> </w:t>
      </w:r>
      <w:r>
        <w:t xml:space="preserve">programme’s</w:t>
      </w:r>
      <w:r>
        <w:t xml:space="preserve"> </w:t>
      </w:r>
      <w:r>
        <w:t xml:space="preserve">endowment</w:t>
      </w:r>
      <w:r>
        <w:t xml:space="preserve"> </w:t>
      </w:r>
      <w:r>
        <w:t xml:space="preserve">is</w:t>
      </w:r>
      <w:r>
        <w:t xml:space="preserve"> </w:t>
      </w:r>
      <w:r>
        <w:t xml:space="preserve">calculated</w:t>
      </w:r>
      <w:r>
        <w:t xml:space="preserve"> </w:t>
      </w:r>
      <w:r>
        <w:t xml:space="preserve">correctly and is sufficient.</w:t>
      </w:r>
      <w:r>
        <w:t xml:space="preserve"> </w:t>
      </w:r>
      <w:r>
        <w:t xml:space="preserve">Gross emissions increase up to</w:t>
      </w:r>
      <w:r>
        <w:t xml:space="preserve"> </w:t>
      </w:r>
      <w:r>
        <w:t xml:space="preserve">the limit (certainty).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competition</w:t>
      </w:r>
      <w:r>
        <w:t xml:space="preserve"> </w:t>
      </w:r>
      <w:r>
        <w:t xml:space="preserve">between</w:t>
      </w:r>
      <w:r>
        <w:t xml:space="preserve"> </w:t>
      </w:r>
      <w:r>
        <w:t xml:space="preserve">abatement and CDR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abatement</w:t>
      </w:r>
      <w:r>
        <w:t xml:space="preserve"> </w:t>
      </w:r>
      <w:r>
        <w:t xml:space="preserve">deterrence.</w:t>
      </w:r>
      <w:r>
        <w:br/>
      </w:r>
      <w:r>
        <w:t xml:space="preserve">Effective support to CDR</w:t>
      </w:r>
      <w:r>
        <w:t xml:space="preserve"> </w:t>
      </w:r>
      <w:r>
        <w:t xml:space="preserve">development.</w:t>
      </w:r>
    </w:p>
    <w:p>
      <w:pPr>
        <w:pStyle w:val="FirstParagraph"/>
      </w:pPr>
      <w:r>
        <w:t xml:space="preserve">Certainty</w:t>
      </w:r>
      <w:r>
        <w:t xml:space="preserve"> </w:t>
      </w:r>
      <w:r>
        <w:t xml:space="preserve">on</w:t>
      </w:r>
      <w:r>
        <w:t xml:space="preserve"> </w:t>
      </w:r>
      <w:r>
        <w:t xml:space="preserve">net</w:t>
      </w:r>
      <w:r>
        <w:t xml:space="preserve"> </w:t>
      </w:r>
      <w:r>
        <w:t xml:space="preserve">emissions.</w:t>
      </w:r>
    </w:p>
    <w:p>
      <w:pPr>
        <w:pStyle w:val="BodyText"/>
      </w:pPr>
      <w:r>
        <w:t xml:space="preserve">Gross</w:t>
      </w:r>
      <w:r>
        <w:t xml:space="preserve"> </w:t>
      </w:r>
      <w:r>
        <w:t xml:space="preserve">emissions can increase up</w:t>
      </w:r>
      <w:r>
        <w:t xml:space="preserve"> </w:t>
      </w:r>
      <w:r>
        <w:t xml:space="preserve">to the limit (if MSR</w:t>
      </w:r>
      <w:r>
        <w:t xml:space="preserve"> </w:t>
      </w:r>
      <w:r>
        <w:t xml:space="preserve">triggers are reached)</w:t>
      </w:r>
    </w:p>
    <w:p>
      <w:pPr>
        <w:pStyle w:val="BodyText"/>
      </w:pPr>
      <w:r>
        <w:t xml:space="preserve">No competition between</w:t>
      </w:r>
      <w:r>
        <w:t xml:space="preserve"> </w:t>
      </w:r>
      <w:r>
        <w:t xml:space="preserve">abatement and CDR</w:t>
      </w:r>
    </w:p>
    <w:p>
      <w:pPr>
        <w:pStyle w:val="BodyText"/>
      </w:pPr>
      <w:r>
        <w:t xml:space="preserve">Low risk of abatement</w:t>
      </w:r>
      <w:r>
        <w:t xml:space="preserve"> </w:t>
      </w:r>
      <w:r>
        <w:t xml:space="preserve">deterrence.</w:t>
      </w:r>
    </w:p>
    <w:p>
      <w:pPr>
        <w:pStyle w:val="BodyText"/>
      </w:pPr>
      <w:r>
        <w:t xml:space="preserve">Effective support to CDR</w:t>
      </w:r>
      <w:r>
        <w:t xml:space="preserve"> </w:t>
      </w:r>
      <w:r>
        <w:t xml:space="preserve">development.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Operators bear CDR</w:t>
      </w:r>
      <w:r>
        <w:t xml:space="preserve"> </w:t>
      </w:r>
      <w:r>
        <w:t xml:space="preserve">risk.</w:t>
      </w:r>
    </w:p>
    <w:p>
      <w:pPr>
        <w:pStyle w:val="BodyText"/>
      </w:pPr>
      <w:r>
        <w:t xml:space="preserve">Operators bear CDR</w:t>
      </w:r>
      <w:r>
        <w:t xml:space="preserve"> </w:t>
      </w:r>
      <w:r>
        <w:t xml:space="preserve">risk.</w:t>
      </w:r>
    </w:p>
    <w:p>
      <w:pPr>
        <w:pStyle w:val="BodyText"/>
      </w:pPr>
      <w:r>
        <w:t xml:space="preserve">Operators bear CDR risk re</w:t>
      </w:r>
      <w:r>
        <w:t xml:space="preserve"> </w:t>
      </w:r>
      <w:r>
        <w:t xml:space="preserve">price impact, but not in</w:t>
      </w:r>
      <w:r>
        <w:t xml:space="preserve"> </w:t>
      </w:r>
      <w:r>
        <w:t xml:space="preserve">terms of emissions space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Biomass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Very</w:t>
      </w:r>
      <w:r>
        <w:t xml:space="preserve"> </w:t>
      </w:r>
      <w:r>
        <w:t xml:space="preserve">low</w:t>
      </w:r>
      <w:r>
        <w:t xml:space="preserve"> </w:t>
      </w:r>
      <w:r>
        <w:t xml:space="preserve">effective</w:t>
      </w:r>
      <w:r>
        <w:t xml:space="preserve"> </w:t>
      </w:r>
      <w:r>
        <w:t xml:space="preserve">demand</w:t>
      </w:r>
      <w:r>
        <w:t xml:space="preserve"> </w:t>
      </w:r>
      <w:r>
        <w:t xml:space="preserve">in</w:t>
      </w:r>
      <w:r>
        <w:t xml:space="preserve"> </w:t>
      </w:r>
      <w:r>
        <w:t xml:space="preserve">medium</w:t>
      </w:r>
      <w:r>
        <w:t xml:space="preserve"> </w:t>
      </w:r>
      <w:r>
        <w:t xml:space="preserve">term in absence of other</w:t>
      </w:r>
      <w:r>
        <w:t xml:space="preserve"> </w:t>
      </w:r>
      <w:r>
        <w:t xml:space="preserve">CDR support policies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Very</w:t>
      </w:r>
      <w:r>
        <w:t xml:space="preserve"> </w:t>
      </w:r>
      <w:r>
        <w:t xml:space="preserve">low</w:t>
      </w:r>
      <w:r>
        <w:t xml:space="preserve"> </w:t>
      </w:r>
      <w:r>
        <w:t xml:space="preserve">effective</w:t>
      </w:r>
      <w:r>
        <w:t xml:space="preserve"> </w:t>
      </w:r>
      <w:r>
        <w:t xml:space="preserve">demand</w:t>
      </w:r>
      <w:r>
        <w:t xml:space="preserve"> </w:t>
      </w:r>
      <w:r>
        <w:t xml:space="preserve">in</w:t>
      </w:r>
      <w:r>
        <w:t xml:space="preserve"> </w:t>
      </w:r>
      <w:r>
        <w:t xml:space="preserve">medium</w:t>
      </w:r>
      <w:r>
        <w:t xml:space="preserve"> </w:t>
      </w:r>
      <w:r>
        <w:t xml:space="preserve">term in absence of other</w:t>
      </w:r>
      <w:r>
        <w:t xml:space="preserve"> </w:t>
      </w:r>
      <w:r>
        <w:t xml:space="preserve">CDR support policies</w:t>
      </w:r>
    </w:p>
    <w:p>
      <w:pPr>
        <w:pStyle w:val="BodyText"/>
      </w:pPr>
      <w:r>
        <w:t xml:space="preserve">Lack of limit to CDR</w:t>
      </w:r>
      <w:r>
        <w:t xml:space="preserve"> </w:t>
      </w:r>
      <w:r>
        <w:t xml:space="preserve">supply once removal</w:t>
      </w:r>
      <w:r>
        <w:t xml:space="preserve"> </w:t>
      </w:r>
      <w:r>
        <w:t xml:space="preserve">units</w:t>
      </w:r>
      <w:r>
        <w:t xml:space="preserve"> </w:t>
      </w:r>
      <w:r>
        <w:t xml:space="preserve">are</w:t>
      </w:r>
      <w:r>
        <w:t xml:space="preserve"> </w:t>
      </w:r>
      <w:r>
        <w:t xml:space="preserve">cost-</w:t>
      </w:r>
      <w:r>
        <w:t xml:space="preserve"> </w:t>
      </w:r>
      <w:r>
        <w:t xml:space="preserve">competitive.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Very low effective demand</w:t>
      </w:r>
      <w:r>
        <w:t xml:space="preserve"> </w:t>
      </w:r>
      <w:r>
        <w:t xml:space="preserve">in medium term in absence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CDR</w:t>
      </w:r>
      <w:r>
        <w:t xml:space="preserve"> </w:t>
      </w:r>
      <w:r>
        <w:t xml:space="preserve">support</w:t>
      </w:r>
      <w:r>
        <w:t xml:space="preserve"> </w:t>
      </w:r>
      <w:r>
        <w:t xml:space="preserve">policies</w:t>
      </w:r>
    </w:p>
    <w:p>
      <w:pPr>
        <w:pStyle w:val="BodyText"/>
      </w:pPr>
      <w:r>
        <w:t xml:space="preserve">ETS price reduction from</w:t>
      </w:r>
      <w:r>
        <w:t xml:space="preserve"> </w:t>
      </w:r>
      <w:r>
        <w:t xml:space="preserve">reduced scarcity could make</w:t>
      </w:r>
      <w:r>
        <w:t xml:space="preserve"> </w:t>
      </w:r>
      <w:r>
        <w:t xml:space="preserve">bioCCS less competitive in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CDR</w:t>
      </w:r>
      <w:r>
        <w:t xml:space="preserve"> </w:t>
      </w:r>
      <w:r>
        <w:t xml:space="preserve">support policies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Regulator demand for CDR</w:t>
      </w:r>
      <w:r>
        <w:t xml:space="preserve"> </w:t>
      </w:r>
      <w:r>
        <w:t xml:space="preserve">units increases demand for</w:t>
      </w:r>
      <w:r>
        <w:t xml:space="preserve"> </w:t>
      </w:r>
      <w:r>
        <w:t xml:space="preserve">biomass, although the regulator</w:t>
      </w:r>
      <w:r>
        <w:t xml:space="preserve"> </w:t>
      </w:r>
      <w:r>
        <w:t xml:space="preserve">can decide how much BioCCS</w:t>
      </w:r>
      <w:r>
        <w:t xml:space="preserve"> </w:t>
      </w:r>
      <w:r>
        <w:t xml:space="preserve">it will buy</w:t>
      </w:r>
    </w:p>
    <w:p>
      <w:pPr>
        <w:pStyle w:val="BodyText"/>
      </w:pPr>
      <w:r>
        <w:t xml:space="preserve">–</w:t>
      </w:r>
    </w:p>
    <w:p>
      <w:pPr>
        <w:pStyle w:val="BodyText"/>
      </w:pPr>
      <w:r>
        <w:t xml:space="preserve">Regulator demand for</w:t>
      </w:r>
      <w:r>
        <w:t xml:space="preserve"> </w:t>
      </w:r>
      <w:r>
        <w:t xml:space="preserve">CDR</w:t>
      </w:r>
      <w:r>
        <w:t xml:space="preserve"> </w:t>
      </w:r>
      <w:r>
        <w:t xml:space="preserve">units</w:t>
      </w:r>
      <w:r>
        <w:t xml:space="preserve"> </w:t>
      </w:r>
      <w:r>
        <w:t xml:space="preserve">increases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biomass,</w:t>
      </w:r>
      <w:r>
        <w:t xml:space="preserve"> </w:t>
      </w:r>
      <w:r>
        <w:t xml:space="preserve">although the regulator</w:t>
      </w:r>
      <w:r>
        <w:t xml:space="preserve"> </w:t>
      </w:r>
      <w:r>
        <w:t xml:space="preserve">can decide how much</w:t>
      </w:r>
      <w:r>
        <w:t xml:space="preserve"> </w:t>
      </w:r>
      <w:r>
        <w:t xml:space="preserve">BioCCS it will buy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The inclusion of CDR in the EU ETS entails a complex set of variables and decisions, with</w:t>
      </w:r>
      <w:r>
        <w:t xml:space="preserve"> </w:t>
      </w:r>
      <w:r>
        <w:t xml:space="preserve">wide-ranging impacts and trade-offs. None of the questions and design considerations</w:t>
      </w:r>
      <w:r>
        <w:t xml:space="preserve"> </w:t>
      </w:r>
      <w:r>
        <w:t xml:space="preserve">considered here have obvious or undebatable solutions. CDR is a nascent industry with varied</w:t>
      </w:r>
      <w:r>
        <w:t xml:space="preserve"> </w:t>
      </w:r>
      <w:r>
        <w:t xml:space="preserve">price and volume projections. This results in a risk of not assessing correctly the size of the</w:t>
      </w:r>
      <w:r>
        <w:t xml:space="preserve"> </w:t>
      </w:r>
      <w:r>
        <w:t xml:space="preserve">removals cap increases and support measures, which is relevant for all options – what differs</w:t>
      </w:r>
      <w:r>
        <w:t xml:space="preserve"> </w:t>
      </w:r>
      <w:r>
        <w:t xml:space="preserve">is the consequence, which can be either missing the gross or net target.</w:t>
      </w:r>
      <w:r>
        <w:t xml:space="preserve"> </w:t>
      </w:r>
      <w:r>
        <w:t xml:space="preserve">The baseline measure ‘no integration of removals’ is not considered for inclusion in the policy</w:t>
      </w:r>
      <w:r>
        <w:t xml:space="preserve"> </w:t>
      </w:r>
      <w:r>
        <w:t xml:space="preserve">options because the premise of this impact assessment is that the EU ETS sectors should, as</w:t>
      </w:r>
      <w:r>
        <w:t xml:space="preserve"> </w:t>
      </w:r>
      <w:r>
        <w:t xml:space="preserve">polluters, fully pay or at least contribute to the cost the additional emissions space provided</w:t>
      </w:r>
      <w:r>
        <w:t xml:space="preserve"> </w:t>
      </w:r>
      <w:r>
        <w:t xml:space="preserve">under the cap due to the generation of removals. In addition, this impact assessment considers</w:t>
      </w:r>
      <w:r>
        <w:t xml:space="preserve"> </w:t>
      </w:r>
      <w:r>
        <w:t xml:space="preserve">measures that ensure the ETS’s net contribution to emissions reductions. No integration, as a</w:t>
      </w:r>
      <w:r>
        <w:t xml:space="preserve"> </w:t>
      </w:r>
      <w:r>
        <w:t xml:space="preserve">result, would lead to the ETS cap ultimately reaching zero if EU ETS sectors are not financing</w:t>
      </w:r>
      <w:r>
        <w:t xml:space="preserve"> </w:t>
      </w:r>
      <w:r>
        <w:t xml:space="preserve">the removals they benefit from (‘no integration with an absolute zero cap’). This measure runs</w:t>
      </w:r>
      <w:r>
        <w:t xml:space="preserve"> </w:t>
      </w:r>
      <w:r>
        <w:t xml:space="preserve">contrary to the EU’s competitiveness and the environmental objective of avoiding carbon</w:t>
      </w:r>
      <w:r>
        <w:t xml:space="preserve"> </w:t>
      </w:r>
      <w:r>
        <w:t xml:space="preserve">leakage. A ‘no integration’ measure could be combined with ‘a positive cap’, whereby</w:t>
      </w:r>
      <w:r>
        <w:t xml:space="preserve"> </w:t>
      </w:r>
      <w:r>
        <w:t xml:space="preserve">allowances are still issued and public budgets or other sectors purchase of the removals</w:t>
      </w:r>
      <w:r>
        <w:t xml:space="preserve"> </w:t>
      </w:r>
      <w:r>
        <w:t xml:space="preserve">necessary to compensate the corresponding emissions. This measure protects the EU’s</w:t>
      </w:r>
      <w:r>
        <w:t xml:space="preserve"> </w:t>
      </w:r>
      <w:r>
        <w:t xml:space="preserve">competitiveness and avoids carbon leakage. It could lead to the same costs as integration</w:t>
      </w:r>
      <w:r>
        <w:t xml:space="preserve"> </w:t>
      </w:r>
      <w:r>
        <w:t xml:space="preserve">through a public purchasing programme (CR4), as Member States would withhold all the</w:t>
      </w:r>
      <w:r>
        <w:t xml:space="preserve"> </w:t>
      </w:r>
      <w:r>
        <w:t xml:space="preserve">revenues from the auctioning of allowances (albeit lower due to the increase in supply). That</w:t>
      </w:r>
      <w:r>
        <w:t xml:space="preserve"> </w:t>
      </w:r>
      <w:r>
        <w:t xml:space="preserve">revenue could be assigned to purchase removals. However, this disconnection between</w:t>
      </w:r>
      <w:r>
        <w:t xml:space="preserve"> </w:t>
      </w:r>
      <w:r>
        <w:t xml:space="preserve">removals purchasing and the space in the cap risks breaking the link between the polluters and</w:t>
      </w:r>
      <w:r>
        <w:t xml:space="preserve"> </w:t>
      </w:r>
      <w:r>
        <w:t xml:space="preserve">the removals necessary to compensate for the additional emissions. It leads to a higher risk of</w:t>
      </w:r>
      <w:r>
        <w:t xml:space="preserve"> </w:t>
      </w:r>
      <w:r>
        <w:t xml:space="preserve">diverting public funding to competing objectives and thus not generating sufficient removals.</w:t>
      </w:r>
      <w:r>
        <w:t xml:space="preserve"> </w:t>
      </w:r>
      <w:r>
        <w:t xml:space="preserve">To maintain a clear accounting and assignment of responsibility, CR4 is preferred and no</w:t>
      </w:r>
      <w:r>
        <w:t xml:space="preserve"> </w:t>
      </w:r>
      <w:r>
        <w:t xml:space="preserve">integration with a positive cap is discarded.</w:t>
      </w:r>
      <w:r>
        <w:br/>
      </w:r>
      <w:r>
        <w:t xml:space="preserve">On balance, measure CR4 seems to provide the best combination of environmental and</w:t>
      </w:r>
      <w:r>
        <w:t xml:space="preserve"> </w:t>
      </w:r>
      <w:r>
        <w:t xml:space="preserve">economic impacts, which are the most relevant in the assessment of these measures.</w:t>
      </w:r>
      <w:r>
        <w:br/>
      </w:r>
      <w:r>
        <w:t xml:space="preserve">CR4 provides the lowest cost of compliance for ETS operators as it guarantees the gross</w:t>
      </w:r>
      <w:r>
        <w:t xml:space="preserve"> </w:t>
      </w:r>
      <w:r>
        <w:t xml:space="preserve">emissions (matched only by CR3), thus is best at avoiding carbon leakage and increasing</w:t>
      </w:r>
      <w:r>
        <w:t xml:space="preserve"> </w:t>
      </w:r>
      <w:r>
        <w:t xml:space="preserve">liquidity, with the smoothest market dynamics and without transaction cost for businesses, who</w:t>
      </w:r>
      <w:r>
        <w:t xml:space="preserve"> </w:t>
      </w:r>
      <w:r>
        <w:t xml:space="preserve">operate in the ETS market as usual purchasing only conventional allowances. At the same time,</w:t>
      </w:r>
      <w:r>
        <w:t xml:space="preserve"> </w:t>
      </w:r>
      <w:r>
        <w:t xml:space="preserve">net emissions are guaranteed -conditional on the purchasing programme being endowed with</w:t>
      </w:r>
      <w:r>
        <w:t xml:space="preserve"> </w:t>
      </w:r>
      <w:r>
        <w:t xml:space="preserve">sufficient budget and the purchasing happening according to schedule- and abatement</w:t>
      </w:r>
      <w:r>
        <w:t xml:space="preserve"> </w:t>
      </w:r>
      <w:r>
        <w:t xml:space="preserve">deterrence is only lower in CR5. While the most important downside of CR4 is the public cost,</w:t>
      </w:r>
      <w:r>
        <w:t xml:space="preserve"> </w:t>
      </w:r>
      <w:r>
        <w:t xml:space="preserve">the apparent ‘cost savings’ for the regulator from CR1, CR2 and CR3 (notably from not having</w:t>
      </w:r>
      <w:r>
        <w:t xml:space="preserve"> </w:t>
      </w:r>
      <w:r>
        <w:t xml:space="preserve">to invest into the purchase of removal units) entail risk transfers to the private sector that could</w:t>
      </w:r>
      <w:r>
        <w:t xml:space="preserve"> </w:t>
      </w:r>
      <w:r>
        <w:t xml:space="preserve">materialize as higher costs for the regulator later on, e.g. if CDR technologies do not scale as</w:t>
      </w:r>
      <w:r>
        <w:t xml:space="preserve"> </w:t>
      </w:r>
      <w:r>
        <w:t xml:space="preserve">required in time for target achievement, and especially if the regulator is left with little time to</w:t>
      </w:r>
      <w:r>
        <w:t xml:space="preserve"> </w:t>
      </w:r>
      <w:r>
        <w:t xml:space="preserve">react to a CDR supply shortfall. And while CR4 would likely entail significant administrative</w:t>
      </w:r>
      <w:r>
        <w:t xml:space="preserve"> </w:t>
      </w:r>
      <w:r>
        <w:t xml:space="preserve">costs for the regulator in e.g. the procurement of removal units, it seems possible that</w:t>
      </w:r>
      <w:r>
        <w:t xml:space="preserve"> </w:t>
      </w:r>
      <w:r>
        <w:t xml:space="preserve">procurement methods such as reverse auctions could yield lower overall transaction costs than</w:t>
      </w:r>
      <w:r>
        <w:t xml:space="preserve"> </w:t>
      </w:r>
      <w:r>
        <w:t xml:space="preserve">if purchases were done by individual regulated entities in the primary CDR market, and the</w:t>
      </w:r>
      <w:r>
        <w:t xml:space="preserve"> </w:t>
      </w:r>
      <w:r>
        <w:t xml:space="preserve">administrative cost would need to be compared with the administrative cost of complementary</w:t>
      </w:r>
      <w:r>
        <w:t xml:space="preserve"> </w:t>
      </w:r>
      <w:r>
        <w:t xml:space="preserve">support measures needed under CR1 and CR2 (e.g. CCfDs).</w:t>
      </w:r>
      <w:r>
        <w:br/>
      </w:r>
      <w:r>
        <w:t xml:space="preserve">Compared to CR5, measure CR4 has the advantage of the predictability of the regulator in</w:t>
      </w:r>
      <w:r>
        <w:t xml:space="preserve"> </w:t>
      </w:r>
      <w:r>
        <w:t xml:space="preserve">recouping some of the CDR purchase costs by auctioning allowances in the market. The higher</w:t>
      </w:r>
      <w:r>
        <w:t xml:space="preserve"> </w:t>
      </w:r>
      <w:r>
        <w:t xml:space="preserve">fiscal cost of CR5 and higher carbon leakage risk resulting from the uncertainty in release of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removal units seems, combined with the high fiscal cost, seems only acceptable if the priority</w:t>
      </w:r>
      <w:r>
        <w:t xml:space="preserve"> </w:t>
      </w:r>
      <w:r>
        <w:t xml:space="preserve">is to pursue the option with lowest abatement deterrence. However, it should be considered if</w:t>
      </w:r>
      <w:r>
        <w:t xml:space="preserve"> </w:t>
      </w:r>
      <w:r>
        <w:t xml:space="preserve">avoiding abatement deterrence will have, overall, a worse environmental impact than the loss</w:t>
      </w:r>
      <w:r>
        <w:t xml:space="preserve"> </w:t>
      </w:r>
      <w:r>
        <w:t xml:space="preserve">in public budget and increased carbon leakage risk, or the over dependence on biomass as</w:t>
      </w:r>
      <w:r>
        <w:t xml:space="preserve"> </w:t>
      </w:r>
      <w:r>
        <w:t xml:space="preserve">alternative abatement option. Both CR4 and CR5 have an equally positive impact in providing</w:t>
      </w:r>
      <w:r>
        <w:t xml:space="preserve"> </w:t>
      </w:r>
      <w:r>
        <w:t xml:space="preserve">a certain source of demand for CDR.</w:t>
      </w:r>
      <w:r>
        <w:t xml:space="preserve"> </w:t>
      </w:r>
      <w:r>
        <w:t xml:space="preserve">Regarding the measures with private sector integration of removals, the main choice appears</w:t>
      </w:r>
      <w:r>
        <w:t xml:space="preserve"> </w:t>
      </w:r>
      <w:r>
        <w:t xml:space="preserve">to be between prioritising (a) achieving EU targets at the price of putting the risk from CDR</w:t>
      </w:r>
      <w:r>
        <w:t xml:space="preserve"> </w:t>
      </w:r>
      <w:r>
        <w:t xml:space="preserve">technologies (e.g. under-delivery, price risk) on operators (net cap options CR1-CR2) or (b)</w:t>
      </w:r>
      <w:r>
        <w:t xml:space="preserve"> </w:t>
      </w:r>
      <w:r>
        <w:t xml:space="preserve">ensuring the extra ‘space’ for residual emissions in the EU ETS to enable cost-efficient</w:t>
      </w:r>
      <w:r>
        <w:t xml:space="preserve"> </w:t>
      </w:r>
      <w:r>
        <w:t xml:space="preserve">abatement while mitigating carbon leakage, at the risk for the EU that the ETS does not reach</w:t>
      </w:r>
      <w:r>
        <w:t xml:space="preserve"> </w:t>
      </w:r>
      <w:r>
        <w:t xml:space="preserve">its net contribution (gross cap option CR3). To avoid facing this choice and ensure both the</w:t>
      </w:r>
      <w:r>
        <w:t xml:space="preserve"> </w:t>
      </w:r>
      <w:r>
        <w:t xml:space="preserve">environmental impact and protect the EU’s competitiveness, removals would need to be</w:t>
      </w:r>
      <w:r>
        <w:t xml:space="preserve"> </w:t>
      </w:r>
      <w:r>
        <w:t xml:space="preserve">financially supported outside the ETS in measures CR1-CR3. Although the net target</w:t>
      </w:r>
      <w:r>
        <w:t xml:space="preserve"> </w:t>
      </w:r>
      <w:r>
        <w:t xml:space="preserve">achievement is certain, the abatement deterrence risk is highest among all options assessed in</w:t>
      </w:r>
      <w:r>
        <w:t xml:space="preserve"> </w:t>
      </w:r>
      <w:r>
        <w:t xml:space="preserve">CR2. The abatement deterrence is lower in CR1 and CR3 as a result of the limit, which in turn</w:t>
      </w:r>
      <w:r>
        <w:t xml:space="preserve"> </w:t>
      </w:r>
      <w:r>
        <w:t xml:space="preserve">leads to a loss of cost-effectiveness when the limit becomes binding. However, the limit is</w:t>
      </w:r>
      <w:r>
        <w:t xml:space="preserve"> </w:t>
      </w:r>
      <w:r>
        <w:t xml:space="preserve">expected to be binding if at all, late in the period. All three options incentivise CDR only when</w:t>
      </w:r>
      <w:r>
        <w:t xml:space="preserve"> </w:t>
      </w:r>
      <w:r>
        <w:t xml:space="preserve">price competitive with the ETS, so early incentivisation will depend on public support outside</w:t>
      </w:r>
      <w:r>
        <w:t xml:space="preserve"> </w:t>
      </w:r>
      <w:r>
        <w:t xml:space="preserve">the ETS. CR3 will have a slightly lower incentivisation as ETS prices would lower in view of</w:t>
      </w:r>
      <w:r>
        <w:t xml:space="preserve"> </w:t>
      </w:r>
      <w:r>
        <w:t xml:space="preserve">the increased cap.</w:t>
      </w:r>
      <w:r>
        <w:br/>
      </w:r>
      <w:r>
        <w:t xml:space="preserve">In conclusion, CR4 seems to achieve the best balance of environmental and economic impacts.</w:t>
      </w:r>
      <w:r>
        <w:t xml:space="preserve"> </w:t>
      </w:r>
      <w:r>
        <w:t xml:space="preserve">CR1 and CR3 follow, while CR5 seems less advantageous due to its uncertain result for gross</w:t>
      </w:r>
      <w:r>
        <w:t xml:space="preserve"> </w:t>
      </w:r>
      <w:r>
        <w:t xml:space="preserve">emissions and high fiscal cost, and CR2 due to having the highest abatement deterrence and</w:t>
      </w:r>
      <w:r>
        <w:t xml:space="preserve"> </w:t>
      </w:r>
      <w:r>
        <w:t xml:space="preserve">only a potentially better cost-efficiency in exchange compared to CR1.</w:t>
      </w:r>
      <w:r>
        <w:br/>
      </w:r>
      <w:r>
        <w:t xml:space="preserve">3. TYPE OF REMOVALS TO BE CONSIDERED FOR INTEGRATION</w:t>
      </w:r>
      <w:r>
        <w:t xml:space="preserve"> </w:t>
      </w:r>
      <w:r>
        <w:t xml:space="preserve">3.1. Minimum requirements on the removal types for integration</w:t>
      </w:r>
      <w:r>
        <w:br/>
      </w:r>
      <w:r>
        <w:t xml:space="preserve">This section explores the question of which types of carbon removal could be considered for</w:t>
      </w:r>
      <w:r>
        <w:t xml:space="preserve"> </w:t>
      </w:r>
      <w:r>
        <w:t xml:space="preserve">inclusion in the EU ETS, whilst ensuring the environmental integrity of the system.</w:t>
      </w:r>
      <w:r>
        <w:br/>
      </w:r>
      <w:r>
        <w:t xml:space="preserve">3.1.1. CRCF Regulation to certify EU carbon removals</w:t>
      </w:r>
      <w:r>
        <w:t xml:space="preserve"> </w:t>
      </w:r>
      <w:r>
        <w:t xml:space="preserve">The CRCF Regulation 2024/3012 came into force in December 2024. The Regulation’s aim is</w:t>
      </w:r>
      <w:r>
        <w:t xml:space="preserve"> </w:t>
      </w:r>
      <w:r>
        <w:t xml:space="preserve">to accelerate the development and uptake of carbon removal activities in the EU by providing</w:t>
      </w:r>
      <w:r>
        <w:t xml:space="preserve"> </w:t>
      </w:r>
      <w:r>
        <w:t xml:space="preserve">a consistent framework to recognise carbon removal (and soil emission reduction) claims that</w:t>
      </w:r>
      <w:r>
        <w:t xml:space="preserve"> </w:t>
      </w:r>
      <w:r>
        <w:t xml:space="preserve">are of high quality, regardless of the type of carbon removal activity the claim originates from.</w:t>
      </w:r>
      <w:r>
        <w:t xml:space="preserve"> </w:t>
      </w:r>
      <w:r>
        <w:t xml:space="preserve">The Regulation provides quality criteria for carbon removals, and rules for third party</w:t>
      </w:r>
      <w:r>
        <w:t xml:space="preserve"> </w:t>
      </w:r>
      <w:r>
        <w:t xml:space="preserve">verification of the authenticity of those removals (or soil emission reductions). Furthermore,</w:t>
      </w:r>
      <w:r>
        <w:t xml:space="preserve"> </w:t>
      </w:r>
      <w:r>
        <w:t xml:space="preserve">the Regulation foresees the setup of a CRCF Registry within 4 years from entry into force of</w:t>
      </w:r>
      <w:r>
        <w:t xml:space="preserve"> </w:t>
      </w:r>
      <w:r>
        <w:t xml:space="preserve">the Regulation (therefore due 2028). Note also that currently the scope of the CRCF Regulation</w:t>
      </w:r>
      <w:r>
        <w:t xml:space="preserve"> </w:t>
      </w:r>
      <w:r>
        <w:t xml:space="preserve">is carbon removal activities that take place within the EU only (not in third countries).</w:t>
      </w:r>
      <w:r>
        <w:t xml:space="preserve"> </w:t>
      </w:r>
      <w:r>
        <w:t xml:space="preserve">The European Commission (DG CLIMA) has developed implementing rules to support the</w:t>
      </w:r>
      <w:r>
        <w:t xml:space="preserve"> </w:t>
      </w:r>
      <w:r>
        <w:t xml:space="preserve">third party verification of removals and ensure that carbon removal activities are following the</w:t>
      </w:r>
      <w:r>
        <w:t xml:space="preserve"> </w:t>
      </w:r>
      <w:r>
        <w:t xml:space="preserve">requirements of the Regulation, and methodologies to set out in detail how different types of</w:t>
      </w:r>
      <w:r>
        <w:t xml:space="preserve"> </w:t>
      </w:r>
      <w:r>
        <w:t xml:space="preserve">carbon removal activity comply with the quality criteria and specifically how to quantify the</w:t>
      </w:r>
      <w:r>
        <w:t xml:space="preserve"> </w:t>
      </w:r>
      <w:r>
        <w:t xml:space="preserve">carbon removal units that can be issued. It is foreseen that verification under the CRCF will</w:t>
      </w:r>
      <w:r>
        <w:t xml:space="preserve"> </w:t>
      </w:r>
      <w:r>
        <w:t xml:space="preserve">operate via Commission recognition of independent certification schemes, similar to the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mechanism for the Commission to recognise voluntary schemes for bioenergy sustainability</w:t>
      </w:r>
      <w:r>
        <w:t xml:space="preserve"> </w:t>
      </w:r>
      <w:r>
        <w:t xml:space="preserve">under the Renewable Energy Directive.</w:t>
      </w:r>
      <w:r>
        <w:br/>
      </w:r>
      <w:r>
        <w:t xml:space="preserve">Since the CRCF Regulation has been developed after the last ETS revision, it is not explicitly</w:t>
      </w:r>
      <w:r>
        <w:t xml:space="preserve"> </w:t>
      </w:r>
      <w:r>
        <w:t xml:space="preserve">mentioned in the ETS Directive review clause, but it is the key EU Regulation that aims to</w:t>
      </w:r>
      <w:r>
        <w:t xml:space="preserve"> </w:t>
      </w:r>
      <w:r>
        <w:t xml:space="preserve">address the quality of carbon removals and to provide criteria and methodologies for how to</w:t>
      </w:r>
      <w:r>
        <w:t xml:space="preserve"> </w:t>
      </w:r>
      <w:r>
        <w:t xml:space="preserve">quantify and certify those removals. Section 4.1 of this report discusses the relationship</w:t>
      </w:r>
      <w:r>
        <w:t xml:space="preserve"> </w:t>
      </w:r>
      <w:r>
        <w:t xml:space="preserve">between the EU ETS and the CRCF and to what extent any carbon removals allowed in the EU</w:t>
      </w:r>
      <w:r>
        <w:t xml:space="preserve"> </w:t>
      </w:r>
      <w:r>
        <w:t xml:space="preserve">ETS would have to be certified under and/or meet the requirements of the CRCF Regulation,</w:t>
      </w:r>
      <w:r>
        <w:t xml:space="preserve"> </w:t>
      </w:r>
      <w:r>
        <w:t xml:space="preserve">noting that the quantification approach for carbon removed varies between the EU ETS and the</w:t>
      </w:r>
      <w:r>
        <w:t xml:space="preserve"> </w:t>
      </w:r>
      <w:r>
        <w:t xml:space="preserve">CRCF.</w:t>
      </w:r>
      <w:r>
        <w:t xml:space="preserve"> </w:t>
      </w:r>
      <w:r>
        <w:t xml:space="preserve">The CRCF Regulation distinguishes three groups of carbon removal activities that can generate</w:t>
      </w:r>
      <w:r>
        <w:t xml:space="preserve"> </w:t>
      </w:r>
      <w:r>
        <w:t xml:space="preserve">different types of carbon removal units: permanent carbon removals (such as direct air capture</w:t>
      </w:r>
      <w:r>
        <w:t xml:space="preserve"> </w:t>
      </w:r>
      <w:r>
        <w:t xml:space="preserve">with carbon capture and storage (DACCS), or biomass with carbon capture and storage</w:t>
      </w:r>
      <w:r>
        <w:t xml:space="preserve"> </w:t>
      </w:r>
      <w:r>
        <w:t xml:space="preserve">(BioCCS),37 and some applications of biochar38); carbon farming (such as peatland rewetting,</w:t>
      </w:r>
      <w:r>
        <w:t xml:space="preserve"> </w:t>
      </w:r>
      <w:r>
        <w:t xml:space="preserve">farming practices accumulating soil organic carbon or afforestation ); and carbon storage in</w:t>
      </w:r>
      <w:r>
        <w:t xml:space="preserve"> </w:t>
      </w:r>
      <w:r>
        <w:t xml:space="preserve">products (e.g. carbon storage in construction products).</w:t>
      </w:r>
      <w:r>
        <w:br/>
      </w:r>
      <w:r>
        <w:t xml:space="preserve">Note that the Commission, supported by the Expert Group on Carbon Removals, is developing</w:t>
      </w:r>
      <w:r>
        <w:t xml:space="preserve"> </w:t>
      </w:r>
      <w:r>
        <w:t xml:space="preserve">CRCF methodologies for all the abovementioned carbon removal activities and is exploring</w:t>
      </w:r>
      <w:r>
        <w:t xml:space="preserve"> </w:t>
      </w:r>
      <w:r>
        <w:t xml:space="preserve">the possibility to develop methodologies for other approaches such as Enhanced Weathering,</w:t>
      </w:r>
      <w:r>
        <w:t xml:space="preserve"> </w:t>
      </w:r>
      <w:r>
        <w:t xml:space="preserve">Ocean Alkalinity Enhancement or Direct Ocean Capture. The latter two are, however, not</w:t>
      </w:r>
      <w:r>
        <w:t xml:space="preserve"> </w:t>
      </w:r>
      <w:r>
        <w:t xml:space="preserve">included in this table due to their current significant uncertainties.</w:t>
      </w:r>
      <w:r>
        <w:br/>
      </w:r>
      <w:r>
        <w:t xml:space="preserve">3.1.2. Requirements for which types of carbon removals to include in the EU ETS</w:t>
      </w:r>
      <w:r>
        <w:t xml:space="preserve"> </w:t>
      </w:r>
      <w:r>
        <w:t xml:space="preserve">The different types of carbon removal activities have different characteristics.</w:t>
      </w:r>
      <w:r>
        <w:br/>
      </w:r>
      <w:r>
        <w:t xml:space="preserve">The inclusion of any removals into the EU ETS rests on the fundamental assumption that a</w:t>
      </w:r>
      <w:r>
        <w:t xml:space="preserve"> </w:t>
      </w:r>
      <w:r>
        <w:t xml:space="preserve">negative tonne of carbon removed is equivalent to a tonne of carbon emitted within the ETS.</w:t>
      </w:r>
      <w:r>
        <w:t xml:space="preserve"> </w:t>
      </w:r>
      <w:r>
        <w:t xml:space="preserve">An EUA is a right to emit one tonne of CO2e in the EU ETS, under the cap. A negative emission</w:t>
      </w:r>
      <w:r>
        <w:t xml:space="preserve"> </w:t>
      </w:r>
      <w:r>
        <w:t xml:space="preserve">removes one tonne of CO2e from the atmosphere. Therefore, if considered equivalent, a tonne</w:t>
      </w:r>
      <w:r>
        <w:t xml:space="preserve"> </w:t>
      </w:r>
      <w:r>
        <w:t xml:space="preserve">of carbon removal used in the EU ETS should be considered to cancel out the emission,</w:t>
      </w:r>
      <w:r>
        <w:t xml:space="preserve"> </w:t>
      </w:r>
      <w:r>
        <w:t xml:space="preserve">therefore meaning that no right to emit (no EUA) is needed for that tonne of CO2e. The</w:t>
      </w:r>
      <w:r>
        <w:t xml:space="preserve"> </w:t>
      </w:r>
      <w:r>
        <w:t xml:space="preserve">equivalence of a removal unit and an EUA means equivalence in terms of not only the quantity,</w:t>
      </w:r>
      <w:r>
        <w:t xml:space="preserve"> </w:t>
      </w:r>
      <w:r>
        <w:t xml:space="preserve">but also the length of time and global warming potential (GWP) of the removal and allowance.</w:t>
      </w:r>
      <w:r>
        <w:br/>
      </w:r>
      <w:r>
        <w:t xml:space="preserve">When considering the equivalence of EUAs and removals, the “like-for-like” concept is</w:t>
      </w:r>
      <w:r>
        <w:t xml:space="preserve"> </w:t>
      </w:r>
      <w:r>
        <w:t xml:space="preserve">suggested as guiding principle, meaning a source of emissions and an emissions sink</w:t>
      </w:r>
      <w:r>
        <w:t xml:space="preserve"> </w:t>
      </w:r>
      <w:r>
        <w:t xml:space="preserve">correspond in terms of their warming impact, and in terms of the timescale and durability of</w:t>
      </w:r>
      <w:r>
        <w:t xml:space="preserve"> </w:t>
      </w:r>
      <w:r>
        <w:t xml:space="preserve">carbon storage. For example, fossil carbon is stable in the lithosphere over millennia if it is not</w:t>
      </w:r>
      <w:r>
        <w:t xml:space="preserve"> </w:t>
      </w:r>
      <w:r>
        <w:t xml:space="preserve">extracted and burned, therefore mitigating measures (e.g. offsets) that aim to neutralise the</w:t>
      </w:r>
      <w:r>
        <w:t xml:space="preserve"> </w:t>
      </w:r>
      <w:r>
        <w:t xml:space="preserve">effect of these emissions must persist for a comparable, geological-timescale. Although all</w:t>
      </w:r>
      <w:r>
        <w:t xml:space="preserve"> </w:t>
      </w:r>
      <w:r>
        <w:t xml:space="preserve">CO2 once emitted, whether originally sourced from the lithosphere or biosphere, persists in the</w:t>
      </w:r>
      <w:r>
        <w:t xml:space="preserve"> </w:t>
      </w:r>
      <w:r>
        <w:t xml:space="preserve">active carbon cycle for centuries to millennia, it may be appropriate to balance shorter-duration</w:t>
      </w:r>
      <w:r>
        <w:t xml:space="preserve"> </w:t>
      </w:r>
      <w:r>
        <w:t xml:space="preserve">carbon released from biogenic carbon stocks (e.g. forests and soils) with comparably temporary</w:t>
      </w:r>
      <w:r>
        <w:t xml:space="preserve"> </w:t>
      </w:r>
      <w:r>
        <w:t xml:space="preserve">storage in like stocks. This could imply that to cancel out an EUA, which represents a tonne of</w:t>
      </w:r>
    </w:p>
    <w:p>
      <w:pPr>
        <w:pStyle w:val="BodyText"/>
      </w:pPr>
      <w:r>
        <w:t xml:space="preserve">37 BioCCS is defined in the draft CRCF methodology as “a carbon removal activity in which biogenic CO2</w:t>
      </w:r>
      <w:r>
        <w:t xml:space="preserve"> </w:t>
      </w:r>
      <w:r>
        <w:t xml:space="preserve">produced by the oxidation of carbon in biomass is captured and transferred for permanent storage.”</w:t>
      </w:r>
      <w:r>
        <w:t xml:space="preserve"> </w:t>
      </w:r>
      <w:r>
        <w:t xml:space="preserve">38 Where the biochar meets all necessary requirements, the most widely used application of biochar for soil</w:t>
      </w:r>
      <w:r>
        <w:t xml:space="preserve"> </w:t>
      </w:r>
      <w:r>
        <w:t xml:space="preserve">amendment is considered as permanent carbon removal under the CRCF as well as under several private</w:t>
      </w:r>
      <w:r>
        <w:t xml:space="preserve"> </w:t>
      </w:r>
      <w:r>
        <w:t xml:space="preserve">carbon standards such as Verra, Puro or Isometric voluntary.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fossil CO2e, it is appropriate to have a “permanent” removal that can be stable over a similar</w:t>
      </w:r>
      <w:r>
        <w:t xml:space="preserve"> </w:t>
      </w:r>
      <w:r>
        <w:t xml:space="preserve">geological timescale as the emission. This is also the reason for the Commission to require that</w:t>
      </w:r>
      <w:r>
        <w:t xml:space="preserve"> </w:t>
      </w:r>
      <w:r>
        <w:t xml:space="preserve">removals considered for inclusion in the ETS can show the carbon is “safely and permanently”</w:t>
      </w:r>
      <w:r>
        <w:t xml:space="preserve"> </w:t>
      </w:r>
      <w:r>
        <w:t xml:space="preserve">stored.</w:t>
      </w:r>
      <w:r>
        <w:t xml:space="preserve"> </w:t>
      </w:r>
      <w:r>
        <w:t xml:space="preserve">Ensuring equivalence is subject to several challenges to ensure that the exact same GHG impact</w:t>
      </w:r>
      <w:r>
        <w:t xml:space="preserve"> </w:t>
      </w:r>
      <w:r>
        <w:t xml:space="preserve">is cancelled out by the removal. There needs to be certainty that the precise amount of carbon</w:t>
      </w:r>
      <w:r>
        <w:t xml:space="preserve"> </w:t>
      </w:r>
      <w:r>
        <w:t xml:space="preserve">is safely and permanently removed and will not be re-emitted, and there are appropriate liability</w:t>
      </w:r>
      <w:r>
        <w:t xml:space="preserve"> </w:t>
      </w:r>
      <w:r>
        <w:t xml:space="preserve">mechanisms in case it is. The approach to quantify and monitor, report and verify the carbon</w:t>
      </w:r>
      <w:r>
        <w:t xml:space="preserve"> </w:t>
      </w:r>
      <w:r>
        <w:t xml:space="preserve">removals also needs to be robust and transparent. Furthermore, associated environmental</w:t>
      </w:r>
      <w:r>
        <w:t xml:space="preserve"> </w:t>
      </w:r>
      <w:r>
        <w:t xml:space="preserve">impacts from the carbon removal project activity beyond the carbon removal itself, should be</w:t>
      </w:r>
      <w:r>
        <w:t xml:space="preserve"> </w:t>
      </w:r>
      <w:r>
        <w:t xml:space="preserve">considered if carbon removals are to be allowed into the EU ETS, such as impacts on land-use</w:t>
      </w:r>
      <w:r>
        <w:t xml:space="preserve"> </w:t>
      </w:r>
      <w:r>
        <w:t xml:space="preserve">or biodiversity. Finally, the level of technological maturity of each potential removal solution</w:t>
      </w:r>
      <w:r>
        <w:t xml:space="preserve"> </w:t>
      </w:r>
      <w:r>
        <w:t xml:space="preserve">is relevant to consider, although mainly as it relates to uncertainty in terms of understanding</w:t>
      </w:r>
      <w:r>
        <w:t xml:space="preserve"> </w:t>
      </w:r>
      <w:r>
        <w:t xml:space="preserve">the quantification and monitoring of removals and understanding any risks. As a result, the</w:t>
      </w:r>
      <w:r>
        <w:t xml:space="preserve"> </w:t>
      </w:r>
      <w:r>
        <w:t xml:space="preserve">determination of which types of carbon removal could be allowed into the EU ETS should</w:t>
      </w:r>
      <w:r>
        <w:t xml:space="preserve"> </w:t>
      </w:r>
      <w:r>
        <w:t xml:space="preserve">consider:</w:t>
      </w:r>
      <w:r>
        <w:t xml:space="preserve"> </w:t>
      </w:r>
      <w:r>
        <w:t xml:space="preserve">a) Permanence of removals</w:t>
      </w:r>
      <w:r>
        <w:t xml:space="preserve"> </w:t>
      </w:r>
      <w:r>
        <w:t xml:space="preserve">b) Monitoring and liability for reversals</w:t>
      </w:r>
      <w:r>
        <w:t xml:space="preserve"> </w:t>
      </w:r>
      <w:r>
        <w:t xml:space="preserve">c) Minimum MRV requirements and uncertainty</w:t>
      </w:r>
      <w:r>
        <w:t xml:space="preserve"> </w:t>
      </w:r>
      <w:r>
        <w:t xml:space="preserve">d) Environmental impacts</w:t>
      </w:r>
      <w:r>
        <w:br/>
      </w:r>
      <w:r>
        <w:t xml:space="preserve">e) Technological maturity</w:t>
      </w:r>
      <w:r>
        <w:t xml:space="preserve"> </w:t>
      </w:r>
      <w:r>
        <w:t xml:space="preserve">3.1.2.1.</w:t>
      </w:r>
      <w:r>
        <w:t xml:space="preserve"> </w:t>
      </w:r>
      <w:r>
        <w:t xml:space="preserve">Permanence of removals</w:t>
      </w:r>
      <w:r>
        <w:t xml:space="preserve"> </w:t>
      </w:r>
      <w:r>
        <w:t xml:space="preserve">The ETS review clause states that carbon removed from the atmosphere should be “safely and</w:t>
      </w:r>
      <w:r>
        <w:t xml:space="preserve"> </w:t>
      </w:r>
      <w:r>
        <w:t xml:space="preserve">permanently stored”.</w:t>
      </w:r>
      <w:r>
        <w:br/>
      </w:r>
      <w:r>
        <w:t xml:space="preserve">In the open consultation, there was strong support for including permanent removals in the EU</w:t>
      </w:r>
      <w:r>
        <w:t xml:space="preserve"> </w:t>
      </w:r>
      <w:r>
        <w:t xml:space="preserve">ETS, while integrating temporary CRCF removal units into the EU ETS proved very divisive,</w:t>
      </w:r>
      <w:r>
        <w:t xml:space="preserve"> </w:t>
      </w:r>
      <w:r>
        <w:t xml:space="preserve">attracting the highest level of strong disagreement across all CDR-related options, leading to</w:t>
      </w:r>
      <w:r>
        <w:t xml:space="preserve"> </w:t>
      </w:r>
      <w:r>
        <w:t xml:space="preserve">an overall larger share of respondents against their integration. 83% of respondents to the open</w:t>
      </w:r>
      <w:r>
        <w:t xml:space="preserve"> </w:t>
      </w:r>
      <w:r>
        <w:t xml:space="preserve">consultation strongly agreed or agreed with the statement that “permanent removals certified</w:t>
      </w:r>
      <w:r>
        <w:t xml:space="preserve"> </w:t>
      </w:r>
      <w:r>
        <w:t xml:space="preserve">under the CRCF should be allowed for use by EU ETS regulated entities towards their ETS</w:t>
      </w:r>
      <w:r>
        <w:t xml:space="preserve"> </w:t>
      </w:r>
      <w:r>
        <w:t xml:space="preserve">compliance obligations”, whereas only 38% of respondents strongly agreed or agreed with the</w:t>
      </w:r>
      <w:r>
        <w:t xml:space="preserve"> </w:t>
      </w:r>
      <w:r>
        <w:t xml:space="preserve">corresponding statement for temporary removals compared to 41%, from a diverse range of</w:t>
      </w:r>
      <w:r>
        <w:t xml:space="preserve"> </w:t>
      </w:r>
      <w:r>
        <w:t xml:space="preserve">sectors and stakeholder types, strongly disagreeing or disagreeing, mainly citing unreliable</w:t>
      </w:r>
      <w:r>
        <w:t xml:space="preserve"> </w:t>
      </w:r>
      <w:r>
        <w:t xml:space="preserve">quantification methods and risks to market stability.</w:t>
      </w:r>
      <w:r>
        <w:br/>
      </w:r>
      <w:r>
        <w:t xml:space="preserve">Mechanisms to compensate temporary removals when they expire39 bring a significant risk to</w:t>
      </w:r>
      <w:r>
        <w:t xml:space="preserve"> </w:t>
      </w:r>
      <w:r>
        <w:t xml:space="preserve">environmental integrity and mean that companies accumulate risks that they might have to</w:t>
      </w:r>
      <w:r>
        <w:t xml:space="preserve"> </w:t>
      </w:r>
      <w:r>
        <w:t xml:space="preserve">compensate for those removals in future. Therefore, only permanent carbon removals that can</w:t>
      </w:r>
      <w:r>
        <w:t xml:space="preserve"> </w:t>
      </w:r>
      <w:r>
        <w:t xml:space="preserve">demonstrate that the carbon will be safely and permanently removed and stored for a period</w:t>
      </w:r>
      <w:r>
        <w:t xml:space="preserve"> </w:t>
      </w:r>
      <w:r>
        <w:t xml:space="preserve">exceeding several centuries should be considered for integration into the ETS.</w:t>
      </w:r>
      <w:r>
        <w:br/>
      </w:r>
      <w:r>
        <w:t xml:space="preserve">The CRCF regulation provides a transparent and robust framework to identify carbon removal</w:t>
      </w:r>
      <w:r>
        <w:t xml:space="preserve"> </w:t>
      </w:r>
      <w:r>
        <w:t xml:space="preserve">activities that can be considered permanent in European context. The CRCF regulation defines</w:t>
      </w:r>
      <w:r>
        <w:t xml:space="preserve"> </w:t>
      </w:r>
      <w:r>
        <w:t xml:space="preserve">permanent carbon removals activities as the withdrawal of carbon dioxide from the atmosphere</w:t>
      </w:r>
      <w:r>
        <w:t xml:space="preserve"> </w:t>
      </w:r>
      <w:r>
        <w:t xml:space="preserve">and its storage for several centuries, therefore for at least 200 years. It should be noted that the</w:t>
      </w:r>
    </w:p>
    <w:p>
      <w:pPr>
        <w:pStyle w:val="BodyText"/>
      </w:pPr>
      <w:r>
        <w:t xml:space="preserve">39 This would be similar to the CDM approach which requires replacement of units issued for forestry projects</w:t>
      </w:r>
      <w:r>
        <w:t xml:space="preserve"> </w:t>
      </w:r>
      <w:r>
        <w:t xml:space="preserve">to account for non-permanence. These non-permanent units, however, accounted for less than 1% of all issued</w:t>
      </w:r>
      <w:r>
        <w:t xml:space="preserve"> </w:t>
      </w:r>
      <w:r>
        <w:t xml:space="preserve">CERs.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three permanent carbon removal methodologies currently established by delegated act</w:t>
      </w:r>
      <w:r>
        <w:t xml:space="preserve"> </w:t>
      </w:r>
      <w:r>
        <w:t xml:space="preserve">(DACCS, BioCCS and biochar have been designed to ensure a duration of storage that goes</w:t>
      </w:r>
      <w:r>
        <w:t xml:space="preserve"> </w:t>
      </w:r>
      <w:r>
        <w:t xml:space="preserve">well beyond 200 years, possibly beyond several millennia.</w:t>
      </w:r>
      <w:r>
        <w:t xml:space="preserve"> </w:t>
      </w:r>
      <w:r>
        <w:t xml:space="preserve">3.1.2.2.</w:t>
      </w:r>
      <w:r>
        <w:t xml:space="preserve"> </w:t>
      </w:r>
      <w:r>
        <w:t xml:space="preserve">Liability for monitoring and reversals</w:t>
      </w:r>
      <w:r>
        <w:t xml:space="preserve"> </w:t>
      </w:r>
      <w:r>
        <w:t xml:space="preserve">Liability here refers to who is required to monitor the risk of reversal/leakage and what they</w:t>
      </w:r>
      <w:r>
        <w:t xml:space="preserve"> </w:t>
      </w:r>
      <w:r>
        <w:t xml:space="preserve">are required to do if a reversal or leak is detected.</w:t>
      </w:r>
      <w:r>
        <w:br/>
      </w:r>
      <w:r>
        <w:t xml:space="preserve">Liability requirements for DACCS and BioCCS in the CRCF methodologies are aligned with</w:t>
      </w:r>
      <w:r>
        <w:t xml:space="preserve"> </w:t>
      </w:r>
      <w:r>
        <w:t xml:space="preserve">the liability provisions of the CCS Directive and ETS Directives. Those rules could be applied</w:t>
      </w:r>
      <w:r>
        <w:t xml:space="preserve"> </w:t>
      </w:r>
      <w:r>
        <w:t xml:space="preserve">to any CCS-type removal activity but do not apply for biochar since these activities do not</w:t>
      </w:r>
      <w:r>
        <w:t xml:space="preserve"> </w:t>
      </w:r>
      <w:r>
        <w:t xml:space="preserve">transport nor store CO2.</w:t>
      </w:r>
      <w:r>
        <w:br/>
      </w:r>
      <w:r>
        <w:t xml:space="preserve">Similarly to the recognition of carbon permanently chemically bound in products by the EU</w:t>
      </w:r>
      <w:r>
        <w:t xml:space="preserve"> </w:t>
      </w:r>
      <w:r>
        <w:t xml:space="preserve">ETS, the requirements from the biochar methodologies do not provide for monitoring of</w:t>
      </w:r>
      <w:r>
        <w:t xml:space="preserve"> </w:t>
      </w:r>
      <w:r>
        <w:t xml:space="preserve">reversals (and thus attach a liability to them) because the production and use of biochar ensure</w:t>
      </w:r>
      <w:r>
        <w:t xml:space="preserve"> </w:t>
      </w:r>
      <w:r>
        <w:t xml:space="preserve">the permanent storage of carbon in a stable and inert solid form for several centuries or</w:t>
      </w:r>
      <w:r>
        <w:t xml:space="preserve"> </w:t>
      </w:r>
      <w:r>
        <w:t xml:space="preserve">millennia. A discount factor is applied to the unit generated, currently set at 2.5%, covers</w:t>
      </w:r>
      <w:r>
        <w:t xml:space="preserve"> </w:t>
      </w:r>
      <w:r>
        <w:t xml:space="preserve">sufficiently the very low risk of reversal.</w:t>
      </w:r>
      <w:r>
        <w:br/>
      </w:r>
      <w:r>
        <w:t xml:space="preserve">3.1.2.3.</w:t>
      </w:r>
      <w:r>
        <w:t xml:space="preserve"> </w:t>
      </w:r>
      <w:r>
        <w:t xml:space="preserve">Minimum</w:t>
      </w:r>
      <w:r>
        <w:t xml:space="preserve"> </w:t>
      </w:r>
      <w:r>
        <w:t xml:space="preserve">Monitoring,</w:t>
      </w:r>
      <w:r>
        <w:t xml:space="preserve"> </w:t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Verification</w:t>
      </w:r>
      <w:r>
        <w:t xml:space="preserve"> </w:t>
      </w:r>
      <w:r>
        <w:t xml:space="preserve">(MRV)</w:t>
      </w:r>
      <w:r>
        <w:t xml:space="preserve"> </w:t>
      </w:r>
      <w:r>
        <w:t xml:space="preserve">requirements/Uncertainty</w:t>
      </w:r>
      <w:r>
        <w:t xml:space="preserve"> </w:t>
      </w:r>
      <w:r>
        <w:t xml:space="preserve">Different carbon removal project activities have different levels of uncertainty associated with</w:t>
      </w:r>
      <w:r>
        <w:t xml:space="preserve"> </w:t>
      </w:r>
      <w:r>
        <w:t xml:space="preserve">monitoring and reporting the amount of carbon captured and permanently stored. The level of</w:t>
      </w:r>
      <w:r>
        <w:t xml:space="preserve"> </w:t>
      </w:r>
      <w:r>
        <w:t xml:space="preserve">uncertainty largely depends on the MRV approach associated with each carbon removal</w:t>
      </w:r>
      <w:r>
        <w:t xml:space="preserve"> </w:t>
      </w:r>
      <w:r>
        <w:t xml:space="preserve">activity type.</w:t>
      </w:r>
      <w:r>
        <w:br/>
      </w:r>
      <w:r>
        <w:t xml:space="preserve">Removals into geological storage in general, provide higher levels of certainty in the volume</w:t>
      </w:r>
      <w:r>
        <w:t xml:space="preserve"> </w:t>
      </w:r>
      <w:r>
        <w:t xml:space="preserve">of carbon removed because the CO2 captured and stored can be physically measured and</w:t>
      </w:r>
      <w:r>
        <w:t xml:space="preserve"> </w:t>
      </w:r>
      <w:r>
        <w:t xml:space="preserve">monitored. By contrast, nature-based removals may rely on modelling of complex “open”</w:t>
      </w:r>
      <w:r>
        <w:t xml:space="preserve"> </w:t>
      </w:r>
      <w:r>
        <w:t xml:space="preserve">natural systems to estimate the rate of CO2 removal and storage and are therefore associated</w:t>
      </w:r>
      <w:r>
        <w:t xml:space="preserve"> </w:t>
      </w:r>
      <w:r>
        <w:t xml:space="preserve">with higher levels of uncertainty in the actual volume of carbon that is removed.</w:t>
      </w:r>
      <w:r>
        <w:br/>
      </w:r>
      <w:r>
        <w:t xml:space="preserve">There is a question on what level of uncertainty could be tolerated if such a removal unit is to</w:t>
      </w:r>
      <w:r>
        <w:t xml:space="preserve"> </w:t>
      </w:r>
      <w:r>
        <w:t xml:space="preserve">be used to cancel out an EUA which represents a tonne of actual measured emissions. Overall,</w:t>
      </w:r>
      <w:r>
        <w:t xml:space="preserve"> </w:t>
      </w:r>
      <w:r>
        <w:t xml:space="preserve">DACCS, BioCCS offer a high level of certainty of the amount of carbon captured and stored</w:t>
      </w:r>
      <w:r>
        <w:t xml:space="preserve"> </w:t>
      </w:r>
      <w:r>
        <w:t xml:space="preserve">Monitoring requirements for geological storage of CO2 are set out in the CCS Directive, which</w:t>
      </w:r>
      <w:r>
        <w:t xml:space="preserve"> </w:t>
      </w:r>
      <w:r>
        <w:t xml:space="preserve">the CRCF also refers to.</w:t>
      </w:r>
      <w:r>
        <w:t xml:space="preserve"> </w:t>
      </w:r>
      <w:r>
        <w:t xml:space="preserve">The ETS has strict MRV requirements concerning reporting and verification of direct</w:t>
      </w:r>
      <w:r>
        <w:t xml:space="preserve"> </w:t>
      </w:r>
      <w:r>
        <w:t xml:space="preserve">emissions to determine the number of EUAs that need to be surrendered. The Monitoring &amp;</w:t>
      </w:r>
      <w:r>
        <w:t xml:space="preserve"> </w:t>
      </w:r>
      <w:r>
        <w:t xml:space="preserve">Reporting Regulation (MRR EU 2018/2066) of the ETS already includes provisions for</w:t>
      </w:r>
      <w:r>
        <w:t xml:space="preserve"> </w:t>
      </w:r>
      <w:r>
        <w:t xml:space="preserve">monitoring activities covered by the EU ETS which are linked to permanent storage of CO2 -</w:t>
      </w:r>
      <w:r>
        <w:t xml:space="preserve"> </w:t>
      </w:r>
      <w:r>
        <w:t xml:space="preserve">CO2 transport and CO2 storage in geological sites. For CO2 transport, the sources included are</w:t>
      </w:r>
      <w:r>
        <w:t xml:space="preserve"> </w:t>
      </w:r>
      <w:r>
        <w:t xml:space="preserve">– combustion, if not included already under the EU ETS Directive, fugitive emissions, vented</w:t>
      </w:r>
      <w:r>
        <w:t xml:space="preserve"> </w:t>
      </w:r>
      <w:r>
        <w:t xml:space="preserve">emissions and emissions from leakage. For CO2 storage, the sources are venting, fugitive</w:t>
      </w:r>
      <w:r>
        <w:t xml:space="preserve"> </w:t>
      </w:r>
      <w:r>
        <w:t xml:space="preserve">emissions and leakage. These same rules are applied to DACCS and BioCCS that involve</w:t>
      </w:r>
      <w:r>
        <w:t xml:space="preserve"> </w:t>
      </w:r>
      <w:r>
        <w:t xml:space="preserve">transport and storage of CO2as they are part of the activities explicitly covered by the EU ETS.</w:t>
      </w:r>
      <w:r>
        <w:t xml:space="preserve"> </w:t>
      </w:r>
      <w:r>
        <w:t xml:space="preserve">For biochar, the main uncertainty is the degradation rate of the stored carbon over time. The</w:t>
      </w:r>
      <w:r>
        <w:t xml:space="preserve"> </w:t>
      </w:r>
      <w:r>
        <w:t xml:space="preserve">CRCF methodology proposes two approaches to quantify the stable fraction of biochar in</w:t>
      </w:r>
      <w:r>
        <w:t xml:space="preserve"> </w:t>
      </w:r>
      <w:r>
        <w:t xml:space="preserve">which carbon is stored for several centuries or millennia. The first one is based on conservative</w:t>
      </w:r>
      <w:r>
        <w:t xml:space="preserve"> </w:t>
      </w:r>
      <w:r>
        <w:t xml:space="preserve">IPCC decay function parametrised by the hydrogen to carbon ration (H/C) of the biochar and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the annual average temperature at its location of application. The second approach requires</w:t>
      </w:r>
      <w:r>
        <w:t xml:space="preserve"> </w:t>
      </w:r>
      <w:r>
        <w:t xml:space="preserve">reflectance assessment of the biochar through thermochemical and microscopy analysis. There</w:t>
      </w:r>
      <w:r>
        <w:t xml:space="preserve"> </w:t>
      </w:r>
      <w:r>
        <w:t xml:space="preserve">are no ongoing monitoring requirements after it has been demonstrated that the biochar has</w:t>
      </w:r>
      <w:r>
        <w:t xml:space="preserve"> </w:t>
      </w:r>
      <w:r>
        <w:t xml:space="preserve">been applied to the land, or that it has been incorporated into a product.40While research has</w:t>
      </w:r>
      <w:r>
        <w:t xml:space="preserve"> </w:t>
      </w:r>
      <w:r>
        <w:t xml:space="preserve">shown that a part of the biochar is highly stable that can be characterised through reflectance</w:t>
      </w:r>
      <w:r>
        <w:t xml:space="preserve"> </w:t>
      </w:r>
      <w:r>
        <w:t xml:space="preserve">assessment with confidence), some consider that this methodology is not yet sufficiently tested.</w:t>
      </w:r>
      <w:r>
        <w:t xml:space="preserve"> </w:t>
      </w:r>
      <w:r>
        <w:t xml:space="preserve">Although it has not been proven wrong, there is a shortage of studies confirming its robustness.</w:t>
      </w:r>
      <w:r>
        <w:t xml:space="preserve"> </w:t>
      </w:r>
      <w:r>
        <w:t xml:space="preserve">In particular, there is a lack of long-term field studies to have certainty on the potential release</w:t>
      </w:r>
      <w:r>
        <w:t xml:space="preserve"> </w:t>
      </w:r>
      <w:r>
        <w:t xml:space="preserve">of stored carbon in biochar over long time periods.</w:t>
      </w:r>
      <w:r>
        <w:br/>
      </w:r>
      <w:r>
        <w:t xml:space="preserve">3.1.2.4.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As well as requiring all life cycle GHG emissions to be included in the calculation of net carbon</w:t>
      </w:r>
      <w:r>
        <w:t xml:space="preserve"> </w:t>
      </w:r>
      <w:r>
        <w:t xml:space="preserve">removals, the CRCF Regulation includes additional criteria to ensure the sustainability of</w:t>
      </w:r>
      <w:r>
        <w:t xml:space="preserve"> </w:t>
      </w:r>
      <w:r>
        <w:t xml:space="preserve">carbon removals.</w:t>
      </w:r>
      <w:r>
        <w:t xml:space="preserve"> </w:t>
      </w:r>
      <w:r>
        <w:t xml:space="preserve">Concretely, CRCF operators generating carbon removals need to comply with the do no</w:t>
      </w:r>
      <w:r>
        <w:t xml:space="preserve"> </w:t>
      </w:r>
      <w:r>
        <w:t xml:space="preserve">significant harm principle and additional specific requirements related to the type of carbon</w:t>
      </w:r>
      <w:r>
        <w:t xml:space="preserve"> </w:t>
      </w:r>
      <w:r>
        <w:t xml:space="preserve">removal activity they are operating, in particular:</w:t>
      </w:r>
      <w:r>
        <w:br/>
      </w:r>
      <w:r>
        <w:t xml:space="preserve">• The use of biomass for any carbon removal activity should comply with the</w:t>
      </w:r>
      <w:r>
        <w:t xml:space="preserve"> </w:t>
      </w:r>
      <w:r>
        <w:t xml:space="preserve">sustainability requirements set out in the Renewable Energy Directive.</w:t>
      </w:r>
      <w:r>
        <w:br/>
      </w:r>
      <w:r>
        <w:t xml:space="preserve">• In order to ensure the avoidance of unsustainable demand for biomass raw material,</w:t>
      </w:r>
      <w:r>
        <w:t xml:space="preserve"> </w:t>
      </w:r>
      <w:r>
        <w:t xml:space="preserve">operators of BioCCS activities should demonstrate that that any new facility processing</w:t>
      </w:r>
      <w:r>
        <w:t xml:space="preserve"> </w:t>
      </w:r>
      <w:r>
        <w:t xml:space="preserve">biomass for heat or electricity production would still be economically viable without</w:t>
      </w:r>
      <w:r>
        <w:t xml:space="preserve"> </w:t>
      </w:r>
      <w:r>
        <w:t xml:space="preserve">the carbon removal activity. This is to prevent that the revenues from CRCF make the</w:t>
      </w:r>
      <w:r>
        <w:t xml:space="preserve"> </w:t>
      </w:r>
      <w:r>
        <w:t xml:space="preserve">economic case to build a new bioenergy plant. For existing facility processing biomass,</w:t>
      </w:r>
      <w:r>
        <w:t xml:space="preserve"> </w:t>
      </w:r>
      <w:r>
        <w:t xml:space="preserve">the operator shall demonstrate that the nameplate energy generation capacity of the</w:t>
      </w:r>
      <w:r>
        <w:t xml:space="preserve"> </w:t>
      </w:r>
      <w:r>
        <w:t xml:space="preserve">facility has not increased by more than the amount necessary to supply energy for the</w:t>
      </w:r>
      <w:r>
        <w:t xml:space="preserve"> </w:t>
      </w:r>
      <w:r>
        <w:t xml:space="preserve">capture process.</w:t>
      </w:r>
      <w:r>
        <w:br/>
      </w:r>
      <w:r>
        <w:t xml:space="preserve">• For biochar, there are explicit limits set for heavy metal and organic contaminant</w:t>
      </w:r>
      <w:r>
        <w:t xml:space="preserve"> </w:t>
      </w:r>
      <w:r>
        <w:t xml:space="preserve">contents. The activity also needs to demonstrate that “the local agricultural context has</w:t>
      </w:r>
      <w:r>
        <w:t xml:space="preserve"> </w:t>
      </w:r>
      <w:r>
        <w:t xml:space="preserve">been considered and that it is reasonable to expect no overall negative effect on</w:t>
      </w:r>
      <w:r>
        <w:t xml:space="preserve"> </w:t>
      </w:r>
      <w:r>
        <w:t xml:space="preserve">agricultural production or soil health and no significant reductions in the storage of</w:t>
      </w:r>
      <w:r>
        <w:t xml:space="preserve"> </w:t>
      </w:r>
      <w:r>
        <w:t xml:space="preserve">other soil organic carbon through positive priming effects from the application of</w:t>
      </w:r>
      <w:r>
        <w:t xml:space="preserve"> </w:t>
      </w:r>
      <w:r>
        <w:t xml:space="preserve">biochar. Where significant loss of other soil organic carbon or deleterious impacts on</w:t>
      </w:r>
      <w:r>
        <w:t xml:space="preserve"> </w:t>
      </w:r>
      <w:r>
        <w:t xml:space="preserve">agricultural productivity, on biodiversity, on ecosystems receiving the biochar and the</w:t>
      </w:r>
      <w:r>
        <w:t xml:space="preserve"> </w:t>
      </w:r>
      <w:r>
        <w:t xml:space="preserve">ones located downstream in the watershed, soil health, or on any other environmental</w:t>
      </w:r>
      <w:r>
        <w:t xml:space="preserve"> </w:t>
      </w:r>
      <w:r>
        <w:t xml:space="preserve">aspects are considered likely by the certification body, no carbon removal units shall</w:t>
      </w:r>
      <w:r>
        <w:t xml:space="preserve"> </w:t>
      </w:r>
      <w:r>
        <w:t xml:space="preserve">be issued in relation to that applied quantity.”</w:t>
      </w:r>
      <w:r>
        <w:br/>
      </w:r>
      <w:r>
        <w:t xml:space="preserve">• There is also a possibility for voluntary compensation for biomass used by carbon</w:t>
      </w:r>
      <w:r>
        <w:t xml:space="preserve"> </w:t>
      </w:r>
      <w:r>
        <w:t xml:space="preserve">removal activities, to support the regeneration of natural carbon stocks used for the</w:t>
      </w:r>
      <w:r>
        <w:t xml:space="preserve"> </w:t>
      </w:r>
      <w:r>
        <w:t xml:space="preserve">generation of permanent carbon removals.</w:t>
      </w:r>
      <w:r>
        <w:t xml:space="preserve"> </w:t>
      </w:r>
      <w:r>
        <w:t xml:space="preserve">• Legislative changes may be required to address the fact that, in the current legislative</w:t>
      </w:r>
      <w:r>
        <w:t xml:space="preserve"> </w:t>
      </w:r>
      <w:r>
        <w:t xml:space="preserve">set-up, removals generated within the EU ETS and verified inside the ETS would have</w:t>
      </w:r>
      <w:r>
        <w:t xml:space="preserve"> </w:t>
      </w:r>
      <w:r>
        <w:t xml:space="preserve">to comply with the RED sustainability criteria but would not automatically have to</w:t>
      </w:r>
      <w:r>
        <w:t xml:space="preserve"> </w:t>
      </w:r>
      <w:r>
        <w:t xml:space="preserve">comply with the broader sustainability requirements of the CRCF.</w:t>
      </w:r>
    </w:p>
    <w:p>
      <w:pPr>
        <w:pStyle w:val="BodyText"/>
      </w:pPr>
      <w:r>
        <w:t xml:space="preserve">40 Section 1.2.2.2 Monitoring period of draft Delegated Regulation Annex: Carbon removals and carbon farming</w:t>
      </w:r>
      <w:r>
        <w:t xml:space="preserve"> </w:t>
      </w:r>
      <w:r>
        <w:t xml:space="preserve">– methodologies for certifying permanent carbon removals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Concerns for biomass sustainability were raised many times in the stakeholder consultations.</w:t>
      </w:r>
      <w:r>
        <w:t xml:space="preserve"> </w:t>
      </w:r>
      <w:r>
        <w:t xml:space="preserve">In the interviews, several stakeholders mentioned that the current way the ETS treats biomass</w:t>
      </w:r>
      <w:r>
        <w:t xml:space="preserve"> </w:t>
      </w:r>
      <w:r>
        <w:t xml:space="preserve">is problematic. Biomass is currently zero-rated under the ETS, which is in line with IPCC</w:t>
      </w:r>
      <w:r>
        <w:t xml:space="preserve"> </w:t>
      </w:r>
      <w:r>
        <w:t xml:space="preserve">guidelines. The theory is that this is accounted for upstream when the biomass is harvested.</w:t>
      </w:r>
      <w:r>
        <w:t xml:space="preserve"> </w:t>
      </w:r>
      <w:r>
        <w:t xml:space="preserve">However, there is no incentive to reduce biomass use and no limits on biomass use in the ETS</w:t>
      </w:r>
      <w:r>
        <w:t xml:space="preserve"> </w:t>
      </w:r>
      <w:r>
        <w:t xml:space="preserve">and the accounting argument becomes especially tricky when biomass crosses international</w:t>
      </w:r>
      <w:r>
        <w:t xml:space="preserve"> </w:t>
      </w:r>
      <w:r>
        <w:t xml:space="preserve">borders. Furthermore, the zero rating of biomass in the ETS eliminates downstream incentives</w:t>
      </w:r>
      <w:r>
        <w:t xml:space="preserve"> </w:t>
      </w:r>
      <w:r>
        <w:t xml:space="preserve">for better biomass choices, and neither the ETS nor the CRCF distinguish between different</w:t>
      </w:r>
      <w:r>
        <w:t xml:space="preserve"> </w:t>
      </w:r>
      <w:r>
        <w:t xml:space="preserve">biomass types, despite some biomass types having much shorter carbon cycles than others (e.g. </w:t>
      </w:r>
      <w:r>
        <w:t xml:space="preserve"> </w:t>
      </w:r>
      <w:r>
        <w:t xml:space="preserve">food waste versus forest biomass). Several of the market observers interviewed felt that</w:t>
      </w:r>
      <w:r>
        <w:t xml:space="preserve"> </w:t>
      </w:r>
      <w:r>
        <w:t xml:space="preserve">introducing additional rewards for capturing and storing biogenic CO₂ could create a</w:t>
      </w:r>
      <w:r>
        <w:t xml:space="preserve"> </w:t>
      </w:r>
      <w:r>
        <w:t xml:space="preserve">“double</w:t>
      </w:r>
      <w:r>
        <w:t xml:space="preserve"> </w:t>
      </w:r>
      <w:r>
        <w:t xml:space="preserve">incentive”</w:t>
      </w:r>
      <w:r>
        <w:t xml:space="preserve"> </w:t>
      </w:r>
      <w:r>
        <w:t xml:space="preserve">on top of the already strong incentive to use biomass in the ETS, further increasing</w:t>
      </w:r>
      <w:r>
        <w:t xml:space="preserve"> </w:t>
      </w:r>
      <w:r>
        <w:t xml:space="preserve">demand for biomass, despite declining land sinks and insufficient upstream incentives through</w:t>
      </w:r>
      <w:r>
        <w:t xml:space="preserve"> </w:t>
      </w:r>
      <w:r>
        <w:t xml:space="preserve">the LULUCF Regulations. It was stated by several stakeholders that the current reliance on the</w:t>
      </w:r>
      <w:r>
        <w:t xml:space="preserve"> </w:t>
      </w:r>
      <w:r>
        <w:t xml:space="preserve">RED (through the ETS and the CRCF) may not provide adequate safeguards to protect</w:t>
      </w:r>
      <w:r>
        <w:t xml:space="preserve"> </w:t>
      </w:r>
      <w:r>
        <w:t xml:space="preserve">LULUCF objectives. Stakeholders recommended that the biomass accounting and incentive</w:t>
      </w:r>
      <w:r>
        <w:t xml:space="preserve"> </w:t>
      </w:r>
      <w:r>
        <w:t xml:space="preserve">structure be reviewed more holistically before allowing biomass-based removals into the ETS.</w:t>
      </w:r>
      <w:r>
        <w:br/>
      </w:r>
      <w:r>
        <w:t xml:space="preserve">Carbon removal activities that could be added to the CRCF in the future such as enhanced</w:t>
      </w:r>
      <w:r>
        <w:t xml:space="preserve"> </w:t>
      </w:r>
      <w:r>
        <w:t xml:space="preserve">weathering, Ocean Alkalinity Enhancement and Direct Ocean Capture – for which no CRCF</w:t>
      </w:r>
      <w:r>
        <w:t xml:space="preserve"> </w:t>
      </w:r>
      <w:r>
        <w:t xml:space="preserve">methodologies have not yet been developed– may have environmental risks and impacts that</w:t>
      </w:r>
      <w:r>
        <w:t xml:space="preserve"> </w:t>
      </w:r>
      <w:r>
        <w:t xml:space="preserve">would need to be further assessed, and the CRCF methodologies should include requirements</w:t>
      </w:r>
      <w:r>
        <w:t xml:space="preserve"> </w:t>
      </w:r>
      <w:r>
        <w:t xml:space="preserve">to mitigate any risks identified.</w:t>
      </w:r>
      <w:r>
        <w:br/>
      </w:r>
      <w:r>
        <w:t xml:space="preserve">All “do no significant harm” and sustainability requirements and feedstock constraints for</w:t>
      </w:r>
      <w:r>
        <w:t xml:space="preserve"> </w:t>
      </w:r>
      <w:r>
        <w:t xml:space="preserve">removals should be aligned between the CRCF and removal activities that take place within</w:t>
      </w:r>
      <w:r>
        <w:t xml:space="preserve"> </w:t>
      </w:r>
      <w:r>
        <w:t xml:space="preserve">the EU ETS, to ensure a level playing field and high-quality carbon removals. Additional</w:t>
      </w:r>
      <w:r>
        <w:t xml:space="preserve"> </w:t>
      </w:r>
      <w:r>
        <w:t xml:space="preserve">sustainability criteria beyond the CRCF methodologies are not considered for the removal units</w:t>
      </w:r>
      <w:r>
        <w:t xml:space="preserve"> </w:t>
      </w:r>
      <w:r>
        <w:t xml:space="preserve">to be included in the ETS. However, in a wider context, the incentive structure for biomass</w:t>
      </w:r>
      <w:r>
        <w:t xml:space="preserve"> </w:t>
      </w:r>
      <w:r>
        <w:t xml:space="preserve">should be reviewed.</w:t>
      </w:r>
      <w:r>
        <w:br/>
      </w:r>
      <w:r>
        <w:t xml:space="preserve">3.1.2.5.</w:t>
      </w:r>
      <w:r>
        <w:t xml:space="preserve"> </w:t>
      </w:r>
      <w:r>
        <w:t xml:space="preserve">Technological maturity</w:t>
      </w:r>
      <w:r>
        <w:t xml:space="preserve"> </w:t>
      </w:r>
      <w:r>
        <w:t xml:space="preserve">The different technological solutions for removing carbon are at different levels of maturity.</w:t>
      </w:r>
      <w:r>
        <w:t xml:space="preserve"> </w:t>
      </w:r>
      <w:r>
        <w:t xml:space="preserve">While DACCS and BioCCS are at the demonstration stage41, other novel approaches are still</w:t>
      </w:r>
      <w:r>
        <w:t xml:space="preserve"> </w:t>
      </w:r>
      <w:r>
        <w:t xml:space="preserve">more theoretical and require further research and pilot project development to assess practical</w:t>
      </w:r>
      <w:r>
        <w:t xml:space="preserve"> </w:t>
      </w:r>
      <w:r>
        <w:t xml:space="preserve">viability. A starting assumption to include a removal type in the EU ETS should be that there</w:t>
      </w:r>
      <w:r>
        <w:t xml:space="preserve"> </w:t>
      </w:r>
      <w:r>
        <w:t xml:space="preserve">is a methodology adopted under the CRCF. CRCF methodologies should ensure that removals</w:t>
      </w:r>
      <w:r>
        <w:t xml:space="preserve"> </w:t>
      </w:r>
      <w:r>
        <w:t xml:space="preserve">are quantified in a robust and conservative manner and that appropriate monitoring and liability</w:t>
      </w:r>
      <w:r>
        <w:t xml:space="preserve"> </w:t>
      </w:r>
      <w:r>
        <w:t xml:space="preserve">requirements are in place and sustainability risks are addressed. Ensuring that the risk of</w:t>
      </w:r>
      <w:r>
        <w:t xml:space="preserve"> </w:t>
      </w:r>
      <w:r>
        <w:t xml:space="preserve">reversal is well understood and there is appropriate monitoring and liability in place is</w:t>
      </w:r>
      <w:r>
        <w:t xml:space="preserve"> </w:t>
      </w:r>
      <w:r>
        <w:t xml:space="preserve">especially important for more novel removal options for which the long-term carbon removal</w:t>
      </w:r>
      <w:r>
        <w:t xml:space="preserve"> </w:t>
      </w:r>
      <w:r>
        <w:t xml:space="preserve">impact may be less well understood. If this is the case, the main remaining issue from including</w:t>
      </w:r>
      <w:r>
        <w:t xml:space="preserve"> </w:t>
      </w:r>
      <w:r>
        <w:t xml:space="preserve">early-stage technologies in the EU ETS is that the volume of removals that could be generated</w:t>
      </w:r>
      <w:r>
        <w:t xml:space="preserve"> </w:t>
      </w:r>
      <w:r>
        <w:t xml:space="preserve">would be very limited, which is not necessarily a risk but may not help to provide a significant</w:t>
      </w:r>
      <w:r>
        <w:t xml:space="preserve"> </w:t>
      </w:r>
      <w:r>
        <w:t xml:space="preserve">new source of allowances in the EU ETS.</w:t>
      </w:r>
    </w:p>
    <w:p>
      <w:pPr>
        <w:pStyle w:val="BodyText"/>
      </w:pPr>
      <w:r>
        <w:t xml:space="preserve">41 See meta-review on the TRLs reported for the various technology types of DAC and BECCS, showing the</w:t>
      </w:r>
      <w:r>
        <w:t xml:space="preserve"> </w:t>
      </w:r>
      <w:r>
        <w:t xml:space="preserve">average, minimum and maximum levels: European Commission: Joint Research Centre, Clean Energy</w:t>
      </w:r>
      <w:r>
        <w:t xml:space="preserve"> </w:t>
      </w:r>
      <w:r>
        <w:t xml:space="preserve">Technology Observatory, Carbon capture utilisation and storage in the European Union – Status report on</w:t>
      </w:r>
      <w:r>
        <w:t xml:space="preserve"> </w:t>
      </w:r>
      <w:r>
        <w:t xml:space="preserve">technology development, trends, value chains and markets. – 2025, Publications Office of the European</w:t>
      </w:r>
      <w:r>
        <w:t xml:space="preserve"> </w:t>
      </w:r>
      <w:r>
        <w:t xml:space="preserve">Union, 2025, https://data.europa.eu/doi/10.2760/0214409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It should be noted that even when the CRCF methodologies are adopted, the whole Regulation</w:t>
      </w:r>
      <w:r>
        <w:t xml:space="preserve"> </w:t>
      </w:r>
      <w:r>
        <w:t xml:space="preserve">is still new. Lessons will be learned as the methodologies are tested and scaled up in the market.</w:t>
      </w:r>
      <w:r>
        <w:t xml:space="preserve"> </w:t>
      </w:r>
      <w:r>
        <w:t xml:space="preserve">Therefore, there will always be some risk that some elements do not work as expected. The</w:t>
      </w:r>
      <w:r>
        <w:t xml:space="preserve"> </w:t>
      </w:r>
      <w:r>
        <w:t xml:space="preserve">CRCF regulation will be reviewed on a regular basis and at least every four years for what</w:t>
      </w:r>
      <w:r>
        <w:t xml:space="preserve"> </w:t>
      </w:r>
      <w:r>
        <w:t xml:space="preserve">concerns permanent carbon removal methodologies. This review will have to account for</w:t>
      </w:r>
      <w:r>
        <w:t xml:space="preserve"> </w:t>
      </w:r>
      <w:r>
        <w:t xml:space="preserve">technological and scientific progress and innovation, in particular improvements in monitoring,</w:t>
      </w:r>
      <w:r>
        <w:t xml:space="preserve"> </w:t>
      </w:r>
      <w:r>
        <w:t xml:space="preserve">reporting and verification.</w:t>
      </w:r>
      <w:r>
        <w:br/>
      </w:r>
      <w:r>
        <w:t xml:space="preserve">As a result, the existence of an adopted CRCF methodology is a fundamental and basic</w:t>
      </w:r>
      <w:r>
        <w:t xml:space="preserve"> </w:t>
      </w:r>
      <w:r>
        <w:t xml:space="preserve">requirement before a removal technology can be considered for inclusion in the EU ETS. In</w:t>
      </w:r>
      <w:r>
        <w:t xml:space="preserve"> </w:t>
      </w:r>
      <w:r>
        <w:t xml:space="preserve">addition, especially for the more novel carbon removal technologies, those methodologies</w:t>
      </w:r>
      <w:r>
        <w:t xml:space="preserve"> </w:t>
      </w:r>
      <w:r>
        <w:t xml:space="preserve">should be allowed some time for wider scale roll out and further testing before allowing those</w:t>
      </w:r>
      <w:r>
        <w:t xml:space="preserve"> </w:t>
      </w:r>
      <w:r>
        <w:t xml:space="preserve">units into the EU ETS.</w:t>
      </w:r>
      <w:r>
        <w:t xml:space="preserve"> </w:t>
      </w:r>
      <w:r>
        <w:t xml:space="preserve">3.1.3. Overview of conclusions on removal types</w:t>
      </w:r>
      <w:r>
        <w:t xml:space="preserve"> </w:t>
      </w:r>
      <w:r>
        <w:t xml:space="preserve">Table 9 shows an assessment of different removal activities against the criteria set out. As</w:t>
      </w:r>
      <w:r>
        <w:t xml:space="preserve"> </w:t>
      </w:r>
      <w:r>
        <w:t xml:space="preserve">summarised there, DACCS and BioCCS could meet all the criteria to be included in the EU</w:t>
      </w:r>
      <w:r>
        <w:t xml:space="preserve"> </w:t>
      </w:r>
      <w:r>
        <w:t xml:space="preserve">ETS, once the CRCF methodology for permanent removals is adopted. The main issue is</w:t>
      </w:r>
      <w:r>
        <w:t xml:space="preserve"> </w:t>
      </w:r>
      <w:r>
        <w:t xml:space="preserve">biomass sustainability, for which stakeholders raised concerns that there are no limits on the</w:t>
      </w:r>
      <w:r>
        <w:t xml:space="preserve"> </w:t>
      </w:r>
      <w:r>
        <w:t xml:space="preserve">amount or type of biomass that can be used in the ETS and the existing incentive structure</w:t>
      </w:r>
      <w:r>
        <w:t xml:space="preserve"> </w:t>
      </w:r>
      <w:r>
        <w:t xml:space="preserve">(across RED, ETS, CRCF and LULUCF sectors) are not well aligned. Currently DACCS and</w:t>
      </w:r>
      <w:r>
        <w:t xml:space="preserve"> </w:t>
      </w:r>
      <w:r>
        <w:t xml:space="preserve">BioCCS offer the lowest levels of uncertainty associated with carbon stored and captured and</w:t>
      </w:r>
      <w:r>
        <w:t xml:space="preserve"> </w:t>
      </w:r>
      <w:r>
        <w:t xml:space="preserve">an MRV framework that is most compatible with the ETS approach.</w:t>
      </w:r>
      <w:r>
        <w:br/>
      </w:r>
      <w:r>
        <w:t xml:space="preserve">Biochar will generate permanent removal units under the CRCF. It can meet many of the</w:t>
      </w:r>
      <w:r>
        <w:t xml:space="preserve"> </w:t>
      </w:r>
      <w:r>
        <w:t xml:space="preserve">criteria in the table below. The draft CRCF methodology does include minimum criteria for</w:t>
      </w:r>
      <w:r>
        <w:t xml:space="preserve"> </w:t>
      </w:r>
      <w:r>
        <w:t xml:space="preserve">the quality of biochar, which is considered a key factor for a high-quality biochar project.</w:t>
      </w:r>
      <w:r>
        <w:t xml:space="preserve"> </w:t>
      </w:r>
      <w:r>
        <w:t xml:space="preserve">However, the CRCF does not include ongoing monitoring or liability provisions. Considering</w:t>
      </w:r>
      <w:r>
        <w:t xml:space="preserve"> </w:t>
      </w:r>
      <w:r>
        <w:t xml:space="preserve">the low risk of reversal of the fraction of biochar that is identified by the CRCF methodology</w:t>
      </w:r>
      <w:r>
        <w:t xml:space="preserve"> </w:t>
      </w:r>
      <w:r>
        <w:t xml:space="preserve">on biochar as stable, and the use of a conservative factor in the quantification of the permanent</w:t>
      </w:r>
      <w:r>
        <w:t xml:space="preserve"> </w:t>
      </w:r>
      <w:r>
        <w:t xml:space="preserve">fraction of the biochar, no further monitoring is required beyond the point at which the biochar</w:t>
      </w:r>
      <w:r>
        <w:t xml:space="preserve"> </w:t>
      </w:r>
      <w:r>
        <w:t xml:space="preserve">is demonstrated to have been applied to the land or incorporated into a product.</w:t>
      </w:r>
      <w:r>
        <w:t xml:space="preserve"> </w:t>
      </w:r>
      <w:r>
        <w:t xml:space="preserve">Depending on the type of carbon removal integration within the ETS, biochar can be an option</w:t>
      </w:r>
      <w:r>
        <w:t xml:space="preserve"> </w:t>
      </w:r>
      <w:r>
        <w:t xml:space="preserve">to consider, as it is today the carbon removal solution most ready for near-term deployment.</w:t>
      </w:r>
      <w:r>
        <w:br/>
      </w:r>
      <w:r>
        <w:t xml:space="preserve">For instance, it could be easier to address the remaining concerns on MRV uncertainties</w:t>
      </w:r>
      <w:r>
        <w:t xml:space="preserve"> </w:t>
      </w:r>
      <w:r>
        <w:t xml:space="preserve">through a public purchasing authority than through a direct integration at the level of the ETS</w:t>
      </w:r>
      <w:r>
        <w:t xml:space="preserve"> </w:t>
      </w:r>
      <w:r>
        <w:t xml:space="preserve">regulated entities. However, removal units are likely to be lower cost than other permanent</w:t>
      </w:r>
      <w:r>
        <w:t xml:space="preserve"> </w:t>
      </w:r>
      <w:r>
        <w:t xml:space="preserve">removal options, therefore the Commission should consider carefully if and how to allow</w:t>
      </w:r>
      <w:r>
        <w:t xml:space="preserve"> </w:t>
      </w:r>
      <w:r>
        <w:t xml:space="preserve">biochar removal units to be integrated as this could have a larger impact on the ETS market</w:t>
      </w:r>
      <w:r>
        <w:t xml:space="preserve"> </w:t>
      </w:r>
      <w:r>
        <w:t xml:space="preserve">than other removal options.On a global level, biochar carbon removal capacity could reach</w:t>
      </w:r>
      <w:r>
        <w:t xml:space="preserve"> </w:t>
      </w:r>
      <w:r>
        <w:t xml:space="preserve">approximately 2.8 MtCO₂ per year by 2030 and 4.3 MtCO₂ per year by 2035, while EU biochar</w:t>
      </w:r>
      <w:r>
        <w:t xml:space="preserve"> </w:t>
      </w:r>
      <w:r>
        <w:t xml:space="preserve">carbon removal capacity could reach 5–7 MtCO₂ per year by 2035.42</w:t>
      </w:r>
    </w:p>
    <w:p>
      <w:pPr>
        <w:pStyle w:val="BodyText"/>
      </w:pPr>
      <w:r>
        <w:t xml:space="preserve">42 Concretely, according to the study from European Commission: Directorate-General for Climate Action and</w:t>
      </w:r>
      <w:r>
        <w:t xml:space="preserve"> </w:t>
      </w:r>
      <w:r>
        <w:t xml:space="preserve">Ramboll Management Consulting, Carbon removals in the EU – Review of current carbon removal projects</w:t>
      </w:r>
      <w:r>
        <w:t xml:space="preserve"> </w:t>
      </w:r>
      <w:r>
        <w:t xml:space="preserve">and</w:t>
      </w:r>
      <w:r>
        <w:t xml:space="preserve"> </w:t>
      </w:r>
      <w:r>
        <w:t xml:space="preserve">early-stage</w:t>
      </w:r>
      <w:r>
        <w:t xml:space="preserve"> </w:t>
      </w:r>
      <w:r>
        <w:t xml:space="preserve">financing</w:t>
      </w:r>
      <w:r>
        <w:t xml:space="preserve"> </w:t>
      </w:r>
      <w:r>
        <w:t xml:space="preserve">(Publications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2025,</w:t>
      </w:r>
      <w:r>
        <w:t xml:space="preserve"> </w:t>
      </w:r>
      <w:r>
        <w:t xml:space="preserve">https://data.europa.eu/doi/10.2834/0004994), on a global level, the estimated biochar carbon removal</w:t>
      </w:r>
      <w:r>
        <w:t xml:space="preserve"> </w:t>
      </w:r>
      <w:r>
        <w:t xml:space="preserve">capacity is projected to continue expanding. The State of Carbon Dioxide Removal 2024 (Pongratz et al.,</w:t>
      </w:r>
      <w:r>
        <w:t xml:space="preserve"> </w:t>
      </w:r>
      <w:r>
        <w:t xml:space="preserve">2024) suggests an increase from 0.2 MtCO₂ per year in 2021 to 0.8 MtCO₂ per year in 2023, with an annual</w:t>
      </w:r>
      <w:r>
        <w:t xml:space="preserve"> </w:t>
      </w:r>
      <w:r>
        <w:t xml:space="preserve">growth rate of approximately 0.3 MtCO₂. If this trend persists, global biochar carbon removal capacity could</w:t>
      </w:r>
      <w:r>
        <w:t xml:space="preserve"> </w:t>
      </w:r>
      <w:r>
        <w:t xml:space="preserve">reach approximately 2.8 MtCO₂ per year by 2030 and 4.3 MtCO₂ per year by 2035. This growth does not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The Commission should consider the full range of policy options to support the scale-up of</w:t>
      </w:r>
      <w:r>
        <w:t xml:space="preserve"> </w:t>
      </w:r>
      <w:r>
        <w:t xml:space="preserve">biochar. Furthermore, as the research into biochar is relatively limited (although expanding all</w:t>
      </w:r>
      <w:r>
        <w:t xml:space="preserve"> </w:t>
      </w:r>
      <w:r>
        <w:t xml:space="preserve">the time), we consider that there is currently insufficient long-term research to judge whether</w:t>
      </w:r>
      <w:r>
        <w:t xml:space="preserve"> </w:t>
      </w:r>
      <w:r>
        <w:t xml:space="preserve">the decay functions are sufficiently conservative for all applications of biochar.</w:t>
      </w:r>
      <w:r>
        <w:br/>
      </w:r>
      <w:r>
        <w:t xml:space="preserve">Other more novel approaches such as enhanced rock weathering could meet the criteria in</w:t>
      </w:r>
      <w:r>
        <w:t xml:space="preserve"> </w:t>
      </w:r>
      <w:r>
        <w:t xml:space="preserve">future but currently requires further research.</w:t>
      </w:r>
    </w:p>
    <w:p>
      <w:pPr>
        <w:pStyle w:val="BodyText"/>
      </w:pPr>
      <w:r>
        <w:t xml:space="preserve">constraints e.g., available land, biomass) from McKinsey (2023) and Babiker et al. (2023) for potential scaling</w:t>
      </w:r>
      <w:r>
        <w:t xml:space="preserve"> </w:t>
      </w:r>
      <w:r>
        <w:t xml:space="preserve">of carbon removal technologies by 2050, suggesting that these capacities are plausible. In Europe, the current</w:t>
      </w:r>
      <w:r>
        <w:t xml:space="preserve"> </w:t>
      </w:r>
      <w:r>
        <w:t xml:space="preserve">capacity of 0.2 MtCO₂/a in 2023 is expected to increase to 2.3 MtCO₂/a by 2030, according to the European</w:t>
      </w:r>
      <w:r>
        <w:t xml:space="preserve"> </w:t>
      </w:r>
      <w:r>
        <w:t xml:space="preserve">Biochar Industry Consortium (2024). If growth continues in line with the estimated capacities for 2023 and</w:t>
      </w:r>
      <w:r>
        <w:t xml:space="preserve"> </w:t>
      </w:r>
      <w:r>
        <w:t xml:space="preserve">2030, and assuming an exponential trajectory, EU biochar carbon removal capacity could reach 5–7 MtCO₂</w:t>
      </w:r>
      <w:r>
        <w:t xml:space="preserve"> </w:t>
      </w:r>
      <w:r>
        <w:t xml:space="preserve">per year by 2035. These projections are consistent with those of the Rocky Mountain Institute (2023), which</w:t>
      </w:r>
      <w:r>
        <w:t xml:space="preserve"> </w:t>
      </w:r>
      <w:r>
        <w:t xml:space="preserve">also anticipates significant scaling of biochar carbon removal capacity in the coming decades, albeit on a</w:t>
      </w:r>
      <w:r>
        <w:t xml:space="preserve"> </w:t>
      </w:r>
      <w:r>
        <w:t xml:space="preserve">global scale. In the survey conducted for the study, European biochar companies indicated they aim to remove</w:t>
      </w:r>
      <w:r>
        <w:t xml:space="preserve"> </w:t>
      </w:r>
      <w:r>
        <w:t xml:space="preserve">2.4 MtCO₂ per year by 2030 and 5.3 MtCO₂ per year by 2035, however, the extent to which this estimated</w:t>
      </w:r>
      <w:r>
        <w:t xml:space="preserve"> </w:t>
      </w:r>
      <w:r>
        <w:t xml:space="preserve">future capacity is feasible, remains to be seen. These estimates provided by stakeholders might be too</w:t>
      </w:r>
      <w:r>
        <w:t xml:space="preserve"> </w:t>
      </w:r>
      <w:r>
        <w:t xml:space="preserve">optimistic, meaning these could reflect ambitions rather than realistic expectations.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Table 8:</w:t>
      </w:r>
      <w:r>
        <w:t xml:space="preserve"> </w:t>
      </w:r>
      <w:r>
        <w:t xml:space="preserve">Overview of criteria applied to different domestic carbon removal activities</w:t>
      </w:r>
    </w:p>
    <w:p>
      <w:pPr>
        <w:pStyle w:val="BodyText"/>
      </w:pPr>
      <w:r>
        <w:t xml:space="preserve">DACCS</w:t>
      </w:r>
      <w:r>
        <w:t xml:space="preserve"> </w:t>
      </w:r>
      <w:r>
        <w:t xml:space="preserve">BioCCS</w:t>
      </w:r>
      <w:r>
        <w:t xml:space="preserve"> </w:t>
      </w:r>
      <w:r>
        <w:t xml:space="preserve">Biochar</w:t>
      </w:r>
      <w:r>
        <w:t xml:space="preserve"> </w:t>
      </w:r>
      <w:r>
        <w:t xml:space="preserve">Enhanced Weathering</w:t>
      </w:r>
      <w:r>
        <w:t xml:space="preserve"> </w:t>
      </w:r>
      <w:r>
        <w:t xml:space="preserve">Permanent Storage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Liability provisions</w:t>
      </w:r>
      <w:r>
        <w:t xml:space="preserve"> </w:t>
      </w:r>
      <w:r>
        <w:t xml:space="preserve">Defined (CCS/ETS</w:t>
      </w:r>
      <w:r>
        <w:t xml:space="preserve"> </w:t>
      </w:r>
      <w:r>
        <w:t xml:space="preserve">Directives)</w:t>
      </w:r>
      <w:r>
        <w:t xml:space="preserve"> </w:t>
      </w:r>
      <w:r>
        <w:t xml:space="preserve">Defined (CCS/ETS Directives)</w:t>
      </w:r>
      <w:r>
        <w:t xml:space="preserve"> </w:t>
      </w:r>
      <w:r>
        <w:t xml:space="preserve">Permanence of storage addressed by</w:t>
      </w:r>
      <w:r>
        <w:t xml:space="preserve"> </w:t>
      </w:r>
      <w:r>
        <w:t xml:space="preserve">requirements at production. No</w:t>
      </w:r>
      <w:r>
        <w:t xml:space="preserve"> </w:t>
      </w:r>
      <w:r>
        <w:t xml:space="preserve">liability provisions (as for</w:t>
      </w:r>
      <w:r>
        <w:t xml:space="preserve"> </w:t>
      </w:r>
      <w:r>
        <w:t xml:space="preserve">permanent CCU under the ETS).</w:t>
      </w:r>
      <w:r>
        <w:br/>
      </w:r>
      <w:r>
        <w:t xml:space="preserve">No CRCF methodology</w:t>
      </w:r>
      <w:r>
        <w:t xml:space="preserve"> </w:t>
      </w:r>
      <w:r>
        <w:t xml:space="preserve">Minimum MRV</w:t>
      </w:r>
      <w:r>
        <w:t xml:space="preserve"> </w:t>
      </w:r>
      <w:r>
        <w:t xml:space="preserve">requirements/Uncertainty</w:t>
      </w:r>
      <w:r>
        <w:t xml:space="preserve"> </w:t>
      </w:r>
      <w:r>
        <w:t xml:space="preserve">Defined, measurement-</w:t>
      </w:r>
      <w:r>
        <w:t xml:space="preserve"> </w:t>
      </w:r>
      <w:r>
        <w:t xml:space="preserve">based MRV, low</w:t>
      </w:r>
      <w:r>
        <w:t xml:space="preserve"> </w:t>
      </w:r>
      <w:r>
        <w:t xml:space="preserve">uncertainty</w:t>
      </w:r>
      <w:r>
        <w:t xml:space="preserve"> </w:t>
      </w:r>
      <w:r>
        <w:t xml:space="preserve">Ease of MRV high</w:t>
      </w:r>
      <w:r>
        <w:t xml:space="preserve"> </w:t>
      </w:r>
      <w:r>
        <w:t xml:space="preserve">Defined, measurement-based</w:t>
      </w:r>
      <w:r>
        <w:t xml:space="preserve"> </w:t>
      </w:r>
      <w:r>
        <w:t xml:space="preserve">MRV, low uncertainty</w:t>
      </w:r>
      <w:r>
        <w:t xml:space="preserve"> </w:t>
      </w:r>
      <w:r>
        <w:t xml:space="preserve">Ease of MRV high</w:t>
      </w:r>
      <w:r>
        <w:t xml:space="preserve"> </w:t>
      </w:r>
      <w:r>
        <w:t xml:space="preserve">Test biochar quality and monitor to</w:t>
      </w:r>
      <w:r>
        <w:t xml:space="preserve"> </w:t>
      </w:r>
      <w:r>
        <w:t xml:space="preserve">point of application on soil or</w:t>
      </w:r>
      <w:r>
        <w:t xml:space="preserve"> </w:t>
      </w:r>
      <w:r>
        <w:t xml:space="preserve">incorporation in products.</w:t>
      </w:r>
      <w:r>
        <w:t xml:space="preserve"> </w:t>
      </w:r>
      <w:r>
        <w:t xml:space="preserve">Ease of MRV high</w:t>
      </w:r>
      <w:r>
        <w:t xml:space="preserve"> </w:t>
      </w:r>
      <w:r>
        <w:t xml:space="preserve">Modelling involved; high</w:t>
      </w:r>
      <w:r>
        <w:t xml:space="preserve"> </w:t>
      </w:r>
      <w:r>
        <w:t xml:space="preserve">uncertainty</w:t>
      </w:r>
      <w:r>
        <w:br/>
      </w:r>
      <w:r>
        <w:t xml:space="preserve">Ease of MRV low</w:t>
      </w:r>
      <w:r>
        <w:t xml:space="preserve"> </w:t>
      </w:r>
      <w:r>
        <w:t xml:space="preserve">d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(positive)</w:t>
      </w:r>
      <w:r>
        <w:t xml:space="preserve"> </w:t>
      </w:r>
      <w:r>
        <w:t xml:space="preserve">No</w:t>
      </w:r>
      <w:r>
        <w:t xml:space="preserve"> </w:t>
      </w:r>
      <w:r>
        <w:t xml:space="preserve">Yes - Energy production</w:t>
      </w:r>
      <w:r>
        <w:br/>
      </w:r>
      <w:r>
        <w:t xml:space="preserve">Yes - If used for soil enhancement:</w:t>
      </w:r>
      <w:r>
        <w:t xml:space="preserve"> </w:t>
      </w:r>
      <w:r>
        <w:t xml:space="preserve">Soil fertility, water, possible</w:t>
      </w:r>
      <w:r>
        <w:t xml:space="preserve"> </w:t>
      </w:r>
      <w:r>
        <w:t xml:space="preserve">decrease of N2O</w:t>
      </w:r>
      <w:r>
        <w:t xml:space="preserve"> </w:t>
      </w:r>
      <w:r>
        <w:t xml:space="preserve">Yes - Soil amelioration,</w:t>
      </w:r>
      <w:r>
        <w:t xml:space="preserve"> </w:t>
      </w:r>
      <w:r>
        <w:t xml:space="preserve">nutrient source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(negative)</w:t>
      </w:r>
      <w:r>
        <w:t xml:space="preserve"> </w:t>
      </w:r>
      <w:r>
        <w:t xml:space="preserve">High energy use</w:t>
      </w:r>
      <w:r>
        <w:t xml:space="preserve"> </w:t>
      </w:r>
      <w:r>
        <w:t xml:space="preserve">(competing with</w:t>
      </w:r>
      <w:r>
        <w:t xml:space="preserve"> </w:t>
      </w:r>
      <w:r>
        <w:t xml:space="preserve">renewable electricity</w:t>
      </w:r>
      <w:r>
        <w:t xml:space="preserve"> </w:t>
      </w:r>
      <w:r>
        <w:t xml:space="preserve">demand for abatement)</w:t>
      </w:r>
      <w:r>
        <w:t xml:space="preserve"> </w:t>
      </w:r>
      <w:r>
        <w:t xml:space="preserve">Biomass sustainability concerns</w:t>
      </w:r>
      <w:r>
        <w:t xml:space="preserve"> </w:t>
      </w:r>
      <w:r>
        <w:t xml:space="preserve">– mitigated by compliance with</w:t>
      </w:r>
      <w:r>
        <w:t xml:space="preserve"> </w:t>
      </w:r>
      <w:r>
        <w:t xml:space="preserve">RED and limit on additional</w:t>
      </w:r>
      <w:r>
        <w:t xml:space="preserve"> </w:t>
      </w:r>
      <w:r>
        <w:t xml:space="preserve">biomass use</w:t>
      </w:r>
      <w:r>
        <w:t xml:space="preserve"> </w:t>
      </w:r>
      <w:r>
        <w:t xml:space="preserve">Biomass sustainability concerns –</w:t>
      </w:r>
      <w:r>
        <w:t xml:space="preserve"> </w:t>
      </w:r>
      <w:r>
        <w:t xml:space="preserve">mitigated by limiting to wastes and</w:t>
      </w:r>
      <w:r>
        <w:t xml:space="preserve"> </w:t>
      </w:r>
      <w:r>
        <w:t xml:space="preserve">residues (if primary product) and</w:t>
      </w:r>
      <w:r>
        <w:t xml:space="preserve"> </w:t>
      </w:r>
      <w:r>
        <w:t xml:space="preserve">RED compliance</w:t>
      </w:r>
      <w:r>
        <w:t xml:space="preserve"> </w:t>
      </w:r>
      <w:r>
        <w:t xml:space="preserve">Challenges for scaling up rock</w:t>
      </w:r>
      <w:r>
        <w:t xml:space="preserve"> </w:t>
      </w:r>
      <w:r>
        <w:t xml:space="preserve">extraction, potential risk of soil</w:t>
      </w:r>
      <w:r>
        <w:t xml:space="preserve"> </w:t>
      </w:r>
      <w:r>
        <w:t xml:space="preserve">contamination</w:t>
      </w:r>
      <w:r>
        <w:t xml:space="preserve"> </w:t>
      </w:r>
      <w:r>
        <w:t xml:space="preserve">Technological maturity</w:t>
      </w:r>
      <w:r>
        <w:t xml:space="preserve"> </w:t>
      </w:r>
      <w:r>
        <w:t xml:space="preserve">Wide-scale testing</w:t>
      </w:r>
      <w:r>
        <w:br/>
      </w:r>
      <w:r>
        <w:t xml:space="preserve">TRL 6-8</w:t>
      </w:r>
      <w:r>
        <w:t xml:space="preserve"> </w:t>
      </w:r>
      <w:r>
        <w:t xml:space="preserve">Well- tested quantification</w:t>
      </w:r>
      <w:r>
        <w:t xml:space="preserve"> </w:t>
      </w:r>
      <w:r>
        <w:t xml:space="preserve">of technical solution</w:t>
      </w:r>
      <w:r>
        <w:t xml:space="preserve"> </w:t>
      </w:r>
      <w:r>
        <w:t xml:space="preserve">mature</w:t>
      </w:r>
      <w:r>
        <w:t xml:space="preserve"> </w:t>
      </w:r>
      <w:r>
        <w:t xml:space="preserve">Well-tested quantification of</w:t>
      </w:r>
      <w:r>
        <w:t xml:space="preserve"> </w:t>
      </w:r>
      <w:r>
        <w:t xml:space="preserve">technical solution mature</w:t>
      </w:r>
      <w:r>
        <w:t xml:space="preserve"> </w:t>
      </w:r>
      <w:r>
        <w:t xml:space="preserve">Most of the carbon removals</w:t>
      </w:r>
      <w:r>
        <w:t xml:space="preserve"> </w:t>
      </w:r>
      <w:r>
        <w:t xml:space="preserve">currently delivered on voluntary</w:t>
      </w:r>
      <w:r>
        <w:t xml:space="preserve"> </w:t>
      </w:r>
      <w:r>
        <w:t xml:space="preserve">market are from Biochar activities.</w:t>
      </w:r>
      <w:r>
        <w:t xml:space="preserve"> </w:t>
      </w:r>
      <w:r>
        <w:t xml:space="preserve">Decay function could benefit from</w:t>
      </w:r>
      <w:r>
        <w:t xml:space="preserve"> </w:t>
      </w:r>
      <w:r>
        <w:t xml:space="preserve">broader testing after approval of the</w:t>
      </w:r>
      <w:r>
        <w:t xml:space="preserve"> </w:t>
      </w:r>
      <w:r>
        <w:t xml:space="preserve">methodology</w:t>
      </w:r>
      <w:r>
        <w:t xml:space="preserve"> </w:t>
      </w:r>
      <w:r>
        <w:t xml:space="preserve">Requires further testing after</w:t>
      </w:r>
      <w:r>
        <w:t xml:space="preserve"> </w:t>
      </w:r>
      <w:r>
        <w:t xml:space="preserve">approval of methodology</w:t>
      </w:r>
      <w:r>
        <w:t xml:space="preserve"> </w:t>
      </w:r>
      <w:r>
        <w:t xml:space="preserve">Overall recommended for</w:t>
      </w:r>
      <w:r>
        <w:t xml:space="preserve"> </w:t>
      </w:r>
      <w:r>
        <w:t xml:space="preserve">inclusion in EU ETS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Depends on the type of integration</w:t>
      </w:r>
      <w:r>
        <w:t xml:space="preserve"> </w:t>
      </w:r>
      <w:r>
        <w:t xml:space="preserve">of carbon removals with ETS</w:t>
      </w:r>
      <w:r>
        <w:br/>
      </w:r>
      <w:r>
        <w:t xml:space="preserve">Needs further research</w:t>
      </w:r>
    </w:p>
    <w:p>
      <w:pPr>
        <w:pStyle w:val="BodyText"/>
      </w:pPr>
      <w:r>
        <w:t xml:space="preserve">70</w:t>
      </w:r>
    </w:p>
    <w:p>
      <w:pPr>
        <w:pStyle w:val="Compact"/>
        <w:numPr>
          <w:ilvl w:val="0"/>
          <w:numId w:val="1007"/>
        </w:numPr>
      </w:pPr>
      <w:r>
        <w:t xml:space="preserve">CROSS CUTTING DESIGN CONSIDERATIONS OF THE MEASURES</w:t>
      </w:r>
      <w:r>
        <w:t xml:space="preserve"> </w:t>
      </w:r>
      <w:r>
        <w:t xml:space="preserve">This section examines the remaining cross-cutting design considerations of all the measures.</w:t>
      </w:r>
      <w:r>
        <w:br/>
      </w:r>
      <w:r>
        <w:t xml:space="preserve">4.1. Equivalence between CRCF and EU ETS GHG units</w:t>
      </w:r>
      <w:r>
        <w:t xml:space="preserve"> </w:t>
      </w:r>
      <w:r>
        <w:t xml:space="preserve">The CRCF Regulation provides a framework for quantifying and certifying carbon removal</w:t>
      </w:r>
      <w:r>
        <w:t xml:space="preserve"> </w:t>
      </w:r>
      <w:r>
        <w:t xml:space="preserve">activities in the EU. This section discusses the equivalence between the GHG calculation in</w:t>
      </w:r>
      <w:r>
        <w:t xml:space="preserve"> </w:t>
      </w:r>
      <w:r>
        <w:t xml:space="preserve">the CRCF and in the EU ETS.</w:t>
      </w:r>
      <w:r>
        <w:t xml:space="preserve"> </w:t>
      </w:r>
      <w:r>
        <w:t xml:space="preserve">The CRCF and the ETS take different approaches to calculating emissions. The CRCF</w:t>
      </w:r>
      <w:r>
        <w:t xml:space="preserve"> </w:t>
      </w:r>
      <w:r>
        <w:t xml:space="preserve">Regulation (Article 4) sets out the high-level EU approach to quantify net carbon removals, i.e. </w:t>
      </w:r>
      <w:r>
        <w:t xml:space="preserve"> </w:t>
      </w:r>
      <w:r>
        <w:t xml:space="preserve">deducting several emissions from the actual CO2 removed at the point of capture (gross</w:t>
      </w:r>
      <w:r>
        <w:t xml:space="preserve"> </w:t>
      </w:r>
      <w:r>
        <w:t xml:space="preserve">removals). In practice the issuance of a CRCF certified unit should always mean that one net</w:t>
      </w:r>
      <w:r>
        <w:t xml:space="preserve"> </w:t>
      </w:r>
      <w:r>
        <w:t xml:space="preserve">tonne of carbon has been removed from the atmosphere. The detailed methodologies, which</w:t>
      </w:r>
      <w:r>
        <w:t xml:space="preserve"> </w:t>
      </w:r>
      <w:r>
        <w:t xml:space="preserve">will set out the exact scope of emissions per activity type, are in development, and due to be</w:t>
      </w:r>
      <w:r>
        <w:t xml:space="preserve"> </w:t>
      </w:r>
      <w:r>
        <w:t xml:space="preserve">adopted during 2025.</w:t>
      </w:r>
      <w:r>
        <w:br/>
      </w:r>
      <w:r>
        <w:t xml:space="preserve">The CRCF certifies the net removal credits generated by a specific activity over the</w:t>
      </w:r>
      <w:r>
        <w:t xml:space="preserve"> </w:t>
      </w:r>
      <w:r>
        <w:t xml:space="preserve">certification period, by deducting the emissions generated during the lifetime of the project</w:t>
      </w:r>
      <w:r>
        <w:t xml:space="preserve"> </w:t>
      </w:r>
      <w:r>
        <w:t xml:space="preserve">(life cycle assessment or ‘LCA’) and the baseline from the gross removals (the tonnes captured</w:t>
      </w:r>
      <w:r>
        <w:t xml:space="preserve"> </w:t>
      </w:r>
      <w:r>
        <w:t xml:space="preserve">for storage). The following depicts the formula for net carbon removals resulting from the</w:t>
      </w:r>
      <w:r>
        <w:t xml:space="preserve"> </w:t>
      </w:r>
      <w:r>
        <w:t xml:space="preserve">CRCF Regulation:</w:t>
      </w:r>
      <w:r>
        <w:br/>
      </w:r>
      <w:r>
        <w:t xml:space="preserve">Figure 6:</w:t>
      </w:r>
      <w:r>
        <w:t xml:space="preserve"> </w:t>
      </w:r>
      <w:r>
        <w:t xml:space="preserve">Net emissions formula for CDR under the CRCF</w:t>
      </w:r>
    </w:p>
    <w:p>
      <w:pPr>
        <w:pStyle w:val="FirstParagraph"/>
      </w:pPr>
      <w:r>
        <w:t xml:space="preserve">Figure 7:</w:t>
      </w:r>
      <w:r>
        <w:t xml:space="preserve"> </w:t>
      </w:r>
      <w:r>
        <w:t xml:space="preserve">Emissions included in life-cycle emissions calculation</w:t>
      </w:r>
    </w:p>
    <w:bookmarkStart w:id="9" w:name="X71e1d7b2befd13514373f2d056f5fc9f1f5d1ff"/>
    <w:p>
      <w:pPr>
        <w:pStyle w:val="Heading2"/>
      </w:pPr>
      <w:r>
        <w:t xml:space="preserve">Some of these LCA emissions are subject to surrender obligations under the ETS:</w:t>
      </w:r>
    </w:p>
    <w:p>
      <w:pPr>
        <w:pStyle w:val="FirstParagraph"/>
      </w:pPr>
      <w:r>
        <w:t xml:space="preserve">From the energy use (scope 1 fossil fuel use or scope 2 electricity)</w:t>
      </w:r>
    </w:p>
    <w:p>
      <w:pPr>
        <w:pStyle w:val="BodyText"/>
      </w:pPr>
      <w:r>
        <w:t xml:space="preserve">71</w:t>
      </w:r>
    </w:p>
    <w:p>
      <w:pPr>
        <w:pStyle w:val="Compact"/>
        <w:numPr>
          <w:ilvl w:val="0"/>
          <w:numId w:val="1008"/>
        </w:numPr>
      </w:pPr>
      <w:r>
        <w:t xml:space="preserve">Scope 3 emissions e.g., emissions from the cement production used in building the facility</w:t>
      </w:r>
    </w:p>
    <w:p>
      <w:pPr>
        <w:pStyle w:val="Compact"/>
        <w:numPr>
          <w:ilvl w:val="0"/>
          <w:numId w:val="1008"/>
        </w:numPr>
      </w:pPr>
      <w:r>
        <w:t xml:space="preserve">Emissions from CO2 leaks in the transport or at injection of CO2 in geological storage</w:t>
      </w:r>
      <w:r>
        <w:t xml:space="preserve"> </w:t>
      </w:r>
      <w:r>
        <w:t xml:space="preserve">sites.</w:t>
      </w:r>
      <w:r>
        <w:br/>
      </w:r>
      <w:r>
        <w:t xml:space="preserve">If one CRCF unit is directly exchanged for one EUA, emissions already covered by the EU</w:t>
      </w:r>
      <w:r>
        <w:t xml:space="preserve"> </w:t>
      </w:r>
      <w:r>
        <w:t xml:space="preserve">ETS (for which an EUA has been purchased and surrendered) would be quantified again in the</w:t>
      </w:r>
      <w:r>
        <w:t xml:space="preserve"> </w:t>
      </w:r>
      <w:r>
        <w:t xml:space="preserve">CRCF calculation and deducted from the amount of carbon removal that can be claimed.</w:t>
      </w:r>
      <w:r>
        <w:br/>
      </w:r>
      <w:r>
        <w:t xml:space="preserve">Emissions would be paid for through the ETS and not allowed to be counted towards the CRCF</w:t>
      </w:r>
      <w:r>
        <w:t xml:space="preserve"> </w:t>
      </w:r>
      <w:r>
        <w:t xml:space="preserve">carbon removal quantification, thus decreasing the amount of carbon removal units that can be</w:t>
      </w:r>
      <w:r>
        <w:t xml:space="preserve"> </w:t>
      </w:r>
      <w:r>
        <w:t xml:space="preserve">claimed and increasing the cost of that removal unit. Meanwhile, emissions under the ETS are</w:t>
      </w:r>
      <w:r>
        <w:t xml:space="preserve"> </w:t>
      </w:r>
      <w:r>
        <w:t xml:space="preserve">subject to the cap, so that the emissions taking place to generate removals reduce the space for</w:t>
      </w:r>
      <w:r>
        <w:t xml:space="preserve"> </w:t>
      </w:r>
      <w:r>
        <w:t xml:space="preserve">other emissions in the ETS, leading to a climate neutral impact if they are not accounting in the</w:t>
      </w:r>
      <w:r>
        <w:t xml:space="preserve"> </w:t>
      </w:r>
      <w:r>
        <w:t xml:space="preserve">value of the removal when used in the ETS.</w:t>
      </w:r>
      <w:r>
        <w:t xml:space="preserve"> </w:t>
      </w:r>
      <w:r>
        <w:t xml:space="preserve">To avoid what can be considered ‘double counting’ of emissions, an exchange rate43 between</w:t>
      </w:r>
      <w:r>
        <w:t xml:space="preserve"> </w:t>
      </w:r>
      <w:r>
        <w:t xml:space="preserve">removal units and EUAs could be implemented to ensure that the net carbon removals do not</w:t>
      </w:r>
      <w:r>
        <w:t xml:space="preserve"> </w:t>
      </w:r>
      <w:r>
        <w:t xml:space="preserve">include ETS emissions.</w:t>
      </w:r>
      <w:r>
        <w:br/>
      </w:r>
      <w:r>
        <w:t xml:space="preserve">Differently from applying a purely gross emissions calculation, this would still include the non-</w:t>
      </w:r>
      <w:r>
        <w:t xml:space="preserve"> </w:t>
      </w:r>
      <w:r>
        <w:t xml:space="preserve">ETS LCA emissions and the baseline emissions if changed from zero as it is currently, which</w:t>
      </w:r>
      <w:r>
        <w:t xml:space="preserve"> </w:t>
      </w:r>
      <w:r>
        <w:t xml:space="preserve">can be considered a fair calculation of the climate benefit of removals. Most of the time, this</w:t>
      </w:r>
      <w:r>
        <w:t xml:space="preserve"> </w:t>
      </w:r>
      <w:r>
        <w:t xml:space="preserve">would mean more than one EUA being issued for one carbon removal unit, since the emissions</w:t>
      </w:r>
      <w:r>
        <w:t xml:space="preserve"> </w:t>
      </w:r>
      <w:r>
        <w:t xml:space="preserve">covered by the ETS would have to be added to the net removal benefit to get the gross removal</w:t>
      </w:r>
      <w:r>
        <w:t xml:space="preserve"> </w:t>
      </w:r>
      <w:r>
        <w:t xml:space="preserve">figure.</w:t>
      </w:r>
      <w:r>
        <w:br/>
      </w:r>
      <w:r>
        <w:t xml:space="preserve">In this case, each carbon removal activity certified under CRCF should clearly identify the ETS</w:t>
      </w:r>
      <w:r>
        <w:t xml:space="preserve"> </w:t>
      </w:r>
      <w:r>
        <w:t xml:space="preserve">counted emissions to allow for a simple adjustment. Trading of removals could be considered</w:t>
      </w:r>
      <w:r>
        <w:t xml:space="preserve"> </w:t>
      </w:r>
      <w:r>
        <w:t xml:space="preserve">complex as there wouldn’t be a high degree of transparency on what 1tCO2 of carbon removal</w:t>
      </w:r>
      <w:r>
        <w:t xml:space="preserve"> </w:t>
      </w:r>
      <w:r>
        <w:t xml:space="preserve">is worth in the ETS, because the calculation will be dependent on each project and certification</w:t>
      </w:r>
      <w:r>
        <w:t xml:space="preserve"> </w:t>
      </w:r>
      <w:r>
        <w:t xml:space="preserve">period. Standardised conversion rates could avoid this complexity, but they do not seem</w:t>
      </w:r>
      <w:r>
        <w:t xml:space="preserve"> </w:t>
      </w:r>
      <w:r>
        <w:t xml:space="preserve">suitable as the level of double counting will vary highly from project to project.</w:t>
      </w:r>
      <w:r>
        <w:br/>
      </w:r>
      <w:r>
        <w:t xml:space="preserve">The different approaches between the CRCF and ETS is acknowledged in the CRCF</w:t>
      </w:r>
      <w:r>
        <w:t xml:space="preserve"> </w:t>
      </w:r>
      <w:r>
        <w:t xml:space="preserve">methodology for DACCS/BioCCS. The methodology includes a specific reporting requirement</w:t>
      </w:r>
      <w:r>
        <w:t xml:space="preserve"> </w:t>
      </w:r>
      <w:r>
        <w:t xml:space="preserve">to determine the amount of emissions that are covered and allows to identify those that are</w:t>
      </w:r>
      <w:r>
        <w:t xml:space="preserve"> </w:t>
      </w:r>
      <w:r>
        <w:t xml:space="preserve">already within the EU ETS and quantify that on a project activity’s certificate of</w:t>
      </w:r>
      <w:r>
        <w:t xml:space="preserve"> </w:t>
      </w:r>
      <w:r>
        <w:t xml:space="preserve">compliance.EU ETS. This could facilitate the exclusion of ETS emissions from the calculation</w:t>
      </w:r>
      <w:r>
        <w:t xml:space="preserve"> </w:t>
      </w:r>
      <w:r>
        <w:t xml:space="preserve">of net removals and therefore allow a CDR supplier selling their removal units into the ETS to</w:t>
      </w:r>
      <w:r>
        <w:t xml:space="preserve"> </w:t>
      </w:r>
      <w:r>
        <w:t xml:space="preserve">calculate a project-specific exchange rate for conversion of a removal unit into an EUA.</w:t>
      </w:r>
      <w:r>
        <w:br/>
      </w:r>
      <w:r>
        <w:t xml:space="preserve">In most cases, the magnitude of this issue is expected to be small. The largest contributor is</w:t>
      </w:r>
      <w:r>
        <w:t xml:space="preserve"> </w:t>
      </w:r>
      <w:r>
        <w:t xml:space="preserve">electricity use, and whilst technologies such as DACCS are electricity intensive, the CRCF</w:t>
      </w:r>
      <w:r>
        <w:t xml:space="preserve"> </w:t>
      </w:r>
      <w:r>
        <w:t xml:space="preserve">methodologies encourage the use of renewable electricity. There could, therefore, potentially</w:t>
      </w:r>
      <w:r>
        <w:t xml:space="preserve"> </w:t>
      </w:r>
      <w:r>
        <w:t xml:space="preserve">be a big difference for a DACCS plant if they are using grid electricity today, although noting</w:t>
      </w:r>
      <w:r>
        <w:t xml:space="preserve"> </w:t>
      </w:r>
      <w:r>
        <w:t xml:space="preserve">that as the grid decarbonises, this difference becomes smaller. However, in an hypothetical</w:t>
      </w:r>
      <w:r>
        <w:t xml:space="preserve"> </w:t>
      </w:r>
      <w:r>
        <w:t xml:space="preserve">scenario where taking the net approach would reduce the amount of removals that can be</w:t>
      </w:r>
      <w:r>
        <w:t xml:space="preserve"> </w:t>
      </w:r>
      <w:r>
        <w:t xml:space="preserve">claimed by around 25% if using grid average electricity for DACCS, the DACCS plant would</w:t>
      </w:r>
      <w:r>
        <w:t xml:space="preserve"> </w:t>
      </w:r>
      <w:r>
        <w:t xml:space="preserve">get 25% more EUAs in the conversion than a DACCS plant using renewable electricity, which</w:t>
      </w:r>
    </w:p>
    <w:p>
      <w:pPr>
        <w:pStyle w:val="FirstParagraph"/>
      </w:pPr>
      <w:r>
        <w:t xml:space="preserve">43 The arguments put forward refer to a model in which operators buy removals in the VCM and bring them</w:t>
      </w:r>
      <w:r>
        <w:t xml:space="preserve"> </w:t>
      </w:r>
      <w:r>
        <w:t xml:space="preserve">into the ETS. The exchange would be simpler if the public authority would integrate removals within the</w:t>
      </w:r>
      <w:r>
        <w:t xml:space="preserve"> </w:t>
      </w:r>
      <w:r>
        <w:t xml:space="preserve">ETS. This option does not seem feasible to the moment (public v private integration is part of the impact</w:t>
      </w:r>
      <w:r>
        <w:t xml:space="preserve"> </w:t>
      </w:r>
      <w:r>
        <w:t xml:space="preserve">assessment analysis).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could create a negative perception of unfairness and almost a perverse incentive not to use</w:t>
      </w:r>
      <w:r>
        <w:t xml:space="preserve"> </w:t>
      </w:r>
      <w:r>
        <w:t xml:space="preserve">renewable electricity.</w:t>
      </w:r>
      <w:r>
        <w:t xml:space="preserve"> </w:t>
      </w:r>
      <w:r>
        <w:t xml:space="preserve">While the proposed reporting of emissions that are already covered by the ETS on CRCF</w:t>
      </w:r>
      <w:r>
        <w:t xml:space="preserve"> </w:t>
      </w:r>
      <w:r>
        <w:t xml:space="preserve">certificates could be used to calculate the appropriate exchange rate, this approach would lead</w:t>
      </w:r>
      <w:r>
        <w:t xml:space="preserve"> </w:t>
      </w:r>
      <w:r>
        <w:t xml:space="preserve">to the creation of individual exchange rates for each carbon removal project activity.</w:t>
      </w:r>
      <w:r>
        <w:t xml:space="preserve"> </w:t>
      </w:r>
      <w:r>
        <w:t xml:space="preserve">Furthermore, since the basis for the issuance of certified removal units is periodic re-</w:t>
      </w:r>
      <w:r>
        <w:t xml:space="preserve"> </w:t>
      </w:r>
      <w:r>
        <w:t xml:space="preserve">certification, a re-calculation of the project exchange rate will be required during each re-</w:t>
      </w:r>
      <w:r>
        <w:t xml:space="preserve"> </w:t>
      </w:r>
      <w:r>
        <w:t xml:space="preserve">certification. As a result, exchange rates between removal units and EUAs may even differ for</w:t>
      </w:r>
      <w:r>
        <w:t xml:space="preserve"> </w:t>
      </w:r>
      <w:r>
        <w:t xml:space="preserve">each issuance of removal units from each CDR project activity.</w:t>
      </w:r>
      <w:r>
        <w:br/>
      </w:r>
      <w:r>
        <w:t xml:space="preserve">Without a standardised exchange rate, administrative burden will increase, and the functioning</w:t>
      </w:r>
      <w:r>
        <w:t xml:space="preserve"> </w:t>
      </w:r>
      <w:r>
        <w:t xml:space="preserve">of the removals market will be affected as certified removal units from different projects will</w:t>
      </w:r>
      <w:r>
        <w:t xml:space="preserve"> </w:t>
      </w:r>
      <w:r>
        <w:t xml:space="preserve">have a different values in the ETS, depending on the amount of ETS emissions covered.</w:t>
      </w:r>
      <w:r>
        <w:t xml:space="preserve"> </w:t>
      </w:r>
      <w:r>
        <w:t xml:space="preserve">Furthermore, if a conversion factor is applied when removal units enter the ETS, CRCF units</w:t>
      </w:r>
      <w:r>
        <w:t xml:space="preserve"> </w:t>
      </w:r>
      <w:r>
        <w:t xml:space="preserve">could have different values inside the ETS and outside, which adds to the market complexity</w:t>
      </w:r>
      <w:r>
        <w:t xml:space="preserve"> </w:t>
      </w:r>
      <w:r>
        <w:t xml:space="preserve">and perception risk, on top of the un-level playing field for different CRCF uses.</w:t>
      </w:r>
      <w:r>
        <w:t xml:space="preserve"> </w:t>
      </w:r>
      <w:r>
        <w:t xml:space="preserve">Stakeholders interviewed and respondents to the open consultation questionnaire were rather</w:t>
      </w:r>
      <w:r>
        <w:t xml:space="preserve"> </w:t>
      </w:r>
      <w:r>
        <w:t xml:space="preserve">split on the question of whether to allow gross removals into the ETS (with an exchange rate)</w:t>
      </w:r>
      <w:r>
        <w:t xml:space="preserve"> </w:t>
      </w:r>
      <w:r>
        <w:t xml:space="preserve">or net (one-to-one CRCF unit for an EUA). The main argument for gross removals is to not</w:t>
      </w:r>
      <w:r>
        <w:t xml:space="preserve"> </w:t>
      </w:r>
      <w:r>
        <w:t xml:space="preserve">pay for the same tonne of carbon twice. However other stakeholders argued for net, arguing</w:t>
      </w:r>
      <w:r>
        <w:t xml:space="preserve"> </w:t>
      </w:r>
      <w:r>
        <w:t xml:space="preserve">mainly on the basis of not diluting environmental integrity, avoiding complexity and ensuring</w:t>
      </w:r>
      <w:r>
        <w:t xml:space="preserve"> </w:t>
      </w:r>
      <w:r>
        <w:t xml:space="preserve">consistency with the voluntary carbon market.</w:t>
      </w:r>
      <w:r>
        <w:br/>
      </w:r>
      <w:r>
        <w:t xml:space="preserve">Conclusion: The CRCF approach guarantees a net climate benefit as part of its quantification</w:t>
      </w:r>
      <w:r>
        <w:t xml:space="preserve"> </w:t>
      </w:r>
      <w:r>
        <w:t xml:space="preserve">methodology since units issued consider net emissions, with any upstream emissions being</w:t>
      </w:r>
      <w:r>
        <w:t xml:space="preserve"> </w:t>
      </w:r>
      <w:r>
        <w:t xml:space="preserve">deducted from the amount of removals that can be claimed. Therefore, allowing the direct</w:t>
      </w:r>
      <w:r>
        <w:t xml:space="preserve"> </w:t>
      </w:r>
      <w:r>
        <w:t xml:space="preserve">exchange of one CRCF removal unit for one EUA would always be a conservative approach.</w:t>
      </w:r>
      <w:r>
        <w:t xml:space="preserve"> </w:t>
      </w:r>
      <w:r>
        <w:t xml:space="preserve">A one-to-one exchange would also ensure minimum administrative burden and perception risk,</w:t>
      </w:r>
      <w:r>
        <w:t xml:space="preserve"> </w:t>
      </w:r>
      <w:r>
        <w:t xml:space="preserve">regardless of how removals are integrated in the EU ETS. It would also support market</w:t>
      </w:r>
      <w:r>
        <w:t xml:space="preserve"> </w:t>
      </w:r>
      <w:r>
        <w:t xml:space="preserve">functioning since all eligible units would have the same value for the purposes of the EU ETS.</w:t>
      </w:r>
      <w:r>
        <w:br/>
      </w:r>
      <w:r>
        <w:t xml:space="preserve">4.2. Unit differentiation</w:t>
      </w:r>
      <w:r>
        <w:t xml:space="preserve"> </w:t>
      </w:r>
      <w:r>
        <w:t xml:space="preserve">It is necessary to decide how removal units will be treated under the Union Registry for ETS</w:t>
      </w:r>
      <w:r>
        <w:t xml:space="preserve"> </w:t>
      </w:r>
      <w:r>
        <w:t xml:space="preserve">compliance purposes. The choice of unit impacts among others market design and price</w:t>
      </w:r>
      <w:r>
        <w:t xml:space="preserve"> </w:t>
      </w:r>
      <w:r>
        <w:t xml:space="preserve">formation, as well as practical elements of the operation of registries.</w:t>
      </w:r>
      <w:r>
        <w:br/>
      </w:r>
      <w:r>
        <w:t xml:space="preserve">ETSs worldwide differ in their approach to CDR-related units for ETS use. In the New Zealand</w:t>
      </w:r>
      <w:r>
        <w:t xml:space="preserve"> </w:t>
      </w:r>
      <w:r>
        <w:t xml:space="preserve">ETS, CDR suppliers are included within the scope of the ETS and receive allowances that have</w:t>
      </w:r>
      <w:r>
        <w:t xml:space="preserve"> </w:t>
      </w:r>
      <w:r>
        <w:t xml:space="preserve">equal compliance value, but that are distinguishable from other allowances in the market. This</w:t>
      </w:r>
      <w:r>
        <w:t xml:space="preserve"> </w:t>
      </w:r>
      <w:r>
        <w:t xml:space="preserve">allows, among others, for a premium to be paid for removal-backed allowances (e.g. by</w:t>
      </w:r>
      <w:r>
        <w:t xml:space="preserve"> </w:t>
      </w:r>
      <w:r>
        <w:t xml:space="preserve">voluntary buyers). Units from permanent forests, for example, trade at a premium as compared</w:t>
      </w:r>
      <w:r>
        <w:t xml:space="preserve"> </w:t>
      </w:r>
      <w:r>
        <w:t xml:space="preserve">to other allowances.44 In all other ETSs currently making use of CDR units, CDR projects lie</w:t>
      </w:r>
      <w:r>
        <w:t xml:space="preserve"> </w:t>
      </w:r>
      <w:r>
        <w:t xml:space="preserve">outside the scope of the ETS and receive carbon credits. Such credits are often only usable in</w:t>
      </w:r>
      <w:r>
        <w:t xml:space="preserve"> </w:t>
      </w:r>
      <w:r>
        <w:t xml:space="preserve">the ETS subject to limits and restrictions. Jurisdictions, however, differ in how those carbon</w:t>
      </w:r>
      <w:r>
        <w:t xml:space="preserve"> </w:t>
      </w:r>
      <w:r>
        <w:t xml:space="preserve">credits move within their registries. Under the California Cap-and-Trade Program, for example,</w:t>
      </w:r>
      <w:r>
        <w:t xml:space="preserve"> </w:t>
      </w:r>
      <w:r>
        <w:t xml:space="preserve">carbon credits are issued by approved crediting programs (the Climate Action Reserve and the</w:t>
      </w:r>
      <w:r>
        <w:t xml:space="preserve"> </w:t>
      </w:r>
      <w:r>
        <w:t xml:space="preserve">American Carbon Registry), which list projects and issue ‘registry offset credits’ (ROCs).</w:t>
      </w:r>
      <w:r>
        <w:t xml:space="preserve"> </w:t>
      </w:r>
      <w:r>
        <w:t xml:space="preserve">ROCs are not compliance instruments in the Cap-and-Trade Program. Rather, ROCs must be</w:t>
      </w:r>
    </w:p>
    <w:p>
      <w:pPr>
        <w:pStyle w:val="BodyText"/>
      </w:pPr>
      <w:r>
        <w:t xml:space="preserve">44 See https://www.mynativeforest.com/carbon-price-nz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reviewed and converted by the regulator (the California Air Resources Board) into ‘ARB-</w:t>
      </w:r>
      <w:r>
        <w:t xml:space="preserve"> </w:t>
      </w:r>
      <w:r>
        <w:t xml:space="preserve">issued Compliance Offset Credits’ (often referred to as ARBOCs) to be usable in the Program’s</w:t>
      </w:r>
      <w:r>
        <w:t xml:space="preserve"> </w:t>
      </w:r>
      <w:r>
        <w:t xml:space="preserve">registry (the Compliance Instrument Tracking System Service).45 ARBOCs are traceable to the</w:t>
      </w:r>
      <w:r>
        <w:t xml:space="preserve"> </w:t>
      </w:r>
      <w:r>
        <w:t xml:space="preserve">original ROC, which is an important feature of the system’s approach to liability: in some</w:t>
      </w:r>
      <w:r>
        <w:t xml:space="preserve"> </w:t>
      </w:r>
      <w:r>
        <w:t xml:space="preserve">situations (e.g. in case of fraud or over-issuance46), the regulator may invalidate ARBOCs; if</w:t>
      </w:r>
      <w:r>
        <w:t xml:space="preserve"> </w:t>
      </w:r>
      <w:r>
        <w:t xml:space="preserve">such ARBOCs had been surrendered for compliance, then the ETS regulated entity must</w:t>
      </w:r>
      <w:r>
        <w:t xml:space="preserve"> </w:t>
      </w:r>
      <w:r>
        <w:t xml:space="preserve">replace them with valid compliance instruments. Other systems use different approaches. In</w:t>
      </w:r>
      <w:r>
        <w:t xml:space="preserve"> </w:t>
      </w:r>
      <w:r>
        <w:t xml:space="preserve">Phase 3 of the EU ETS for example, certain units from Kyoto Protocol instruments were</w:t>
      </w:r>
      <w:r>
        <w:t xml:space="preserve"> </w:t>
      </w:r>
      <w:r>
        <w:t xml:space="preserve">accepted but had to be converted into EUAs by the Union Registry before they could be used</w:t>
      </w:r>
      <w:r>
        <w:t xml:space="preserve"> </w:t>
      </w:r>
      <w:r>
        <w:t xml:space="preserve">towards EU ETS compliance obligations. The converted EUAs carried equal compliance value</w:t>
      </w:r>
      <w:r>
        <w:t xml:space="preserve"> </w:t>
      </w:r>
      <w:r>
        <w:t xml:space="preserve">as regular EUAs, and were fully fungible – that is, there were no restrictions on what regulated</w:t>
      </w:r>
      <w:r>
        <w:t xml:space="preserve"> </w:t>
      </w:r>
      <w:r>
        <w:t xml:space="preserve">entities could do with those KP unit-backed EUAs as compared to regular ones.</w:t>
      </w:r>
      <w:r>
        <w:br/>
      </w:r>
      <w:r>
        <w:t xml:space="preserve">Decisions on unit use are related to but distinct from decision on whether removal units are</w:t>
      </w:r>
      <w:r>
        <w:t xml:space="preserve"> </w:t>
      </w:r>
      <w:r>
        <w:t xml:space="preserve">generated by the CRCF and/or inside the EU ETS. If units are generated by the CRCF, then a</w:t>
      </w:r>
      <w:r>
        <w:t xml:space="preserve"> </w:t>
      </w:r>
      <w:r>
        <w:t xml:space="preserve">decision must be made on whether these units can be traded and surrendered as such by ETS</w:t>
      </w:r>
      <w:r>
        <w:t xml:space="preserve"> </w:t>
      </w:r>
      <w:r>
        <w:t xml:space="preserve">regulated entities, or whether they should be converted into allowances for use inside the Union</w:t>
      </w:r>
      <w:r>
        <w:t xml:space="preserve"> </w:t>
      </w:r>
      <w:r>
        <w:t xml:space="preserve">Registry. And to the extent that any allowances are generated for removals (e.g. for the</w:t>
      </w:r>
      <w:r>
        <w:t xml:space="preserve"> </w:t>
      </w:r>
      <w:r>
        <w:t xml:space="preserve">conversion of CRCF units, and/or for allowances generated inside the scope of the ETS), then</w:t>
      </w:r>
      <w:r>
        <w:t xml:space="preserve"> </w:t>
      </w:r>
      <w:r>
        <w:t xml:space="preserve">it is necessary to decide whether removal-backed allowances should be distinguishable from</w:t>
      </w:r>
      <w:r>
        <w:t xml:space="preserve"> </w:t>
      </w:r>
      <w:r>
        <w:t xml:space="preserve">conventional allowances.47 Three broad options seem available:</w:t>
      </w:r>
      <w:r>
        <w:br/>
      </w:r>
      <w:r>
        <w:t xml:space="preserve">1. CRCF units are traded (and surrendered) as such by ETS covered entities.</w:t>
      </w:r>
      <w:r>
        <w:t xml:space="preserve"> </w:t>
      </w:r>
      <w:r>
        <w:t xml:space="preserve">2. Removal units are converted into (or issued as) removal-backed allowances that are</w:t>
      </w:r>
      <w:r>
        <w:t xml:space="preserve"> </w:t>
      </w:r>
      <w:r>
        <w:t xml:space="preserve">identifiable as a removal, and traceable to the activity that generated it.</w:t>
      </w:r>
      <w:r>
        <w:br/>
      </w:r>
      <w:r>
        <w:t xml:space="preserve">3. Removal units are converted into (or issued as) allowances that are indistinguishable to</w:t>
      </w:r>
      <w:r>
        <w:t xml:space="preserve"> </w:t>
      </w:r>
      <w:r>
        <w:t xml:space="preserve">market participants from conventional allowances.</w:t>
      </w:r>
      <w:r>
        <w:br/>
      </w:r>
      <w:r>
        <w:t xml:space="preserve">In all options, operators could use a unit towards their compliance obligation, albeit potentially</w:t>
      </w:r>
      <w:r>
        <w:t xml:space="preserve"> </w:t>
      </w:r>
      <w:r>
        <w:t xml:space="preserve">subject to limits as discussed in (section 4.4.1. Considerations on CDR limits). We assume that</w:t>
      </w:r>
      <w:r>
        <w:t xml:space="preserve"> </w:t>
      </w:r>
      <w:r>
        <w:t xml:space="preserve">all units would be equally bankable. Design choices on limits and units can interact – for</w:t>
      </w:r>
      <w:r>
        <w:t xml:space="preserve"> </w:t>
      </w:r>
      <w:r>
        <w:t xml:space="preserve">example, unit differentiation can be a requirement if limits on CDR use apply at the moment</w:t>
      </w:r>
      <w:r>
        <w:t xml:space="preserve"> </w:t>
      </w:r>
      <w:r>
        <w:t xml:space="preserve">of unit surrender, or if different limits apply to e.g. different CDR technologies. Here, we</w:t>
      </w:r>
      <w:r>
        <w:t xml:space="preserve"> </w:t>
      </w:r>
      <w:r>
        <w:t xml:space="preserve">assume that CDR limits would be enforced upon the unit entering the Union Registry and</w:t>
      </w:r>
      <w:r>
        <w:t xml:space="preserve"> </w:t>
      </w:r>
      <w:r>
        <w:t xml:space="preserve">would be technology neutral. Unit differentiation can also be a requirement for some</w:t>
      </w:r>
      <w:r>
        <w:t xml:space="preserve"> </w:t>
      </w:r>
      <w:r>
        <w:t xml:space="preserve">permanence and liability provisions in case of reversals. Here, we assume that liability for</w:t>
      </w:r>
      <w:r>
        <w:t xml:space="preserve"> </w:t>
      </w:r>
      <w:r>
        <w:t xml:space="preserve">reversals is addressed through the CCS directive and other CRCF provisions. Moreover, the</w:t>
      </w:r>
      <w:r>
        <w:t xml:space="preserve"> </w:t>
      </w:r>
      <w:r>
        <w:t xml:space="preserve">analysis below suspends judgement on the cost competitiveness of removal units in the EU</w:t>
      </w:r>
      <w:r>
        <w:t xml:space="preserve"> </w:t>
      </w:r>
      <w:r>
        <w:t xml:space="preserve">ETS market.</w:t>
      </w:r>
      <w:r>
        <w:br/>
      </w:r>
      <w:r>
        <w:t xml:space="preserve">A key disadvantage of option (a) and, to some extent, (b) is that they would imply that different</w:t>
      </w:r>
      <w:r>
        <w:t xml:space="preserve"> </w:t>
      </w:r>
      <w:r>
        <w:t xml:space="preserve">units can be surrendered for compliance, leading to market fragmentation and increasing</w:t>
      </w:r>
      <w:r>
        <w:t xml:space="preserve"> </w:t>
      </w:r>
      <w:r>
        <w:t xml:space="preserve">complexity. This can have important market dynamics effects by fragmenting the ETS market,</w:t>
      </w:r>
      <w:r>
        <w:t xml:space="preserve"> </w:t>
      </w:r>
      <w:r>
        <w:t xml:space="preserve">affecting among others the market liquidity (especially if multiple prices arise) and hedging</w:t>
      </w:r>
      <w:r>
        <w:t xml:space="preserve"> </w:t>
      </w:r>
      <w:r>
        <w:t xml:space="preserve">complexity for operators. Unit differentiation can also create confusion in the market,</w:t>
      </w:r>
    </w:p>
    <w:p>
      <w:pPr>
        <w:pStyle w:val="BodyText"/>
      </w:pPr>
      <w:r>
        <w:t xml:space="preserve">45 See https://ww2.arb.ca.gov/our-work/programs/compliance-offset-program/arb-offset-credit-issuance</w:t>
      </w:r>
      <w:r>
        <w:t xml:space="preserve"> </w:t>
      </w:r>
      <w:r>
        <w:t xml:space="preserve">46 Note that this does not apply in case of reversals, which are managed primarily through buffer accounts.</w:t>
      </w:r>
      <w:r>
        <w:br/>
      </w:r>
      <w:r>
        <w:t xml:space="preserve">47 We distinguish ‘conventional’ allowances from e.g. removal-backed allowances. Present-day EUAs are</w:t>
      </w:r>
      <w:r>
        <w:t xml:space="preserve"> </w:t>
      </w:r>
      <w:r>
        <w:t xml:space="preserve">conventional allowances in that they represent the right to emit one tCO2e under the scope of application of</w:t>
      </w:r>
      <w:r>
        <w:t xml:space="preserve"> </w:t>
      </w:r>
      <w:r>
        <w:t xml:space="preserve">the EU ETS. While the scarcity imposed by the ETS drives emission reductions, the use of a conventional</w:t>
      </w:r>
      <w:r>
        <w:t xml:space="preserve"> </w:t>
      </w:r>
      <w:r>
        <w:t xml:space="preserve">allowance for compliance enables a tCO2e to reach the atmosphere unabated.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especially if there is concern over the relative compliance value of different units. In the past,</w:t>
      </w:r>
      <w:r>
        <w:t xml:space="preserve"> </w:t>
      </w:r>
      <w:r>
        <w:t xml:space="preserve">for example, auctions of fully fungible aviation allowances failed to clear because they were</w:t>
      </w:r>
      <w:r>
        <w:t xml:space="preserve"> </w:t>
      </w:r>
      <w:r>
        <w:t xml:space="preserve">erroneously perceived by market participants as being different. In that regard, option (c)</w:t>
      </w:r>
      <w:r>
        <w:t xml:space="preserve"> </w:t>
      </w:r>
      <w:r>
        <w:t xml:space="preserve">provides the simplest and most straightforward approach from the point of view of market</w:t>
      </w:r>
      <w:r>
        <w:t xml:space="preserve"> </w:t>
      </w:r>
      <w:r>
        <w:t xml:space="preserve">dynamics as well as of regulatory complexity.</w:t>
      </w:r>
      <w:r>
        <w:br/>
      </w:r>
      <w:r>
        <w:t xml:space="preserve">An advantage of options (a) and (b) is that they provide the market with information on how</w:t>
      </w:r>
      <w:r>
        <w:t xml:space="preserve"> </w:t>
      </w:r>
      <w:r>
        <w:t xml:space="preserve">the allowance was generated, which can be valuable if, for example, there is a higher</w:t>
      </w:r>
      <w:r>
        <w:t xml:space="preserve"> </w:t>
      </w:r>
      <w:r>
        <w:t xml:space="preserve">willingness to pay for (certain types of) removal-backed allowances. In interviews conducted</w:t>
      </w:r>
      <w:r>
        <w:t xml:space="preserve"> </w:t>
      </w:r>
      <w:r>
        <w:t xml:space="preserve">for this impact assessment, stakeholders primarily supported option (b), in part because there</w:t>
      </w:r>
      <w:r>
        <w:t xml:space="preserve"> </w:t>
      </w:r>
      <w:r>
        <w:t xml:space="preserve">is an expectation that removal units will fetch higher prices than conventional allowances, e.g. </w:t>
      </w:r>
      <w:r>
        <w:t xml:space="preserve"> </w:t>
      </w:r>
      <w:r>
        <w:t xml:space="preserve">where operators choose to pay a premium for removal-backed allowances in order to make</w:t>
      </w:r>
      <w:r>
        <w:t xml:space="preserve"> </w:t>
      </w:r>
      <w:r>
        <w:t xml:space="preserve">(voluntary) carbon neutrality claims.48 However, the opposite can also apply. Public concern</w:t>
      </w:r>
      <w:r>
        <w:t xml:space="preserve"> </w:t>
      </w:r>
      <w:r>
        <w:t xml:space="preserve">over the quality of removal units could lead to a risk perception by market participants that</w:t>
      </w:r>
      <w:r>
        <w:t xml:space="preserve"> </w:t>
      </w:r>
      <w:r>
        <w:t xml:space="preserve">removal units are or could be less valuable than conventional allowances, especially if there is</w:t>
      </w:r>
      <w:r>
        <w:t xml:space="preserve"> </w:t>
      </w:r>
      <w:r>
        <w:t xml:space="preserve">a concern that the regulator amend rules for the use of removal units in the ETS. Unit</w:t>
      </w:r>
      <w:r>
        <w:t xml:space="preserve"> </w:t>
      </w:r>
      <w:r>
        <w:t xml:space="preserve">differentiation can also enable the regulator to enforce demand-side liability and/or cancel</w:t>
      </w:r>
      <w:r>
        <w:t xml:space="preserve"> </w:t>
      </w:r>
      <w:r>
        <w:t xml:space="preserve">allowances in case of e.g. fraud, as in the case of California.</w:t>
      </w:r>
      <w:r>
        <w:br/>
      </w:r>
      <w:r>
        <w:t xml:space="preserve">The UK Government, in its consultations on the potential inclusion of removals in the UK</w:t>
      </w:r>
      <w:r>
        <w:t xml:space="preserve"> </w:t>
      </w:r>
      <w:r>
        <w:t xml:space="preserve">ETS49, did not consider option (a). Under option (b), they considered two options: (b1) generic</w:t>
      </w:r>
      <w:r>
        <w:t xml:space="preserve"> </w:t>
      </w:r>
      <w:r>
        <w:t xml:space="preserve">differentiation (b2) differentiation by technology type. 84% of stakeholders in the UK</w:t>
      </w:r>
      <w:r>
        <w:t xml:space="preserve"> </w:t>
      </w:r>
      <w:r>
        <w:t xml:space="preserve">consultation supported differentiation, with most supporting generic differentiation. Moreover,</w:t>
      </w:r>
      <w:r>
        <w:t xml:space="preserve"> </w:t>
      </w:r>
      <w:r>
        <w:t xml:space="preserve">76% of stakeholders believe that removal-backed allowances would see a price premium</w:t>
      </w:r>
      <w:r>
        <w:t xml:space="preserve"> </w:t>
      </w:r>
      <w:r>
        <w:t xml:space="preserve">compared to conventional allowances. The UK government has concluded that there are</w:t>
      </w:r>
      <w:r>
        <w:t xml:space="preserve"> </w:t>
      </w:r>
      <w:r>
        <w:t xml:space="preserve">important benefits to a generic differentiation of allowances, e.g. from increased transparency</w:t>
      </w:r>
      <w:r>
        <w:t xml:space="preserve"> </w:t>
      </w:r>
      <w:r>
        <w:t xml:space="preserve">and the potential for price discovery. It considers that a generic differentiation provides a</w:t>
      </w:r>
      <w:r>
        <w:t xml:space="preserve"> </w:t>
      </w:r>
      <w:r>
        <w:t xml:space="preserve">balanced approach, achieving the benefits of price discovery and transparency while mitigating</w:t>
      </w:r>
      <w:r>
        <w:t xml:space="preserve"> </w:t>
      </w:r>
      <w:r>
        <w:t xml:space="preserve">potential impacts on liquidity50. The UK government also noted that demand for removal-</w:t>
      </w:r>
    </w:p>
    <w:p>
      <w:pPr>
        <w:pStyle w:val="BodyText"/>
      </w:pPr>
      <w:r>
        <w:t xml:space="preserve">48 It is worth noting that removal unit price premiums that rely on voluntary demand would require an</w:t>
      </w:r>
      <w:r>
        <w:t xml:space="preserve"> </w:t>
      </w:r>
      <w:r>
        <w:t xml:space="preserve">understanding of what claims regulated entities can make by using removal units inside the ETS. E.g. in a</w:t>
      </w:r>
      <w:r>
        <w:t xml:space="preserve"> </w:t>
      </w:r>
      <w:r>
        <w:t xml:space="preserve">situation where some operators regulated by the ETS would like, in addition to complying with their ETS</w:t>
      </w:r>
      <w:r>
        <w:t xml:space="preserve"> </w:t>
      </w:r>
      <w:r>
        <w:t xml:space="preserve">obligations, to make a voluntary carbon neutrality claim by purchasing only removal units. This ‘dual</w:t>
      </w:r>
      <w:r>
        <w:t xml:space="preserve"> </w:t>
      </w:r>
      <w:r>
        <w:t xml:space="preserve">purpose’ of removal units in the ETS could boost demand and drive up their price vis-à-vis conventional</w:t>
      </w:r>
      <w:r>
        <w:t xml:space="preserve"> </w:t>
      </w:r>
      <w:r>
        <w:t xml:space="preserve">allowances. It is unclear, however, in what situations operators would have a legitimate carbon neutrality</w:t>
      </w:r>
      <w:r>
        <w:t xml:space="preserve"> </w:t>
      </w:r>
      <w:r>
        <w:t xml:space="preserve">claim. It seems likely that in most cases, the regulated entity would be able to make a legitimate claim of</w:t>
      </w:r>
      <w:r>
        <w:t xml:space="preserve"> </w:t>
      </w:r>
      <w:r>
        <w:t xml:space="preserve">carbon neutrality. In some cases, however, it seems possible that a waterbed effect could negate a true carbon</w:t>
      </w:r>
      <w:r>
        <w:t xml:space="preserve"> </w:t>
      </w:r>
      <w:r>
        <w:t xml:space="preserve">neutrality claim. It seems that a waterbed effect could exist in a situation where removal units are cost-</w:t>
      </w:r>
      <w:r>
        <w:t xml:space="preserve"> </w:t>
      </w:r>
      <w:r>
        <w:t xml:space="preserve">competitive in the ETS and where there are limits on CDR units entering the ETS (that is, supply-side limits</w:t>
      </w:r>
      <w:r>
        <w:t xml:space="preserve"> </w:t>
      </w:r>
      <w:r>
        <w:t xml:space="preserve">rather than demand-side limits – see section on considerations of limits). In that case, entities wishing to make</w:t>
      </w:r>
      <w:r>
        <w:t xml:space="preserve"> </w:t>
      </w:r>
      <w:r>
        <w:t xml:space="preserve">voluntary claims would have a higher willingness to pay for the removal units – thus potentially increasing</w:t>
      </w:r>
      <w:r>
        <w:t xml:space="preserve"> </w:t>
      </w:r>
      <w:r>
        <w:t xml:space="preserve">their market price, but nevertheless leaving the same number of compliance units for other operators in the</w:t>
      </w:r>
      <w:r>
        <w:t xml:space="preserve"> </w:t>
      </w:r>
      <w:r>
        <w:t xml:space="preserve">market. It seems that in this situation, operators willing to pay a premium for removal units would consume</w:t>
      </w:r>
      <w:r>
        <w:t xml:space="preserve"> </w:t>
      </w:r>
      <w:r>
        <w:t xml:space="preserve">the (limited) removal units supply and that CDR suppliers would get more income than they otherwise would,</w:t>
      </w:r>
      <w:r>
        <w:t xml:space="preserve"> </w:t>
      </w:r>
      <w:r>
        <w:t xml:space="preserve">but that total net emissions from ETS regulated entities would remain unchanged as compared to a</w:t>
      </w:r>
      <w:r>
        <w:t xml:space="preserve"> </w:t>
      </w:r>
      <w:r>
        <w:t xml:space="preserve">counterfactual where the operator did not make the carbon neutrality claim. This relates crucially, also, to</w:t>
      </w:r>
      <w:r>
        <w:t xml:space="preserve"> </w:t>
      </w:r>
      <w:r>
        <w:t xml:space="preserve">defining what constitutes truthful and not misleading carbon neutrality claims – which is also related to</w:t>
      </w:r>
      <w:r>
        <w:t xml:space="preserve"> </w:t>
      </w:r>
      <w:r>
        <w:t xml:space="preserve">ongoing discussions related to the Green Claims Directive.48 We recommend more analysis on this issue.</w:t>
      </w:r>
      <w:r>
        <w:t xml:space="preserve"> </w:t>
      </w:r>
      <w:r>
        <w:t xml:space="preserve">49 See</w:t>
      </w:r>
      <w:r>
        <w:t xml:space="preserve"> </w:t>
      </w:r>
      <w:r>
        <w:t xml:space="preserve">https://www.gov.uk/government/consultations/integrating-greenhouse-gas-removals-in-the-uk-</w:t>
      </w:r>
      <w:r>
        <w:t xml:space="preserve"> </w:t>
      </w:r>
      <w:r>
        <w:t xml:space="preserve">emissions-trading-scheme</w:t>
      </w:r>
      <w:r>
        <w:br/>
      </w:r>
      <w:r>
        <w:t xml:space="preserve">50 https://assets.publishing.service.gov.uk/media/687f61598adf4250705c9765/uk-ets-ggrs-main-response.pdf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backed allowances over conventional allowances could come from ETS participants looking</w:t>
      </w:r>
      <w:r>
        <w:t xml:space="preserve"> </w:t>
      </w:r>
      <w:r>
        <w:t xml:space="preserve">to meet corporate climate commitments through the purchase of high-integrity removals.51</w:t>
      </w:r>
      <w:r>
        <w:br/>
      </w:r>
      <w:r>
        <w:t xml:space="preserve">Conclusion: The analysis above portrays a complex picture of advantages and disadvantages.</w:t>
      </w:r>
      <w:r>
        <w:t xml:space="preserve"> </w:t>
      </w:r>
      <w:r>
        <w:t xml:space="preserve">Still, it is preferred to follow option (c) – removal units are converted into (or issued as)</w:t>
      </w:r>
      <w:r>
        <w:t xml:space="preserve"> </w:t>
      </w:r>
      <w:r>
        <w:t xml:space="preserve">allowances that are indistinguishable to market participants from conventional allowances.</w:t>
      </w:r>
      <w:r>
        <w:t xml:space="preserve"> </w:t>
      </w:r>
      <w:r>
        <w:t xml:space="preserve">This avoids market fragmentation and reduces regulatory complexity, at least in the early</w:t>
      </w:r>
      <w:r>
        <w:t xml:space="preserve"> </w:t>
      </w:r>
      <w:r>
        <w:t xml:space="preserve">phases of CDR integration into the EU ETS. This could be reviewed later on as the regulator</w:t>
      </w:r>
      <w:r>
        <w:t xml:space="preserve"> </w:t>
      </w:r>
      <w:r>
        <w:t xml:space="preserve">and market participants gather experience with the use of CDR in the ETS. However, option</w:t>
      </w:r>
      <w:r>
        <w:t xml:space="preserve"> </w:t>
      </w:r>
      <w:r>
        <w:t xml:space="preserve">(c) is most compatible with measures CR4 and CR5, where the regulator can enforce the CDR</w:t>
      </w:r>
      <w:r>
        <w:t xml:space="preserve"> </w:t>
      </w:r>
      <w:r>
        <w:t xml:space="preserve">limit directly. This option is compatible with other measures in case a supply-side limit applies</w:t>
      </w:r>
      <w:r>
        <w:t xml:space="preserve"> </w:t>
      </w:r>
      <w:r>
        <w:t xml:space="preserve">at the point of exchange in the Union Registry, as is assumed to take place, instead of at the</w:t>
      </w:r>
      <w:r>
        <w:t xml:space="preserve"> </w:t>
      </w:r>
      <w:r>
        <w:t xml:space="preserve">time of surrendering. Demand-side limits would likely require unit differentiation to avoid the</w:t>
      </w:r>
      <w:r>
        <w:t xml:space="preserve"> </w:t>
      </w:r>
      <w:r>
        <w:t xml:space="preserve">establishment of ex-ante quotas.</w:t>
      </w:r>
      <w:r>
        <w:br/>
      </w:r>
      <w:r>
        <w:t xml:space="preserve">4.3. Who carries out the conversion in the private sector integration option (CR1-CR3)</w:t>
      </w:r>
      <w:r>
        <w:br/>
      </w:r>
      <w:r>
        <w:t xml:space="preserve">If removal units are used for compliance in the EU ETS, and if units flow into the ETS through</w:t>
      </w:r>
      <w:r>
        <w:t xml:space="preserve"> </w:t>
      </w:r>
      <w:r>
        <w:t xml:space="preserve">a operator integration (CR1-CR3), and if removal units are generated through the CRCF</w:t>
      </w:r>
      <w:r>
        <w:t xml:space="preserve"> </w:t>
      </w:r>
      <w:r>
        <w:t xml:space="preserve">outside the ETS, and if the CRCF unit must be converted into an allowance at within the Union</w:t>
      </w:r>
      <w:r>
        <w:t xml:space="preserve"> </w:t>
      </w:r>
      <w:r>
        <w:t xml:space="preserve">Registry, then the next question is who effects the conversion. This can be done by the ETS</w:t>
      </w:r>
      <w:r>
        <w:t xml:space="preserve"> </w:t>
      </w:r>
      <w:r>
        <w:t xml:space="preserve">operator and/or by CDR operators, i.e., the CDR supplier (considerations on conversions by</w:t>
      </w:r>
      <w:r>
        <w:t xml:space="preserve"> </w:t>
      </w:r>
      <w:r>
        <w:t xml:space="preserve">the regulator are covered under the supply side CDR limit, see ‘regulator control’). This</w:t>
      </w:r>
      <w:r>
        <w:t xml:space="preserve"> </w:t>
      </w:r>
      <w:r>
        <w:t xml:space="preserve">wouldn’t affect dynamics on the secondary market, but could affect dynamics in the primary</w:t>
      </w:r>
      <w:r>
        <w:t xml:space="preserve"> </w:t>
      </w:r>
      <w:r>
        <w:t xml:space="preserve">market.</w:t>
      </w:r>
      <w:r>
        <w:t xml:space="preserve"> </w:t>
      </w:r>
      <w:r>
        <w:t xml:space="preserve">Having ETS operators carry out the conversion has the advantage that the regulator would</w:t>
      </w:r>
      <w:r>
        <w:t xml:space="preserve"> </w:t>
      </w:r>
      <w:r>
        <w:t xml:space="preserve">interact only with operators, without the need to have CDR suppliers engage with the Union</w:t>
      </w:r>
      <w:r>
        <w:t xml:space="preserve"> </w:t>
      </w:r>
      <w:r>
        <w:t xml:space="preserve">Registry. Having more operators engage with conversion could reduce risks of market</w:t>
      </w:r>
      <w:r>
        <w:t xml:space="preserve"> </w:t>
      </w:r>
      <w:r>
        <w:t xml:space="preserve">manipulation by CDR suppliers if CDR supply is concentrated.</w:t>
      </w:r>
      <w:r>
        <w:br/>
      </w:r>
      <w:r>
        <w:t xml:space="preserve">Having CDR suppliers carry out the conversion has the advantage that the market is simpler</w:t>
      </w:r>
      <w:r>
        <w:t xml:space="preserve"> </w:t>
      </w:r>
      <w:r>
        <w:t xml:space="preserve">for ETS operators, as they would purchase only EUAs (possibly tagged as removal-backed),</w:t>
      </w:r>
      <w:r>
        <w:t xml:space="preserve"> </w:t>
      </w:r>
      <w:r>
        <w:t xml:space="preserve">remaining within a market with strong financial market safeguards and established controls.</w:t>
      </w:r>
      <w:r>
        <w:t xml:space="preserve"> </w:t>
      </w:r>
      <w:r>
        <w:t xml:space="preserve">This would reduce the administrative burden for operators and eliminate the need for them to</w:t>
      </w:r>
      <w:r>
        <w:t xml:space="preserve"> </w:t>
      </w:r>
      <w:r>
        <w:t xml:space="preserve">trade CRCF units, albeit by transferring part of the administrative burden to CDR suppliers.</w:t>
      </w:r>
      <w:r>
        <w:t xml:space="preserve"> </w:t>
      </w:r>
      <w:r>
        <w:t xml:space="preserve">Depending on whether there are limits on CDR use and how they are applied, this approach</w:t>
      </w:r>
      <w:r>
        <w:t xml:space="preserve"> </w:t>
      </w:r>
      <w:r>
        <w:t xml:space="preserve">could incentivize CDR suppliers to move quickly into converting CRCF units into EUAs as a</w:t>
      </w:r>
      <w:r>
        <w:t xml:space="preserve"> </w:t>
      </w:r>
      <w:r>
        <w:t xml:space="preserve">means of safeguarding part of the ‘space’ under the limit.52 If the regulator chooses to address</w:t>
      </w:r>
      <w:r>
        <w:t xml:space="preserve"> </w:t>
      </w:r>
      <w:r>
        <w:t xml:space="preserve">the net/gross accounting issue through an exchange rate (see section 4.1 Equivalence between</w:t>
      </w:r>
      <w:r>
        <w:t xml:space="preserve"> </w:t>
      </w:r>
      <w:r>
        <w:t xml:space="preserve">CRCF and EU ETS), having the CDR suppliers make the conversion could facilitate market</w:t>
      </w:r>
      <w:r>
        <w:t xml:space="preserve"> </w:t>
      </w:r>
      <w:r>
        <w:t xml:space="preserve">dynamics as suppliers would know the batch-specific CRCF-to-ETS equivalence ex-ante,</w:t>
      </w:r>
      <w:r>
        <w:t xml:space="preserve"> </w:t>
      </w:r>
      <w:r>
        <w:t xml:space="preserve">removing uncertainty for operators about how many ETS-surrenderable units a CRCF batch</w:t>
      </w:r>
      <w:r>
        <w:t xml:space="preserve"> </w:t>
      </w:r>
      <w:r>
        <w:t xml:space="preserve">yields. Moreover, having fewer counterparties performing conversion could enable a simpler</w:t>
      </w:r>
      <w:r>
        <w:t xml:space="preserve"> </w:t>
      </w:r>
      <w:r>
        <w:t xml:space="preserve">approach to processes within the Union Registry. Finally, this approach could also yield more</w:t>
      </w:r>
    </w:p>
    <w:p>
      <w:pPr>
        <w:pStyle w:val="BodyText"/>
      </w:pPr>
      <w:r>
        <w:t xml:space="preserve">51 It also noted that corporate net-zero claims using ETS removal allowances must follow best-practice</w:t>
      </w:r>
      <w:r>
        <w:t xml:space="preserve"> </w:t>
      </w:r>
      <w:r>
        <w:t xml:space="preserve">guidance, with the UK Government proposing endorsement of the Voluntary Carbon Market Initiative’s code</w:t>
      </w:r>
      <w:r>
        <w:t xml:space="preserve"> </w:t>
      </w:r>
      <w:r>
        <w:t xml:space="preserve">in its consultation on voluntary carbon and nature markets</w:t>
      </w:r>
      <w:r>
        <w:t xml:space="preserve"> </w:t>
      </w:r>
      <w:r>
        <w:t xml:space="preserve">52 It is unclear whether this would have material effects (e.g. on liquidity) on the primary market, as trades</w:t>
      </w:r>
      <w:r>
        <w:t xml:space="preserve"> </w:t>
      </w:r>
      <w:r>
        <w:t xml:space="preserve">would likely respond primarily to the cost-competitiveness of removal units in the ETS.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flexibility for the regulator in applying liability provisions directly to CDR suppliers (e.g. in</w:t>
      </w:r>
      <w:r>
        <w:t xml:space="preserve"> </w:t>
      </w:r>
      <w:r>
        <w:t xml:space="preserve">cases of fraud), beyond CRCF provisions.</w:t>
      </w:r>
      <w:r>
        <w:br/>
      </w:r>
      <w:r>
        <w:t xml:space="preserve">It is important to note that the choice of who carries out the conversion interacts with provisions</w:t>
      </w:r>
      <w:r>
        <w:t xml:space="preserve"> </w:t>
      </w:r>
      <w:r>
        <w:t xml:space="preserve">on the enforcement of CDR limits (section 4.4. Consideration on limits) and with the</w:t>
      </w:r>
      <w:r>
        <w:t xml:space="preserve"> </w:t>
      </w:r>
      <w:r>
        <w:t xml:space="preserve">differentiation of units (section 4.2. Unit differentiation). For example, demand-side limits</w:t>
      </w:r>
      <w:r>
        <w:t xml:space="preserve"> </w:t>
      </w:r>
      <w:r>
        <w:t xml:space="preserve">without unit differentiation would require conversion by operators, but demand-side limits with</w:t>
      </w:r>
      <w:r>
        <w:t xml:space="preserve"> </w:t>
      </w:r>
      <w:r>
        <w:t xml:space="preserve">unit differentiation would still be compatible with CDR supplier conversion. Supply-side limits</w:t>
      </w:r>
      <w:r>
        <w:t xml:space="preserve"> </w:t>
      </w:r>
      <w:r>
        <w:t xml:space="preserve">(how many removal units can be into converted) seem compatible with both options.</w:t>
      </w:r>
      <w:r>
        <w:br/>
      </w:r>
      <w:r>
        <w:t xml:space="preserve">4.4. Considerations on CDR limits</w:t>
      </w:r>
      <w:r>
        <w:t xml:space="preserve"> </w:t>
      </w:r>
      <w:r>
        <w:t xml:space="preserve">As discussed elsewhere in this analysis, CDR limits can be key in safeguarding the integrity of</w:t>
      </w:r>
      <w:r>
        <w:t xml:space="preserve"> </w:t>
      </w:r>
      <w:r>
        <w:t xml:space="preserve">the system, especially in the early phases of CDR integration and also in the later phases when</w:t>
      </w:r>
      <w:r>
        <w:t xml:space="preserve"> </w:t>
      </w:r>
      <w:r>
        <w:t xml:space="preserve">costs may come down. In the open consultation, 42% of respondents agreed or strongly agreed</w:t>
      </w:r>
      <w:r>
        <w:t xml:space="preserve"> </w:t>
      </w:r>
      <w:r>
        <w:t xml:space="preserve">with the statement “The use of CRCF removals by ETS regulated entities should not be</w:t>
      </w:r>
      <w:r>
        <w:t xml:space="preserve"> </w:t>
      </w:r>
      <w:r>
        <w:t xml:space="preserve">unlimited, but subject to restrictions” - several of them citing the need to ensure environmental</w:t>
      </w:r>
      <w:r>
        <w:t xml:space="preserve"> </w:t>
      </w:r>
      <w:r>
        <w:t xml:space="preserve">integrity and market stability, as well as questioning the fungibility between CDR and</w:t>
      </w:r>
      <w:r>
        <w:t xml:space="preserve"> </w:t>
      </w:r>
      <w:r>
        <w:t xml:space="preserve">abatement under the ETS. On the other hand, 28% disagreed or strongly disagreed with the</w:t>
      </w:r>
      <w:r>
        <w:t xml:space="preserve"> </w:t>
      </w:r>
      <w:r>
        <w:t xml:space="preserve">statement, e.g. citing that limits would constrain cost-effective compliance options as well as</w:t>
      </w:r>
      <w:r>
        <w:t xml:space="preserve"> </w:t>
      </w:r>
      <w:r>
        <w:t xml:space="preserve">increase regulatory and demand-side risks for investments. Interestingly, support for the</w:t>
      </w:r>
      <w:r>
        <w:t xml:space="preserve"> </w:t>
      </w:r>
      <w:r>
        <w:t xml:space="preserve">question on limiting gross emissions (“There should be a limit on gross emissions by ETS1</w:t>
      </w:r>
      <w:r>
        <w:t xml:space="preserve"> </w:t>
      </w:r>
      <w:r>
        <w:t xml:space="preserve">regulated entities (not only net ones))” yielded somewhat different results, with 29% agreeing</w:t>
      </w:r>
      <w:r>
        <w:t xml:space="preserve"> </w:t>
      </w:r>
      <w:r>
        <w:t xml:space="preserve">or strongly agreeing with the statement (often citing that a gross cap must be maintained to</w:t>
      </w:r>
      <w:r>
        <w:t xml:space="preserve"> </w:t>
      </w:r>
      <w:r>
        <w:t xml:space="preserve">ensure real emission reductions) and 37% disagreeing or strongly disagreeing with it.</w:t>
      </w:r>
      <w:r>
        <w:t xml:space="preserve"> </w:t>
      </w:r>
      <w:r>
        <w:t xml:space="preserve">With the exception of CR2 ‘Unlimited operator integration on top of the cap’, all measures</w:t>
      </w:r>
      <w:r>
        <w:t xml:space="preserve"> </w:t>
      </w:r>
      <w:r>
        <w:t xml:space="preserve">outlined above would see a limit to the flow of removal units into the EU ETS. Several</w:t>
      </w:r>
      <w:r>
        <w:t xml:space="preserve"> </w:t>
      </w:r>
      <w:r>
        <w:t xml:space="preserve">important considerations apply. First, limits must be consistent with other design choices and</w:t>
      </w:r>
      <w:r>
        <w:t xml:space="preserve"> </w:t>
      </w:r>
      <w:r>
        <w:t xml:space="preserve">be enforceable. Second, limits can create uncertainty for both sellers and buyers, in the sense</w:t>
      </w:r>
      <w:r>
        <w:t xml:space="preserve"> </w:t>
      </w:r>
      <w:r>
        <w:t xml:space="preserve">that CDR suppliers and ETS operators may face uncertainty on whether they will be able to</w:t>
      </w:r>
      <w:r>
        <w:t xml:space="preserve"> </w:t>
      </w:r>
      <w:r>
        <w:t xml:space="preserve">claim part of the ‘space’ within the CDR limit. Finally, they can affect market dynamics</w:t>
      </w:r>
      <w:r>
        <w:t xml:space="preserve"> </w:t>
      </w:r>
      <w:r>
        <w:t xml:space="preserve">through their influence on the formation of current and expected future prices. It is important</w:t>
      </w:r>
      <w:r>
        <w:t xml:space="preserve"> </w:t>
      </w:r>
      <w:r>
        <w:t xml:space="preserve">to note, however, that concerns apply mainly to the extent that the CDR limit is or is perceived</w:t>
      </w:r>
      <w:r>
        <w:t xml:space="preserve"> </w:t>
      </w:r>
      <w:r>
        <w:t xml:space="preserve">to be binding, which, given current assumptions, would require significant support to CDR</w:t>
      </w:r>
      <w:r>
        <w:t xml:space="preserve"> </w:t>
      </w:r>
      <w:r>
        <w:t xml:space="preserve">development and deployment outside the ETS to bridge the cost differential between removal</w:t>
      </w:r>
      <w:r>
        <w:t xml:space="preserve"> </w:t>
      </w:r>
      <w:r>
        <w:t xml:space="preserve">units and abatement in the ETS.</w:t>
      </w:r>
      <w:r>
        <w:br/>
      </w:r>
      <w:r>
        <w:t xml:space="preserve">CDR limits can be categorized as supply side or demand side.</w:t>
      </w:r>
      <w:r>
        <w:br/>
      </w:r>
      <w:r>
        <w:t xml:space="preserve">a) Supply-side CDR limits</w:t>
      </w:r>
      <w:r>
        <w:t xml:space="preserve"> </w:t>
      </w:r>
      <w:r>
        <w:t xml:space="preserve">Supply-side CDR limits control how many removal units can flow into the ETS, without any</w:t>
      </w:r>
      <w:r>
        <w:t xml:space="preserve"> </w:t>
      </w:r>
      <w:r>
        <w:t xml:space="preserve">further regulation on who can make use of those units, or how many removal units each</w:t>
      </w:r>
      <w:r>
        <w:t xml:space="preserve"> </w:t>
      </w:r>
      <w:r>
        <w:t xml:space="preserve">individual operator can use.</w:t>
      </w:r>
      <w:r>
        <w:br/>
      </w:r>
      <w:r>
        <w:t xml:space="preserve">One supply-side approach is to have the regulator control the purchase and release of removal</w:t>
      </w:r>
      <w:r>
        <w:t xml:space="preserve"> </w:t>
      </w:r>
      <w:r>
        <w:t xml:space="preserve">units, thereby ensuring adherence to the CDR limit. This is compatible with measures CR4</w:t>
      </w:r>
      <w:r>
        <w:t xml:space="preserve"> </w:t>
      </w:r>
      <w:r>
        <w:t xml:space="preserve">‘Public authority integration through regular auctions under the cap’ and CR5 ‘Public authority</w:t>
      </w:r>
      <w:r>
        <w:t xml:space="preserve"> </w:t>
      </w:r>
      <w:r>
        <w:t xml:space="preserve">integration through MSR on top of the cap’. This approach, however, is not consistent with the</w:t>
      </w:r>
      <w:r>
        <w:t xml:space="preserve"> </w:t>
      </w:r>
      <w:r>
        <w:t xml:space="preserve">measures involving integration through operators (CR1 ‘Limited operator integration on top of</w:t>
      </w:r>
      <w:r>
        <w:t xml:space="preserve"> </w:t>
      </w:r>
      <w:r>
        <w:t xml:space="preserve">the cap’ and CR3 ‘Limited operator integration under the cap (one-in-one-out)’. Regulator</w:t>
      </w:r>
      <w:r>
        <w:t xml:space="preserve"> </w:t>
      </w:r>
      <w:r>
        <w:t xml:space="preserve">control has the advantage that uncertainties on the supply side could be mitigated through clear</w:t>
      </w:r>
      <w:r>
        <w:t xml:space="preserve"> </w:t>
      </w:r>
      <w:r>
        <w:t xml:space="preserve">purchasing schedules as well as clear commitments on the balance of purchases across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technologies. Rule-based and competitive removal unit purchases can promote transparency</w:t>
      </w:r>
      <w:r>
        <w:t xml:space="preserve"> </w:t>
      </w:r>
      <w:r>
        <w:t xml:space="preserve">for the supply side, and the ability of the regulator to bridge the price differential between CDR</w:t>
      </w:r>
      <w:r>
        <w:t xml:space="preserve"> </w:t>
      </w:r>
      <w:r>
        <w:t xml:space="preserve">costs and EU ETS prices is also a large advantage. Nevertheless, the intermediation by a public</w:t>
      </w:r>
      <w:r>
        <w:t xml:space="preserve"> </w:t>
      </w:r>
      <w:r>
        <w:t xml:space="preserve">authority can introduce market distortions and inefficiencies, e.g. if the regulator can’t adjust</w:t>
      </w:r>
      <w:r>
        <w:t xml:space="preserve"> </w:t>
      </w:r>
      <w:r>
        <w:t xml:space="preserve">to the evolution of CDR technologies sufficiently quickly – which, in turn, requires rules and</w:t>
      </w:r>
      <w:r>
        <w:t xml:space="preserve"> </w:t>
      </w:r>
      <w:r>
        <w:t xml:space="preserve">clarity to enable predictability. On the demand side, regulator control can reduce uncertainties</w:t>
      </w:r>
      <w:r>
        <w:t xml:space="preserve"> </w:t>
      </w:r>
      <w:r>
        <w:t xml:space="preserve">if removal units would be auctioned together with conventional allowances and following the</w:t>
      </w:r>
      <w:r>
        <w:t xml:space="preserve"> </w:t>
      </w:r>
      <w:r>
        <w:t xml:space="preserve">same rules. As removal units would be sold at the same price and at the same time as</w:t>
      </w:r>
      <w:r>
        <w:t xml:space="preserve"> </w:t>
      </w:r>
      <w:r>
        <w:t xml:space="preserve">conventional allowances, price formation there would likely remain largely unchanged as</w:t>
      </w:r>
      <w:r>
        <w:t xml:space="preserve"> </w:t>
      </w:r>
      <w:r>
        <w:t xml:space="preserve">compared to the current situation.53</w:t>
      </w:r>
      <w:r>
        <w:br/>
      </w:r>
      <w:r>
        <w:t xml:space="preserve">Another supply-side approach is to employ a first come, first served approach. In this approach,</w:t>
      </w:r>
      <w:r>
        <w:t xml:space="preserve"> </w:t>
      </w:r>
      <w:r>
        <w:t xml:space="preserve">the CDR limit would be used up as removal units flow into the system. This approach is in</w:t>
      </w:r>
      <w:r>
        <w:t xml:space="preserve"> </w:t>
      </w:r>
      <w:r>
        <w:t xml:space="preserve">principle compatible with all measures considered here – albeit redundant for measures that</w:t>
      </w:r>
      <w:r>
        <w:t xml:space="preserve"> </w:t>
      </w:r>
      <w:r>
        <w:t xml:space="preserve">involve integration through a public authority (CR4 ‘Public authority integration through</w:t>
      </w:r>
      <w:r>
        <w:t xml:space="preserve"> </w:t>
      </w:r>
      <w:r>
        <w:t xml:space="preserve">regular auctions under the cap’ and CR5 ‘Public authority integration through MSR on top of</w:t>
      </w:r>
      <w:r>
        <w:t xml:space="preserve"> </w:t>
      </w:r>
      <w:r>
        <w:t xml:space="preserve">the cap’). It would be necessary to define when the portion of the CDR limit would be</w:t>
      </w:r>
      <w:r>
        <w:t xml:space="preserve"> </w:t>
      </w:r>
      <w:r>
        <w:t xml:space="preserve">considered to have been ‘used up’ – e.g. when a removal unit moves into the Union Registry,</w:t>
      </w:r>
      <w:r>
        <w:t xml:space="preserve"> </w:t>
      </w:r>
      <w:r>
        <w:t xml:space="preserve">or when it is surrendered for compliance. Using up the limit as units flow into the Union</w:t>
      </w:r>
      <w:r>
        <w:t xml:space="preserve"> </w:t>
      </w:r>
      <w:r>
        <w:t xml:space="preserve">Registry could advantage CDR technologies with higher technological readiness and shorter</w:t>
      </w:r>
      <w:r>
        <w:t xml:space="preserve"> </w:t>
      </w:r>
      <w:r>
        <w:t xml:space="preserve">investment cycles, as those could move quickly to take the space under the CDR limit – albeit</w:t>
      </w:r>
      <w:r>
        <w:t xml:space="preserve"> </w:t>
      </w:r>
      <w:r>
        <w:t xml:space="preserve">primarily if the CDR limit is or is perceived to be binding. Using up the limit as removal units</w:t>
      </w:r>
      <w:r>
        <w:t xml:space="preserve"> </w:t>
      </w:r>
      <w:r>
        <w:t xml:space="preserve">are surrendered for compliance could allow more time for removal units to flow into the system,</w:t>
      </w:r>
      <w:r>
        <w:t xml:space="preserve"> </w:t>
      </w:r>
      <w:r>
        <w:t xml:space="preserve">thereby however also pushing demand-side uncertainties on the available space within the limit</w:t>
      </w:r>
      <w:r>
        <w:t xml:space="preserve"> </w:t>
      </w:r>
      <w:r>
        <w:t xml:space="preserve">towards the end of the timeframe to which the limit applies.54 Note that these options interact</w:t>
      </w:r>
      <w:r>
        <w:t xml:space="preserve"> </w:t>
      </w:r>
      <w:r>
        <w:t xml:space="preserve">with other design considerations, e.g. unit differentiation.</w:t>
      </w:r>
      <w:r>
        <w:br/>
      </w:r>
      <w:r>
        <w:t xml:space="preserve">In principle, a first come, first served CDR supply limit could be set for the whole period or on</w:t>
      </w:r>
      <w:r>
        <w:t xml:space="preserve"> </w:t>
      </w:r>
      <w:r>
        <w:t xml:space="preserve">a yearly basis (a yearly limit could also be either constant or increase over time, e.g. to reflect</w:t>
      </w:r>
      <w:r>
        <w:t xml:space="preserve"> </w:t>
      </w:r>
      <w:r>
        <w:t xml:space="preserve">the likely volume of available removal units in the market). Establishing limits by period could</w:t>
      </w:r>
      <w:r>
        <w:t xml:space="preserve"> </w:t>
      </w:r>
      <w:r>
        <w:t xml:space="preserve">be simpler to implement than yearly ones and provide more flexibility to adjust to the</w:t>
      </w:r>
      <w:r>
        <w:t xml:space="preserve"> </w:t>
      </w:r>
      <w:r>
        <w:t xml:space="preserve">deployment of CDR supply on the ground. The key downside of limits by period is the back-</w:t>
      </w:r>
      <w:r>
        <w:t xml:space="preserve"> </w:t>
      </w:r>
      <w:r>
        <w:t xml:space="preserve">loading of the risk and potential for end-of-period volatility. This could potentially be managed</w:t>
      </w:r>
      <w:r>
        <w:t xml:space="preserve"> </w:t>
      </w:r>
      <w:r>
        <w:t xml:space="preserve">through annual sub-limits that incentivize early surrender, although noting that such sub-limits</w:t>
      </w:r>
      <w:r>
        <w:t xml:space="preserve"> </w:t>
      </w:r>
      <w:r>
        <w:t xml:space="preserve">could increase regulatory complexity.</w:t>
      </w:r>
      <w:r>
        <w:br/>
      </w:r>
      <w:r>
        <w:t xml:space="preserve">A key advantage of the first come, first served approach is that it rewards the frontrunners, as</w:t>
      </w:r>
      <w:r>
        <w:t xml:space="preserve"> </w:t>
      </w:r>
      <w:r>
        <w:t xml:space="preserve">they can secure a piece of the limit, which is also when removal units are expected to be less</w:t>
      </w:r>
      <w:r>
        <w:t xml:space="preserve"> </w:t>
      </w:r>
      <w:r>
        <w:t xml:space="preserve">cost-competitive vis-à-vis conventional allowances (although this depends on the interaction</w:t>
      </w:r>
      <w:r>
        <w:t xml:space="preserve"> </w:t>
      </w:r>
      <w:r>
        <w:t xml:space="preserve">with other CDR support instruments).</w:t>
      </w:r>
      <w:r>
        <w:br/>
      </w:r>
      <w:r>
        <w:t xml:space="preserve">A key challenge of the first come, first served approach is that it can create uncertainty for both</w:t>
      </w:r>
      <w:r>
        <w:t xml:space="preserve"> </w:t>
      </w:r>
      <w:r>
        <w:t xml:space="preserve">the demand and the supply. Notably, operators (and intermediaries) can engage in forward</w:t>
      </w:r>
      <w:r>
        <w:t xml:space="preserve"> </w:t>
      </w:r>
      <w:r>
        <w:t xml:space="preserve">purchase contracts for removal units but end up not being able to use the units if, by the time</w:t>
      </w:r>
      <w:r>
        <w:t xml:space="preserve"> </w:t>
      </w:r>
      <w:r>
        <w:t xml:space="preserve">they receive the units, the CDR limit has already been used up. As future contracts represent</w:t>
      </w:r>
    </w:p>
    <w:p>
      <w:pPr>
        <w:pStyle w:val="BodyText"/>
      </w:pPr>
      <w:r>
        <w:t xml:space="preserve">53 Auctions could also be organized to allow for differentiation of conventional and removal-backed allowances.</w:t>
      </w:r>
      <w:r>
        <w:t xml:space="preserve"> </w:t>
      </w:r>
      <w:r>
        <w:t xml:space="preserve">The UK, for example, is currently planning for multi-product auctions as a means of delivering removal-</w:t>
      </w:r>
      <w:r>
        <w:t xml:space="preserve"> </w:t>
      </w:r>
      <w:r>
        <w:t xml:space="preserve">backed allowances into the UK ETS. Whether removal-backed allowances auctions clear at the same price as</w:t>
      </w:r>
      <w:r>
        <w:t xml:space="preserve"> </w:t>
      </w:r>
      <w:r>
        <w:t xml:space="preserve">conventional allowances depends among others on auction design and risk premiums for different units.</w:t>
      </w:r>
      <w:r>
        <w:t xml:space="preserve"> </w:t>
      </w:r>
      <w:r>
        <w:t xml:space="preserve">54 The timing risk could potentially be addressed through a pre-surrender ‘booking’ of the CDR limit, e.g. </w:t>
      </w:r>
      <w:r>
        <w:t xml:space="preserve"> </w:t>
      </w:r>
      <w:r>
        <w:t xml:space="preserve">through a pre-surrender CDR account that would guarantee the ‘space’ within the limit to operators.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the vast majority of the traded value in the EU ETS55, this uncertainty could significantly affect</w:t>
      </w:r>
      <w:r>
        <w:t xml:space="preserve"> </w:t>
      </w:r>
      <w:r>
        <w:t xml:space="preserve">the market. Similarly, CDR suppliers could invest in CDR supply but fail to guarantee a slice</w:t>
      </w:r>
      <w:r>
        <w:t xml:space="preserve"> </w:t>
      </w:r>
      <w:r>
        <w:t xml:space="preserve">of the CDR limit by the time their units are ready to reach the market. Moreover, a first come,</w:t>
      </w:r>
      <w:r>
        <w:t xml:space="preserve"> </w:t>
      </w:r>
      <w:r>
        <w:t xml:space="preserve">first served approach could push smaller players out of the CDR market if large players move</w:t>
      </w:r>
      <w:r>
        <w:t xml:space="preserve"> </w:t>
      </w:r>
      <w:r>
        <w:t xml:space="preserve">quickly to take the allowable CDR volume. Also, intermediaries could engage in speculation</w:t>
      </w:r>
      <w:r>
        <w:t xml:space="preserve"> </w:t>
      </w:r>
      <w:r>
        <w:t xml:space="preserve">by capturing a share of the limit. It is important to note, however, that these concerns apply</w:t>
      </w:r>
      <w:r>
        <w:t xml:space="preserve"> </w:t>
      </w:r>
      <w:r>
        <w:t xml:space="preserve">mainly to the extent that the CDR limit is - or is perceived to be - binding.</w:t>
      </w:r>
      <w:r>
        <w:br/>
      </w:r>
      <w:r>
        <w:t xml:space="preserve">In order to address uncertainties for CDR suppliers, and in addition to either of the two options</w:t>
      </w:r>
      <w:r>
        <w:t xml:space="preserve"> </w:t>
      </w:r>
      <w:r>
        <w:t xml:space="preserve">above, the regulator could potentially allocate a portion of the limit on the supply side (that is,</w:t>
      </w:r>
      <w:r>
        <w:t xml:space="preserve"> </w:t>
      </w:r>
      <w:r>
        <w:t xml:space="preserve">to individual CDR suppliers) – thus guaranteeing to them access to the CDR market. For</w:t>
      </w:r>
      <w:r>
        <w:t xml:space="preserve"> </w:t>
      </w:r>
      <w:r>
        <w:t xml:space="preserve">example, the regulator could guarantee a particular CDR supplier that it would be able to sell</w:t>
      </w:r>
      <w:r>
        <w:t xml:space="preserve"> </w:t>
      </w:r>
      <w:r>
        <w:t xml:space="preserve">at least 1000 removal units into the EU ETS, should they become available. It would be</w:t>
      </w:r>
      <w:r>
        <w:t xml:space="preserve"> </w:t>
      </w:r>
      <w:r>
        <w:t xml:space="preserve">necessary for the regulator to devise methods to allocate (a portion of) the limit to those CDR</w:t>
      </w:r>
      <w:r>
        <w:t xml:space="preserve"> </w:t>
      </w:r>
      <w:r>
        <w:t xml:space="preserve">suppliers, perhaps similar to electricity capacity markets, although this would likely mean a</w:t>
      </w:r>
      <w:r>
        <w:t xml:space="preserve"> </w:t>
      </w:r>
      <w:r>
        <w:t xml:space="preserve">significantly higher involvement by a public authority than a pure ‘operator integration’</w:t>
      </w:r>
      <w:r>
        <w:t xml:space="preserve"> </w:t>
      </w:r>
      <w:r>
        <w:t xml:space="preserve">approach, requiring transparent rules (including allocation criteria) and an ongoing process to</w:t>
      </w:r>
      <w:r>
        <w:t xml:space="preserve"> </w:t>
      </w:r>
      <w:r>
        <w:t xml:space="preserve">fairly and efficiently allocate the portion of the limit to individual CDR suppliers. The</w:t>
      </w:r>
      <w:r>
        <w:t xml:space="preserve"> </w:t>
      </w:r>
      <w:r>
        <w:t xml:space="preserve">development of such a mechanism lies outside the scope of this report and could be subject to</w:t>
      </w:r>
      <w:r>
        <w:t xml:space="preserve"> </w:t>
      </w:r>
      <w:r>
        <w:t xml:space="preserve">high complexity – an initial investigation of options for this report yielded no viable result.</w:t>
      </w:r>
      <w:r>
        <w:t xml:space="preserve"> </w:t>
      </w:r>
      <w:r>
        <w:t xml:space="preserve">Should a viable option be identified, then it may be important to address the risk of CDR under-</w:t>
      </w:r>
      <w:r>
        <w:t xml:space="preserve"> </w:t>
      </w:r>
      <w:r>
        <w:t xml:space="preserve">delivery, as reserving the limit to CDR suppliers that under-deliver could mean that fewer CDR</w:t>
      </w:r>
      <w:r>
        <w:t xml:space="preserve"> </w:t>
      </w:r>
      <w:r>
        <w:t xml:space="preserve">units are available in the EU ETS than originally envisaged. This could potentially be managed</w:t>
      </w:r>
      <w:r>
        <w:t xml:space="preserve"> </w:t>
      </w:r>
      <w:r>
        <w:t xml:space="preserve">through an ‘overbooking’ of CDR supply, which in turn could lead to the limit being overshot</w:t>
      </w:r>
      <w:r>
        <w:t xml:space="preserve"> </w:t>
      </w:r>
      <w:r>
        <w:t xml:space="preserve">if the overbooking is too large – presumably, the regulator could commit itself to purchasing</w:t>
      </w:r>
      <w:r>
        <w:t xml:space="preserve"> </w:t>
      </w:r>
      <w:r>
        <w:t xml:space="preserve">the removal units (e.g. for use outside the EU ETS or in the next ETS period) even if they</w:t>
      </w:r>
      <w:r>
        <w:t xml:space="preserve"> </w:t>
      </w:r>
      <w:r>
        <w:t xml:space="preserve">surpass the EU ETS limits.</w:t>
      </w:r>
      <w:r>
        <w:br/>
      </w:r>
      <w:r>
        <w:t xml:space="preserve">b) Demand-side CDR limits</w:t>
      </w:r>
      <w:r>
        <w:br/>
      </w:r>
      <w:r>
        <w:t xml:space="preserve">Another option is to establish a limit per operator, e.g. by setting a maximum percentage of</w:t>
      </w:r>
      <w:r>
        <w:t xml:space="preserve"> </w:t>
      </w:r>
      <w:r>
        <w:t xml:space="preserve">compliance obligations that can be fulfilled with removal units, as done in the ETSs in e.g. </w:t>
      </w:r>
      <w:r>
        <w:t xml:space="preserve"> </w:t>
      </w:r>
      <w:r>
        <w:t xml:space="preserve">California and Québec. This approach is in principle consistent with all measures considered</w:t>
      </w:r>
      <w:r>
        <w:t xml:space="preserve"> </w:t>
      </w:r>
      <w:r>
        <w:t xml:space="preserve">here. Again, in this case, this approach is redundant with regards to CDR limit enforcement for</w:t>
      </w:r>
      <w:r>
        <w:t xml:space="preserve"> </w:t>
      </w:r>
      <w:r>
        <w:t xml:space="preserve">measures that involve integration through a public authority (CR4 ‘Public authority integration</w:t>
      </w:r>
      <w:r>
        <w:t xml:space="preserve"> </w:t>
      </w:r>
      <w:r>
        <w:t xml:space="preserve">through regular auctions under the cap’ and CR5 ‘Public authority integration through MSR</w:t>
      </w:r>
      <w:r>
        <w:t xml:space="preserve"> </w:t>
      </w:r>
      <w:r>
        <w:t xml:space="preserve">on top of the cap’), but it would provide the regulator the possibility to ensure equal access by</w:t>
      </w:r>
      <w:r>
        <w:t xml:space="preserve"> </w:t>
      </w:r>
      <w:r>
        <w:t xml:space="preserve">operators to the removal units being made available.</w:t>
      </w:r>
      <w:r>
        <w:br/>
      </w:r>
      <w:r>
        <w:t xml:space="preserve">Limits per operator would likely facilitate or force the participation of small and medium-sized</w:t>
      </w:r>
      <w:r>
        <w:t xml:space="preserve"> </w:t>
      </w:r>
      <w:r>
        <w:t xml:space="preserve">regulated entities to participate in the CDR market as compared to the first come first served</w:t>
      </w:r>
      <w:r>
        <w:t xml:space="preserve"> </w:t>
      </w:r>
      <w:r>
        <w:t xml:space="preserve">approach, allowing for a fairer distribution of the flexibility across regulated entities – which</w:t>
      </w:r>
      <w:r>
        <w:t xml:space="preserve"> </w:t>
      </w:r>
      <w:r>
        <w:t xml:space="preserve">can be relevant in particular in a smaller market with dwindling liquidity. Establishing limits</w:t>
      </w:r>
      <w:r>
        <w:t xml:space="preserve"> </w:t>
      </w:r>
      <w:r>
        <w:t xml:space="preserve">per operator would also avoid creating the uncertainty to the demand side on whether removal</w:t>
      </w:r>
      <w:r>
        <w:t xml:space="preserve"> </w:t>
      </w:r>
      <w:r>
        <w:t xml:space="preserve">units purchased through forward contracts would be allowable towards compliance obligations.</w:t>
      </w:r>
      <w:r>
        <w:t xml:space="preserve"> </w:t>
      </w:r>
      <w:r>
        <w:t xml:space="preserve">A potential disadvantage of this approach is that a CDR limit of between 175 and 330 Mt for</w:t>
      </w:r>
      <w:r>
        <w:t xml:space="preserve"> </w:t>
      </w:r>
      <w:r>
        <w:t xml:space="preserve">the whole period and for 11000+ operators could be spread too thin to warrant the transaction</w:t>
      </w:r>
      <w:r>
        <w:t xml:space="preserve"> </w:t>
      </w:r>
      <w:r>
        <w:t xml:space="preserve">costs of purchasing removal units, thus potentially leaving part of the ‘space’ awarded by</w:t>
      </w:r>
      <w:r>
        <w:t xml:space="preserve"> </w:t>
      </w:r>
      <w:r>
        <w:t xml:space="preserve">removal units unused. This, however, seems unlikely to be the case; first, because the</w:t>
      </w:r>
      <w:r>
        <w:t xml:space="preserve"> </w:t>
      </w:r>
      <w:r>
        <w:t xml:space="preserve">importance of the CDR market as in terms of unit supply in the EU ETS is expected to increase</w:t>
      </w:r>
    </w:p>
    <w:p>
      <w:pPr>
        <w:pStyle w:val="BodyText"/>
      </w:pPr>
      <w:r>
        <w:t xml:space="preserve">55 Veyt, 2024 Year in Review EU ETS: Flattening out, 2024 Year in Review EU ETS: Flattening out | Veyt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markedly during the period , such that we expect that small ETS operators also engage in</w:t>
      </w:r>
      <w:r>
        <w:t xml:space="preserve"> </w:t>
      </w:r>
      <w:r>
        <w:t xml:space="preserve">removal unit purchases over time once units become cost competitive.</w:t>
      </w:r>
      <w:r>
        <w:br/>
      </w:r>
      <w:r>
        <w:t xml:space="preserve">The volume of allowable CDR use could be set for the whole period and/or on a yearly basis.</w:t>
      </w:r>
      <w:r>
        <w:t xml:space="preserve"> </w:t>
      </w:r>
      <w:r>
        <w:t xml:space="preserve">A limit by period could be simpler to implement than a yearly one, ensure better access to the</w:t>
      </w:r>
      <w:r>
        <w:t xml:space="preserve"> </w:t>
      </w:r>
      <w:r>
        <w:t xml:space="preserve">extra ‘space’ by each operator, and finds precedent in the way international credit entitlements</w:t>
      </w:r>
      <w:r>
        <w:t xml:space="preserve"> </w:t>
      </w:r>
      <w:r>
        <w:t xml:space="preserve">were allocated during phase III of the EU ETS. Limits per operator could also, in theory, be</w:t>
      </w:r>
      <w:r>
        <w:t xml:space="preserve"> </w:t>
      </w:r>
      <w:r>
        <w:t xml:space="preserve">adjusted to reflect judgements on what constitutes ‘hard to abate’ emissions – which, as</w:t>
      </w:r>
      <w:r>
        <w:t xml:space="preserve"> </w:t>
      </w:r>
      <w:r>
        <w:t xml:space="preserve">outlined below, is considered politically unfeasible at this stage. Nevertheless, making such a</w:t>
      </w:r>
      <w:r>
        <w:t xml:space="preserve"> </w:t>
      </w:r>
      <w:r>
        <w:t xml:space="preserve">percentage number explicit could present a significant political challenge if sectors and/or</w:t>
      </w:r>
      <w:r>
        <w:t xml:space="preserve"> </w:t>
      </w:r>
      <w:r>
        <w:t xml:space="preserve">Member States pressure to favour some sectors over others in the access to removal units.</w:t>
      </w:r>
      <w:r>
        <w:br/>
      </w:r>
      <w:r>
        <w:t xml:space="preserve">Importantly, the application of a limit per operator is influenced by (a) where units are</w:t>
      </w:r>
      <w:r>
        <w:t xml:space="preserve"> </w:t>
      </w:r>
      <w:r>
        <w:t xml:space="preserve">generated and whether they are differentiated; (b) who does the conversion, (c) when the limit</w:t>
      </w:r>
      <w:r>
        <w:t xml:space="preserve"> </w:t>
      </w:r>
      <w:r>
        <w:t xml:space="preserve">is enforced (e.g. at conversion or at surrender) and (d) on what basis the allowable limit is</w:t>
      </w:r>
      <w:r>
        <w:t xml:space="preserve"> </w:t>
      </w:r>
      <w:r>
        <w:t xml:space="preserve">calculated (e.g. ex ante on the basis of past emissions, ex-post on the basis of compliance</w:t>
      </w:r>
      <w:r>
        <w:t xml:space="preserve"> </w:t>
      </w:r>
      <w:r>
        <w:t xml:space="preserve">obligations, etc). It will be important for the regulator to ensure the package of options is</w:t>
      </w:r>
      <w:r>
        <w:t xml:space="preserve"> </w:t>
      </w:r>
      <w:r>
        <w:t xml:space="preserve">coherent. For example, setting a maximum percentage of compliance obligations that can be</w:t>
      </w:r>
      <w:r>
        <w:t xml:space="preserve"> </w:t>
      </w:r>
      <w:r>
        <w:t xml:space="preserve">fulfilled with removal units would require that units be differentiated, as the limit would be</w:t>
      </w:r>
      <w:r>
        <w:t xml:space="preserve"> </w:t>
      </w:r>
      <w:r>
        <w:t xml:space="preserve">enforced at surrender. If removal units are not differentiated for market participants, then the</w:t>
      </w:r>
      <w:r>
        <w:t xml:space="preserve"> </w:t>
      </w:r>
      <w:r>
        <w:t xml:space="preserve">limit cannot be enforced at the point of surrender, as operators would not be able to tell different</w:t>
      </w:r>
      <w:r>
        <w:t xml:space="preserve"> </w:t>
      </w:r>
      <w:r>
        <w:t xml:space="preserve">units apart. In this case, the application of the limit would have to be carried out upstream, e.g. </w:t>
      </w:r>
      <w:r>
        <w:t xml:space="preserve"> </w:t>
      </w:r>
      <w:r>
        <w:t xml:space="preserve">at the point of conversion of CRCF units into allowances in the Union Registry. This in turn</w:t>
      </w:r>
      <w:r>
        <w:t xml:space="preserve"> </w:t>
      </w:r>
      <w:r>
        <w:t xml:space="preserve">would likely require that the conversion be carried out by the operator, based on a pre-</w:t>
      </w:r>
      <w:r>
        <w:t xml:space="preserve"> </w:t>
      </w:r>
      <w:r>
        <w:t xml:space="preserve">established quota, e.g. on the basis of past emissions as done for Kyoto units in the EU ETS</w:t>
      </w:r>
      <w:r>
        <w:t xml:space="preserve"> </w:t>
      </w:r>
      <w:r>
        <w:t xml:space="preserve">phase III. Defining this pre-established quota, however, would require careful consideration to</w:t>
      </w:r>
      <w:r>
        <w:t xml:space="preserve"> </w:t>
      </w:r>
      <w:r>
        <w:t xml:space="preserve">foster fairness and avoid perverse incentives, and could be subject to extensive political debate.</w:t>
      </w:r>
      <w:r>
        <w:br/>
      </w:r>
      <w:r>
        <w:t xml:space="preserve">4.4.1. CDR limits if removal units are generated inside the EU ETS</w:t>
      </w:r>
      <w:r>
        <w:t xml:space="preserve"> </w:t>
      </w:r>
      <w:r>
        <w:t xml:space="preserve">A second key consideration pertains to the compatibility between the way that removal units</w:t>
      </w:r>
      <w:r>
        <w:t xml:space="preserve"> </w:t>
      </w:r>
      <w:r>
        <w:t xml:space="preserve">are generated (whether inside the ETS and/or outside the scope of the ETS, under the CRCF)</w:t>
      </w:r>
      <w:r>
        <w:t xml:space="preserve"> </w:t>
      </w:r>
      <w:r>
        <w:t xml:space="preserve">and the enforcement of CDR limits inside the EU ETS. This interaction will need to be</w:t>
      </w:r>
      <w:r>
        <w:t xml:space="preserve"> </w:t>
      </w:r>
      <w:r>
        <w:t xml:space="preserve">managed, in particular if removal units can be generated inside the EU ETS (e.g. where a</w:t>
      </w:r>
      <w:r>
        <w:t xml:space="preserve"> </w:t>
      </w:r>
      <w:r>
        <w:t xml:space="preserve">BECCS plant is regulated under the EU ETS and can certify removals through its EU ETS</w:t>
      </w:r>
      <w:r>
        <w:t xml:space="preserve"> </w:t>
      </w:r>
      <w:r>
        <w:t xml:space="preserve">MRV process) and where CDR limits are or are expected to be binding. In such a situation,</w:t>
      </w:r>
      <w:r>
        <w:t xml:space="preserve"> </w:t>
      </w:r>
      <w:r>
        <w:t xml:space="preserve">further regulations (such as entity-specific limits for the generation of removal units) must be</w:t>
      </w:r>
      <w:r>
        <w:t xml:space="preserve"> </w:t>
      </w:r>
      <w:r>
        <w:t xml:space="preserve">in place to make sure that limits are enforceable and applied fairly across ETS-covered CDR</w:t>
      </w:r>
      <w:r>
        <w:t xml:space="preserve"> </w:t>
      </w:r>
      <w:r>
        <w:t xml:space="preserve">suppliers. Most stakeholders interviewed strongly preferred a ‘CRCF only’ approach for the</w:t>
      </w:r>
      <w:r>
        <w:t xml:space="preserve"> </w:t>
      </w:r>
      <w:r>
        <w:t xml:space="preserve">certification of removal units.</w:t>
      </w:r>
      <w:r>
        <w:br/>
      </w:r>
      <w:r>
        <w:t xml:space="preserve">Under a first come first served approach, a first consideration is one of fairness in processing</w:t>
      </w:r>
      <w:r>
        <w:t xml:space="preserve"> </w:t>
      </w:r>
      <w:r>
        <w:t xml:space="preserve">times and transaction costs – as large differences in the treatment of removals generated inside</w:t>
      </w:r>
      <w:r>
        <w:t xml:space="preserve"> </w:t>
      </w:r>
      <w:r>
        <w:t xml:space="preserve">vs outside the ETS could lead to de facto preferential access to the CDR limit. Avoiding this</w:t>
      </w:r>
      <w:r>
        <w:t xml:space="preserve"> </w:t>
      </w:r>
      <w:r>
        <w:t xml:space="preserve">situation could entail harmonizing rules across the EU ETS and the CRCF, and/or allocating a</w:t>
      </w:r>
      <w:r>
        <w:t xml:space="preserve"> </w:t>
      </w:r>
      <w:r>
        <w:t xml:space="preserve">portion of the limit to individual CDR suppliers as described above. It could also be necessary</w:t>
      </w:r>
      <w:r>
        <w:t xml:space="preserve"> </w:t>
      </w:r>
      <w:r>
        <w:t xml:space="preserve">to establish maximum limits on the volume that CDR suppliers can generate within the ETS –</w:t>
      </w:r>
      <w:r>
        <w:t xml:space="preserve"> </w:t>
      </w:r>
      <w:r>
        <w:t xml:space="preserve">which would likely require provisions for the issuance of other units (e.g. through the CRCF)</w:t>
      </w:r>
      <w:r>
        <w:t xml:space="preserve"> </w:t>
      </w:r>
      <w:r>
        <w:t xml:space="preserve">once ETS limits for CDR have been exhausted. This, however, can lead to significant</w:t>
      </w:r>
      <w:r>
        <w:t xml:space="preserve"> </w:t>
      </w:r>
      <w:r>
        <w:t xml:space="preserve">complexity and uncertainty for CDR suppliers.</w:t>
      </w:r>
      <w:r>
        <w:br/>
      </w:r>
      <w:r>
        <w:t xml:space="preserve">Enforcing limits per operator while generating removal units inside the ETS would likely entail</w:t>
      </w:r>
      <w:r>
        <w:t xml:space="preserve"> </w:t>
      </w:r>
      <w:r>
        <w:t xml:space="preserve">high complexity. It would mean that operators would be limited in how many of their ‘own’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removal units they would be allowed to use – with other units sold to the market, but again</w:t>
      </w:r>
      <w:r>
        <w:t xml:space="preserve"> </w:t>
      </w:r>
      <w:r>
        <w:t xml:space="preserve">under maximum limits on the volume that CDR suppliers can generate within the ETS and with</w:t>
      </w:r>
      <w:r>
        <w:t xml:space="preserve"> </w:t>
      </w:r>
      <w:r>
        <w:t xml:space="preserve">accompanying provisions for the issuance of other (e.g. CRCF) units once ETS limits are</w:t>
      </w:r>
      <w:r>
        <w:t xml:space="preserve"> </w:t>
      </w:r>
      <w:r>
        <w:t xml:space="preserve">breached.</w:t>
      </w:r>
      <w:r>
        <w:br/>
      </w:r>
      <w:r>
        <w:t xml:space="preserve">In general, allowing for the generation of removal units inside the EU ETS while at the same</w:t>
      </w:r>
      <w:r>
        <w:t xml:space="preserve"> </w:t>
      </w:r>
      <w:r>
        <w:t xml:space="preserve">time imposing limits to CDR use inside the ETS requires the establishment of an internal limit</w:t>
      </w:r>
      <w:r>
        <w:t xml:space="preserve"> </w:t>
      </w:r>
      <w:r>
        <w:t xml:space="preserve">and seems likely to lead to high complexity for CDR suppliers. Such an approach could also</w:t>
      </w:r>
      <w:r>
        <w:t xml:space="preserve"> </w:t>
      </w:r>
      <w:r>
        <w:t xml:space="preserve">be perceived to be unfair towards CDR suppliers if they are subject to the ETS (with what it</w:t>
      </w:r>
      <w:r>
        <w:t xml:space="preserve"> </w:t>
      </w:r>
      <w:r>
        <w:t xml:space="preserve">entails in terms of monitoring and reporting plans and verification), to then allow only a portion</w:t>
      </w:r>
      <w:r>
        <w:t xml:space="preserve"> </w:t>
      </w:r>
      <w:r>
        <w:t xml:space="preserve">of their removal units to be issued as EUAs.</w:t>
      </w:r>
      <w:r>
        <w:br/>
      </w:r>
      <w:r>
        <w:t xml:space="preserve">Where the limit is only implicit through the public authority integration and inside generation</w:t>
      </w:r>
      <w:r>
        <w:t xml:space="preserve"> </w:t>
      </w:r>
      <w:r>
        <w:t xml:space="preserve">is only allowed for existing ETS installations to compensate their own emissions, the set-out</w:t>
      </w:r>
      <w:r>
        <w:t xml:space="preserve"> </w:t>
      </w:r>
      <w:r>
        <w:t xml:space="preserve">becomes less complex.</w:t>
      </w:r>
      <w:r>
        <w:t xml:space="preserve"> </w:t>
      </w:r>
      <w:r>
        <w:t xml:space="preserve">4.5. Timing and sequencing</w:t>
      </w:r>
      <w:r>
        <w:br/>
      </w:r>
      <w:r>
        <w:t xml:space="preserve">The inclusion of CDR into the EU ETS requires a thoughtful timing and sequencing strategy,</w:t>
      </w:r>
      <w:r>
        <w:t xml:space="preserve"> </w:t>
      </w:r>
      <w:r>
        <w:t xml:space="preserve">aimed at optimizing advantages while mitigating potential risks.</w:t>
      </w:r>
      <w:r>
        <w:br/>
      </w:r>
      <w:r>
        <w:t xml:space="preserve">On timing, the CRCF Registry is due in 2028. With a buffer of one year for the CRCF Registry</w:t>
      </w:r>
      <w:r>
        <w:t xml:space="preserve"> </w:t>
      </w:r>
      <w:r>
        <w:t xml:space="preserve">to operate, CDR integration into the ETS could start at the earliest in 2030 and would require</w:t>
      </w:r>
      <w:r>
        <w:t xml:space="preserve"> </w:t>
      </w:r>
      <w:r>
        <w:t xml:space="preserve">a testing period for the registries to interface. In addition, the likely timely entry into force of</w:t>
      </w:r>
      <w:r>
        <w:t xml:space="preserve"> </w:t>
      </w:r>
      <w:r>
        <w:t xml:space="preserve">changes needing transposition and adoption of implementing and delegated acts is 1 January</w:t>
      </w:r>
      <w:r>
        <w:t xml:space="preserve"> </w:t>
      </w:r>
      <w:r>
        <w:t xml:space="preserve">2029 at the earliest.56 Therefore, integration is proposed for 2031, noting that in the beginning</w:t>
      </w:r>
      <w:r>
        <w:t xml:space="preserve"> </w:t>
      </w:r>
      <w:r>
        <w:t xml:space="preserve">the integration could be largely symbolic due to low volumes.</w:t>
      </w:r>
      <w:r>
        <w:t xml:space="preserve"> </w:t>
      </w:r>
      <w:r>
        <w:t xml:space="preserve">On sequencing, respondents to the open consultation leaned in favour of a speedy introduction</w:t>
      </w:r>
      <w:r>
        <w:t xml:space="preserve"> </w:t>
      </w:r>
      <w:r>
        <w:t xml:space="preserve">of CDR in the EU ETS, with 38% of respondents disagreeing or strongly disagreeing with the</w:t>
      </w:r>
      <w:r>
        <w:t xml:space="preserve"> </w:t>
      </w:r>
      <w:r>
        <w:t xml:space="preserve">statement ‘The use of CRCF removals by the ETS1 regulated entities should be phased in</w:t>
      </w:r>
      <w:r>
        <w:t xml:space="preserve"> </w:t>
      </w:r>
      <w:r>
        <w:t xml:space="preserve">slowly over time’, mainly citing cost-efficiency, and 29% agreeing or strongly agreeing with</w:t>
      </w:r>
      <w:r>
        <w:t xml:space="preserve"> </w:t>
      </w:r>
      <w:r>
        <w:t xml:space="preserve">it, citing the need to ensure market stability, environmental integrity, and a certain share of</w:t>
      </w:r>
      <w:r>
        <w:t xml:space="preserve"> </w:t>
      </w:r>
      <w:r>
        <w:t xml:space="preserve">emission reductions before allowing offsets. By contrast, the overwhelming recommendation</w:t>
      </w:r>
      <w:r>
        <w:t xml:space="preserve"> </w:t>
      </w:r>
      <w:r>
        <w:t xml:space="preserve">of the literature (see e.g. Burke and Gambhir 2022, Rickels 2022, Sultani 2024, ESABCC 2024,</w:t>
      </w:r>
      <w:r>
        <w:t xml:space="preserve"> </w:t>
      </w:r>
      <w:r>
        <w:t xml:space="preserve">Verbist 2025) favour a gradual rather than immediate full-scale integration process. Gradual</w:t>
      </w:r>
      <w:r>
        <w:t xml:space="preserve"> </w:t>
      </w:r>
      <w:r>
        <w:t xml:space="preserve">integration was also strongly supported by stakeholders in interviews. An incremental approach</w:t>
      </w:r>
      <w:r>
        <w:t xml:space="preserve"> </w:t>
      </w:r>
      <w:r>
        <w:t xml:space="preserve">would enable the EU ETS to evolve alongside advancing CDR technologies and growing</w:t>
      </w:r>
      <w:r>
        <w:t xml:space="preserve"> </w:t>
      </w:r>
      <w:r>
        <w:t xml:space="preserve">comprehension of their implications – inside and outside the ETS. The literature advocates for</w:t>
      </w:r>
      <w:r>
        <w:t xml:space="preserve"> </w:t>
      </w:r>
      <w:r>
        <w:t xml:space="preserve">using early stages to develop comprehensive MRV frameworks (which in the EU’s case has</w:t>
      </w:r>
      <w:r>
        <w:t xml:space="preserve"> </w:t>
      </w:r>
      <w:r>
        <w:t xml:space="preserve">been developed through in the CRCF methodologies) to guarantee fundamental quality</w:t>
      </w:r>
      <w:r>
        <w:t xml:space="preserve"> </w:t>
      </w:r>
      <w:r>
        <w:t xml:space="preserve">standards for CDR credits under consideration.</w:t>
      </w:r>
      <w:r>
        <w:br/>
      </w:r>
      <w:r>
        <w:t xml:space="preserve">Once essential quality control is in place - as is the case in the EU - many scholars endorse a</w:t>
      </w:r>
      <w:r>
        <w:t xml:space="preserve"> </w:t>
      </w:r>
      <w:r>
        <w:t xml:space="preserve">progressive development of integration approaches over time. This could begin with more</w:t>
      </w:r>
      <w:r>
        <w:t xml:space="preserve"> </w:t>
      </w:r>
      <w:r>
        <w:t xml:space="preserve">restricted interaction mechanisms, e.g. funding CDR advancement external to the ETS through</w:t>
      </w:r>
      <w:r>
        <w:t xml:space="preserve"> </w:t>
      </w:r>
      <w:r>
        <w:t xml:space="preserve">targeted financing (potentially sourced from ETS revenues); as expertise accumulates and CDR</w:t>
      </w:r>
      <w:r>
        <w:t xml:space="preserve"> </w:t>
      </w:r>
      <w:r>
        <w:t xml:space="preserve">technologies advance in cost-effectiveness, scalability, and environmental performance, the</w:t>
      </w:r>
      <w:r>
        <w:t xml:space="preserve"> </w:t>
      </w:r>
      <w:r>
        <w:t xml:space="preserve">EU could advance with limited inclusion in the EU ETS, e.g. through a public authority and/or</w:t>
      </w:r>
      <w:r>
        <w:t xml:space="preserve"> </w:t>
      </w:r>
      <w:r>
        <w:t xml:space="preserve">the MSR. The end goal of a sequencing strategy, as proposed by e.g. Sultani et al. (2024) and</w:t>
      </w:r>
    </w:p>
    <w:p>
      <w:pPr>
        <w:pStyle w:val="BodyText"/>
      </w:pPr>
      <w:r>
        <w:t xml:space="preserve">56 Following the same timeline as for maritime in the July 2021 proposal, which was challenging and where</w:t>
      </w:r>
      <w:r>
        <w:t xml:space="preserve"> </w:t>
      </w:r>
      <w:r>
        <w:t xml:space="preserve">transposition is still pending.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Verbist et al. (2025), could involve a more comprehensively integrated marketplace where</w:t>
      </w:r>
      <w:r>
        <w:t xml:space="preserve"> </w:t>
      </w:r>
      <w:r>
        <w:t xml:space="preserve">high-quality, durable removals become fully interchangeable with EUAs. See Figure 9 for a</w:t>
      </w:r>
      <w:r>
        <w:t xml:space="preserve"> </w:t>
      </w:r>
      <w:r>
        <w:t xml:space="preserve">concrete example, where panel (a) pictures the a sequencing of CDR into the EU ETS (from</w:t>
      </w:r>
      <w:r>
        <w:t xml:space="preserve"> </w:t>
      </w:r>
      <w:r>
        <w:t xml:space="preserve">separated systems to full integration), and panel (b) describes the safeguards that must be</w:t>
      </w:r>
      <w:r>
        <w:t xml:space="preserve"> </w:t>
      </w:r>
      <w:r>
        <w:t xml:space="preserve">fulfilled in order to progress across stages.</w:t>
      </w:r>
      <w:r>
        <w:br/>
      </w:r>
      <w:r>
        <w:t xml:space="preserve">Figure 8:</w:t>
      </w:r>
      <w:r>
        <w:t xml:space="preserve"> </w:t>
      </w:r>
      <w:r>
        <w:t xml:space="preserve">Stage-gate approach with three governance stages of integrating CDR into the EU ETS</w:t>
      </w:r>
    </w:p>
    <w:p>
      <w:pPr>
        <w:pStyle w:val="BodyText"/>
      </w:pPr>
      <w:r>
        <w:t xml:space="preserve">Source: Sultani et al. (2024)</w:t>
      </w:r>
      <w:r>
        <w:t xml:space="preserve"> </w:t>
      </w:r>
      <w:r>
        <w:t xml:space="preserve">A key element of sequencing thus pertains also to the impact of CDR inclusion on climate</w:t>
      </w:r>
      <w:r>
        <w:t xml:space="preserve"> </w:t>
      </w:r>
      <w:r>
        <w:t xml:space="preserve">ambition in terms of both net and gross emission limits. Under the Danish proposal for CDR</w:t>
      </w:r>
      <w:r>
        <w:t xml:space="preserve"> </w:t>
      </w:r>
      <w:r>
        <w:t xml:space="preserve">inclusion under the EU ETS, for example, the inclusion of CDR would initially see no effect</w:t>
      </w:r>
      <w:r>
        <w:t xml:space="preserve"> </w:t>
      </w:r>
      <w:r>
        <w:t xml:space="preserve">on gross emissions from the ETS57. In the UK ETS, the cap was set assuming that CDR would</w:t>
      </w:r>
      <w:r>
        <w:t xml:space="preserve"> </w:t>
      </w:r>
      <w:r>
        <w:t xml:space="preserve">take place in the UK economy, thereby increasing the limits for gross emissions under the UK</w:t>
      </w:r>
      <w:r>
        <w:t xml:space="preserve"> </w:t>
      </w:r>
      <w:r>
        <w:t xml:space="preserve">ETS vis-à-vis a baseline of no CDR in the economy. Generally, the recommendation from the</w:t>
      </w:r>
      <w:r>
        <w:t xml:space="preserve"> </w:t>
      </w:r>
      <w:r>
        <w:t xml:space="preserve">literature is one of conservativeness with regard to CDR inclusion, which seems advisable in</w:t>
      </w:r>
      <w:r>
        <w:t xml:space="preserve"> </w:t>
      </w:r>
      <w:r>
        <w:t xml:space="preserve">particular when it comes to effects to ETS ambition. Accordingly, limits to CDR use in the EU</w:t>
      </w:r>
      <w:r>
        <w:t xml:space="preserve"> </w:t>
      </w:r>
      <w:r>
        <w:t xml:space="preserve">ETS are a key regulatory lever.</w:t>
      </w:r>
      <w:r>
        <w:br/>
      </w:r>
      <w:r>
        <w:t xml:space="preserve">A staged implementation approach for incorporating CDR into the EU ETS could therefore</w:t>
      </w:r>
      <w:r>
        <w:t xml:space="preserve"> </w:t>
      </w:r>
      <w:r>
        <w:t xml:space="preserve">start with an integration through public authority (CR4 or CR5) subject to stricter limits to</w:t>
      </w:r>
      <w:r>
        <w:t xml:space="preserve"> </w:t>
      </w:r>
      <w:r>
        <w:t xml:space="preserve">collect information and evaluate governance structures. Advancing toward more extensive</w:t>
      </w:r>
      <w:r>
        <w:t xml:space="preserve"> </w:t>
      </w:r>
      <w:r>
        <w:t xml:space="preserve">operator integration frameworks would ideally follow proven success in these initial phases,</w:t>
      </w:r>
    </w:p>
    <w:p>
      <w:pPr>
        <w:pStyle w:val="BodyText"/>
      </w:pPr>
      <w:r>
        <w:t xml:space="preserve">57 Danish Ministry of Climate, Energy and Utilities. Denmark’s position paper on integrating permanent carbon</w:t>
      </w:r>
      <w:r>
        <w:t xml:space="preserve"> </w:t>
      </w:r>
      <w:r>
        <w:t xml:space="preserve">dioxide removals in the EU ETS.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clear demonstration of CDR technology advancement (cost, scalability, environmental</w:t>
      </w:r>
      <w:r>
        <w:t xml:space="preserve"> </w:t>
      </w:r>
      <w:r>
        <w:t xml:space="preserve">reliability), comprehensive impact evaluations, and ensuring the system’s ability to effectively</w:t>
      </w:r>
      <w:r>
        <w:t xml:space="preserve"> </w:t>
      </w:r>
      <w:r>
        <w:t xml:space="preserve">manage related risks and shocks. Therefore, this impact assessment has only considered</w:t>
      </w:r>
      <w:r>
        <w:t xml:space="preserve"> </w:t>
      </w:r>
      <w:r>
        <w:t xml:space="preserve">measures for the 2031-2040 period as part of the sequencing step after MRV development in</w:t>
      </w:r>
      <w:r>
        <w:t xml:space="preserve"> </w:t>
      </w:r>
      <w:r>
        <w:t xml:space="preserve">the CRCF. Beyond 2040, alternative or complementary mechanisms to the measures</w:t>
      </w:r>
      <w:r>
        <w:t xml:space="preserve"> </w:t>
      </w:r>
      <w:r>
        <w:t xml:space="preserve">considered in this impact assessment, may need to be developed to reach net-zero in 2050 and</w:t>
      </w:r>
      <w:r>
        <w:t xml:space="preserve"> </w:t>
      </w:r>
      <w:r>
        <w:t xml:space="preserve">net-negative emissions thereafter.</w:t>
      </w:r>
      <w:r>
        <w:br/>
      </w:r>
      <w:r>
        <w:t xml:space="preserve">4.6. Purchasing permanent carbon removals</w:t>
      </w:r>
      <w:r>
        <w:t xml:space="preserve"> </w:t>
      </w:r>
      <w:r>
        <w:t xml:space="preserve">Purchasing permanent carbon removal needs a clear strategy on how and when to purchase this</w:t>
      </w:r>
      <w:r>
        <w:t xml:space="preserve"> </w:t>
      </w:r>
      <w:r>
        <w:t xml:space="preserve">carbon removals. Option CR1, CR2 and CR3 constrain the type of removals to be used in an</w:t>
      </w:r>
      <w:r>
        <w:t xml:space="preserve"> </w:t>
      </w:r>
      <w:r>
        <w:t xml:space="preserve">ETS context but the operator is free to decide on what to buy, among the types of removal</w:t>
      </w:r>
      <w:r>
        <w:t xml:space="preserve"> </w:t>
      </w:r>
      <w:r>
        <w:t xml:space="preserve">allowed for compliance, on the timing of the purchase and to some extent on the contractual</w:t>
      </w:r>
      <w:r>
        <w:t xml:space="preserve"> </w:t>
      </w:r>
      <w:r>
        <w:t xml:space="preserve">arrangements for the purchase of the removals. Options CR4 and CR5 would, on the other</w:t>
      </w:r>
      <w:r>
        <w:t xml:space="preserve"> </w:t>
      </w:r>
      <w:r>
        <w:t xml:space="preserve">hand, require defining the timing and the approach for the purchasing of permanent carbon</w:t>
      </w:r>
      <w:r>
        <w:t xml:space="preserve"> </w:t>
      </w:r>
      <w:r>
        <w:t xml:space="preserve">removals under a public authority.</w:t>
      </w:r>
      <w:r>
        <w:br/>
      </w:r>
      <w:r>
        <w:t xml:space="preserve">4.6.1. Timing of purchasing</w:t>
      </w:r>
      <w:r>
        <w:br/>
      </w:r>
      <w:r>
        <w:t xml:space="preserve">Three main types of contractual agreement can be identified for the timing of removals</w:t>
      </w:r>
      <w:r>
        <w:t xml:space="preserve"> </w:t>
      </w:r>
      <w:r>
        <w:t xml:space="preserve">purchases:</w:t>
      </w:r>
      <w:r>
        <w:br/>
      </w:r>
      <w:r>
        <w:t xml:space="preserve">-</w:t>
      </w:r>
      <w:r>
        <w:t xml:space="preserve"> </w:t>
      </w:r>
      <w:r>
        <w:t xml:space="preserve">Pre-purchase agreement: The purchasing programme pays a CDR supplier upfront in</w:t>
      </w:r>
      <w:r>
        <w:t xml:space="preserve"> </w:t>
      </w:r>
      <w:r>
        <w:t xml:space="preserve">exchange for a commitment from the CDR supplier to deliver carbon removal</w:t>
      </w:r>
      <w:r>
        <w:t xml:space="preserve"> </w:t>
      </w:r>
      <w:r>
        <w:t xml:space="preserve">certificates in the future.</w:t>
      </w:r>
      <w:r>
        <w:t xml:space="preserve"> </w:t>
      </w:r>
      <w:r>
        <w:t xml:space="preserve">-</w:t>
      </w:r>
      <w:r>
        <w:t xml:space="preserve"> </w:t>
      </w:r>
      <w:r>
        <w:t xml:space="preserve">Offtake agreement: The purchasing programme makes a contractual agreement with</w:t>
      </w:r>
      <w:r>
        <w:t xml:space="preserve"> </w:t>
      </w:r>
      <w:r>
        <w:t xml:space="preserve">a CDR supplier, agreeing to buy a specific amount of future CDR credits at a specific</w:t>
      </w:r>
      <w:r>
        <w:t xml:space="preserve"> </w:t>
      </w:r>
      <w:r>
        <w:t xml:space="preserve">price at a specific time in the future, with the payment made on delivery. Offtake</w:t>
      </w:r>
      <w:r>
        <w:t xml:space="preserve"> </w:t>
      </w:r>
      <w:r>
        <w:t xml:space="preserve">contract duration can differ depending on technology and supplier, e.g. Frontier signs</w:t>
      </w:r>
      <w:r>
        <w:t xml:space="preserve"> </w:t>
      </w:r>
      <w:r>
        <w:t xml:space="preserve">offtake agreements with delivery timelines of 2-5 years.58 Longer-term agreements are</w:t>
      </w:r>
      <w:r>
        <w:t xml:space="preserve"> </w:t>
      </w:r>
      <w:r>
        <w:t xml:space="preserve">also possible, e.g., German industrial emissions reduction contracts offer a related</w:t>
      </w:r>
      <w:r>
        <w:t xml:space="preserve"> </w:t>
      </w:r>
      <w:r>
        <w:t xml:space="preserve">model and have contract durations of up to 15 years.59</w:t>
      </w:r>
      <w:r>
        <w:br/>
      </w:r>
      <w:r>
        <w:t xml:space="preserve">-</w:t>
      </w:r>
      <w:r>
        <w:t xml:space="preserve"> </w:t>
      </w:r>
      <w:r>
        <w:t xml:space="preserve">Ex-post payments: The purchasing programme purchases CRCF credits once the</w:t>
      </w:r>
      <w:r>
        <w:t xml:space="preserve"> </w:t>
      </w:r>
      <w:r>
        <w:t xml:space="preserve">removals have occurred and have been certified.</w:t>
      </w:r>
    </w:p>
    <w:p>
      <w:pPr>
        <w:pStyle w:val="BodyText"/>
      </w:pPr>
      <w:r>
        <w:t xml:space="preserve">These different purchase timings offer different strengths and weaknesses are summarised in</w:t>
      </w:r>
      <w:r>
        <w:t xml:space="preserve"> </w:t>
      </w:r>
      <w:r>
        <w:t xml:space="preserve">the table below.</w:t>
      </w:r>
      <w:r>
        <w:t xml:space="preserve"> </w:t>
      </w:r>
      <w:r>
        <w:t xml:space="preserve">Table 9:</w:t>
      </w:r>
      <w:r>
        <w:t xml:space="preserve"> </w:t>
      </w:r>
      <w:r>
        <w:t xml:space="preserve">Purchase timing strengths and weaknesses</w:t>
      </w:r>
      <w:r>
        <w:t xml:space="preserve"> </w:t>
      </w:r>
      <w:r>
        <w:t xml:space="preserve">Criteria</w:t>
      </w:r>
      <w:r>
        <w:t xml:space="preserve"> </w:t>
      </w:r>
      <w:r>
        <w:t xml:space="preserve">Pre-purchase</w:t>
      </w:r>
      <w:r>
        <w:t xml:space="preserve"> </w:t>
      </w:r>
      <w:r>
        <w:t xml:space="preserve">Offtake</w:t>
      </w:r>
      <w:r>
        <w:t xml:space="preserve"> </w:t>
      </w:r>
      <w:r>
        <w:t xml:space="preserve">Ex-post Payment</w:t>
      </w:r>
      <w:r>
        <w:t xml:space="preserve"> </w:t>
      </w:r>
      <w:r>
        <w:t xml:space="preserve">Buyer</w:t>
      </w:r>
      <w:r>
        <w:t xml:space="preserve"> </w:t>
      </w:r>
      <w:r>
        <w:t xml:space="preserve">security</w:t>
      </w:r>
      <w:r>
        <w:t xml:space="preserve"> </w:t>
      </w:r>
      <w:r>
        <w:t xml:space="preserve">(considering risk of non-</w:t>
      </w:r>
      <w:r>
        <w:t xml:space="preserve"> </w:t>
      </w:r>
      <w:r>
        <w:t xml:space="preserve">delivery</w:t>
      </w:r>
      <w:r>
        <w:t xml:space="preserve"> </w:t>
      </w:r>
      <w:r>
        <w:t xml:space="preserve">&amp;</w:t>
      </w:r>
      <w:r>
        <w:t xml:space="preserve"> </w:t>
      </w:r>
      <w:r>
        <w:t xml:space="preserve">underperformance)</w:t>
      </w:r>
      <w:r>
        <w:t xml:space="preserve"> </w:t>
      </w:r>
      <w:r>
        <w:t xml:space="preserve">Low – Buyer pays</w:t>
      </w:r>
      <w:r>
        <w:t xml:space="preserve"> </w:t>
      </w:r>
      <w:r>
        <w:t xml:space="preserve">upfront; risk of project</w:t>
      </w:r>
      <w:r>
        <w:t xml:space="preserve"> </w:t>
      </w:r>
      <w:r>
        <w:t xml:space="preserve">failure,</w:t>
      </w:r>
      <w:r>
        <w:t xml:space="preserve"> </w:t>
      </w:r>
      <w:r>
        <w:t xml:space="preserve">delay,</w:t>
      </w:r>
      <w:r>
        <w:t xml:space="preserve"> </w:t>
      </w:r>
      <w:r>
        <w:t xml:space="preserve">or</w:t>
      </w:r>
      <w:r>
        <w:t xml:space="preserve"> </w:t>
      </w:r>
      <w:r>
        <w:t xml:space="preserve">supplier</w:t>
      </w:r>
      <w:r>
        <w:t xml:space="preserve"> </w:t>
      </w:r>
      <w:r>
        <w:t xml:space="preserve">overestimation.</w:t>
      </w:r>
      <w:r>
        <w:t xml:space="preserve"> </w:t>
      </w:r>
      <w:r>
        <w:t xml:space="preserve">Low-medium</w:t>
      </w:r>
      <w:r>
        <w:t xml:space="preserve"> </w:t>
      </w:r>
      <w:r>
        <w:t xml:space="preserve">–</w:t>
      </w:r>
      <w:r>
        <w:t xml:space="preserve"> </w:t>
      </w:r>
      <w:r>
        <w:t xml:space="preserve">Payment</w:t>
      </w:r>
      <w:r>
        <w:t xml:space="preserve"> </w:t>
      </w:r>
      <w:r>
        <w:t xml:space="preserve">only</w:t>
      </w:r>
      <w:r>
        <w:t xml:space="preserve"> </w:t>
      </w:r>
      <w:r>
        <w:t xml:space="preserve">on</w:t>
      </w:r>
      <w:r>
        <w:t xml:space="preserve"> </w:t>
      </w:r>
      <w:r>
        <w:t xml:space="preserve">delivery, but still risk</w:t>
      </w:r>
      <w:r>
        <w:t xml:space="preserve"> </w:t>
      </w:r>
      <w:r>
        <w:t xml:space="preserve">of</w:t>
      </w:r>
      <w:r>
        <w:t xml:space="preserve"> </w:t>
      </w:r>
      <w:r>
        <w:t xml:space="preserve">delay,</w:t>
      </w:r>
      <w:r>
        <w:t xml:space="preserve"> </w:t>
      </w:r>
      <w:r>
        <w:t xml:space="preserve">non-</w:t>
      </w:r>
      <w:r>
        <w:t xml:space="preserve"> </w:t>
      </w:r>
      <w:r>
        <w:t xml:space="preserve">compliance.</w:t>
      </w:r>
      <w:r>
        <w:t xml:space="preserve"> </w:t>
      </w:r>
      <w:r>
        <w:t xml:space="preserve">High</w:t>
      </w:r>
      <w:r>
        <w:t xml:space="preserve"> </w:t>
      </w:r>
      <w:r>
        <w:t xml:space="preserve">–</w:t>
      </w:r>
      <w:r>
        <w:t xml:space="preserve"> </w:t>
      </w:r>
      <w:r>
        <w:t xml:space="preserve">Payment</w:t>
      </w:r>
      <w:r>
        <w:t xml:space="preserve"> </w:t>
      </w:r>
      <w:r>
        <w:t xml:space="preserve">occurs</w:t>
      </w:r>
      <w:r>
        <w:t xml:space="preserve"> </w:t>
      </w:r>
      <w:r>
        <w:t xml:space="preserve">only</w:t>
      </w:r>
      <w:r>
        <w:t xml:space="preserve"> </w:t>
      </w:r>
      <w:r>
        <w:t xml:space="preserve">after</w:t>
      </w:r>
      <w:r>
        <w:t xml:space="preserve"> </w:t>
      </w:r>
      <w:r>
        <w:t xml:space="preserve">certification</w:t>
      </w:r>
      <w:r>
        <w:t xml:space="preserve"> </w:t>
      </w:r>
      <w:r>
        <w:t xml:space="preserve">of</w:t>
      </w:r>
      <w:r>
        <w:t xml:space="preserve"> </w:t>
      </w:r>
      <w:r>
        <w:t xml:space="preserve">removals.</w:t>
      </w:r>
    </w:p>
    <w:p>
      <w:pPr>
        <w:pStyle w:val="BodyText"/>
      </w:pPr>
      <w:r>
        <w:t xml:space="preserve">58 See https://frontierclimate.com/apply/offtake</w:t>
      </w:r>
      <w:r>
        <w:t xml:space="preserve"> </w:t>
      </w:r>
      <w:r>
        <w:t xml:space="preserve">59 https://www.klimaschutzvertraege.info/thema/informationen_fuer_unternehmen_konkret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Bankability for suppliers</w:t>
      </w:r>
      <w:r>
        <w:t xml:space="preserve"> </w:t>
      </w:r>
      <w:r>
        <w:t xml:space="preserve">(provide or enable access</w:t>
      </w:r>
      <w:r>
        <w:t xml:space="preserve"> </w:t>
      </w:r>
      <w:r>
        <w:t xml:space="preserve">to</w:t>
      </w:r>
      <w:r>
        <w:t xml:space="preserve"> </w:t>
      </w:r>
      <w:r>
        <w:t xml:space="preserve">financing</w:t>
      </w:r>
      <w:r>
        <w:t xml:space="preserve"> </w:t>
      </w:r>
      <w:r>
        <w:t xml:space="preserve">for</w:t>
      </w:r>
      <w:r>
        <w:t xml:space="preserve"> </w:t>
      </w:r>
      <w:r>
        <w:t xml:space="preserve">investment)</w:t>
      </w:r>
      <w:r>
        <w:t xml:space="preserve"> </w:t>
      </w:r>
      <w:r>
        <w:t xml:space="preserve">High</w:t>
      </w:r>
      <w:r>
        <w:t xml:space="preserve"> </w:t>
      </w:r>
      <w:r>
        <w:t xml:space="preserve">–</w:t>
      </w:r>
      <w:r>
        <w:t xml:space="preserve"> </w:t>
      </w:r>
      <w:r>
        <w:t xml:space="preserve">Provides</w:t>
      </w:r>
      <w:r>
        <w:t xml:space="preserve"> </w:t>
      </w:r>
      <w:r>
        <w:t xml:space="preserve">liquidity and upfront</w:t>
      </w:r>
      <w:r>
        <w:t xml:space="preserve"> </w:t>
      </w:r>
      <w:r>
        <w:t xml:space="preserve">capital;</w:t>
      </w:r>
      <w:r>
        <w:t xml:space="preserve"> </w:t>
      </w:r>
      <w:r>
        <w:t xml:space="preserve">enables</w:t>
      </w:r>
      <w:r>
        <w:t xml:space="preserve"> </w:t>
      </w:r>
      <w:r>
        <w:t xml:space="preserve">investment in early-</w:t>
      </w:r>
      <w:r>
        <w:t xml:space="preserve"> </w:t>
      </w:r>
      <w:r>
        <w:t xml:space="preserve">stage facilities.</w:t>
      </w:r>
      <w:r>
        <w:t xml:space="preserve"> </w:t>
      </w:r>
      <w:r>
        <w:t xml:space="preserve">High – EU-backed</w:t>
      </w:r>
      <w:r>
        <w:t xml:space="preserve"> </w:t>
      </w:r>
      <w:r>
        <w:t xml:space="preserve">contracts</w:t>
      </w:r>
      <w:r>
        <w:t xml:space="preserve"> </w:t>
      </w:r>
      <w:r>
        <w:t xml:space="preserve">are</w:t>
      </w:r>
      <w:r>
        <w:t xml:space="preserve"> </w:t>
      </w:r>
      <w:r>
        <w:t xml:space="preserve">bankable and can be</w:t>
      </w:r>
      <w:r>
        <w:t xml:space="preserve"> </w:t>
      </w:r>
      <w:r>
        <w:t xml:space="preserve">used to secure private</w:t>
      </w:r>
      <w:r>
        <w:t xml:space="preserve"> </w:t>
      </w:r>
      <w:r>
        <w:t xml:space="preserve">financing.</w:t>
      </w:r>
      <w:r>
        <w:t xml:space="preserve"> </w:t>
      </w:r>
      <w:r>
        <w:t xml:space="preserve">Low – No guaranteed</w:t>
      </w:r>
      <w:r>
        <w:t xml:space="preserve"> </w:t>
      </w:r>
      <w:r>
        <w:t xml:space="preserve">revenue; little support</w:t>
      </w:r>
      <w:r>
        <w:t xml:space="preserve"> </w:t>
      </w:r>
      <w:r>
        <w:t xml:space="preserve">for high-CAPEX or</w:t>
      </w:r>
      <w:r>
        <w:t xml:space="preserve"> </w:t>
      </w:r>
      <w:r>
        <w:t xml:space="preserve">low-TRL suppliers.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complexity</w:t>
      </w:r>
      <w:r>
        <w:t xml:space="preserve"> </w:t>
      </w:r>
      <w:r>
        <w:t xml:space="preserve">(considering</w:t>
      </w:r>
      <w:r>
        <w:t xml:space="preserve"> </w:t>
      </w:r>
      <w:r>
        <w:t xml:space="preserve">complexity and burden for</w:t>
      </w:r>
      <w:r>
        <w:t xml:space="preserve"> </w:t>
      </w:r>
      <w:r>
        <w:t xml:space="preserve">administrator)</w:t>
      </w:r>
      <w:r>
        <w:t xml:space="preserve"> </w:t>
      </w:r>
      <w:r>
        <w:t xml:space="preserve">High</w:t>
      </w:r>
      <w:r>
        <w:t xml:space="preserve"> </w:t>
      </w:r>
      <w:r>
        <w:t xml:space="preserve">–</w:t>
      </w:r>
      <w:r>
        <w:t xml:space="preserve"> </w:t>
      </w:r>
      <w:r>
        <w:t xml:space="preserve">Requires</w:t>
      </w:r>
      <w:r>
        <w:t xml:space="preserve"> </w:t>
      </w:r>
      <w:r>
        <w:t xml:space="preserve">careful due diligence,</w:t>
      </w:r>
      <w:r>
        <w:t xml:space="preserve"> </w:t>
      </w:r>
      <w:r>
        <w:t xml:space="preserve">risk</w:t>
      </w:r>
      <w:r>
        <w:t xml:space="preserve"> </w:t>
      </w:r>
      <w:r>
        <w:t xml:space="preserve">mitigation,</w:t>
      </w:r>
      <w:r>
        <w:t xml:space="preserve"> </w:t>
      </w:r>
      <w:r>
        <w:t xml:space="preserve">and</w:t>
      </w:r>
      <w:r>
        <w:t xml:space="preserve"> </w:t>
      </w:r>
      <w:r>
        <w:t xml:space="preserve">potentially</w:t>
      </w:r>
      <w:r>
        <w:t xml:space="preserve"> </w:t>
      </w:r>
      <w:r>
        <w:t xml:space="preserve">complex</w:t>
      </w:r>
      <w:r>
        <w:t xml:space="preserve"> </w:t>
      </w:r>
      <w:r>
        <w:t xml:space="preserve">liability.</w:t>
      </w:r>
      <w:r>
        <w:t xml:space="preserve"> </w:t>
      </w:r>
      <w:r>
        <w:t xml:space="preserve">Medium – Requires</w:t>
      </w:r>
      <w:r>
        <w:t xml:space="preserve"> </w:t>
      </w:r>
      <w:r>
        <w:t xml:space="preserve">structured</w:t>
      </w:r>
      <w:r>
        <w:t xml:space="preserve"> </w:t>
      </w:r>
      <w:r>
        <w:t xml:space="preserve">contracting</w:t>
      </w:r>
      <w:r>
        <w:t xml:space="preserve"> </w:t>
      </w:r>
      <w:r>
        <w:t xml:space="preserve">and</w:t>
      </w:r>
      <w:r>
        <w:t xml:space="preserve"> </w:t>
      </w:r>
      <w:r>
        <w:t xml:space="preserve">milestone</w:t>
      </w:r>
      <w:r>
        <w:t xml:space="preserve"> </w:t>
      </w:r>
      <w:r>
        <w:t xml:space="preserve">tracking</w:t>
      </w:r>
      <w:r>
        <w:t xml:space="preserve"> </w:t>
      </w:r>
      <w:r>
        <w:t xml:space="preserve">but</w:t>
      </w:r>
      <w:r>
        <w:t xml:space="preserve"> </w:t>
      </w:r>
      <w:r>
        <w:t xml:space="preserve">less</w:t>
      </w:r>
      <w:r>
        <w:t xml:space="preserve"> </w:t>
      </w:r>
      <w:r>
        <w:t xml:space="preserve">upfront</w:t>
      </w:r>
      <w:r>
        <w:t xml:space="preserve"> </w:t>
      </w:r>
      <w:r>
        <w:t xml:space="preserve">financial risk.</w:t>
      </w:r>
      <w:r>
        <w:t xml:space="preserve"> </w:t>
      </w:r>
      <w:r>
        <w:t xml:space="preserve">Low</w:t>
      </w:r>
      <w:r>
        <w:t xml:space="preserve"> </w:t>
      </w:r>
      <w:r>
        <w:t xml:space="preserve">–</w:t>
      </w:r>
      <w:r>
        <w:t xml:space="preserve"> </w:t>
      </w:r>
      <w:r>
        <w:t xml:space="preserve">Simple</w:t>
      </w:r>
      <w:r>
        <w:t xml:space="preserve"> </w:t>
      </w:r>
      <w:r>
        <w:t xml:space="preserve">transactional process</w:t>
      </w:r>
      <w:r>
        <w:t xml:space="preserve"> </w:t>
      </w:r>
      <w:r>
        <w:t xml:space="preserve">with</w:t>
      </w:r>
      <w:r>
        <w:t xml:space="preserve"> </w:t>
      </w:r>
      <w:r>
        <w:t xml:space="preserve">minimal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burden.</w:t>
      </w:r>
    </w:p>
    <w:p>
      <w:pPr>
        <w:pStyle w:val="BodyText"/>
      </w:pPr>
      <w:r>
        <w:t xml:space="preserve">Developing the capacity within the EU to deliver a substantial amount of permanent removals</w:t>
      </w:r>
      <w:r>
        <w:t xml:space="preserve"> </w:t>
      </w:r>
      <w:r>
        <w:t xml:space="preserve">will require several years, especially for BioCCS and DACCS. During the first phase of the</w:t>
      </w:r>
      <w:r>
        <w:t xml:space="preserve"> </w:t>
      </w:r>
      <w:r>
        <w:t xml:space="preserve">purchasing program, offtake agreements could offer long lead-time carbon removal approaches</w:t>
      </w:r>
      <w:r>
        <w:t xml:space="preserve"> </w:t>
      </w:r>
      <w:r>
        <w:t xml:space="preserve">the guarantees that investors demand to support the scaling up of permanent carbon removals</w:t>
      </w:r>
      <w:r>
        <w:t xml:space="preserve"> </w:t>
      </w:r>
      <w:r>
        <w:t xml:space="preserve">and the delivery the quantity of removals necessary to achieve EU climate ambition.</w:t>
      </w:r>
      <w:r>
        <w:t xml:space="preserve"> </w:t>
      </w:r>
      <w:r>
        <w:t xml:space="preserve">Different payment timings can be combined. For example, offtake agreements could be</w:t>
      </w:r>
      <w:r>
        <w:t xml:space="preserve"> </w:t>
      </w:r>
      <w:r>
        <w:t xml:space="preserve">established with a share (e.g. 25%) paid upfront, balancing the suppliers’ needs for funding and</w:t>
      </w:r>
      <w:r>
        <w:t xml:space="preserve"> </w:t>
      </w:r>
      <w:r>
        <w:t xml:space="preserve">liquidity. This ensures that carbon removal suppliers can invest and develop their technologies</w:t>
      </w:r>
      <w:r>
        <w:t xml:space="preserve"> </w:t>
      </w:r>
      <w:r>
        <w:t xml:space="preserve">and infrastructure so that they can deliver carbon removals in the future but poses additional</w:t>
      </w:r>
      <w:r>
        <w:t xml:space="preserve"> </w:t>
      </w:r>
      <w:r>
        <w:t xml:space="preserve">risks of non-delivery for the purchasing programme.</w:t>
      </w:r>
      <w:r>
        <w:br/>
      </w:r>
      <w:r>
        <w:t xml:space="preserve">4.6.2. Methods for purchasing carbon removals in public integration measures (CR4</w:t>
      </w:r>
      <w:r>
        <w:t xml:space="preserve"> </w:t>
      </w:r>
      <w:r>
        <w:t xml:space="preserve">and CR5)</w:t>
      </w:r>
      <w:r>
        <w:t xml:space="preserve"> </w:t>
      </w:r>
      <w:r>
        <w:t xml:space="preserve">Purchasing programmes can carry out their purchases using different approaches, including</w:t>
      </w:r>
      <w:r>
        <w:t xml:space="preserve"> </w:t>
      </w:r>
      <w:r>
        <w:t xml:space="preserve">competitive project-based tendering, reverse auctioning and flat rate price. Each of these</w:t>
      </w:r>
      <w:r>
        <w:t xml:space="preserve"> </w:t>
      </w:r>
      <w:r>
        <w:t xml:space="preserve">approaches can be adapted to meet the different needs of different CDR technologies. The</w:t>
      </w:r>
      <w:r>
        <w:t xml:space="preserve"> </w:t>
      </w:r>
      <w:r>
        <w:t xml:space="preserve">strengths and weaknesses of these purchasing methods are summarised in Table 2.</w:t>
      </w:r>
      <w:r>
        <w:t xml:space="preserve"> </w:t>
      </w:r>
      <w:r>
        <w:t xml:space="preserve"> Competitive project-based tendering</w:t>
      </w:r>
      <w:r>
        <w:t xml:space="preserve"> </w:t>
      </w:r>
      <w:r>
        <w:t xml:space="preserve">Individual projects are competing for funding, in exchange for providing carbon removal units</w:t>
      </w:r>
      <w:r>
        <w:t xml:space="preserve"> </w:t>
      </w:r>
      <w:r>
        <w:t xml:space="preserve">at agreed dates in the future. The selection of projects is based not only on the price per tonne</w:t>
      </w:r>
      <w:r>
        <w:t xml:space="preserve"> </w:t>
      </w:r>
      <w:r>
        <w:t xml:space="preserve">removed but also additional criteria. Possible criteria include quality, permanent removal type,</w:t>
      </w:r>
      <w:r>
        <w:t xml:space="preserve"> </w:t>
      </w:r>
      <w:r>
        <w:t xml:space="preserve">as well as broader criteria such as potential for regional development and job creation. Separate</w:t>
      </w:r>
      <w:r>
        <w:t xml:space="preserve"> </w:t>
      </w:r>
      <w:r>
        <w:t xml:space="preserve">tenders can be run for different technologies, in order to ensure a diverse portfolio. Competitive</w:t>
      </w:r>
      <w:r>
        <w:t xml:space="preserve"> </w:t>
      </w:r>
      <w:r>
        <w:t xml:space="preserve">tenders are generally run ex ante, before removals are delivered (or investments confirmed),</w:t>
      </w:r>
      <w:r>
        <w:t xml:space="preserve"> </w:t>
      </w:r>
      <w:r>
        <w:t xml:space="preserve">and are therefore most appropriate for pre-purchase or offtake agreements.</w:t>
      </w:r>
      <w:r>
        <w:t xml:space="preserve"> </w:t>
      </w:r>
      <w:r>
        <w:t xml:space="preserve"> Reverse auction</w:t>
      </w:r>
      <w:r>
        <w:t xml:space="preserve"> </w:t>
      </w:r>
      <w:r>
        <w:t xml:space="preserve">The tendering procedure is awarding the removals contracts to the cheapest qualifying bids</w:t>
      </w:r>
      <w:r>
        <w:t xml:space="preserve"> </w:t>
      </w:r>
      <w:r>
        <w:t xml:space="preserve">until the budget is exhausted. Suppliers that meet prequalifying criteria make bids, specifying</w:t>
      </w:r>
      <w:r>
        <w:t xml:space="preserve"> </w:t>
      </w:r>
      <w:r>
        <w:t xml:space="preserve">the volume and price of removals they can provide. Reverse auctions can have open bids,</w:t>
      </w:r>
      <w:r>
        <w:t xml:space="preserve"> </w:t>
      </w:r>
      <w:r>
        <w:t xml:space="preserve">incentivising suppliers to offer lower prices. The procuring authority then selects winning</w:t>
      </w:r>
      <w:r>
        <w:t xml:space="preserve"> </w:t>
      </w:r>
      <w:r>
        <w:t xml:space="preserve">bidders, starting with the lowest price offers until the procuring authorities budget is exhausted</w:t>
      </w:r>
      <w:r>
        <w:br/>
      </w:r>
      <w:r>
        <w:t xml:space="preserve">(or CDR quantity target has been met). The ‘reverse’ aspect refers to the auctions structure,</w:t>
      </w:r>
      <w:r>
        <w:t xml:space="preserve"> </w:t>
      </w:r>
      <w:r>
        <w:t xml:space="preserve">where multiple sellers compete to sell to a single buyer, rather than the other way around.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Similarly for competitive project-based tendering, it should also be possible to have separate</w:t>
      </w:r>
      <w:r>
        <w:t xml:space="preserve"> </w:t>
      </w:r>
      <w:r>
        <w:t xml:space="preserve">calls for separate technologies under the reverse auction format. If this means that there are few</w:t>
      </w:r>
      <w:r>
        <w:t xml:space="preserve"> </w:t>
      </w:r>
      <w:r>
        <w:t xml:space="preserve">suppliers per technology, the reverse auction may not be an efficient purchase method, as there</w:t>
      </w:r>
      <w:r>
        <w:t xml:space="preserve"> </w:t>
      </w:r>
      <w:r>
        <w:t xml:space="preserve">would be limited competition to drive the price down.</w:t>
      </w:r>
      <w:r>
        <w:t xml:space="preserve"> </w:t>
      </w:r>
      <w:r>
        <w:t xml:space="preserve">The Swedish BECCS support scheme provides an example of a reverse auction for permanent</w:t>
      </w:r>
      <w:r>
        <w:t xml:space="preserve"> </w:t>
      </w:r>
      <w:r>
        <w:t xml:space="preserve">CDR with the specificity that the scheme does not purchase the full removal but provides</w:t>
      </w:r>
      <w:r>
        <w:t xml:space="preserve"> </w:t>
      </w:r>
      <w:r>
        <w:t xml:space="preserve">subsidies that allows suppliers to also benefit from carbon credit sales on voluntary carbon</w:t>
      </w:r>
      <w:r>
        <w:t xml:space="preserve"> </w:t>
      </w:r>
      <w:r>
        <w:t xml:space="preserve">markets, though this is then factored into the decision of the subsidy that is paid.</w:t>
      </w:r>
      <w:r>
        <w:t xml:space="preserve"> </w:t>
      </w:r>
      <w:r>
        <w:t xml:space="preserve"> Flat rate price</w:t>
      </w:r>
      <w:r>
        <w:t xml:space="preserve"> </w:t>
      </w:r>
      <w:r>
        <w:t xml:space="preserve">A flat-rate price involves the purchaser committing to purchase ex post any number of removals</w:t>
      </w:r>
      <w:r>
        <w:t xml:space="preserve"> </w:t>
      </w:r>
      <w:r>
        <w:t xml:space="preserve">that can be delivered at a given, pre-determined price. The available subsidy is awarded on a</w:t>
      </w:r>
      <w:r>
        <w:t xml:space="preserve"> </w:t>
      </w:r>
      <w:r>
        <w:t xml:space="preserve">first-come, first-served basis until the available budget is exhausted. The price per tonne of</w:t>
      </w:r>
      <w:r>
        <w:t xml:space="preserve"> </w:t>
      </w:r>
      <w:r>
        <w:t xml:space="preserve">CO2 set is paid to all suppliers who meet defined quality criteria. It may also be possible to</w:t>
      </w:r>
      <w:r>
        <w:t xml:space="preserve"> </w:t>
      </w:r>
      <w:r>
        <w:t xml:space="preserve">differentiate flat-rate prices between different types of CRCF units, with different rates set for</w:t>
      </w:r>
      <w:r>
        <w:t xml:space="preserve"> </w:t>
      </w:r>
      <w:r>
        <w:t xml:space="preserve">different CRCF activities. Flat-rate prices operate as a price floor for CDR suppliers, increasing</w:t>
      </w:r>
      <w:r>
        <w:t xml:space="preserve"> </w:t>
      </w:r>
      <w:r>
        <w:t xml:space="preserve">revenue certainty and decreasing investment risk.</w:t>
      </w:r>
      <w:r>
        <w:br/>
      </w:r>
      <w:r>
        <w:t xml:space="preserve">Similar to a Feed-in-Tariff (FiT), the flat-rate price can be agreed on through a long-term</w:t>
      </w:r>
      <w:r>
        <w:t xml:space="preserve"> </w:t>
      </w:r>
      <w:r>
        <w:t xml:space="preserve">contract, potentially drawing on experiences with procuring renewable energy (e.g. including</w:t>
      </w:r>
      <w:r>
        <w:t xml:space="preserve"> </w:t>
      </w:r>
      <w:r>
        <w:t xml:space="preserve">clause to adjust prices overtime). Denmark has these mechanisms in place for subsidies from</w:t>
      </w:r>
      <w:r>
        <w:t xml:space="preserve"> </w:t>
      </w:r>
      <w:r>
        <w:t xml:space="preserve">its CCS fund.</w:t>
      </w:r>
      <w:r>
        <w:t xml:space="preserve"> </w:t>
      </w:r>
      <w:r>
        <w:t xml:space="preserve">Table 10: Purchase methods: strengths and weaknesses</w:t>
      </w:r>
      <w:r>
        <w:t xml:space="preserve"> </w:t>
      </w:r>
      <w:r>
        <w:t xml:space="preserve">Design considerations</w:t>
      </w:r>
      <w:r>
        <w:t xml:space="preserve"> </w:t>
      </w:r>
      <w:r>
        <w:t xml:space="preserve">Competitive</w:t>
      </w:r>
      <w:r>
        <w:t xml:space="preserve"> </w:t>
      </w:r>
      <w:r>
        <w:t xml:space="preserve">project-based</w:t>
      </w:r>
      <w:r>
        <w:t xml:space="preserve"> </w:t>
      </w:r>
      <w:r>
        <w:t xml:space="preserve">tendering</w:t>
      </w:r>
      <w:r>
        <w:t xml:space="preserve"> </w:t>
      </w:r>
      <w:r>
        <w:t xml:space="preserve">Reverse auction</w:t>
      </w:r>
      <w:r>
        <w:t xml:space="preserve"> </w:t>
      </w:r>
      <w:r>
        <w:t xml:space="preserve">Flat-rate price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complexity of the tool</w:t>
      </w:r>
      <w:r>
        <w:t xml:space="preserve"> </w:t>
      </w:r>
      <w:r>
        <w:t xml:space="preserve">(and admin costs)</w:t>
      </w:r>
      <w:r>
        <w:t xml:space="preserve"> </w:t>
      </w:r>
      <w:r>
        <w:t xml:space="preserve">Medium:</w:t>
      </w:r>
      <w:r>
        <w:t xml:space="preserve"> </w:t>
      </w:r>
      <w:r>
        <w:t xml:space="preserve">complex</w:t>
      </w:r>
      <w:r>
        <w:t xml:space="preserve"> </w:t>
      </w:r>
      <w:r>
        <w:t xml:space="preserve">and time consuming</w:t>
      </w:r>
      <w:r>
        <w:t xml:space="preserve"> </w:t>
      </w:r>
      <w:r>
        <w:t xml:space="preserve">to evaluate proposals</w:t>
      </w:r>
      <w:r>
        <w:t xml:space="preserve"> </w:t>
      </w:r>
      <w:r>
        <w:t xml:space="preserve">Medium:</w:t>
      </w:r>
      <w:r>
        <w:t xml:space="preserve"> </w:t>
      </w:r>
      <w:r>
        <w:t xml:space="preserve">cheapest</w:t>
      </w:r>
      <w:r>
        <w:t xml:space="preserve"> </w:t>
      </w:r>
      <w:r>
        <w:t xml:space="preserve">offers win the bids</w:t>
      </w:r>
      <w:r>
        <w:t xml:space="preserve"> </w:t>
      </w:r>
      <w:r>
        <w:t xml:space="preserve">but some complexity</w:t>
      </w:r>
      <w:r>
        <w:t xml:space="preserve"> </w:t>
      </w:r>
      <w:r>
        <w:t xml:space="preserve">in</w:t>
      </w:r>
      <w:r>
        <w:t xml:space="preserve"> </w:t>
      </w:r>
      <w:r>
        <w:t xml:space="preserve">designing</w:t>
      </w:r>
      <w:r>
        <w:t xml:space="preserve"> </w:t>
      </w:r>
      <w:r>
        <w:t xml:space="preserve">an</w:t>
      </w:r>
      <w:r>
        <w:t xml:space="preserve"> </w:t>
      </w:r>
      <w:r>
        <w:t xml:space="preserve">effective auction</w:t>
      </w:r>
      <w:r>
        <w:t xml:space="preserve"> </w:t>
      </w:r>
      <w:r>
        <w:t xml:space="preserve">Low: simple transparent</w:t>
      </w:r>
      <w:r>
        <w:t xml:space="preserve"> </w:t>
      </w:r>
      <w:r>
        <w:t xml:space="preserve">subsidy for removals.</w:t>
      </w:r>
      <w:r>
        <w:t xml:space="preserve"> </w:t>
      </w:r>
      <w:r>
        <w:t xml:space="preserve">Less conflict with state</w:t>
      </w:r>
      <w:r>
        <w:t xml:space="preserve"> </w:t>
      </w:r>
      <w:r>
        <w:t xml:space="preserve">aid and WTO rules</w:t>
      </w:r>
      <w:r>
        <w:t xml:space="preserve"> </w:t>
      </w:r>
      <w:r>
        <w:t xml:space="preserve">Fiscal burden / cost to</w:t>
      </w:r>
      <w:r>
        <w:t xml:space="preserve"> </w:t>
      </w:r>
      <w:r>
        <w:t xml:space="preserve">the regulator of support</w:t>
      </w:r>
      <w:r>
        <w:t xml:space="preserve"> </w:t>
      </w:r>
      <w:r>
        <w:t xml:space="preserve">Medium:</w:t>
      </w:r>
      <w:r>
        <w:t xml:space="preserve"> </w:t>
      </w:r>
      <w:r>
        <w:t xml:space="preserve">competitive process</w:t>
      </w:r>
      <w:r>
        <w:t xml:space="preserve"> </w:t>
      </w:r>
      <w:r>
        <w:t xml:space="preserve">but with a financial</w:t>
      </w:r>
      <w:r>
        <w:t xml:space="preserve"> </w:t>
      </w:r>
      <w:r>
        <w:t xml:space="preserve">risk from potential</w:t>
      </w:r>
      <w:r>
        <w:t xml:space="preserve"> </w:t>
      </w:r>
      <w:r>
        <w:t xml:space="preserve">supplier default</w:t>
      </w:r>
      <w:r>
        <w:t xml:space="preserve"> </w:t>
      </w:r>
      <w:r>
        <w:t xml:space="preserve">Low: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financing</w:t>
      </w:r>
      <w:r>
        <w:t xml:space="preserve"> </w:t>
      </w:r>
      <w:r>
        <w:t xml:space="preserve">upfront</w:t>
      </w:r>
      <w:r>
        <w:t xml:space="preserve"> </w:t>
      </w:r>
      <w:r>
        <w:t xml:space="preserve">costs remains with</w:t>
      </w:r>
      <w:r>
        <w:t xml:space="preserve"> </w:t>
      </w:r>
      <w:r>
        <w:t xml:space="preserve">the supplier</w:t>
      </w:r>
      <w:r>
        <w:t xml:space="preserve"> </w:t>
      </w:r>
      <w:r>
        <w:t xml:space="preserve">High: Misaligned rates</w:t>
      </w:r>
      <w:r>
        <w:t xml:space="preserve"> </w:t>
      </w:r>
      <w:r>
        <w:t xml:space="preserve">could</w:t>
      </w:r>
      <w:r>
        <w:t xml:space="preserve"> </w:t>
      </w:r>
      <w:r>
        <w:t xml:space="preserve">overcompensate</w:t>
      </w:r>
      <w:r>
        <w:t xml:space="preserve"> </w:t>
      </w:r>
      <w:r>
        <w:t xml:space="preserve">suppliers</w:t>
      </w:r>
      <w:r>
        <w:t xml:space="preserve"> </w:t>
      </w:r>
      <w:r>
        <w:t xml:space="preserve">Ability to differentiate</w:t>
      </w:r>
      <w:r>
        <w:t xml:space="preserve"> </w:t>
      </w:r>
      <w:r>
        <w:t xml:space="preserve">between different types</w:t>
      </w:r>
      <w:r>
        <w:t xml:space="preserve"> </w:t>
      </w:r>
      <w:r>
        <w:t xml:space="preserve">of projects</w:t>
      </w:r>
      <w:r>
        <w:br/>
      </w:r>
      <w:r>
        <w:t xml:space="preserve">High: can evaluate</w:t>
      </w:r>
      <w:r>
        <w:t xml:space="preserve"> </w:t>
      </w:r>
      <w:r>
        <w:t xml:space="preserve">based on multiple</w:t>
      </w:r>
      <w:r>
        <w:t xml:space="preserve"> </w:t>
      </w:r>
      <w:r>
        <w:t xml:space="preserve">criteria</w:t>
      </w:r>
      <w:r>
        <w:t xml:space="preserve"> </w:t>
      </w:r>
      <w:r>
        <w:t xml:space="preserve">Medium:</w:t>
      </w:r>
      <w:r>
        <w:t xml:space="preserve"> </w:t>
      </w:r>
      <w:r>
        <w:t xml:space="preserve">different</w:t>
      </w:r>
      <w:r>
        <w:t xml:space="preserve"> </w:t>
      </w:r>
      <w:r>
        <w:t xml:space="preserve">auction can be set for</w:t>
      </w:r>
      <w:r>
        <w:t xml:space="preserve"> </w:t>
      </w:r>
      <w:r>
        <w:t xml:space="preserve">different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removal</w:t>
      </w:r>
      <w:r>
        <w:br/>
      </w:r>
      <w:r>
        <w:t xml:space="preserve">Medium: different rate</w:t>
      </w:r>
      <w:r>
        <w:t xml:space="preserve"> </w:t>
      </w:r>
      <w:r>
        <w:t xml:space="preserve">can be set for different</w:t>
      </w:r>
      <w:r>
        <w:t xml:space="preserve"> </w:t>
      </w:r>
      <w:r>
        <w:t xml:space="preserve">types of removals</w:t>
      </w:r>
      <w:r>
        <w:t xml:space="preserve"> </w:t>
      </w:r>
      <w:r>
        <w:t xml:space="preserve">Appropriateness</w:t>
      </w:r>
      <w:r>
        <w:t xml:space="preserve"> </w:t>
      </w:r>
      <w:r>
        <w:t xml:space="preserve">for</w:t>
      </w:r>
      <w:r>
        <w:t xml:space="preserve"> </w:t>
      </w:r>
      <w:r>
        <w:t xml:space="preserve">supporting</w:t>
      </w:r>
      <w:r>
        <w:t xml:space="preserve"> </w:t>
      </w:r>
      <w:r>
        <w:t xml:space="preserve">different</w:t>
      </w:r>
      <w:r>
        <w:t xml:space="preserve"> </w:t>
      </w:r>
      <w:r>
        <w:t xml:space="preserve">technologies</w:t>
      </w:r>
      <w:r>
        <w:t xml:space="preserve"> </w:t>
      </w:r>
      <w:r>
        <w:t xml:space="preserve">High:</w:t>
      </w:r>
      <w:r>
        <w:t xml:space="preserve"> </w:t>
      </w:r>
      <w:r>
        <w:t xml:space="preserve">Scope</w:t>
      </w:r>
      <w:r>
        <w:t xml:space="preserve"> </w:t>
      </w:r>
      <w:r>
        <w:t xml:space="preserve">to</w:t>
      </w:r>
      <w:r>
        <w:t xml:space="preserve"> </w:t>
      </w:r>
      <w:r>
        <w:t xml:space="preserve">support a range of</w:t>
      </w:r>
      <w:r>
        <w:t xml:space="preserve"> </w:t>
      </w:r>
      <w:r>
        <w:t xml:space="preserve">technologies through</w:t>
      </w:r>
      <w:r>
        <w:t xml:space="preserve"> </w:t>
      </w:r>
      <w:r>
        <w:t xml:space="preserve">selection criteria</w:t>
      </w:r>
      <w:r>
        <w:br/>
      </w:r>
      <w:r>
        <w:t xml:space="preserve">Medium-high: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separate</w:t>
      </w:r>
      <w:r>
        <w:t xml:space="preserve"> </w:t>
      </w:r>
      <w:r>
        <w:t xml:space="preserve">calls</w:t>
      </w:r>
      <w:r>
        <w:t xml:space="preserve"> </w:t>
      </w:r>
      <w:r>
        <w:t xml:space="preserve">for</w:t>
      </w:r>
      <w:r>
        <w:t xml:space="preserve"> </w:t>
      </w:r>
      <w:r>
        <w:t xml:space="preserve">separate</w:t>
      </w:r>
      <w:r>
        <w:t xml:space="preserve"> </w:t>
      </w:r>
      <w:r>
        <w:t xml:space="preserve">technologies, but the</w:t>
      </w:r>
      <w:r>
        <w:t xml:space="preserve"> </w:t>
      </w:r>
      <w:r>
        <w:t xml:space="preserve">main</w:t>
      </w:r>
      <w:r>
        <w:t xml:space="preserve"> </w:t>
      </w:r>
      <w:r>
        <w:t xml:space="preserve">selection</w:t>
      </w:r>
      <w:r>
        <w:t xml:space="preserve"> </w:t>
      </w:r>
      <w:r>
        <w:t xml:space="preserve">Medium-high: possible</w:t>
      </w:r>
      <w:r>
        <w:t xml:space="preserve"> </w:t>
      </w:r>
      <w:r>
        <w:t xml:space="preserve">by specifying rates per</w:t>
      </w:r>
      <w:r>
        <w:t xml:space="preserve"> </w:t>
      </w:r>
      <w:r>
        <w:t xml:space="preserve">technology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criterion</w:t>
      </w:r>
      <w:r>
        <w:t xml:space="preserve"> </w:t>
      </w:r>
      <w:r>
        <w:t xml:space="preserve">is</w:t>
      </w:r>
      <w:r>
        <w:t xml:space="preserve"> </w:t>
      </w:r>
      <w:r>
        <w:t xml:space="preserve">cost-</w:t>
      </w:r>
      <w:r>
        <w:t xml:space="preserve"> </w:t>
      </w:r>
      <w:r>
        <w:t xml:space="preserve">effectiveness</w:t>
      </w:r>
      <w:r>
        <w:br/>
      </w:r>
      <w:r>
        <w:t xml:space="preserve">To what extent does the</w:t>
      </w:r>
      <w:r>
        <w:t xml:space="preserve"> </w:t>
      </w:r>
      <w:r>
        <w:t xml:space="preserve">method</w:t>
      </w:r>
      <w:r>
        <w:t xml:space="preserve"> </w:t>
      </w:r>
      <w:r>
        <w:t xml:space="preserve">deliver</w:t>
      </w:r>
      <w:r>
        <w:t xml:space="preserve"> </w:t>
      </w:r>
      <w:r>
        <w:t xml:space="preserve">least</w:t>
      </w:r>
      <w:r>
        <w:t xml:space="preserve"> </w:t>
      </w:r>
      <w:r>
        <w:t xml:space="preserve">costs / drive down future</w:t>
      </w:r>
      <w:r>
        <w:t xml:space="preserve"> </w:t>
      </w:r>
      <w:r>
        <w:t xml:space="preserve">costs</w:t>
      </w:r>
      <w:r>
        <w:t xml:space="preserve"> </w:t>
      </w:r>
      <w:r>
        <w:t xml:space="preserve">High: incentive to</w:t>
      </w:r>
      <w:r>
        <w:t xml:space="preserve"> </w:t>
      </w:r>
      <w:r>
        <w:t xml:space="preserve">provide lowest price</w:t>
      </w:r>
      <w:r>
        <w:t xml:space="preserve"> </w:t>
      </w:r>
      <w:r>
        <w:t xml:space="preserve">in offer</w:t>
      </w:r>
      <w:r>
        <w:t xml:space="preserve"> </w:t>
      </w:r>
      <w:r>
        <w:t xml:space="preserve">High: incentive to</w:t>
      </w:r>
      <w:r>
        <w:t xml:space="preserve"> </w:t>
      </w:r>
      <w:r>
        <w:t xml:space="preserve">provide lowest price</w:t>
      </w:r>
      <w:r>
        <w:t xml:space="preserve"> </w:t>
      </w:r>
      <w:r>
        <w:t xml:space="preserve">in offer</w:t>
      </w:r>
      <w:r>
        <w:t xml:space="preserve"> </w:t>
      </w:r>
      <w:r>
        <w:t xml:space="preserve">Low</w:t>
      </w:r>
      <w:r>
        <w:t xml:space="preserve"> </w:t>
      </w:r>
      <w:r>
        <w:t xml:space="preserve">4.6.3. Methods for supporting carbon removal markets when operators purchase</w:t>
      </w:r>
      <w:r>
        <w:t xml:space="preserve"> </w:t>
      </w:r>
      <w:r>
        <w:t xml:space="preserve">removals (CR1-3)</w:t>
      </w:r>
      <w:r>
        <w:t xml:space="preserve"> </w:t>
      </w:r>
      <w:r>
        <w:t xml:space="preserve">Due to the expected gap between the ETS price and the cost of permanent removals until 2035</w:t>
      </w:r>
      <w:r>
        <w:t xml:space="preserve"> </w:t>
      </w:r>
      <w:r>
        <w:t xml:space="preserve">(for BioCCS, based on some price estimations until 2038; for DACCS, during the whole phase</w:t>
      </w:r>
      <w:r>
        <w:t xml:space="preserve"> </w:t>
      </w:r>
      <w:r>
        <w:t xml:space="preserve">2031-2040), options CR1, CR2 and CR3 with the purchasing of carbon removal directly by</w:t>
      </w:r>
      <w:r>
        <w:t xml:space="preserve"> </w:t>
      </w:r>
      <w:r>
        <w:t xml:space="preserve">ETS operators could require a mechanism to support in early stage the development of carbon</w:t>
      </w:r>
      <w:r>
        <w:t xml:space="preserve"> </w:t>
      </w:r>
      <w:r>
        <w:t xml:space="preserve">removal markets, such as carbon contracts for difference (CCfD) and fixed-premium support.</w:t>
      </w:r>
      <w:r>
        <w:br/>
      </w:r>
      <w:r>
        <w:t xml:space="preserve"> Carbon Contracts for Difference</w:t>
      </w:r>
      <w:r>
        <w:t xml:space="preserve"> </w:t>
      </w:r>
      <w:r>
        <w:t xml:space="preserve">Carbon Contracts for Difference is an example of this support. In this model, and in the context</w:t>
      </w:r>
      <w:r>
        <w:t xml:space="preserve"> </w:t>
      </w:r>
      <w:r>
        <w:t xml:space="preserve">of carbon removals, a counterparty (typically a public authority) commits to paying to the</w:t>
      </w:r>
      <w:r>
        <w:t xml:space="preserve"> </w:t>
      </w:r>
      <w:r>
        <w:t xml:space="preserve">carbon removal supplier, the difference between an agreed minimum (strike price) in the future</w:t>
      </w:r>
      <w:r>
        <w:t xml:space="preserve"> </w:t>
      </w:r>
      <w:r>
        <w:t xml:space="preserve">if the reference market price falls below this level over the duration of the contract, de-risking</w:t>
      </w:r>
      <w:r>
        <w:t xml:space="preserve"> </w:t>
      </w:r>
      <w:r>
        <w:t xml:space="preserve">investments in carbon removal activities. A key challenge with CCfDs is establishing the</w:t>
      </w:r>
      <w:r>
        <w:t xml:space="preserve"> </w:t>
      </w:r>
      <w:r>
        <w:t xml:space="preserve">reference price, which requires a functioning carbon removals market to determine it. Different</w:t>
      </w:r>
      <w:r>
        <w:t xml:space="preserve"> </w:t>
      </w:r>
      <w:r>
        <w:t xml:space="preserve">CCfD reference prices could be established for different types of carbon removals.</w:t>
      </w:r>
      <w:r>
        <w:br/>
      </w:r>
      <w:r>
        <w:t xml:space="preserve">An important design feature for CCfDs is that when the market price of the removal rises above</w:t>
      </w:r>
      <w:r>
        <w:t xml:space="preserve"> </w:t>
      </w:r>
      <w:r>
        <w:t xml:space="preserve">the strike price, the public authority can potentially be compensated by the supplier (two-way</w:t>
      </w:r>
      <w:r>
        <w:t xml:space="preserve"> </w:t>
      </w:r>
      <w:r>
        <w:t xml:space="preserve">CCfD), e.g. the supplier sells carbon removal credits at the market price but if this is in excess</w:t>
      </w:r>
      <w:r>
        <w:t xml:space="preserve"> </w:t>
      </w:r>
      <w:r>
        <w:t xml:space="preserve">of the strike price, some or all of this difference is paid back to the public authority. This model</w:t>
      </w:r>
      <w:r>
        <w:t xml:space="preserve"> </w:t>
      </w:r>
      <w:r>
        <w:t xml:space="preserve">can provide revenue stability for suppliers, while lowering financial risks for the public</w:t>
      </w:r>
      <w:r>
        <w:t xml:space="preserve"> </w:t>
      </w:r>
      <w:r>
        <w:t xml:space="preserve">authority.</w:t>
      </w:r>
      <w:r>
        <w:t xml:space="preserve"> </w:t>
      </w:r>
      <w:r>
        <w:t xml:space="preserve">However, Carbon Contracts for Difference (CCfDs) can place financial risk on the public</w:t>
      </w:r>
      <w:r>
        <w:t xml:space="preserve"> </w:t>
      </w:r>
      <w:r>
        <w:t xml:space="preserve">authority when long-term contracts promise a high price for carbon removals, and actual</w:t>
      </w:r>
      <w:r>
        <w:t xml:space="preserve"> </w:t>
      </w:r>
      <w:r>
        <w:t xml:space="preserve">market prices stay low. To manage this risk effectively, it’s crucial to have clear budgeting plans</w:t>
      </w:r>
      <w:r>
        <w:t xml:space="preserve"> </w:t>
      </w:r>
      <w:r>
        <w:t xml:space="preserve">and mechanisms to cap potential liabilities.</w:t>
      </w:r>
      <w:r>
        <w:t xml:space="preserve"> </w:t>
      </w:r>
      <w:r>
        <w:t xml:space="preserve"> Fixed-premium support</w:t>
      </w:r>
    </w:p>
    <w:p>
      <w:pPr>
        <w:pStyle w:val="BodyText"/>
      </w:pPr>
      <w:r>
        <w:t xml:space="preserve">Contrary to a CCfD, in a fixed-premium approach, the public authority provides a subsidy that</w:t>
      </w:r>
      <w:r>
        <w:t xml:space="preserve"> </w:t>
      </w:r>
      <w:r>
        <w:t xml:space="preserve">is not impacted by the fluctuation of the market price, reducing uncertainty when budgeting</w:t>
      </w:r>
      <w:r>
        <w:br/>
      </w:r>
      <w:r>
        <w:t xml:space="preserve">the public support. In this model, the public authority organises an auctioning and carbon</w:t>
      </w:r>
      <w:r>
        <w:t xml:space="preserve"> </w:t>
      </w:r>
      <w:r>
        <w:t xml:space="preserve">removal suppliers bid the lowest subsidy they require in euros per tonne of CO2 removed from</w:t>
      </w:r>
      <w:r>
        <w:t xml:space="preserve"> </w:t>
      </w:r>
      <w:r>
        <w:t xml:space="preserve">the atmosphere. If successful, they receive this premium for up to ten years after the project</w:t>
      </w:r>
      <w:r>
        <w:t xml:space="preserve"> </w:t>
      </w:r>
      <w:r>
        <w:t xml:space="preserve">begins producing certified removals. Payments are made only after the carbon removal has</w:t>
      </w:r>
      <w:r>
        <w:t xml:space="preserve"> </w:t>
      </w:r>
      <w:r>
        <w:t xml:space="preserve">been verified (e.g. certified under CRCF). A similar approach is used by the European</w:t>
      </w:r>
      <w:r>
        <w:t xml:space="preserve"> </w:t>
      </w:r>
      <w:r>
        <w:t xml:space="preserve">Commission to support the development of renewable hydrogen under the Innovation Fund.</w:t>
      </w:r>
      <w:r>
        <w:t xml:space="preserve"> </w:t>
      </w:r>
      <w:r>
        <w:t xml:space="preserve">To avoid withdrawal of project from winning bids after the auctioning, it is important to</w:t>
      </w:r>
      <w:r>
        <w:t xml:space="preserve"> </w:t>
      </w:r>
      <w:r>
        <w:t xml:space="preserve">mitigate the risk of overly aggressive bid prices that turn out to be unviable at the finalisation</w:t>
      </w:r>
      <w:r>
        <w:t xml:space="preserve"> </w:t>
      </w:r>
      <w:r>
        <w:t xml:space="preserve">of the project.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ANNEX 8: PART III – MARKET STABILITY RESERVE</w:t>
      </w:r>
    </w:p>
    <w:p>
      <w:pPr>
        <w:pStyle w:val="BodyText"/>
      </w:pPr>
      <w:r>
        <w:t xml:space="preserve">LIST OF TABLES</w:t>
      </w:r>
      <w:r>
        <w:t xml:space="preserve"> </w:t>
      </w:r>
      <w:r>
        <w:t xml:space="preserve">Table 1:</w:t>
      </w:r>
      <w:r>
        <w:t xml:space="preserve"> </w:t>
      </w:r>
      <w:r>
        <w:t xml:space="preserve">Overview of the MSR design in MSR0 and MSR0+ ………………………………….. 103</w:t>
      </w:r>
      <w:r>
        <w:t xml:space="preserve"> </w:t>
      </w:r>
      <w:r>
        <w:t xml:space="preserve">Table 2: Measure MSR2: dynamic parameters decreasing with LRF 4.4% in 2028-2030, 3.4%</w:t>
      </w:r>
      <w:r>
        <w:t xml:space="preserve"> </w:t>
      </w:r>
      <w:r>
        <w:t xml:space="preserve">in 2031-2035 and 2.65% in 2036-2040 for the 90% target configuration) ………………………. 106</w:t>
      </w:r>
      <w:r>
        <w:t xml:space="preserve"> </w:t>
      </w:r>
      <w:r>
        <w:t xml:space="preserve">Table 3: Measure MSR3: dynamic parameters decreasing at a yearly rate of 4 % per year …….</w:t>
      </w:r>
      <w:r>
        <w:t xml:space="preserve"> </w:t>
      </w:r>
      <w:r>
        <w:t xml:space="preserve">……………………………………………………………………………………………………………………………… 108</w:t>
      </w:r>
      <w:r>
        <w:t xml:space="preserve"> </w:t>
      </w:r>
      <w:r>
        <w:t xml:space="preserve">Table 4:</w:t>
      </w:r>
      <w:r>
        <w:t xml:space="preserve"> </w:t>
      </w:r>
      <w:r>
        <w:t xml:space="preserve">Summary of the MSR measures definitions ……………………………………………… 109</w:t>
      </w:r>
      <w:r>
        <w:t xml:space="preserve"> </w:t>
      </w:r>
      <w:r>
        <w:t xml:space="preserve">Table 5:</w:t>
      </w:r>
      <w:r>
        <w:t xml:space="preserve"> </w:t>
      </w:r>
      <w:r>
        <w:t xml:space="preserve">MSR measures summary dashboard ………………………………………………………… 124</w:t>
      </w:r>
      <w:r>
        <w:t xml:space="preserve"> </w:t>
      </w:r>
      <w:r>
        <w:t xml:space="preserve">Table 6:</w:t>
      </w:r>
      <w:r>
        <w:t xml:space="preserve"> </w:t>
      </w:r>
      <w:r>
        <w:t xml:space="preserve">Sensitivity analysis – key indicators for system resilience ………………………….. 125</w:t>
      </w:r>
      <w:r>
        <w:t xml:space="preserve"> </w:t>
      </w:r>
      <w:r>
        <w:t xml:space="preserve">TABLE 7:</w:t>
      </w:r>
      <w:r>
        <w:t xml:space="preserve"> </w:t>
      </w:r>
      <w:r>
        <w:t xml:space="preserve">Summary of liquidity analysis ………………………………………………………………… 126</w:t>
      </w:r>
      <w:r>
        <w:t xml:space="preserve"> </w:t>
      </w:r>
      <w:r>
        <w:t xml:space="preserve">Table 8:</w:t>
      </w:r>
      <w:r>
        <w:t xml:space="preserve"> </w:t>
      </w:r>
      <w:r>
        <w:t xml:space="preserve">Summary of volatility analysis ……………………………………………………………….. 127</w:t>
      </w:r>
      <w:r>
        <w:t xml:space="preserve"> </w:t>
      </w:r>
      <w:r>
        <w:t xml:space="preserve">Table 9:</w:t>
      </w:r>
      <w:r>
        <w:t xml:space="preserve"> </w:t>
      </w:r>
      <w:r>
        <w:t xml:space="preserve">Conduct of business analysis ………………………………………………………………….. 128</w:t>
      </w:r>
      <w:r>
        <w:t xml:space="preserve"> </w:t>
      </w:r>
      <w:r>
        <w:t xml:space="preserve">Table 10:</w:t>
      </w:r>
      <w:r>
        <w:t xml:space="preserve"> </w:t>
      </w:r>
      <w:r>
        <w:t xml:space="preserve">Summary assessment of cumulative emissions 2026-2040 …………………………. 130</w:t>
      </w:r>
      <w:r>
        <w:t xml:space="preserve"> </w:t>
      </w:r>
      <w:r>
        <w:t xml:space="preserve">Table 11:</w:t>
      </w:r>
      <w:r>
        <w:t xml:space="preserve"> </w:t>
      </w:r>
      <w:r>
        <w:t xml:space="preserve">Key impacts of MSR1, MSR2 and MSR3 compared to MSR0+ …………………. 130</w:t>
      </w:r>
      <w:r>
        <w:t xml:space="preserve"> </w:t>
      </w:r>
      <w:r>
        <w:t xml:space="preserve">Table 12:</w:t>
      </w:r>
      <w:r>
        <w:t xml:space="preserve"> </w:t>
      </w:r>
      <w:r>
        <w:t xml:space="preserve">PO summary dashboard …………………………………………………………………………. 136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LIST OF FIGURES</w:t>
      </w:r>
      <w:r>
        <w:t xml:space="preserve"> </w:t>
      </w:r>
      <w:r>
        <w:t xml:space="preserve">Figure 1:</w:t>
      </w:r>
      <w:r>
        <w:t xml:space="preserve"> </w:t>
      </w:r>
      <w:r>
        <w:t xml:space="preserve">MSR since 2017 ……………………………………………………………………………………… 90</w:t>
      </w:r>
      <w:r>
        <w:t xml:space="preserve"> </w:t>
      </w:r>
      <w:r>
        <w:t xml:space="preserve">Figure 2:</w:t>
      </w:r>
      <w:r>
        <w:t xml:space="preserve"> </w:t>
      </w:r>
      <w:r>
        <w:t xml:space="preserve">Estimated sources of hedging behaviour to 2030 ………………………………………… 93</w:t>
      </w:r>
      <w:r>
        <w:t xml:space="preserve"> </w:t>
      </w:r>
      <w:r>
        <w:t xml:space="preserve">Figure 3:</w:t>
      </w:r>
      <w:r>
        <w:t xml:space="preserve"> </w:t>
      </w:r>
      <w:r>
        <w:t xml:space="preserve">Baseline scenario - EUA indexed price evolution ……………………………………….. 99</w:t>
      </w:r>
      <w:r>
        <w:t xml:space="preserve"> </w:t>
      </w:r>
      <w:r>
        <w:t xml:space="preserve">Figure 4:</w:t>
      </w:r>
      <w:r>
        <w:t xml:space="preserve"> </w:t>
      </w:r>
      <w:r>
        <w:t xml:space="preserve">Baseline scenario - TNAC evolution ……………………………………………………….. 100</w:t>
      </w:r>
      <w:r>
        <w:t xml:space="preserve"> </w:t>
      </w:r>
      <w:r>
        <w:t xml:space="preserve">Figure 5:</w:t>
      </w:r>
      <w:r>
        <w:t xml:space="preserve"> </w:t>
      </w:r>
      <w:r>
        <w:t xml:space="preserve">Baseline scenario - EU ETS emissions and cap …………………………………………. 100</w:t>
      </w:r>
      <w:r>
        <w:t xml:space="preserve"> </w:t>
      </w:r>
      <w:r>
        <w:t xml:space="preserve">Figure 6:</w:t>
      </w:r>
      <w:r>
        <w:t xml:space="preserve"> </w:t>
      </w:r>
      <w:r>
        <w:t xml:space="preserve">Measure MSR1: illustration of the parameter adjustments………………………….. 105</w:t>
      </w:r>
      <w:r>
        <w:t xml:space="preserve"> </w:t>
      </w:r>
      <w:r>
        <w:t xml:space="preserve">Figure 7:</w:t>
      </w:r>
      <w:r>
        <w:t xml:space="preserve"> </w:t>
      </w:r>
      <w:r>
        <w:t xml:space="preserve">Measure MSR2: illustration of the parameter adjustments………………………….. 106</w:t>
      </w:r>
      <w:r>
        <w:t xml:space="preserve"> </w:t>
      </w:r>
      <w:r>
        <w:t xml:space="preserve">Figure 8:</w:t>
      </w:r>
      <w:r>
        <w:t xml:space="preserve"> </w:t>
      </w:r>
      <w:r>
        <w:t xml:space="preserve">Measure MSR3: illustration of the parameter adjustments………………………….. 108</w:t>
      </w:r>
      <w:r>
        <w:t xml:space="preserve"> </w:t>
      </w:r>
      <w:r>
        <w:t xml:space="preserve">Figure 9:</w:t>
      </w:r>
      <w:r>
        <w:t xml:space="preserve"> </w:t>
      </w:r>
      <w:r>
        <w:t xml:space="preserve">MSR0 results - Evolution of the TNAC and MSR thresholds ……………………… 112</w:t>
      </w:r>
      <w:r>
        <w:t xml:space="preserve"> </w:t>
      </w:r>
      <w:r>
        <w:t xml:space="preserve">Figure 10:</w:t>
      </w:r>
      <w:r>
        <w:t xml:space="preserve"> </w:t>
      </w:r>
      <w:r>
        <w:t xml:space="preserve">MSR0 results - MSR operations ………………………………………………………….. 113</w:t>
      </w:r>
      <w:r>
        <w:t xml:space="preserve"> </w:t>
      </w:r>
      <w:r>
        <w:t xml:space="preserve">Figure 11:</w:t>
      </w:r>
      <w:r>
        <w:t xml:space="preserve"> </w:t>
      </w:r>
      <w:r>
        <w:t xml:space="preserve">MSR0 results – Stock of EUAs in the MSR (January 1st) &amp; invalidations .. 113</w:t>
      </w:r>
      <w:r>
        <w:t xml:space="preserve"> </w:t>
      </w:r>
      <w:r>
        <w:t xml:space="preserve">Figure 12:</w:t>
      </w:r>
      <w:r>
        <w:t xml:space="preserve"> </w:t>
      </w:r>
      <w:r>
        <w:t xml:space="preserve">MSR0 results – EUA indexed price evolution ……………………………………….. 114</w:t>
      </w:r>
      <w:r>
        <w:t xml:space="preserve"> </w:t>
      </w:r>
      <w:r>
        <w:t xml:space="preserve">Figure 13:</w:t>
      </w:r>
      <w:r>
        <w:t xml:space="preserve"> </w:t>
      </w:r>
      <w:r>
        <w:t xml:space="preserve">MSR0 results - EU ETS emissions ………………………………………………………. 114</w:t>
      </w:r>
      <w:r>
        <w:t xml:space="preserve"> </w:t>
      </w:r>
      <w:r>
        <w:t xml:space="preserve">Figure 14:</w:t>
      </w:r>
      <w:r>
        <w:t xml:space="preserve"> </w:t>
      </w:r>
      <w:r>
        <w:t xml:space="preserve">MSR0 results - TNAC-to-Emissions ratio …………………………………………….. 115</w:t>
      </w:r>
      <w:r>
        <w:t xml:space="preserve"> </w:t>
      </w:r>
      <w:r>
        <w:t xml:space="preserve">Figure 15:</w:t>
      </w:r>
      <w:r>
        <w:t xml:space="preserve"> </w:t>
      </w:r>
      <w:r>
        <w:t xml:space="preserve">MSR0+ results - Evolution of the TNAC and MSR thresholds ……………….. 116</w:t>
      </w:r>
      <w:r>
        <w:t xml:space="preserve"> </w:t>
      </w:r>
      <w:r>
        <w:t xml:space="preserve">Figure 16:</w:t>
      </w:r>
      <w:r>
        <w:t xml:space="preserve"> </w:t>
      </w:r>
      <w:r>
        <w:t xml:space="preserve">MSR0+ results - MSR operations and invalidations ………………………………. 117</w:t>
      </w:r>
      <w:r>
        <w:t xml:space="preserve"> </w:t>
      </w:r>
      <w:r>
        <w:t xml:space="preserve">Figure 17:</w:t>
      </w:r>
      <w:r>
        <w:t xml:space="preserve"> </w:t>
      </w:r>
      <w:r>
        <w:t xml:space="preserve">MSR0+ results – stock of EUAs in the MSR (January 1st) ……………………… 117</w:t>
      </w:r>
      <w:r>
        <w:t xml:space="preserve"> </w:t>
      </w:r>
      <w:r>
        <w:t xml:space="preserve">Figure 18:</w:t>
      </w:r>
      <w:r>
        <w:t xml:space="preserve"> </w:t>
      </w:r>
      <w:r>
        <w:t xml:space="preserve">MSR0+ results – EUA indexed price evolution …………………………………….. 118</w:t>
      </w:r>
      <w:r>
        <w:t xml:space="preserve"> </w:t>
      </w:r>
      <w:r>
        <w:t xml:space="preserve">Figure 19:</w:t>
      </w:r>
      <w:r>
        <w:t xml:space="preserve"> </w:t>
      </w:r>
      <w:r>
        <w:t xml:space="preserve">MSR0+ results - EU ETS emissions …………………………………………………….. 119</w:t>
      </w:r>
      <w:r>
        <w:t xml:space="preserve"> </w:t>
      </w:r>
      <w:r>
        <w:t xml:space="preserve">Figure 20:</w:t>
      </w:r>
      <w:r>
        <w:t xml:space="preserve"> </w:t>
      </w:r>
      <w:r>
        <w:t xml:space="preserve">MSR1 results - Evolution of the TNAC and MSR thresholds ………………….. 120</w:t>
      </w:r>
      <w:r>
        <w:t xml:space="preserve"> </w:t>
      </w:r>
      <w:r>
        <w:t xml:space="preserve">Figure 21:</w:t>
      </w:r>
      <w:r>
        <w:t xml:space="preserve"> </w:t>
      </w:r>
      <w:r>
        <w:t xml:space="preserve">MSR2 results - Evolution of the TNAC and MSR thresholds ………………….. 121</w:t>
      </w:r>
      <w:r>
        <w:t xml:space="preserve"> </w:t>
      </w:r>
      <w:r>
        <w:t xml:space="preserve">Figure 22:</w:t>
      </w:r>
      <w:r>
        <w:t xml:space="preserve"> </w:t>
      </w:r>
      <w:r>
        <w:t xml:space="preserve">MSR3 results - Evolution of the TNAC and MSR thresholds ………………….. 121</w:t>
      </w:r>
      <w:r>
        <w:t xml:space="preserve"> </w:t>
      </w:r>
      <w:r>
        <w:t xml:space="preserve">Figure 23:</w:t>
      </w:r>
      <w:r>
        <w:t xml:space="preserve"> </w:t>
      </w:r>
      <w:r>
        <w:t xml:space="preserve">MSR1-to-MSR3 results - MSR operations ……………………………………………. 122</w:t>
      </w:r>
      <w:r>
        <w:t xml:space="preserve"> </w:t>
      </w:r>
      <w:r>
        <w:t xml:space="preserve">Figure 24:</w:t>
      </w:r>
      <w:r>
        <w:t xml:space="preserve"> </w:t>
      </w:r>
      <w:r>
        <w:t xml:space="preserve">MSR1-to-MSR3 results - stock of EUAs in the MSR (January 1st) …………. 122</w:t>
      </w:r>
      <w:r>
        <w:t xml:space="preserve"> </w:t>
      </w:r>
      <w:r>
        <w:t xml:space="preserve">Figure 25:</w:t>
      </w:r>
      <w:r>
        <w:t xml:space="preserve"> </w:t>
      </w:r>
      <w:r>
        <w:t xml:space="preserve">SR1-to-MSR3 results – EUA indexed price evolution ……………………………. 123</w:t>
      </w:r>
      <w:r>
        <w:t xml:space="preserve"> </w:t>
      </w:r>
      <w:r>
        <w:t xml:space="preserve">Figure 26:</w:t>
      </w:r>
      <w:r>
        <w:t xml:space="preserve"> </w:t>
      </w:r>
      <w:r>
        <w:t xml:space="preserve">MSR1-to-MSR3 results - TNAC-to-Emissions ratio ………………………………. 124</w:t>
      </w:r>
      <w:r>
        <w:t xml:space="preserve"> </w:t>
      </w:r>
      <w:r>
        <w:t xml:space="preserve">Figure 27:</w:t>
      </w:r>
      <w:r>
        <w:t xml:space="preserve"> </w:t>
      </w:r>
      <w:r>
        <w:t xml:space="preserve">PO1 results - Evolution of the TNAC and MSR thresholds …………………….. 132</w:t>
      </w:r>
      <w:r>
        <w:t xml:space="preserve"> </w:t>
      </w:r>
      <w:r>
        <w:t xml:space="preserve">Figure 28:</w:t>
      </w:r>
      <w:r>
        <w:t xml:space="preserve"> </w:t>
      </w:r>
      <w:r>
        <w:t xml:space="preserve">PO2 &amp; PO3 results - Evolution of the TNAC and MSR thresholds ………….. 133</w:t>
      </w:r>
      <w:r>
        <w:t xml:space="preserve"> </w:t>
      </w:r>
      <w:r>
        <w:t xml:space="preserve">Figure 29:</w:t>
      </w:r>
      <w:r>
        <w:t xml:space="preserve"> </w:t>
      </w:r>
      <w:r>
        <w:t xml:space="preserve">Policy options results - Evolution of MSR operations ……………………………. 133</w:t>
      </w:r>
      <w:r>
        <w:t xml:space="preserve"> </w:t>
      </w:r>
      <w:r>
        <w:t xml:space="preserve">Figure 30:</w:t>
      </w:r>
      <w:r>
        <w:t xml:space="preserve"> </w:t>
      </w:r>
      <w:r>
        <w:t xml:space="preserve">Policy options results - stock of EUAs in the MSR (January 1st) ……………… 134</w:t>
      </w:r>
      <w:r>
        <w:t xml:space="preserve"> </w:t>
      </w:r>
      <w:r>
        <w:t xml:space="preserve">Figure 31:</w:t>
      </w:r>
      <w:r>
        <w:t xml:space="preserve"> </w:t>
      </w:r>
      <w:r>
        <w:t xml:space="preserve">Policy options results – EUA indexed price evolution ……………………………. 135</w:t>
      </w:r>
      <w:r>
        <w:t xml:space="preserve"> </w:t>
      </w:r>
      <w:r>
        <w:t xml:space="preserve">Figure 32:</w:t>
      </w:r>
      <w:r>
        <w:t xml:space="preserve"> </w:t>
      </w:r>
      <w:r>
        <w:t xml:space="preserve">Policy options results - TNAC-to-Emissions ratio …………………………………. 136</w:t>
      </w:r>
      <w:r>
        <w:t xml:space="preserve"> </w:t>
      </w:r>
      <w:r>
        <w:t xml:space="preserve">Figure 33:</w:t>
      </w:r>
      <w:r>
        <w:t xml:space="preserve"> </w:t>
      </w:r>
      <w:r>
        <w:t xml:space="preserve">MSR operations and reserve volume for calculated and official TNAC ……. 139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Figure 34:</w:t>
      </w:r>
      <w:r>
        <w:t xml:space="preserve"> </w:t>
      </w:r>
      <w:r>
        <w:t xml:space="preserve">S1 shock definition - Additional exogenous net supply-demand balance ….. 141</w:t>
      </w:r>
      <w:r>
        <w:t xml:space="preserve"> </w:t>
      </w:r>
      <w:r>
        <w:t xml:space="preserve">Figure 35:</w:t>
      </w:r>
      <w:r>
        <w:t xml:space="preserve"> </w:t>
      </w:r>
      <w:r>
        <w:t xml:space="preserve">S2 shock definition - Additional exogenous net supply-demand balance ….. 142</w:t>
      </w:r>
      <w:r>
        <w:t xml:space="preserve"> </w:t>
      </w:r>
      <w:r>
        <w:t xml:space="preserve">Figure 36:</w:t>
      </w:r>
      <w:r>
        <w:t xml:space="preserve"> </w:t>
      </w:r>
      <w:r>
        <w:t xml:space="preserve">S3 shock definition - Additional net supply-demand balance ………………….. 143</w:t>
      </w:r>
      <w:r>
        <w:t xml:space="preserve"> </w:t>
      </w:r>
      <w:r>
        <w:t xml:space="preserve">Figure 37:</w:t>
      </w:r>
      <w:r>
        <w:t xml:space="preserve"> </w:t>
      </w:r>
      <w:r>
        <w:t xml:space="preserve">S4 and S5 shock definition - Additional net supply-demand balance ……….. 144</w:t>
      </w:r>
      <w:r>
        <w:t xml:space="preserve"> </w:t>
      </w:r>
      <w:r>
        <w:t xml:space="preserve">Figure 38:</w:t>
      </w:r>
      <w:r>
        <w:t xml:space="preserve"> </w:t>
      </w:r>
      <w:r>
        <w:t xml:space="preserve">MSR sensitivity analysis - S1 &amp; S2 - TNAC evolution for MSR1 (left) and</w:t>
      </w:r>
      <w:r>
        <w:t xml:space="preserve"> </w:t>
      </w:r>
      <w:r>
        <w:t xml:space="preserve">MSR3 (right) 145</w:t>
      </w:r>
      <w:r>
        <w:t xml:space="preserve"> </w:t>
      </w:r>
      <w:r>
        <w:t xml:space="preserve">Figure 39:</w:t>
      </w:r>
      <w:r>
        <w:t xml:space="preserve"> </w:t>
      </w:r>
      <w:r>
        <w:t xml:space="preserve">MSR sensitivity analysis - S1 &amp; S2 – stock of EUAs in the reserve for MSR1</w:t>
      </w:r>
      <w:r>
        <w:t xml:space="preserve"> </w:t>
      </w:r>
      <w:r>
        <w:t xml:space="preserve">(left) and MSR3 (right) ……………………………………………………………………………………………. 145</w:t>
      </w:r>
      <w:r>
        <w:t xml:space="preserve"> </w:t>
      </w:r>
      <w:r>
        <w:t xml:space="preserve">Figure 40:</w:t>
      </w:r>
      <w:r>
        <w:t xml:space="preserve"> </w:t>
      </w:r>
      <w:r>
        <w:t xml:space="preserve">MSR sensitivity analysis - S1 &amp; S2 – EUA indexed price for MSR1 (left) and</w:t>
      </w:r>
      <w:r>
        <w:t xml:space="preserve"> </w:t>
      </w:r>
      <w:r>
        <w:t xml:space="preserve">MSR3 (right) 146</w:t>
      </w:r>
      <w:r>
        <w:t xml:space="preserve"> </w:t>
      </w:r>
      <w:r>
        <w:t xml:space="preserve">Figure 41:</w:t>
      </w:r>
      <w:r>
        <w:t xml:space="preserve"> </w:t>
      </w:r>
      <w:r>
        <w:t xml:space="preserve">MSR sensitivity analysis - S1 &amp; S2 – EU ETS emissions for MSR1 (left) and</w:t>
      </w:r>
      <w:r>
        <w:t xml:space="preserve"> </w:t>
      </w:r>
      <w:r>
        <w:t xml:space="preserve">MSR3 (right) 147</w:t>
      </w:r>
      <w:r>
        <w:t xml:space="preserve"> </w:t>
      </w:r>
      <w:r>
        <w:t xml:space="preserve">Figure 42:</w:t>
      </w:r>
      <w:r>
        <w:t xml:space="preserve"> </w:t>
      </w:r>
      <w:r>
        <w:t xml:space="preserve">MSR sensitivity analysis – S3 to S5 - TNAC evolution for MSR1 (left) and</w:t>
      </w:r>
      <w:r>
        <w:t xml:space="preserve"> </w:t>
      </w:r>
      <w:r>
        <w:t xml:space="preserve">MSR3 (right) 148</w:t>
      </w:r>
      <w:r>
        <w:t xml:space="preserve"> </w:t>
      </w:r>
      <w:r>
        <w:t xml:space="preserve">Figure 43:</w:t>
      </w:r>
      <w:r>
        <w:t xml:space="preserve"> </w:t>
      </w:r>
      <w:r>
        <w:t xml:space="preserve">MSR sensitivity analysis - S3 to S5 – stock of EUAs in the MSR for MSR1</w:t>
      </w:r>
      <w:r>
        <w:t xml:space="preserve"> </w:t>
      </w:r>
      <w:r>
        <w:t xml:space="preserve">(left) and MSR3 (right) ……………………………………………………………………………………………. 148</w:t>
      </w:r>
      <w:r>
        <w:t xml:space="preserve"> </w:t>
      </w:r>
      <w:r>
        <w:t xml:space="preserve">Figure 44:</w:t>
      </w:r>
      <w:r>
        <w:t xml:space="preserve"> </w:t>
      </w:r>
      <w:r>
        <w:t xml:space="preserve">MSR sensitivity analysis – S3 to S5 – EUA indexed price for MSR1 (left) and</w:t>
      </w:r>
      <w:r>
        <w:t xml:space="preserve"> </w:t>
      </w:r>
      <w:r>
        <w:t xml:space="preserve">MSR3 (right) 149</w:t>
      </w:r>
      <w:r>
        <w:t xml:space="preserve"> </w:t>
      </w:r>
      <w:r>
        <w:t xml:space="preserve">Figure 45:</w:t>
      </w:r>
      <w:r>
        <w:t xml:space="preserve"> </w:t>
      </w:r>
      <w:r>
        <w:t xml:space="preserve">MSR sensitivity analysis – S3 to S5 – EU ETS emissions for MSR1 (left) and</w:t>
      </w:r>
      <w:r>
        <w:t xml:space="preserve"> </w:t>
      </w:r>
      <w:r>
        <w:t xml:space="preserve">MSR3 (right) 149</w:t>
      </w:r>
      <w:r>
        <w:t xml:space="preserve"> </w:t>
      </w:r>
      <w:r>
        <w:t xml:space="preserve">Figure 46:</w:t>
      </w:r>
      <w:r>
        <w:t xml:space="preserve"> </w:t>
      </w:r>
      <w:r>
        <w:t xml:space="preserve">MSR sensitivity analysis – TNAC-to-emissions ratio, maximum spread across</w:t>
      </w:r>
      <w:r>
        <w:t xml:space="preserve"> </w:t>
      </w:r>
      <w:r>
        <w:t xml:space="preserve">S1-S5 – MSR1 (left) and MSR3 (right) ……………………………………………………………………… 150</w:t>
      </w:r>
    </w:p>
    <w:p>
      <w:pPr>
        <w:pStyle w:val="BodyText"/>
      </w:pPr>
      <w:r>
        <w:t xml:space="preserve">89</w:t>
      </w:r>
    </w:p>
    <w:p>
      <w:pPr>
        <w:pStyle w:val="Compact"/>
        <w:numPr>
          <w:ilvl w:val="0"/>
          <w:numId w:val="1009"/>
        </w:numPr>
      </w:pPr>
      <w:r>
        <w:t xml:space="preserve">OVERVIEW OF THE MARKET STABILITY RESERVE (MSR)</w:t>
      </w:r>
      <w:r>
        <w:t xml:space="preserve"> </w:t>
      </w:r>
      <w:r>
        <w:t xml:space="preserve">1.1. Introduction and overview</w:t>
      </w:r>
      <w:r>
        <w:t xml:space="preserve"> </w:t>
      </w:r>
      <w:r>
        <w:t xml:space="preserve">The Market Stability Reserve (MSR) was established in 2015 by Decision (EU) 2015/1814 of</w:t>
      </w:r>
      <w:r>
        <w:t xml:space="preserve"> </w:t>
      </w:r>
      <w:r>
        <w:t xml:space="preserve">the European Parliament and of the Council60 (‘the MSR Decision’), as a structural mechanism</w:t>
      </w:r>
      <w:r>
        <w:t xml:space="preserve"> </w:t>
      </w:r>
      <w:r>
        <w:t xml:space="preserve">within the EU ETS to address critical imbalances in the carbon market. Specifically, the MSR</w:t>
      </w:r>
      <w:r>
        <w:t xml:space="preserve"> </w:t>
      </w:r>
      <w:r>
        <w:t xml:space="preserve">was designed with two primary objectives: first, to reduce the historical surplus of allowances</w:t>
      </w:r>
      <w:r>
        <w:t xml:space="preserve"> </w:t>
      </w:r>
      <w:r>
        <w:t xml:space="preserve">that had suppressed carbon prices and weakened investment signals for low-carbon</w:t>
      </w:r>
      <w:r>
        <w:t xml:space="preserve"> </w:t>
      </w:r>
      <w:r>
        <w:t xml:space="preserve">technologies; and second, to enhance the resilience of the EU ETS by introducing supply-side</w:t>
      </w:r>
      <w:r>
        <w:t xml:space="preserve"> </w:t>
      </w:r>
      <w:r>
        <w:t xml:space="preserve">flexibility to respond to future demand shocks. Its design was revised in 2018, before becoming</w:t>
      </w:r>
      <w:r>
        <w:t xml:space="preserve"> </w:t>
      </w:r>
      <w:r>
        <w:t xml:space="preserve">operational in 2019, and again in 2023 to align with the European Green Deal and stricter</w:t>
      </w:r>
      <w:r>
        <w:t xml:space="preserve"> </w:t>
      </w:r>
      <w:r>
        <w:t xml:space="preserve">climate targets under the European Climate Law. The current annex is focusing on the next</w:t>
      </w:r>
      <w:r>
        <w:t xml:space="preserve"> </w:t>
      </w:r>
      <w:r>
        <w:t xml:space="preserve">review of the MSR which is due in 2026, pursuant to Article 3 of the MSR Decision.</w:t>
      </w:r>
      <w:r>
        <w:t xml:space="preserve"> </w:t>
      </w:r>
      <w:r>
        <w:t xml:space="preserve">Under its original design in 2015, the MSR dynamically adjusted the supply of allowances in</w:t>
      </w:r>
      <w:r>
        <w:t xml:space="preserve"> </w:t>
      </w:r>
      <w:r>
        <w:t xml:space="preserve">response to market conditions, using the Total Number of Allowances in Circulation (TNAC)</w:t>
      </w:r>
      <w:r>
        <w:t xml:space="preserve"> </w:t>
      </w:r>
      <w:r>
        <w:t xml:space="preserve">as a key indicator. In broad terms, the TNAC in a given year, is calculated as the cumulative</w:t>
      </w:r>
      <w:r>
        <w:t xml:space="preserve"> </w:t>
      </w:r>
      <w:r>
        <w:t xml:space="preserve">number of allowances issued and not placed in the reserve minus the cumulative tonnes of</w:t>
      </w:r>
      <w:r>
        <w:t xml:space="preserve"> </w:t>
      </w:r>
      <w:r>
        <w:t xml:space="preserve">verified emissions, since 2008 and the end of that given year. When the TNAC exceeded an</w:t>
      </w:r>
      <w:r>
        <w:t xml:space="preserve"> </w:t>
      </w:r>
      <w:r>
        <w:t xml:space="preserve">upper threshold of 833 million, the MSR withdrew 12% of the surplus annually from auction</w:t>
      </w:r>
      <w:r>
        <w:t xml:space="preserve"> </w:t>
      </w:r>
      <w:r>
        <w:t xml:space="preserve">volumes and placed these allowances into the reserve. Conversely, if the TNAC were below a</w:t>
      </w:r>
      <w:r>
        <w:t xml:space="preserve"> </w:t>
      </w:r>
      <w:r>
        <w:t xml:space="preserve">lower threshold of 400 million, the MSR released 100 million allowances per year from the</w:t>
      </w:r>
      <w:r>
        <w:t xml:space="preserve"> </w:t>
      </w:r>
      <w:r>
        <w:t xml:space="preserve">reserve back into the market. These thresholds and intake rates provided a predictable, rule-</w:t>
      </w:r>
      <w:r>
        <w:t xml:space="preserve"> </w:t>
      </w:r>
      <w:r>
        <w:t xml:space="preserve">based, and transparent framework for supply adjustments in the EU ETS. In practice, by 1 June</w:t>
      </w:r>
      <w:r>
        <w:t xml:space="preserve"> </w:t>
      </w:r>
      <w:r>
        <w:t xml:space="preserve">every year (y), the Commission calculates and publishes the TNAC of the previous year (y-1),</w:t>
      </w:r>
      <w:r>
        <w:t xml:space="preserve"> </w:t>
      </w:r>
      <w:r>
        <w:t xml:space="preserve">which can trigger MSR action in the form of intakes or releases of allowances spread over a</w:t>
      </w:r>
      <w:r>
        <w:t xml:space="preserve"> </w:t>
      </w:r>
      <w:r>
        <w:t xml:space="preserve">period of 12 months, from September y to August y+1.</w:t>
      </w:r>
      <w:r>
        <w:t xml:space="preserve"> </w:t>
      </w:r>
      <w:r>
        <w:t xml:space="preserve">By 2018, it became clear that the MSR’s original design was insufficient to address the</w:t>
      </w:r>
      <w:r>
        <w:t xml:space="preserve"> </w:t>
      </w:r>
      <w:r>
        <w:t xml:space="preserve">persistent surplus of allowances that had accumulated due to the financial crisis,</w:t>
      </w:r>
      <w:r>
        <w:t xml:space="preserve"> </w:t>
      </w:r>
      <w:r>
        <w:t xml:space="preserve">complementary policies, and the inflow of international credits.61 This surplus continued to</w:t>
      </w:r>
      <w:r>
        <w:t xml:space="preserve"> </w:t>
      </w:r>
      <w:r>
        <w:t xml:space="preserve">depress carbon prices and delay low-carbon investments. To strengthen its impact, the 2018</w:t>
      </w:r>
      <w:r>
        <w:t xml:space="preserve"> </w:t>
      </w:r>
      <w:r>
        <w:t xml:space="preserve">revision doubled the intake rate from 12% to 24% of the TNAC until 2023 and introduced a</w:t>
      </w:r>
      <w:r>
        <w:t xml:space="preserve"> </w:t>
      </w:r>
      <w:r>
        <w:t xml:space="preserve">mechanism to permanently invalidate allowances held in the reserve above the previous year’s</w:t>
      </w:r>
      <w:r>
        <w:t xml:space="preserve"> </w:t>
      </w:r>
      <w:r>
        <w:t xml:space="preserve">auction volume. These changes aimed to accelerate the reduction of the surplus and ensure the</w:t>
      </w:r>
      <w:r>
        <w:t xml:space="preserve"> </w:t>
      </w:r>
      <w:r>
        <w:t xml:space="preserve">MSR could more effectively stabilise the market and support the EU’s climate goals. With the</w:t>
      </w:r>
      <w:r>
        <w:t xml:space="preserve"> </w:t>
      </w:r>
      <w:r>
        <w:t xml:space="preserve">first intakes starting in January 2019 based on the revised rules, the calculated values for TNAC</w:t>
      </w:r>
      <w:r>
        <w:t xml:space="preserve"> </w:t>
      </w:r>
      <w:r>
        <w:t xml:space="preserve">declined from about 1694 million allowances in 2016 to about 1112 million in 2023. Moreover,</w:t>
      </w:r>
      <w:r>
        <w:t xml:space="preserve"> </w:t>
      </w:r>
      <w:r>
        <w:t xml:space="preserve">about 2515 million allowances were invalidated at the beginning of 2023 (see Figure 1).62</w:t>
      </w:r>
      <w:r>
        <w:t xml:space="preserve"> </w:t>
      </w:r>
      <w:r>
        <w:t xml:space="preserve">In 2023, the MSR was further revised to ensure it remains a robust tool for stabilising the EU</w:t>
      </w:r>
      <w:r>
        <w:t xml:space="preserve"> </w:t>
      </w:r>
      <w:r>
        <w:t xml:space="preserve">carbon market and supporting the Union’s enhanced climate targets of the European Climate</w:t>
      </w:r>
      <w:r>
        <w:t xml:space="preserve"> </w:t>
      </w:r>
      <w:r>
        <w:t xml:space="preserve">Law. The intake rate of 24% was maintained (instead of declining to 12% from 2024),</w:t>
      </w:r>
      <w:r>
        <w:t xml:space="preserve"> </w:t>
      </w:r>
      <w:r>
        <w:t xml:space="preserve">reflecting the continued need for a swift decline in the surplus of allowances. To address the</w:t>
      </w:r>
      <w:r>
        <w:t xml:space="preserve"> </w:t>
      </w:r>
      <w:r>
        <w:t xml:space="preserve">‘threshold effect,’ where small changes in the TNAC can trigger disproportionately large MSR</w:t>
      </w:r>
    </w:p>
    <w:p>
      <w:pPr>
        <w:pStyle w:val="FirstParagraph"/>
      </w:pPr>
      <w:r>
        <w:t xml:space="preserve">60 Decision (EU) 2015/1814 of the European Parliament and of the Council of 6 October 2015 concerning the</w:t>
      </w:r>
      <w:r>
        <w:t xml:space="preserve"> </w:t>
      </w:r>
      <w:r>
        <w:t xml:space="preserve">establishment and operation of a market stability reserve for the Union greenhouse gas emission trading</w:t>
      </w:r>
      <w:r>
        <w:t xml:space="preserve"> </w:t>
      </w:r>
      <w:r>
        <w:t xml:space="preserve">scheme and amending Directive 2003/87/EC, OJ L 264, 9.10.2015, p. 1.</w:t>
      </w:r>
      <w:r>
        <w:t xml:space="preserve"> </w:t>
      </w:r>
      <w:r>
        <w:t xml:space="preserve">61 See Ellerman et al (2016)</w:t>
      </w:r>
      <w:r>
        <w:t xml:space="preserve"> </w:t>
      </w:r>
      <w:r>
        <w:t xml:space="preserve">62 See the Official MSR Indicator announcements in 2018 and 2024 for the reported TNAC values. The reported</w:t>
      </w:r>
      <w:r>
        <w:t xml:space="preserve"> </w:t>
      </w:r>
      <w:r>
        <w:t xml:space="preserve">invalidation value is from the announcement in 2023.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intakes, an upper buffer was introduced so that if TNAC is between 1096 million and the 833</w:t>
      </w:r>
      <w:r>
        <w:t xml:space="preserve"> </w:t>
      </w:r>
      <w:r>
        <w:t xml:space="preserve">million the MSR intake is calculated as TNAC-833 million, rather than 24% of TNAC which</w:t>
      </w:r>
      <w:r>
        <w:t xml:space="preserve"> </w:t>
      </w:r>
      <w:r>
        <w:t xml:space="preserve">applies when TNAC is greater than 1096 million.</w:t>
      </w:r>
      <w:r>
        <w:br/>
      </w:r>
      <w:r>
        <w:t xml:space="preserve">To reduce uncertainty and complexity, the invalidation threshold was fixed at 400 million</w:t>
      </w:r>
      <w:r>
        <w:t xml:space="preserve"> </w:t>
      </w:r>
      <w:r>
        <w:t xml:space="preserve">allowances removing the dependence of this threshold on previous year’s auction volumes.</w:t>
      </w:r>
      <w:r>
        <w:t xml:space="preserve"> </w:t>
      </w:r>
      <w:r>
        <w:t xml:space="preserve">Additionally, the calculation of the TNAC was simplified, and starting with the 2024 TNAC</w:t>
      </w:r>
      <w:r>
        <w:t xml:space="preserve"> </w:t>
      </w:r>
      <w:r>
        <w:t xml:space="preserve">calculation, the supply and demand for allowances from the aviation sector is also incorporated</w:t>
      </w:r>
      <w:r>
        <w:t xml:space="preserve"> </w:t>
      </w:r>
      <w:r>
        <w:t xml:space="preserve">to better reflect market dynamics. In the first year of reporting following the revision, the</w:t>
      </w:r>
      <w:r>
        <w:t xml:space="preserve"> </w:t>
      </w:r>
      <w:r>
        <w:t xml:space="preserve">calculated value of TNAC remained stable at 1148 million in 2024. At the start of 2024 and</w:t>
      </w:r>
      <w:r>
        <w:t xml:space="preserve"> </w:t>
      </w:r>
      <w:r>
        <w:t xml:space="preserve">2025, 382 million and 271 million allowances were invalidated, respectively, bringing the</w:t>
      </w:r>
      <w:r>
        <w:t xml:space="preserve"> </w:t>
      </w:r>
      <w:r>
        <w:t xml:space="preserve">cumulative number of permanently invalidated allowances to 3167 million at the beginning of</w:t>
      </w:r>
      <w:r>
        <w:t xml:space="preserve"> </w:t>
      </w:r>
      <w:r>
        <w:t xml:space="preserve">2025.63</w:t>
      </w:r>
      <w:r>
        <w:br/>
      </w:r>
      <w:r>
        <w:t xml:space="preserve">1.2. Conclusions of the evaluation and future challenges for the operations of the MSR.</w:t>
      </w:r>
      <w:r>
        <w:br/>
      </w:r>
      <w:r>
        <w:t xml:space="preserve">In the current evaluation of the MSR and the EU ETS design, the Commission assessed the</w:t>
      </w:r>
      <w:r>
        <w:t xml:space="preserve"> </w:t>
      </w:r>
      <w:r>
        <w:t xml:space="preserve">effectiveness of the MRS between 2018 to 2024 through two main specific objectives: (i) to</w:t>
      </w:r>
      <w:r>
        <w:t xml:space="preserve"> </w:t>
      </w:r>
      <w:r>
        <w:t xml:space="preserve">reduce allowances surplus in the market built up over Phases II and III and (ii) mitigate the</w:t>
      </w:r>
      <w:r>
        <w:t xml:space="preserve"> </w:t>
      </w:r>
      <w:r>
        <w:t xml:space="preserve">build-up of new demand-supply imbalances in order to strengthen the resilience of the EU ETS.</w:t>
      </w:r>
      <w:r>
        <w:t xml:space="preserve"> </w:t>
      </w:r>
      <w:r>
        <w:t xml:space="preserve">The Commission concluded that the MSR has successfully achieved its first specific objective</w:t>
      </w:r>
      <w:r>
        <w:t xml:space="preserve"> </w:t>
      </w:r>
      <w:r>
        <w:t xml:space="preserve">of reducing the historical surplus in the allowance market.</w:t>
      </w:r>
      <w:r>
        <w:br/>
      </w:r>
      <w:r>
        <w:t xml:space="preserve">However, while the MSR helped curb the emergence of new imbalance from 2013 onward, it</w:t>
      </w:r>
      <w:r>
        <w:t xml:space="preserve"> </w:t>
      </w:r>
      <w:r>
        <w:t xml:space="preserve">did not fully absorb the surplus of allowances. As a result, a demand-supply imbalances still</w:t>
      </w:r>
      <w:r>
        <w:t xml:space="preserve"> </w:t>
      </w:r>
      <w:r>
        <w:t xml:space="preserve">exists, meaning it partly achieved its second objective of strengthening the future resilience of</w:t>
      </w:r>
      <w:r>
        <w:t xml:space="preserve"> </w:t>
      </w:r>
      <w:r>
        <w:t xml:space="preserve">the EU ETS market. Moreover, the evaluation concluded that MSR has proven to be efficient</w:t>
      </w:r>
      <w:r>
        <w:t xml:space="preserve"> </w:t>
      </w:r>
      <w:r>
        <w:t xml:space="preserve">with large benefits only a few direct costs. Finally, the evaluation concluded that the MSR has</w:t>
      </w:r>
      <w:r>
        <w:t xml:space="preserve"> </w:t>
      </w:r>
      <w:r>
        <w:t xml:space="preserve">been largely coherent with complementary policies, with any counterintuitive actions being</w:t>
      </w:r>
      <w:r>
        <w:t xml:space="preserve"> </w:t>
      </w:r>
      <w:r>
        <w:t xml:space="preserve">effectively addressed.</w:t>
      </w:r>
      <w:r>
        <w:br/>
      </w:r>
      <w:r>
        <w:t xml:space="preserve">Based on the evaluation, this Impact Assessment does not suggest a complete redesign but</w:t>
      </w:r>
      <w:r>
        <w:t xml:space="preserve"> </w:t>
      </w:r>
      <w:r>
        <w:t xml:space="preserve">rather proposes targeted refinements to ensure that the MSR remains fit for the future.</w:t>
      </w:r>
      <w:r>
        <w:t xml:space="preserve"> </w:t>
      </w:r>
      <w:r>
        <w:t xml:space="preserve">Crucially, these refinements preserve the MSR’s core principle: across all policy options</w:t>
      </w:r>
      <w:r>
        <w:t xml:space="preserve"> </w:t>
      </w:r>
      <w:r>
        <w:t xml:space="preserve">considered in this Annex, the MSR must remain a rule-based and transparent framework for</w:t>
      </w:r>
      <w:r>
        <w:t xml:space="preserve"> </w:t>
      </w:r>
      <w:r>
        <w:t xml:space="preserve">supply adjustments in the EU ETS. This applies to intake and release rates, which should</w:t>
      </w:r>
      <w:r>
        <w:t xml:space="preserve"> </w:t>
      </w:r>
      <w:r>
        <w:t xml:space="preserve">remain governed by pre-defined rules rather than discretionary, price-based interventions or</w:t>
      </w:r>
      <w:r>
        <w:t xml:space="preserve"> </w:t>
      </w:r>
      <w:r>
        <w:t xml:space="preserve">political interference. Maintaining this rule-based approach helps avoid market distortions and</w:t>
      </w:r>
      <w:r>
        <w:t xml:space="preserve"> </w:t>
      </w:r>
      <w:r>
        <w:t xml:space="preserve">ensures that market participants can anticipate how the system will respond, including where</w:t>
      </w:r>
      <w:r>
        <w:t xml:space="preserve"> </w:t>
      </w:r>
      <w:r>
        <w:t xml:space="preserve">uncertainties may interact or combine. This, in turn, helps safeguard the credibility of the</w:t>
      </w:r>
      <w:r>
        <w:t xml:space="preserve"> </w:t>
      </w:r>
      <w:r>
        <w:t xml:space="preserve">carbon price signal and the certainty needed to underpin long-term decarbonisation</w:t>
      </w:r>
      <w:r>
        <w:t xml:space="preserve"> </w:t>
      </w:r>
      <w:r>
        <w:t xml:space="preserve">investments.</w:t>
      </w:r>
    </w:p>
    <w:p>
      <w:pPr>
        <w:pStyle w:val="BodyText"/>
      </w:pPr>
      <w:r>
        <w:t xml:space="preserve">63 See the Official MSR Indicator announcement in 2025 for the reported TNAC values in 2024. The reported</w:t>
      </w:r>
      <w:r>
        <w:t xml:space="preserve"> </w:t>
      </w:r>
      <w:r>
        <w:t xml:space="preserve">invalidation values in 2024 and 2025 are from the announcements in 2024 and 2025 respectively. If an Article</w:t>
      </w:r>
      <w:r>
        <w:t xml:space="preserve"> </w:t>
      </w:r>
      <w:r>
        <w:t xml:space="preserve">29a release is not triggered during 2025, further 276 million allowances will be invalidated on 1 January</w:t>
      </w:r>
      <w:r>
        <w:t xml:space="preserve"> </w:t>
      </w:r>
      <w:r>
        <w:t xml:space="preserve">2026.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Figure 1:</w:t>
      </w:r>
      <w:r>
        <w:t xml:space="preserve"> </w:t>
      </w:r>
      <w:r>
        <w:t xml:space="preserve">MSR since 201764</w:t>
      </w:r>
    </w:p>
    <w:p>
      <w:pPr>
        <w:pStyle w:val="SourceCode"/>
      </w:pPr>
      <w:r>
        <w:rPr>
          <w:rStyle w:val="VerbatimChar"/>
        </w:rPr>
        <w:t xml:space="preserve">    Source: Own illustration </w:t>
      </w:r>
    </w:p>
    <w:p>
      <w:pPr>
        <w:pStyle w:val="FirstParagraph"/>
      </w:pPr>
      <w:r>
        <w:t xml:space="preserve">1.3. Challenges for the future operations of the MSR.</w:t>
      </w:r>
      <w:r>
        <w:br/>
      </w:r>
      <w:r>
        <w:t xml:space="preserve">Despite the reassuring conclusions of the effectiveness and efficiency of the MSR, there are</w:t>
      </w:r>
      <w:r>
        <w:t xml:space="preserve"> </w:t>
      </w:r>
      <w:r>
        <w:t xml:space="preserve">several challenges for the future operations of the MSR. The EU ETS and MSR are currently</w:t>
      </w:r>
      <w:r>
        <w:t xml:space="preserve"> </w:t>
      </w:r>
      <w:r>
        <w:t xml:space="preserve">undergoing a significant change, moving from a period of allowances surplus to a tighter</w:t>
      </w:r>
      <w:r>
        <w:t xml:space="preserve"> </w:t>
      </w:r>
      <w:r>
        <w:t xml:space="preserve">market where allowances are becoming increasingly scarcer over time. This shift is driven by</w:t>
      </w:r>
      <w:r>
        <w:t xml:space="preserve"> </w:t>
      </w:r>
      <w:r>
        <w:t xml:space="preserve">not only the current cap design, which rapidly declines the number of allowances in circulation,</w:t>
      </w:r>
      <w:r>
        <w:t xml:space="preserve"> </w:t>
      </w:r>
      <w:r>
        <w:t xml:space="preserve">but also due to the current invalidation mechanism in place, which gradually decreases the</w:t>
      </w:r>
      <w:r>
        <w:t xml:space="preserve"> </w:t>
      </w:r>
      <w:r>
        <w:t xml:space="preserve">volume of allowances held in the MSR over time as the need for releases arises. As a result,</w:t>
      </w:r>
      <w:r>
        <w:t xml:space="preserve"> </w:t>
      </w:r>
      <w:r>
        <w:t xml:space="preserve">as the market becomes tighter, inefficiencies may become more pronounced and could lead to</w:t>
      </w:r>
      <w:r>
        <w:t xml:space="preserve"> </w:t>
      </w:r>
      <w:r>
        <w:t xml:space="preserve">the following risks:</w:t>
      </w:r>
      <w:r>
        <w:t xml:space="preserve"> </w:t>
      </w:r>
      <w:r>
        <w:t xml:space="preserve">• Increased in price volatility: when fewer allowances are available, a small number of</w:t>
      </w:r>
      <w:r>
        <w:t xml:space="preserve"> </w:t>
      </w:r>
      <w:r>
        <w:t xml:space="preserve">large market participants may be able to influence the market prices. These players may</w:t>
      </w:r>
      <w:r>
        <w:t xml:space="preserve"> </w:t>
      </w:r>
      <w:r>
        <w:t xml:space="preserve">adopt strategic behaviour, such as buying and holding allowances to build inventory</w:t>
      </w:r>
      <w:r>
        <w:t xml:space="preserve"> </w:t>
      </w:r>
      <w:r>
        <w:t xml:space="preserve">reserves or speculate on future price increases. As a result, this reduces even further</w:t>
      </w:r>
      <w:r>
        <w:t xml:space="preserve"> </w:t>
      </w:r>
      <w:r>
        <w:t xml:space="preserve">the number of allowances actively circulating in the market, constraining liquidity and</w:t>
      </w:r>
      <w:r>
        <w:t xml:space="preserve"> </w:t>
      </w:r>
      <w:r>
        <w:t xml:space="preserve">likely increasing price volatility.</w:t>
      </w:r>
      <w:r>
        <w:br/>
      </w:r>
      <w:r>
        <w:t xml:space="preserve">• Higher bid-ask spreads: tighter markets naturally lead to wider bid-ask spreads. With</w:t>
      </w:r>
      <w:r>
        <w:t xml:space="preserve"> </w:t>
      </w:r>
      <w:r>
        <w:t xml:space="preserve">limited allowances available for trading, sellers demand higher premiums to reflect</w:t>
      </w:r>
      <w:r>
        <w:t xml:space="preserve"> </w:t>
      </w:r>
      <w:r>
        <w:t xml:space="preserve">greater uncertainty about future availability. This in turn results in a higher effective</w:t>
      </w:r>
      <w:r>
        <w:t xml:space="preserve"> </w:t>
      </w:r>
      <w:r>
        <w:t xml:space="preserve">transaction cost for market participants.</w:t>
      </w:r>
      <w:r>
        <w:t xml:space="preserve"> </w:t>
      </w:r>
      <w:r>
        <w:t xml:space="preserve">• Less price transparency: in tighter markets, trading activity tends to shift away from</w:t>
      </w:r>
      <w:r>
        <w:t xml:space="preserve"> </w:t>
      </w:r>
      <w:r>
        <w:t xml:space="preserve">transparent public exchanges to more transactions bilaterally, where prices, volumes</w:t>
      </w:r>
      <w:r>
        <w:t xml:space="preserve"> </w:t>
      </w:r>
      <w:r>
        <w:t xml:space="preserve">and terms are not publicly disclosed. This contrast with on-venue transactions which</w:t>
      </w:r>
      <w:r>
        <w:t xml:space="preserve"> </w:t>
      </w:r>
      <w:r>
        <w:t xml:space="preserve">operations tend to be more transparent, creating a clear, real-time price signal for the</w:t>
      </w:r>
      <w:r>
        <w:t xml:space="preserve"> </w:t>
      </w:r>
      <w:r>
        <w:t xml:space="preserve">entire market.</w:t>
      </w:r>
      <w:r>
        <w:t xml:space="preserve"> </w:t>
      </w:r>
      <w:r>
        <w:t xml:space="preserve">Given the significant changes in the allowances market under the current design, the MSR faces</w:t>
      </w:r>
      <w:r>
        <w:t xml:space="preserve"> </w:t>
      </w:r>
      <w:r>
        <w:t xml:space="preserve">a new set of challenges that necessitate revision. First, the key parameters of the MSR were set</w:t>
      </w:r>
    </w:p>
    <w:p>
      <w:pPr>
        <w:pStyle w:val="BodyText"/>
      </w:pPr>
      <w:r>
        <w:t xml:space="preserve">64 The value for invalidations in 2026 based on the current data should therefore be considered provisional.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a long time ago and are fixed against a backdrop of a cap and emissions that declined rapidly</w:t>
      </w:r>
      <w:r>
        <w:t xml:space="preserve"> </w:t>
      </w:r>
      <w:r>
        <w:t xml:space="preserve">since then. This is likely to create an unbalanced system.</w:t>
      </w:r>
      <w:r>
        <w:br/>
      </w:r>
      <w:r>
        <w:t xml:space="preserve">Second, the composition and nature of allowance demand are shifting significantly. The power</w:t>
      </w:r>
      <w:r>
        <w:t xml:space="preserve"> </w:t>
      </w:r>
      <w:r>
        <w:t xml:space="preserve">sector, whose allowance demand is relatively well-understood, has decarbonised rapidly,</w:t>
      </w:r>
      <w:r>
        <w:t xml:space="preserve"> </w:t>
      </w:r>
      <w:r>
        <w:t xml:space="preserve">leading to a declining share in overall demand. This trend is set to continue. In contrast, the</w:t>
      </w:r>
      <w:r>
        <w:t xml:space="preserve"> </w:t>
      </w:r>
      <w:r>
        <w:t xml:space="preserve">share of emissions from the industrial sector is growing, yet its allowance demand patterns</w:t>
      </w:r>
      <w:r>
        <w:t xml:space="preserve"> </w:t>
      </w:r>
      <w:r>
        <w:t xml:space="preserve">remain rather opaque. Similarly, maritime transport has only recently entered the system, and</w:t>
      </w:r>
      <w:r>
        <w:t xml:space="preserve"> </w:t>
      </w:r>
      <w:r>
        <w:t xml:space="preserve">international aviation and waste may soon follow, adding further complexity to market</w:t>
      </w:r>
      <w:r>
        <w:t xml:space="preserve"> </w:t>
      </w:r>
      <w:r>
        <w:t xml:space="preserve">dynamics.</w:t>
      </w:r>
      <w:r>
        <w:br/>
      </w:r>
      <w:r>
        <w:t xml:space="preserve">Third, the growing share of non-compliance entities as active participants in EU carbon</w:t>
      </w:r>
      <w:r>
        <w:t xml:space="preserve"> </w:t>
      </w:r>
      <w:r>
        <w:t xml:space="preserve">markets introduces another layer of complexity. The allowance trading by these entities</w:t>
      </w:r>
      <w:r>
        <w:t xml:space="preserve"> </w:t>
      </w:r>
      <w:r>
        <w:t xml:space="preserve">improves liquidity in the market, act as financial intermediaries for smaller compliance entities</w:t>
      </w:r>
      <w:r>
        <w:t xml:space="preserve"> </w:t>
      </w:r>
      <w:r>
        <w:t xml:space="preserve">and provide financial derivative products that the compliance entities value. The European</w:t>
      </w:r>
      <w:r>
        <w:t xml:space="preserve"> </w:t>
      </w:r>
      <w:r>
        <w:t xml:space="preserve">Securities and Markets Authority (ESMA) has been tasked to monitor the activities of financial</w:t>
      </w:r>
      <w:r>
        <w:t xml:space="preserve"> </w:t>
      </w:r>
      <w:r>
        <w:t xml:space="preserve">entities to ensure highest level of market integrity and transparency and avoid any risks of</w:t>
      </w:r>
      <w:r>
        <w:t xml:space="preserve"> </w:t>
      </w:r>
      <w:r>
        <w:t xml:space="preserve">abuse of market power that could potentially affect market stability.65 From a broader</w:t>
      </w:r>
      <w:r>
        <w:t xml:space="preserve"> </w:t>
      </w:r>
      <w:r>
        <w:t xml:space="preserve">perspective, the likely integration of removals in the EU ETS, as well as the phase-in of CBAM</w:t>
      </w:r>
      <w:r>
        <w:t xml:space="preserve"> </w:t>
      </w:r>
      <w:r>
        <w:t xml:space="preserve">and the phase-out of free allocations further reshape the market, while the 2040 climate target</w:t>
      </w:r>
      <w:r>
        <w:t xml:space="preserve"> </w:t>
      </w:r>
      <w:r>
        <w:t xml:space="preserve">has important implications for the ETS contribution to decarbonisation efforts beyond 2030,</w:t>
      </w:r>
      <w:r>
        <w:t xml:space="preserve"> </w:t>
      </w:r>
      <w:r>
        <w:t xml:space="preserve">reinforcing the need for a robust MSR. Recent studies highlight the benefits from a more</w:t>
      </w:r>
      <w:r>
        <w:t xml:space="preserve"> </w:t>
      </w:r>
      <w:r>
        <w:t xml:space="preserve">dynamic, adaptive and simpler MSR to safeguard market stability, recognizing the limits of the</w:t>
      </w:r>
      <w:r>
        <w:t xml:space="preserve"> </w:t>
      </w:r>
      <w:r>
        <w:t xml:space="preserve">instrument’s effectiveness in responding to higher frequency volatility in the allowance market.</w:t>
      </w:r>
      <w:r>
        <w:t xml:space="preserve"> </w:t>
      </w:r>
      <w:r>
        <w:t xml:space="preserve">A forward-looking approach to revising the MSR is essential to address these emerging</w:t>
      </w:r>
      <w:r>
        <w:t xml:space="preserve"> </w:t>
      </w:r>
      <w:r>
        <w:t xml:space="preserve">complexities.66</w:t>
      </w:r>
      <w:r>
        <w:t xml:space="preserve"> </w:t>
      </w:r>
      <w:r>
        <w:t xml:space="preserve">2. PARAMETERS OF THE MARKET STABILITY RESERVE</w:t>
      </w:r>
      <w:r>
        <w:t xml:space="preserve"> </w:t>
      </w:r>
      <w:r>
        <w:t xml:space="preserve">To establish a strong and rigorous foundation for revising the MSR and its parameters, a</w:t>
      </w:r>
      <w:r>
        <w:t xml:space="preserve"> </w:t>
      </w:r>
      <w:r>
        <w:t xml:space="preserve">scoping exercise employing multiple methods was undertaken to guide the formulation of</w:t>
      </w:r>
      <w:r>
        <w:t xml:space="preserve"> </w:t>
      </w:r>
      <w:r>
        <w:t xml:space="preserve">alternative measures systematically. The approach began with desk research and literature</w:t>
      </w:r>
      <w:r>
        <w:t xml:space="preserve"> </w:t>
      </w:r>
      <w:r>
        <w:t xml:space="preserve">review, drawing upon recent academic studies, policy analyses, and technical reports on MSR</w:t>
      </w:r>
      <w:r>
        <w:t xml:space="preserve"> </w:t>
      </w:r>
      <w:r>
        <w:t xml:space="preserve">performance with a focus on identifying emerging challenges and limitations of the existing</w:t>
      </w:r>
      <w:r>
        <w:t xml:space="preserve"> </w:t>
      </w:r>
      <w:r>
        <w:t xml:space="preserve">MSR setup particularly in the post-2030 timeframe.67 This analytical foundation was</w:t>
      </w:r>
      <w:r>
        <w:t xml:space="preserve"> </w:t>
      </w:r>
      <w:r>
        <w:t xml:space="preserve">supplemented by insights from the MSR Evaluation which has been part of a back-to-back</w:t>
      </w:r>
      <w:r>
        <w:t xml:space="preserve"> </w:t>
      </w:r>
      <w:r>
        <w:t xml:space="preserve">exercise together with this Impact Assessment.</w:t>
      </w:r>
      <w:r>
        <w:t xml:space="preserve"> </w:t>
      </w:r>
      <w:r>
        <w:t xml:space="preserve">Additionally, targeted interviews were conducted with stakeholders from power, energy,</w:t>
      </w:r>
      <w:r>
        <w:t xml:space="preserve"> </w:t>
      </w:r>
      <w:r>
        <w:t xml:space="preserve">industry, maritime and aviation sectors; financial actors; academic experts; public sector</w:t>
      </w:r>
      <w:r>
        <w:t xml:space="preserve"> </w:t>
      </w:r>
      <w:r>
        <w:t xml:space="preserve">stakeholders; and civil society.68 Combined with input from the open public consultation</w:t>
      </w:r>
      <w:r>
        <w:t xml:space="preserve"> </w:t>
      </w:r>
      <w:r>
        <w:t xml:space="preserve">(‘OPC’) on the ETS and MSR evaluation and review, the interviews aimed to capture the</w:t>
      </w:r>
    </w:p>
    <w:p>
      <w:pPr>
        <w:pStyle w:val="BodyText"/>
      </w:pPr>
      <w:r>
        <w:t xml:space="preserve">65 In accordance with article 10 (6) of the ETS Directive, the European Securities and Markets Authority</w:t>
      </w:r>
      <w:r>
        <w:t xml:space="preserve"> </w:t>
      </w:r>
      <w:r>
        <w:t xml:space="preserve">(ESMA) was given a mandate for market oversight. ESMA (2022) finds no evidence of current problems but</w:t>
      </w:r>
      <w:r>
        <w:t xml:space="preserve"> </w:t>
      </w:r>
      <w:r>
        <w:t xml:space="preserve">acknowledges the need for continues monitoring of EU carbon markets. The consecutive annual reports from</w:t>
      </w:r>
      <w:r>
        <w:t xml:space="preserve"> </w:t>
      </w:r>
      <w:r>
        <w:t xml:space="preserve">ESMA on carbon markets from 2024 and 2025 confirm these findings.</w:t>
      </w:r>
      <w:r>
        <w:br/>
      </w:r>
      <w:r>
        <w:t xml:space="preserve">66 See European Commission (2021), Borghesi et al (2023) and European Commission (2025). For simplicity,</w:t>
      </w:r>
      <w:r>
        <w:t xml:space="preserve"> </w:t>
      </w:r>
      <w:r>
        <w:t xml:space="preserve">the rest of this Annex refers to European Commission (2021) as ‘the 2021 MSR Review’.</w:t>
      </w:r>
      <w:r>
        <w:br/>
      </w:r>
      <w:r>
        <w:t xml:space="preserve">67 See European Commission (2025) which includes an extensive literature review and stakeholder consultation.</w:t>
      </w:r>
      <w:r>
        <w:br/>
      </w:r>
      <w:r>
        <w:t xml:space="preserve">68 For the current project, 13 MSR-focused stakeholder interviews were conducted. Five of these were with</w:t>
      </w:r>
      <w:r>
        <w:t xml:space="preserve"> </w:t>
      </w:r>
      <w:r>
        <w:t xml:space="preserve">academic experts, two with market exchanges, three with public official working on MSR, three with industry</w:t>
      </w:r>
      <w:r>
        <w:t xml:space="preserve"> </w:t>
      </w:r>
      <w:r>
        <w:t xml:space="preserve">associations. Additionally, several industry groups (six) and NGOs (three) responded to a few targeted MSR</w:t>
      </w:r>
      <w:r>
        <w:t xml:space="preserve"> </w:t>
      </w:r>
      <w:r>
        <w:t xml:space="preserve">questions in interviews conducted for other thematic areas.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diverse perspectives and experiences on MSR functioning and gather insights on the evolving</w:t>
      </w:r>
      <w:r>
        <w:t xml:space="preserve"> </w:t>
      </w:r>
      <w:r>
        <w:t xml:space="preserve">market landscape that may not yet be fully reflected in published academic and grey literature.</w:t>
      </w:r>
      <w:r>
        <w:t xml:space="preserve"> </w:t>
      </w:r>
      <w:r>
        <w:t xml:space="preserve">This multipronged approach ensured that the formulation of alternative measures was grounded</w:t>
      </w:r>
      <w:r>
        <w:t xml:space="preserve"> </w:t>
      </w:r>
      <w:r>
        <w:t xml:space="preserve">in both theoretical and empirical evidence as well as practical experience of market participants</w:t>
      </w:r>
      <w:r>
        <w:t xml:space="preserve"> </w:t>
      </w:r>
      <w:r>
        <w:t xml:space="preserve">and analysts, providing a solid foundation for identifying the parameters requiring revision,</w:t>
      </w:r>
      <w:r>
        <w:t xml:space="preserve"> </w:t>
      </w:r>
      <w:r>
        <w:t xml:space="preserve">developing approaches for their improvement, and formulating concrete policy measures to</w:t>
      </w:r>
      <w:r>
        <w:t xml:space="preserve"> </w:t>
      </w:r>
      <w:r>
        <w:t xml:space="preserve">enhance the functioning of the MSR.</w:t>
      </w:r>
      <w:r>
        <w:t xml:space="preserve"> </w:t>
      </w:r>
      <w:r>
        <w:t xml:space="preserve">The MSR operates through seven key parameters that collectively determine the mechanism’s</w:t>
      </w:r>
      <w:r>
        <w:t xml:space="preserve"> </w:t>
      </w:r>
      <w:r>
        <w:t xml:space="preserve">response to market conditions. Each parameter not only serves a specific function in the</w:t>
      </w:r>
      <w:r>
        <w:t xml:space="preserve"> </w:t>
      </w:r>
      <w:r>
        <w:t xml:space="preserve">mechanism’s operation but also interacts with other parameters in determining the response of</w:t>
      </w:r>
      <w:r>
        <w:t xml:space="preserve"> </w:t>
      </w:r>
      <w:r>
        <w:t xml:space="preserve">the MSR to market developments. However, their current calibration reflects market conditions</w:t>
      </w:r>
      <w:r>
        <w:t xml:space="preserve"> </w:t>
      </w:r>
      <w:r>
        <w:t xml:space="preserve">and policy priorities that may no longer be appropriate for the emerging challenges facing the</w:t>
      </w:r>
      <w:r>
        <w:t xml:space="preserve"> </w:t>
      </w:r>
      <w:r>
        <w:t xml:space="preserve">EU ETS. Sections 2.1 to 2.5 briefly describe each parameter based on qualitative research and</w:t>
      </w:r>
      <w:r>
        <w:t xml:space="preserve"> </w:t>
      </w:r>
      <w:r>
        <w:t xml:space="preserve">analysis as well as the stakeholder perspectives on whether they need to be revised to improve</w:t>
      </w:r>
      <w:r>
        <w:t xml:space="preserve"> </w:t>
      </w:r>
      <w:r>
        <w:t xml:space="preserve">MSR functioning.</w:t>
      </w:r>
      <w:r>
        <w:t xml:space="preserve"> </w:t>
      </w:r>
      <w:r>
        <w:t xml:space="preserve">As regards the broader question of the role of the MSR going forward, the top priorities for</w:t>
      </w:r>
      <w:r>
        <w:t xml:space="preserve"> </w:t>
      </w:r>
      <w:r>
        <w:t xml:space="preserve">most respondents to the OPC, mainly from companies/businesses and business associations,</w:t>
      </w:r>
      <w:r>
        <w:t xml:space="preserve"> </w:t>
      </w:r>
      <w:r>
        <w:t xml:space="preserve">were to prevent excessive EU ETS price volatility (38% of respondents) and to increase market</w:t>
      </w:r>
      <w:r>
        <w:t xml:space="preserve"> </w:t>
      </w:r>
      <w:r>
        <w:t xml:space="preserve">liquidity (26% of respondents), noting that multiple answers were possible by allowing</w:t>
      </w:r>
      <w:r>
        <w:t xml:space="preserve"> </w:t>
      </w:r>
      <w:r>
        <w:t xml:space="preserve">respondents to elaborate on their selection. The third answer, supported mostly by NGOs and</w:t>
      </w:r>
      <w:r>
        <w:t xml:space="preserve"> </w:t>
      </w:r>
      <w:r>
        <w:t xml:space="preserve">environmental organisations, was a continued use of the MSR as a tool to address the surplus</w:t>
      </w:r>
      <w:r>
        <w:t xml:space="preserve"> </w:t>
      </w:r>
      <w:r>
        <w:t xml:space="preserve">in the market (18% of respondents). 6 respondents (2%) selected “None of the above” and 47</w:t>
      </w:r>
      <w:r>
        <w:t xml:space="preserve"> </w:t>
      </w:r>
      <w:r>
        <w:t xml:space="preserve">respondents (18%) were unsure. Going forward, there</w:t>
      </w:r>
      <w:r>
        <w:br/>
      </w:r>
      <w:r>
        <w:t xml:space="preserve">2.1. Upper threshold and upper buffer</w:t>
      </w:r>
      <w:r>
        <w:t xml:space="preserve"> </w:t>
      </w:r>
      <w:r>
        <w:t xml:space="preserve">The upper threshold of 833 million represents the level above which the MSR begins</w:t>
      </w:r>
      <w:r>
        <w:t xml:space="preserve"> </w:t>
      </w:r>
      <w:r>
        <w:t xml:space="preserve">withdrawing allowances from auction volumes, as TNAC values above this threshold indicate</w:t>
      </w:r>
      <w:r>
        <w:t xml:space="preserve"> </w:t>
      </w:r>
      <w:r>
        <w:t xml:space="preserve">a high surplus in the allowance market (i.e. more liquidity in the market than is consistent with</w:t>
      </w:r>
      <w:r>
        <w:t xml:space="preserve"> </w:t>
      </w:r>
      <w:r>
        <w:t xml:space="preserve">a healthy supply-demand balance). The value of the threshold was originally set based on the</w:t>
      </w:r>
      <w:r>
        <w:t xml:space="preserve"> </w:t>
      </w:r>
      <w:r>
        <w:t xml:space="preserve">typical hedging needs of regulated entities in the early 2010s, particularly those in the power</w:t>
      </w:r>
      <w:r>
        <w:t xml:space="preserve"> </w:t>
      </w:r>
      <w:r>
        <w:t xml:space="preserve">sector who sell their output forward and may choose to hedge their future liabilities by holding</w:t>
      </w:r>
      <w:r>
        <w:t xml:space="preserve"> </w:t>
      </w:r>
      <w:r>
        <w:t xml:space="preserve">allowances beyond their immediate compliance needs.</w:t>
      </w:r>
      <w:r>
        <w:br/>
      </w:r>
      <w:r>
        <w:t xml:space="preserve">This threshold, therefore, may no longer reflect a healthy balance between allowance supply</w:t>
      </w:r>
      <w:r>
        <w:t xml:space="preserve"> </w:t>
      </w:r>
      <w:r>
        <w:t xml:space="preserve">and demand as the composition and nature of allowance demand change, as there will be</w:t>
      </w:r>
      <w:r>
        <w:t xml:space="preserve"> </w:t>
      </w:r>
      <w:r>
        <w:t xml:space="preserve">increasing scarcity of allowances and as the climate policy landscape evolves. The 2021 MSR</w:t>
      </w:r>
      <w:r>
        <w:t xml:space="preserve"> </w:t>
      </w:r>
      <w:r>
        <w:t xml:space="preserve">Review, recent academic assessments and reviews, as well as the recent horizon scanning</w:t>
      </w:r>
      <w:r>
        <w:t xml:space="preserve"> </w:t>
      </w:r>
      <w:r>
        <w:t xml:space="preserve">exercise commissioned by the European Commission, all suggest that it may be time to</w:t>
      </w:r>
      <w:r>
        <w:t xml:space="preserve"> </w:t>
      </w:r>
      <w:r>
        <w:t xml:space="preserve">recalibrate the value of this parameter.69 A recalibration can ensure that its value does not</w:t>
      </w:r>
      <w:r>
        <w:t xml:space="preserve"> </w:t>
      </w:r>
      <w:r>
        <w:t xml:space="preserve">become misaligned as the cap and emissions decline according to the cap-and-trade logic</w:t>
      </w:r>
      <w:r>
        <w:t xml:space="preserve"> </w:t>
      </w:r>
      <w:r>
        <w:t xml:space="preserve">combined with the ambitious EU climate targets.</w:t>
      </w:r>
      <w:r>
        <w:br/>
      </w:r>
      <w:r>
        <w:t xml:space="preserve">When the MSR was legislated in 2015, co-legislators anchored its activation to the TNAC,</w:t>
      </w:r>
      <w:r>
        <w:t xml:space="preserve"> </w:t>
      </w:r>
      <w:r>
        <w:t xml:space="preserve">using a band with an upper threshold (833 million) that would trigger intakes from auctions to</w:t>
      </w:r>
      <w:r>
        <w:t xml:space="preserve"> </w:t>
      </w:r>
      <w:r>
        <w:t xml:space="preserve">the MSR, and a lower threshold (400 million) that could trigger releases from the MSR to the</w:t>
      </w:r>
      <w:r>
        <w:t xml:space="preserve"> </w:t>
      </w:r>
      <w:r>
        <w:t xml:space="preserve">auctions. The original impact assessment carried out by the by the European Commission to</w:t>
      </w:r>
      <w:r>
        <w:t xml:space="preserve"> </w:t>
      </w:r>
      <w:r>
        <w:t xml:space="preserve">inform the MSR design, set out the principles for the mechanism as follows. The trigger should</w:t>
      </w:r>
      <w:r>
        <w:t xml:space="preserve"> </w:t>
      </w:r>
      <w:r>
        <w:t xml:space="preserve">be quantity-based, objective, and linked to a stock measure of market surplus, so that auction</w:t>
      </w:r>
    </w:p>
    <w:p>
      <w:pPr>
        <w:pStyle w:val="BodyText"/>
      </w:pPr>
      <w:r>
        <w:t xml:space="preserve">69 See European Commission (2021), Borghesi et al (2023) and European Commission (2025).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volumes reduced when the surplus is too high and increase when it is too low.70 The European</w:t>
      </w:r>
      <w:r>
        <w:t xml:space="preserve"> </w:t>
      </w:r>
      <w:r>
        <w:t xml:space="preserve">Commission (2014) assessed alternative trigger concepts and sizes and concluded that fixed</w:t>
      </w:r>
      <w:r>
        <w:t xml:space="preserve"> </w:t>
      </w:r>
      <w:r>
        <w:t xml:space="preserve">TNAC thresholds offered a transparent and rule-based way to respond to shocks without</w:t>
      </w:r>
      <w:r>
        <w:t xml:space="preserve"> </w:t>
      </w:r>
      <w:r>
        <w:t xml:space="preserve">discretionary intervention, coupling those thresholds with intake and release rates sized to have</w:t>
      </w:r>
      <w:r>
        <w:t xml:space="preserve"> </w:t>
      </w:r>
      <w:r>
        <w:t xml:space="preserve">a material effect on auction volumes. While the lower threshold was specified to anticipate</w:t>
      </w:r>
      <w:r>
        <w:t xml:space="preserve"> </w:t>
      </w:r>
      <w:r>
        <w:t xml:space="preserve">future releases and maintain symmetry, at the time the most immediate task of the MSR was to</w:t>
      </w:r>
      <w:r>
        <w:t xml:space="preserve"> </w:t>
      </w:r>
      <w:r>
        <w:t xml:space="preserve">reduce the historical surplus that had accumulated, and most attention was therefore focused</w:t>
      </w:r>
      <w:r>
        <w:t xml:space="preserve"> </w:t>
      </w:r>
      <w:r>
        <w:t xml:space="preserve">on the specification of the upper threshold.</w:t>
      </w:r>
      <w:r>
        <w:t xml:space="preserve"> </w:t>
      </w:r>
      <w:r>
        <w:t xml:space="preserve">The 2021 MSR review’s supporting analysis of industrial hedging suggests that, unlike the</w:t>
      </w:r>
      <w:r>
        <w:t xml:space="preserve"> </w:t>
      </w:r>
      <w:r>
        <w:t xml:space="preserve">power sector, industrial hedging is more heterogeneous across subsectors, driven by differing</w:t>
      </w:r>
      <w:r>
        <w:t xml:space="preserve"> </w:t>
      </w:r>
      <w:r>
        <w:t xml:space="preserve">exposure to international competition, pass‑through abilities, and contract structures.</w:t>
      </w:r>
      <w:r>
        <w:br/>
      </w:r>
      <w:r>
        <w:t xml:space="preserve">Quantitatively, Appendix 2 of the 2021 MSR review indicates that plausible ranges of</w:t>
      </w:r>
      <w:r>
        <w:t xml:space="preserve"> </w:t>
      </w:r>
      <w:r>
        <w:t xml:space="preserve">industrial hedging could amount to a few hundred million allowances at most when aggregated</w:t>
      </w:r>
      <w:r>
        <w:t xml:space="preserve"> </w:t>
      </w:r>
      <w:r>
        <w:t xml:space="preserve">EU‑wide over typical horizons, but with substantial uncertainty bands (see figure 2 reproduced</w:t>
      </w:r>
      <w:r>
        <w:t xml:space="preserve"> </w:t>
      </w:r>
      <w:r>
        <w:t xml:space="preserve">from the review). In the figure, total hedging demand declines steadily toward 2030, with the</w:t>
      </w:r>
      <w:r>
        <w:t xml:space="preserve"> </w:t>
      </w:r>
      <w:r>
        <w:t xml:space="preserve">power sector driving most of the reduction. Industry contributes a smaller, slightly increasing</w:t>
      </w:r>
      <w:r>
        <w:t xml:space="preserve"> </w:t>
      </w:r>
      <w:r>
        <w:t xml:space="preserve">but uncertain portion, and aviation is smaller still but exhibits even greater uncertainty than</w:t>
      </w:r>
      <w:r>
        <w:t xml:space="preserve"> </w:t>
      </w:r>
      <w:r>
        <w:t xml:space="preserve">industry.71</w:t>
      </w:r>
      <w:r>
        <w:br/>
      </w:r>
      <w:r>
        <w:t xml:space="preserve">Figure 2:</w:t>
      </w:r>
      <w:r>
        <w:t xml:space="preserve"> </w:t>
      </w:r>
      <w:r>
        <w:t xml:space="preserve">Estimated sources of hedging behaviour to 2030</w:t>
      </w:r>
    </w:p>
    <w:p>
      <w:pPr>
        <w:pStyle w:val="BodyText"/>
      </w:pPr>
      <w:r>
        <w:t xml:space="preserve">Source: European Commission (2021)</w:t>
      </w:r>
      <w:r>
        <w:t xml:space="preserve"> </w:t>
      </w:r>
      <w:r>
        <w:t xml:space="preserve">European Commission (2025), which surveys emerging challenges for the EU ETS, reinforces</w:t>
      </w:r>
      <w:r>
        <w:t xml:space="preserve"> </w:t>
      </w:r>
      <w:r>
        <w:t xml:space="preserve">these findings. As aggregate hedging needs trend down and become more heterogeneous, a</w:t>
      </w:r>
      <w:r>
        <w:t xml:space="preserve"> </w:t>
      </w:r>
      <w:r>
        <w:t xml:space="preserve">materially tighter cap and a changing market composition further increase the need to</w:t>
      </w:r>
      <w:r>
        <w:t xml:space="preserve"> </w:t>
      </w:r>
      <w:r>
        <w:t xml:space="preserve">recalibrate the MSR’s upper threshold. Specifically, the cap rebasing in 2024 and 2026 and</w:t>
      </w:r>
      <w:r>
        <w:t xml:space="preserve"> </w:t>
      </w:r>
      <w:r>
        <w:t xml:space="preserve">higher LRF shrink auction supply and overall market size, so that a given level of allowances</w:t>
      </w:r>
    </w:p>
    <w:p>
      <w:pPr>
        <w:pStyle w:val="BodyText"/>
      </w:pPr>
      <w:r>
        <w:t xml:space="preserve">70 See European Commission (2014).</w:t>
      </w:r>
      <w:r>
        <w:t xml:space="preserve"> </w:t>
      </w:r>
      <w:r>
        <w:t xml:space="preserve">71 The review’s discussion of potential CBAM‑related effects predated the Commission’s CBAM proposal and</w:t>
      </w:r>
      <w:r>
        <w:t xml:space="preserve"> </w:t>
      </w:r>
      <w:r>
        <w:t xml:space="preserve">the version which was eventually adopted.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in circulation accounts for a larger share of the market than before and, in turn, has a stronger</w:t>
      </w:r>
      <w:r>
        <w:t xml:space="preserve"> </w:t>
      </w:r>
      <w:r>
        <w:t xml:space="preserve">influence on prices and liquidity.</w:t>
      </w:r>
      <w:r>
        <w:br/>
      </w:r>
      <w:r>
        <w:t xml:space="preserve">Aviation within the EEA has been covered since 2012 but any future changes could concern a</w:t>
      </w:r>
      <w:r>
        <w:t xml:space="preserve"> </w:t>
      </w:r>
      <w:r>
        <w:t xml:space="preserve">broader set of international aviation emissions being included in the EU ETS. The inclusion of</w:t>
      </w:r>
      <w:r>
        <w:t xml:space="preserve"> </w:t>
      </w:r>
      <w:r>
        <w:t xml:space="preserve">maritime transport has been underway since 2024, increasing gross compliance demand and</w:t>
      </w:r>
      <w:r>
        <w:t xml:space="preserve"> </w:t>
      </w:r>
      <w:r>
        <w:t xml:space="preserve">altering its pattern. Any further scope extensions would further reshape the composition and</w:t>
      </w:r>
      <w:r>
        <w:t xml:space="preserve"> </w:t>
      </w:r>
      <w:r>
        <w:t xml:space="preserve">timing of allowance demand and associated hedging.</w:t>
      </w:r>
      <w:r>
        <w:br/>
      </w:r>
      <w:r>
        <w:t xml:space="preserve">Non‑compliance entities (primarily financial actors) play a growing role in the EU ETS. They</w:t>
      </w:r>
      <w:r>
        <w:t xml:space="preserve"> </w:t>
      </w:r>
      <w:r>
        <w:t xml:space="preserve">provide liquidity, enable forward hedging, and warehouse allowances, helping compliance</w:t>
      </w:r>
      <w:r>
        <w:t xml:space="preserve"> </w:t>
      </w:r>
      <w:r>
        <w:t xml:space="preserve">entities manage risk.72 Their market participation also makes TNAC harder to read. Higher</w:t>
      </w:r>
      <w:r>
        <w:t xml:space="preserve"> </w:t>
      </w:r>
      <w:r>
        <w:t xml:space="preserve">holdings can reflect liquidity provision and forward‑looking banking rather than an excessive</w:t>
      </w:r>
      <w:r>
        <w:t xml:space="preserve"> </w:t>
      </w:r>
      <w:r>
        <w:t xml:space="preserve">surplus. In a tightening market, both the 2021 MSR review and European Commission (2025)</w:t>
      </w:r>
      <w:r>
        <w:t xml:space="preserve"> </w:t>
      </w:r>
      <w:r>
        <w:t xml:space="preserve">note that TNAC can rise without indicating “excess.” If the upper threshold is too high or static,</w:t>
      </w:r>
      <w:r>
        <w:t xml:space="preserve"> </w:t>
      </w:r>
      <w:r>
        <w:t xml:space="preserve">MSR action may be delayed.</w:t>
      </w:r>
      <w:r>
        <w:t xml:space="preserve"> </w:t>
      </w:r>
      <w:r>
        <w:t xml:space="preserve">Stakeholder interviews conducted for the current review also indicate that hedging behaviour</w:t>
      </w:r>
      <w:r>
        <w:t xml:space="preserve"> </w:t>
      </w:r>
      <w:r>
        <w:t xml:space="preserve">is evolving as the market tightens and its composition may shift over time. Some stakeholders</w:t>
      </w:r>
      <w:r>
        <w:t xml:space="preserve"> </w:t>
      </w:r>
      <w:r>
        <w:t xml:space="preserve">underscore that risk management covers pans both derivatives and physical banking, while</w:t>
      </w:r>
      <w:r>
        <w:t xml:space="preserve"> </w:t>
      </w:r>
      <w:r>
        <w:t xml:space="preserve">available datasets (e.g., Union Registry, Commitments of Traders report) only partially reveal</w:t>
      </w:r>
      <w:r>
        <w:t xml:space="preserve"> </w:t>
      </w:r>
      <w:r>
        <w:t xml:space="preserve">hedging volumes because intermediation obscures holdings.</w:t>
      </w:r>
      <w:r>
        <w:br/>
      </w:r>
      <w:r>
        <w:t xml:space="preserve">Likewise, in the OPC, the second most frequently raised potential change to the MSR, mainly</w:t>
      </w:r>
      <w:r>
        <w:t xml:space="preserve"> </w:t>
      </w:r>
      <w:r>
        <w:t xml:space="preserve">by businesses, was to make intake/release thresholds dynamic to reflect prevailing market</w:t>
      </w:r>
      <w:r>
        <w:t xml:space="preserve"> </w:t>
      </w:r>
      <w:r>
        <w:t xml:space="preserve">conditions (15% of responses), while 7% of responses, largely from NGOs, supported adjusting</w:t>
      </w:r>
      <w:r>
        <w:t xml:space="preserve"> </w:t>
      </w:r>
      <w:r>
        <w:t xml:space="preserve">fixed TNAC thresholds downward and 3% of responses, all businesses, upward.</w:t>
      </w:r>
      <w:r>
        <w:br/>
      </w:r>
      <w:r>
        <w:t xml:space="preserve">The upper buffer is the newest feature of the MSR. It was introduced in 2023 and came into</w:t>
      </w:r>
      <w:r>
        <w:t xml:space="preserve"> </w:t>
      </w:r>
      <w:r>
        <w:t xml:space="preserve">operation in 2024. It aims to mitigate the so-called threshold effect, whereby small changes in</w:t>
      </w:r>
      <w:r>
        <w:t xml:space="preserve"> </w:t>
      </w:r>
      <w:r>
        <w:t xml:space="preserve">TNAC, just above the trigger, could trigger disproportionately large MSR responses. The upper</w:t>
      </w:r>
      <w:r>
        <w:t xml:space="preserve"> </w:t>
      </w:r>
      <w:r>
        <w:t xml:space="preserve">buffer is currently set at 1096 million allowances but should in fact be seen as a function of the</w:t>
      </w:r>
      <w:r>
        <w:t xml:space="preserve"> </w:t>
      </w:r>
      <w:r>
        <w:t xml:space="preserve">upper threshold and the intake rate, calculated as</w:t>
      </w:r>
      <w:r>
        <w:t xml:space="preserve"> </w:t>
      </w:r>
      <w:r>
        <w:t xml:space="preserve">‘upper threshold / (1 – intake rate)’</w:t>
      </w:r>
      <w:r>
        <w:t xml:space="preserve">. The upper</w:t>
      </w:r>
      <w:r>
        <w:t xml:space="preserve"> </w:t>
      </w:r>
      <w:r>
        <w:t xml:space="preserve">buffer creates a graduated intake mechanism: when TNAC is in the buffer zone defined by the</w:t>
      </w:r>
      <w:r>
        <w:t xml:space="preserve"> </w:t>
      </w:r>
      <w:r>
        <w:t xml:space="preserve">upper buffer of 1096 million and the upper threshold of 833 million, intakes are calculated as</w:t>
      </w:r>
      <w:r>
        <w:t xml:space="preserve"> </w:t>
      </w:r>
      <w:r>
        <w:t xml:space="preserve">the difference between TNAC and the upper threshold, rather than the standard percentage-</w:t>
      </w:r>
      <w:r>
        <w:t xml:space="preserve"> </w:t>
      </w:r>
      <w:r>
        <w:t xml:space="preserve">based approach using the intake rate. It has not been applied as of 2025, as the 2024 TNAC</w:t>
      </w:r>
      <w:r>
        <w:t xml:space="preserve"> </w:t>
      </w:r>
      <w:r>
        <w:t xml:space="preserve">remained slightly above the upper buffer.</w:t>
      </w:r>
      <w:r>
        <w:t xml:space="preserve"> </w:t>
      </w:r>
      <w:r>
        <w:t xml:space="preserve">While the introduction of the upper buffer addresses the concerns about undue market volatility</w:t>
      </w:r>
      <w:r>
        <w:t xml:space="preserve"> </w:t>
      </w:r>
      <w:r>
        <w:t xml:space="preserve">due to the threshold effect, the specific parameter value will need to be reset if values of the</w:t>
      </w:r>
      <w:r>
        <w:t xml:space="preserve"> </w:t>
      </w:r>
      <w:r>
        <w:t xml:space="preserve">upper threshold and intake rate change. This is because the current buffer zone of 1096-to-833</w:t>
      </w:r>
      <w:r>
        <w:t xml:space="preserve"> </w:t>
      </w:r>
      <w:r>
        <w:t xml:space="preserve">million is constructed to ensure that intake volumes decline smoothly towards zero as TNAC</w:t>
      </w:r>
      <w:r>
        <w:t xml:space="preserve"> </w:t>
      </w:r>
      <w:r>
        <w:t xml:space="preserve">declines towards the upper threshold currently set at 833 million.</w:t>
      </w:r>
      <w:r>
        <w:br/>
      </w:r>
      <w:r>
        <w:t xml:space="preserve">Stakeholders generally view the introduction of the upper buffer zone positively. Although it</w:t>
      </w:r>
      <w:r>
        <w:t xml:space="preserve"> </w:t>
      </w:r>
      <w:r>
        <w:t xml:space="preserve">has not yet been activated, its presence reduces uncertainty arising from threshold effects. The</w:t>
      </w:r>
      <w:r>
        <w:t xml:space="preserve"> </w:t>
      </w:r>
      <w:r>
        <w:t xml:space="preserve">OPC responses were not directly relevant to the upper buffer, but rather emphasised threshold</w:t>
      </w:r>
    </w:p>
    <w:p>
      <w:pPr>
        <w:pStyle w:val="BodyText"/>
      </w:pPr>
      <w:r>
        <w:t xml:space="preserve">72 European Commission (2025) also cautions that increased participation by non-compliance (financial) actors</w:t>
      </w:r>
      <w:r>
        <w:t xml:space="preserve"> </w:t>
      </w:r>
      <w:r>
        <w:t xml:space="preserve">can exacerbate liquidity frictions and price volatility if technical trading and heterogeneous strategies driving</w:t>
      </w:r>
      <w:r>
        <w:t xml:space="preserve"> </w:t>
      </w:r>
      <w:r>
        <w:t xml:space="preserve">short-term moves become less anchored in fundamentals. It recommends closer monitoring and possible</w:t>
      </w:r>
      <w:r>
        <w:t xml:space="preserve"> </w:t>
      </w:r>
      <w:r>
        <w:t xml:space="preserve">safeguards (e.g., better trading data, volatility/liquidity indicators, and position/holding constraints) to</w:t>
      </w:r>
      <w:r>
        <w:t xml:space="preserve"> </w:t>
      </w:r>
      <w:r>
        <w:t xml:space="preserve">preserve market integrity and stability.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effects and symmetry. In the design-change question, 5% of respondents proposed adding a</w:t>
      </w:r>
      <w:r>
        <w:t xml:space="preserve"> </w:t>
      </w:r>
      <w:r>
        <w:t xml:space="preserve">buffer also on the release side to avoid threshold effects. This could be considered consistent</w:t>
      </w:r>
      <w:r>
        <w:t xml:space="preserve"> </w:t>
      </w:r>
      <w:r>
        <w:t xml:space="preserve">with maintaining graduated intake around the trigger.</w:t>
      </w:r>
      <w:r>
        <w:t xml:space="preserve"> </w:t>
      </w:r>
      <w:r>
        <w:t xml:space="preserve">2.2. Intake rate</w:t>
      </w:r>
      <w:r>
        <w:t xml:space="preserve"> </w:t>
      </w:r>
      <w:r>
        <w:t xml:space="preserve">The intake rate determines the speed at which allowances are withdrawn when TNAC exceeds</w:t>
      </w:r>
      <w:r>
        <w:t xml:space="preserve"> </w:t>
      </w:r>
      <w:r>
        <w:t xml:space="preserve">the upper threshold. Until the 2023 revision, the rate had been on course to decline to 12% in</w:t>
      </w:r>
      <w:r>
        <w:t xml:space="preserve"> </w:t>
      </w:r>
      <w:r>
        <w:t xml:space="preserve">2024 but instead was maintained at 24% of TNAC (and applied only when TNAC is greater</w:t>
      </w:r>
      <w:r>
        <w:t xml:space="preserve"> </w:t>
      </w:r>
      <w:r>
        <w:t xml:space="preserve">than the upper buffer discussed above). Absent further revisions, the intake rate will remain</w:t>
      </w:r>
      <w:r>
        <w:t xml:space="preserve"> </w:t>
      </w:r>
      <w:r>
        <w:t xml:space="preserve">fixed at 24% until 2030 and revert to 12% thereafter. Given that the intake rate implicitly</w:t>
      </w:r>
      <w:r>
        <w:t xml:space="preserve"> </w:t>
      </w:r>
      <w:r>
        <w:t xml:space="preserve">determines the width of the upper buffer zone, the reversion to 12% implied by the current</w:t>
      </w:r>
      <w:r>
        <w:t xml:space="preserve"> </w:t>
      </w:r>
      <w:r>
        <w:t xml:space="preserve">legislation would require the upper buffer to be reset to 947 million after 2030 from its currently</w:t>
      </w:r>
      <w:r>
        <w:t xml:space="preserve"> </w:t>
      </w:r>
      <w:r>
        <w:t xml:space="preserve">legislated value of 1096 million.</w:t>
      </w:r>
      <w:r>
        <w:t xml:space="preserve"> </w:t>
      </w:r>
      <w:r>
        <w:t xml:space="preserve">The intake rate is not a fixed number of allowances but a fixed share of TNAC. This means</w:t>
      </w:r>
      <w:r>
        <w:t xml:space="preserve"> </w:t>
      </w:r>
      <w:r>
        <w:t xml:space="preserve">that the volume of intakes changes in proportion to the TNAC and does not suffer from the</w:t>
      </w:r>
      <w:r>
        <w:t xml:space="preserve"> </w:t>
      </w:r>
      <w:r>
        <w:t xml:space="preserve">potential misalignment mentioned in the context of the upper threshold. At the same time, it is</w:t>
      </w:r>
      <w:r>
        <w:t xml:space="preserve"> </w:t>
      </w:r>
      <w:r>
        <w:t xml:space="preserve">useful to consider whether an amendment to the current arrangement is helpful. By adjusting</w:t>
      </w:r>
      <w:r>
        <w:t xml:space="preserve"> </w:t>
      </w:r>
      <w:r>
        <w:t xml:space="preserve">the rate at which excess surplus is reduced and width of the upper buffer zone, the intake rate</w:t>
      </w:r>
      <w:r>
        <w:t xml:space="preserve"> </w:t>
      </w:r>
      <w:r>
        <w:t xml:space="preserve">has important and complex implications for the auction volumes and the volume of allowances</w:t>
      </w:r>
      <w:r>
        <w:t xml:space="preserve"> </w:t>
      </w:r>
      <w:r>
        <w:t xml:space="preserve">in the MSR, holding all else constant. However, these implications are only realised if TNAC</w:t>
      </w:r>
      <w:r>
        <w:t xml:space="preserve"> </w:t>
      </w:r>
      <w:r>
        <w:t xml:space="preserve">is above the upper threshold. Moreover, it is difficult to gauge the extent to which the</w:t>
      </w:r>
      <w:r>
        <w:t xml:space="preserve"> </w:t>
      </w:r>
      <w:r>
        <w:t xml:space="preserve">expectations of the market participants reflect the already legislated decline from 24% to 12%</w:t>
      </w:r>
      <w:r>
        <w:t xml:space="preserve"> </w:t>
      </w:r>
      <w:r>
        <w:t xml:space="preserve">in 2030.</w:t>
      </w:r>
      <w:r>
        <w:br/>
      </w:r>
      <w:r>
        <w:t xml:space="preserve">European Commission (2014) assessed establishing an MSR featuring a percentage‑based</w:t>
      </w:r>
      <w:r>
        <w:t xml:space="preserve"> </w:t>
      </w:r>
      <w:r>
        <w:t xml:space="preserve">intake linked to the TNAC and analysed alternative trigger levels, intake sizes, and timing, in</w:t>
      </w:r>
      <w:r>
        <w:t xml:space="preserve"> </w:t>
      </w:r>
      <w:r>
        <w:t xml:space="preserve">order to ensure adjustments would be sufficiently material to address surplus while avoiding</w:t>
      </w:r>
      <w:r>
        <w:t xml:space="preserve"> </w:t>
      </w:r>
      <w:r>
        <w:t xml:space="preserve">excessive volatility. The 2021 MSR Review advised retaining a rule-based intake but reforming</w:t>
      </w:r>
      <w:r>
        <w:t xml:space="preserve"> </w:t>
      </w:r>
      <w:r>
        <w:t xml:space="preserve">its operation to scale with the marginal surplus above the upper threshold, recommending that</w:t>
      </w:r>
      <w:r>
        <w:t xml:space="preserve"> </w:t>
      </w:r>
      <w:r>
        <w:t xml:space="preserve">intakes remove roughly one third to one half of the marginal surplus in each intake period.</w:t>
      </w:r>
      <w:r>
        <w:t xml:space="preserve"> </w:t>
      </w:r>
      <w:r>
        <w:t xml:space="preserve">European Commission (2025) notes that the co-legislators prolonged the increased annual</w:t>
      </w:r>
      <w:r>
        <w:t xml:space="preserve"> </w:t>
      </w:r>
      <w:r>
        <w:t xml:space="preserve">MSR intake rate of 24% beyond 2023 and highlights that, as the cap tightens and hedging</w:t>
      </w:r>
      <w:r>
        <w:t xml:space="preserve"> </w:t>
      </w:r>
      <w:r>
        <w:t xml:space="preserve">demand evolves, future calibration of MSR parameters should be considered to ensure</w:t>
      </w:r>
      <w:r>
        <w:t xml:space="preserve"> </w:t>
      </w:r>
      <w:r>
        <w:t xml:space="preserve">responsiveness in a structurally scarcer market.</w:t>
      </w:r>
      <w:r>
        <w:br/>
      </w:r>
      <w:r>
        <w:t xml:space="preserve">Stakeholder interviews conducted as part of this impact assessment indicate mixed opinions</w:t>
      </w:r>
      <w:r>
        <w:t xml:space="preserve"> </w:t>
      </w:r>
      <w:r>
        <w:t xml:space="preserve">with some stakeholders favouring to maintaining the intake rate, at 24% for continuity and</w:t>
      </w:r>
      <w:r>
        <w:t xml:space="preserve"> </w:t>
      </w:r>
      <w:r>
        <w:t xml:space="preserve">predictability, while others are open to amendments regarding how the rate is applied to</w:t>
      </w:r>
      <w:r>
        <w:t xml:space="preserve"> </w:t>
      </w:r>
      <w:r>
        <w:t xml:space="preserve">improve responsiveness. Those favouring to maintain the intake rate at 24% consider that it</w:t>
      </w:r>
      <w:r>
        <w:t xml:space="preserve"> </w:t>
      </w:r>
      <w:r>
        <w:t xml:space="preserve">provides reassurance that if a large excess surplus accumulates once again in the future, it will</w:t>
      </w:r>
      <w:r>
        <w:t xml:space="preserve"> </w:t>
      </w:r>
      <w:r>
        <w:t xml:space="preserve">be removed rapidly. It should also be noted that the intake rate becomes a less relevant</w:t>
      </w:r>
      <w:r>
        <w:t xml:space="preserve"> </w:t>
      </w:r>
      <w:r>
        <w:t xml:space="preserve">parameter over time, as the EU ETS moves from a period of surplus, where high intake rates</w:t>
      </w:r>
      <w:r>
        <w:t xml:space="preserve"> </w:t>
      </w:r>
      <w:r>
        <w:t xml:space="preserve">allow for a fast reduction of the surplus to a period of market tightness where the MSR will</w:t>
      </w:r>
      <w:r>
        <w:t xml:space="preserve"> </w:t>
      </w:r>
      <w:r>
        <w:t xml:space="preserve">start to release allowances to provide additional liquidity to the market.</w:t>
      </w:r>
      <w:r>
        <w:br/>
      </w:r>
      <w:r>
        <w:t xml:space="preserve">In the OPC, respondents were overall more focused on adjustments to other parameters, with</w:t>
      </w:r>
      <w:r>
        <w:t xml:space="preserve"> </w:t>
      </w:r>
      <w:r>
        <w:t xml:space="preserve">only a limited number of responses related to the intake rate. Overall, the OPC points to</w:t>
      </w:r>
      <w:r>
        <w:t xml:space="preserve"> </w:t>
      </w:r>
      <w:r>
        <w:t xml:space="preserve">retaining a rule based intake and concentrating any revisions on threshold calibration and the</w:t>
      </w:r>
      <w:r>
        <w:t xml:space="preserve"> </w:t>
      </w:r>
      <w:r>
        <w:t xml:space="preserve">timing of adjustments rather than altering the intake rate.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2.3. Lower threshold</w:t>
      </w:r>
      <w:r>
        <w:t xml:space="preserve"> </w:t>
      </w:r>
      <w:r>
        <w:t xml:space="preserve">When TNAC falls below the lower threshold of 400 million allowances, the release of</w:t>
      </w:r>
      <w:r>
        <w:t xml:space="preserve"> </w:t>
      </w:r>
      <w:r>
        <w:t xml:space="preserve">allowances from the MSR back into the market is triggered. This parameter aims to prevent the</w:t>
      </w:r>
      <w:r>
        <w:t xml:space="preserve"> </w:t>
      </w:r>
      <w:r>
        <w:t xml:space="preserve">emergence of a shortage (i.e. less liquidity in the market than is consistent with a healthy</w:t>
      </w:r>
      <w:r>
        <w:t xml:space="preserve"> </w:t>
      </w:r>
      <w:r>
        <w:t xml:space="preserve">supply-demand balance) that could undermine efficient price formation and preclude the</w:t>
      </w:r>
      <w:r>
        <w:t xml:space="preserve"> </w:t>
      </w:r>
      <w:r>
        <w:t xml:space="preserve">realisation of mutually beneficial allowance trades. As the composition and nature of allowance</w:t>
      </w:r>
      <w:r>
        <w:t xml:space="preserve"> </w:t>
      </w:r>
      <w:r>
        <w:t xml:space="preserve">demand evolve and the market landscape changes with new sectors, participants, and rules, this</w:t>
      </w:r>
      <w:r>
        <w:t xml:space="preserve"> </w:t>
      </w:r>
      <w:r>
        <w:t xml:space="preserve">threshold may require adjustment to maintain appropriate liquidity buffers.</w:t>
      </w:r>
      <w:r>
        <w:br/>
      </w:r>
      <w:r>
        <w:t xml:space="preserve">Moreover, like the upper threshold, the notion of a healthy supply-demand balance also</w:t>
      </w:r>
      <w:r>
        <w:t xml:space="preserve"> </w:t>
      </w:r>
      <w:r>
        <w:t xml:space="preserve">depends on the size of the market, which in turn is determined by rapidly declining annual caps</w:t>
      </w:r>
      <w:r>
        <w:t xml:space="preserve"> </w:t>
      </w:r>
      <w:r>
        <w:t xml:space="preserve">and emissions of covered sectors. Therefore, keeping the lower threshold fixed at 400 million</w:t>
      </w:r>
      <w:r>
        <w:t xml:space="preserve"> </w:t>
      </w:r>
      <w:r>
        <w:t xml:space="preserve">may imply that that in the future the MSR is called into action even when there is no shortage</w:t>
      </w:r>
      <w:r>
        <w:t xml:space="preserve"> </w:t>
      </w:r>
      <w:r>
        <w:t xml:space="preserve">in the allowance market. Therefore, a dyn</w:t>
      </w:r>
      <w:r>
        <w:t xml:space="preserve"> </w:t>
      </w:r>
      <w:r>
        <w:t xml:space="preserve">amic and declining lower threshold can be considered in a manner similar to and consistent</w:t>
      </w:r>
      <w:r>
        <w:t xml:space="preserve"> </w:t>
      </w:r>
      <w:r>
        <w:t xml:space="preserve">with the approach taken for the upper threshold. Another important consideration regarding the</w:t>
      </w:r>
      <w:r>
        <w:t xml:space="preserve"> </w:t>
      </w:r>
      <w:r>
        <w:t xml:space="preserve">lower threshold is the potential emergence of destabilising threshold effects in the future, as in</w:t>
      </w:r>
      <w:r>
        <w:t xml:space="preserve"> </w:t>
      </w:r>
      <w:r>
        <w:t xml:space="preserve">the case of the upper threshold and buffer discussed above.</w:t>
      </w:r>
      <w:r>
        <w:t xml:space="preserve"> </w:t>
      </w:r>
      <w:r>
        <w:t xml:space="preserve">Stakeholder interviews conducted for the review emphasise aligning the lower threshold with</w:t>
      </w:r>
      <w:r>
        <w:t xml:space="preserve"> </w:t>
      </w:r>
      <w:r>
        <w:t xml:space="preserve">the logic applied to the upper threshold as the market shrinks and structural scarcity emerges.</w:t>
      </w:r>
      <w:r>
        <w:t xml:space="preserve"> </w:t>
      </w:r>
      <w:r>
        <w:t xml:space="preserve">Interviewees propose that the lower threshold should decline over time to remain proportionate</w:t>
      </w:r>
      <w:r>
        <w:t xml:space="preserve"> </w:t>
      </w:r>
      <w:r>
        <w:t xml:space="preserve">to market size and consistent with a healthy supply-demand balance.</w:t>
      </w:r>
      <w:r>
        <w:br/>
      </w:r>
      <w:r>
        <w:t xml:space="preserve">2.4. Release rates (general and Article 29a)</w:t>
      </w:r>
      <w:r>
        <w:t xml:space="preserve"> </w:t>
      </w:r>
      <w:r>
        <w:t xml:space="preserve">The release rate of 100 million allowances per year governs the speed at which the MSR</w:t>
      </w:r>
      <w:r>
        <w:t xml:space="preserve"> </w:t>
      </w:r>
      <w:r>
        <w:t xml:space="preserve">responds to shortages. While this rate was designed to provide liquidity relief by guiding the</w:t>
      </w:r>
      <w:r>
        <w:t xml:space="preserve"> </w:t>
      </w:r>
      <w:r>
        <w:t xml:space="preserve">TNAC back towards a healthy supply-demand balance, there are three potential issues.</w:t>
      </w:r>
      <w:r>
        <w:br/>
      </w:r>
      <w:r>
        <w:t xml:space="preserve">First, the release of 100 million allowances may become excessive relative to the declining</w:t>
      </w:r>
      <w:r>
        <w:t xml:space="preserve"> </w:t>
      </w:r>
      <w:r>
        <w:t xml:space="preserve">overall market size. Second, the release of allowances may arrive too late to address demand</w:t>
      </w:r>
      <w:r>
        <w:t xml:space="preserve"> </w:t>
      </w:r>
      <w:r>
        <w:t xml:space="preserve">changes particularly in a potentially more volatile post-2030 market environment. Third, the</w:t>
      </w:r>
      <w:r>
        <w:t xml:space="preserve"> </w:t>
      </w:r>
      <w:r>
        <w:t xml:space="preserve">releases from the reserve are limited by the number of allowances in the MSR which are</w:t>
      </w:r>
      <w:r>
        <w:t xml:space="preserve"> </w:t>
      </w:r>
      <w:r>
        <w:t xml:space="preserve">currently fixed at 400 million. Consequently, under the status quo MSR will be empty after at</w:t>
      </w:r>
      <w:r>
        <w:t xml:space="preserve"> </w:t>
      </w:r>
      <w:r>
        <w:t xml:space="preserve">most four instances of TNAC being below the lower threshold or less if Article 29a release is</w:t>
      </w:r>
      <w:r>
        <w:t xml:space="preserve"> </w:t>
      </w:r>
      <w:r>
        <w:t xml:space="preserve">also triggered at some point in the future. This is because there is currently no provision for</w:t>
      </w:r>
      <w:r>
        <w:t xml:space="preserve"> </w:t>
      </w:r>
      <w:r>
        <w:t xml:space="preserve">replenishing the MSR.</w:t>
      </w:r>
      <w:r>
        <w:t xml:space="preserve"> </w:t>
      </w:r>
      <w:r>
        <w:t xml:space="preserve">The OPC did not contain questions directly related to the fixed release rate of 75 million</w:t>
      </w:r>
      <w:r>
        <w:t xml:space="preserve"> </w:t>
      </w:r>
      <w:r>
        <w:t xml:space="preserve">allowances per year. The responses rather point to adjacent design elements that affect releases.</w:t>
      </w:r>
      <w:r>
        <w:br/>
      </w:r>
      <w:r>
        <w:t xml:space="preserve">Article 29a of the EU ETS Directive outlines a mechanism for releasing allowances from the</w:t>
      </w:r>
      <w:r>
        <w:t xml:space="preserve"> </w:t>
      </w:r>
      <w:r>
        <w:t xml:space="preserve">MSR when the carbon price increases rapidly or is subject to important price fluctuations. This</w:t>
      </w:r>
      <w:r>
        <w:t xml:space="preserve"> </w:t>
      </w:r>
      <w:r>
        <w:t xml:space="preserve">release is triggered if the average price of allowances over a six-month period exceeds 2.4 times</w:t>
      </w:r>
      <w:r>
        <w:t xml:space="preserve"> </w:t>
      </w:r>
      <w:r>
        <w:t xml:space="preserve">the average price of the preceding two years, provided no allowances are simultaneously being</w:t>
      </w:r>
      <w:r>
        <w:t xml:space="preserve"> </w:t>
      </w:r>
      <w:r>
        <w:t xml:space="preserve">released due to TNAC being below 400 million. When triggered, 75 million allowances are</w:t>
      </w:r>
      <w:r>
        <w:t xml:space="preserve"> </w:t>
      </w:r>
      <w:r>
        <w:t xml:space="preserve">released from the MSR and added to the quantity to be auctioned, unless the reserve holds</w:t>
      </w:r>
      <w:r>
        <w:t xml:space="preserve"> </w:t>
      </w:r>
      <w:r>
        <w:t xml:space="preserve">fewer than 75 million allowances, in which case the entire amount is released. This release</w:t>
      </w:r>
      <w:r>
        <w:t xml:space="preserve"> </w:t>
      </w:r>
      <w:r>
        <w:t xml:space="preserve">occurs gradually over three months, starting no later than two months after the Commission</w:t>
      </w:r>
      <w:r>
        <w:t xml:space="preserve"> </w:t>
      </w:r>
      <w:r>
        <w:t xml:space="preserve">confirms the price trigger condition, and follows the same allocation among Member States as</w:t>
      </w:r>
      <w:r>
        <w:t xml:space="preserve"> </w:t>
      </w:r>
      <w:r>
        <w:t xml:space="preserve">when the allowances were initially placed in the reserve.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The release volume being fixed may provide certainty and predictability to the market</w:t>
      </w:r>
      <w:r>
        <w:t xml:space="preserve"> </w:t>
      </w:r>
      <w:r>
        <w:t xml:space="preserve">participants when the mechanism is triggered. At the same time, as the cap and allowance</w:t>
      </w:r>
      <w:r>
        <w:t xml:space="preserve"> </w:t>
      </w:r>
      <w:r>
        <w:t xml:space="preserve">supply decline, the effects of the fixed volume become greater. Therefore, it could be argued</w:t>
      </w:r>
      <w:r>
        <w:t xml:space="preserve"> </w:t>
      </w:r>
      <w:r>
        <w:t xml:space="preserve">that, in order to maintain the existing effect of article 29a when cap and supply decline, the</w:t>
      </w:r>
      <w:r>
        <w:t xml:space="preserve"> </w:t>
      </w:r>
      <w:r>
        <w:t xml:space="preserve">fixed volume may need to be amended/reduced to avoid that too many allowances are released</w:t>
      </w:r>
      <w:r>
        <w:t xml:space="preserve"> </w:t>
      </w:r>
      <w:r>
        <w:t xml:space="preserve">(overshooting, the intended correction) given the overall lower volumes. On the other hand,</w:t>
      </w:r>
      <w:r>
        <w:t xml:space="preserve"> </w:t>
      </w:r>
      <w:r>
        <w:t xml:space="preserve">maintaining the current release rate, at least until the next review in 2031, could be justified by</w:t>
      </w:r>
      <w:r>
        <w:t xml:space="preserve"> </w:t>
      </w:r>
      <w:r>
        <w:t xml:space="preserve">the fact that this mechanism is aimed at addressing exceptional circumstances of excessively</w:t>
      </w:r>
      <w:r>
        <w:t xml:space="preserve"> </w:t>
      </w:r>
      <w:r>
        <w:t xml:space="preserve">high price movements, so the mechanism would need to be effective enough to tackle such</w:t>
      </w:r>
      <w:r>
        <w:t xml:space="preserve"> </w:t>
      </w:r>
      <w:r>
        <w:t xml:space="preserve">situations.</w:t>
      </w:r>
      <w:r>
        <w:br/>
      </w:r>
      <w:r>
        <w:t xml:space="preserve">A very large majority of stakeholders which expressed views on the EU ETS and the MSR</w:t>
      </w:r>
      <w:r>
        <w:t xml:space="preserve"> </w:t>
      </w:r>
      <w:r>
        <w:t xml:space="preserve">through the OPC and position papers did not express a specific position on the Article 29a</w:t>
      </w:r>
      <w:r>
        <w:t xml:space="preserve"> </w:t>
      </w:r>
      <w:r>
        <w:t xml:space="preserve">release mechanism, suggesting low or no need for a revision. The OPC did not contain</w:t>
      </w:r>
      <w:r>
        <w:t xml:space="preserve"> </w:t>
      </w:r>
      <w:r>
        <w:t xml:space="preserve">questions directly related to Article 29a and as a result, direct references to Article 29a in the</w:t>
      </w:r>
      <w:r>
        <w:t xml:space="preserve"> </w:t>
      </w:r>
      <w:r>
        <w:t xml:space="preserve">OPC results were limited.</w:t>
      </w:r>
      <w:r>
        <w:br/>
      </w:r>
      <w:r>
        <w:t xml:space="preserve">2.5. Invalidation threshold</w:t>
      </w:r>
      <w:r>
        <w:t xml:space="preserve"> </w:t>
      </w:r>
      <w:r>
        <w:t xml:space="preserve">The invalidation threshold, fixed at 400 million allowances since 2023, determines the</w:t>
      </w:r>
      <w:r>
        <w:t xml:space="preserve"> </w:t>
      </w:r>
      <w:r>
        <w:t xml:space="preserve">maximum number of allowances that can be held in the MSR. Permanent invalidation is a</w:t>
      </w:r>
      <w:r>
        <w:t xml:space="preserve"> </w:t>
      </w:r>
      <w:r>
        <w:t xml:space="preserve">critical element of the MSR design as it influences the cumulative cap and auction revenues.73</w:t>
      </w:r>
      <w:r>
        <w:t xml:space="preserve"> </w:t>
      </w:r>
      <w:r>
        <w:t xml:space="preserve">This mechanism ensures that the MSR does not become an indefinite storage facility of an</w:t>
      </w:r>
      <w:r>
        <w:t xml:space="preserve"> </w:t>
      </w:r>
      <w:r>
        <w:t xml:space="preserve">ever-growing number of allowances and establishes a fixed upper bound on the number of</w:t>
      </w:r>
      <w:r>
        <w:t xml:space="preserve"> </w:t>
      </w:r>
      <w:r>
        <w:t xml:space="preserve">allowances that can be released to achieve the MSR’s objectives. However, the fixed nature of</w:t>
      </w:r>
      <w:r>
        <w:t xml:space="preserve"> </w:t>
      </w:r>
      <w:r>
        <w:t xml:space="preserve">this threshold may not align optimally with evolving market needs, the declining cap trajectory,</w:t>
      </w:r>
      <w:r>
        <w:t xml:space="preserve"> </w:t>
      </w:r>
      <w:r>
        <w:t xml:space="preserve">hence future scarcity of allowances. As outlined above, the invalidation mechanism directly</w:t>
      </w:r>
      <w:r>
        <w:t xml:space="preserve"> </w:t>
      </w:r>
      <w:r>
        <w:t xml:space="preserve">interacts with the release rate to determine the maximum duration the MSR can provide future</w:t>
      </w:r>
      <w:r>
        <w:t xml:space="preserve"> </w:t>
      </w:r>
      <w:r>
        <w:t xml:space="preserve">market interventions.74 Increasing the invalidation threshold or removing it altogether, all else</w:t>
      </w:r>
      <w:r>
        <w:t xml:space="preserve"> </w:t>
      </w:r>
      <w:r>
        <w:t xml:space="preserve">constant, would allow for a bigger pool of allowances in the reserve and provide more</w:t>
      </w:r>
      <w:r>
        <w:t xml:space="preserve"> </w:t>
      </w:r>
      <w:r>
        <w:t xml:space="preserve">flexibility in case of future liquidity problems. Given that it is projected that it there are only a</w:t>
      </w:r>
      <w:r>
        <w:t xml:space="preserve"> </w:t>
      </w:r>
      <w:r>
        <w:t xml:space="preserve">few years of future intakes by the MSR in the period 2027-2028 that may be subject to</w:t>
      </w:r>
      <w:r>
        <w:t xml:space="preserve"> </w:t>
      </w:r>
      <w:r>
        <w:t xml:space="preserve">invalidation, it is recommended that any changes to the invalidation mechanism are</w:t>
      </w:r>
      <w:r>
        <w:t xml:space="preserve"> </w:t>
      </w:r>
      <w:r>
        <w:t xml:space="preserve">implemented in the short term to maximise the impact of preserving allowances in the MSR</w:t>
      </w:r>
      <w:r>
        <w:t xml:space="preserve"> </w:t>
      </w:r>
      <w:r>
        <w:t xml:space="preserve">for future release beyond 2030.</w:t>
      </w:r>
      <w:r>
        <w:t xml:space="preserve"> </w:t>
      </w:r>
      <w:r>
        <w:t xml:space="preserve">The evaluation of the MSR finds that the invalidation mechanism has successfully fulfilled its</w:t>
      </w:r>
      <w:r>
        <w:t xml:space="preserve"> </w:t>
      </w:r>
      <w:r>
        <w:t xml:space="preserve">original purpose of eliminating the historical surplus of allowances that accumulated in the</w:t>
      </w:r>
      <w:r>
        <w:t xml:space="preserve"> </w:t>
      </w:r>
      <w:r>
        <w:t xml:space="preserve">early years of the EU ETS, thereby restoring confidence in the system and supporting a robust</w:t>
      </w:r>
      <w:r>
        <w:t xml:space="preserve"> </w:t>
      </w:r>
      <w:r>
        <w:t xml:space="preserve">carbon price signal. Given the evolving market context, a case can be made for discontinuing</w:t>
      </w:r>
      <w:r>
        <w:t xml:space="preserve"> </w:t>
      </w:r>
      <w:r>
        <w:t xml:space="preserve">the invalidation mechanism entirely because future invalidations may be counterproductive to</w:t>
      </w:r>
      <w:r>
        <w:t xml:space="preserve"> </w:t>
      </w:r>
      <w:r>
        <w:t xml:space="preserve">evolving market stability needs. Allowing a greater number of allowances to remain in the</w:t>
      </w:r>
      <w:r>
        <w:t xml:space="preserve"> </w:t>
      </w:r>
      <w:r>
        <w:t xml:space="preserve">MSR rather than invalidating them could provide an essential liquidity buffer for managing</w:t>
      </w:r>
      <w:r>
        <w:t xml:space="preserve"> </w:t>
      </w:r>
      <w:r>
        <w:t xml:space="preserve">future market tightness in the mid-2030s and beyond.</w:t>
      </w:r>
      <w:r>
        <w:t xml:space="preserve"> </w:t>
      </w:r>
      <w:r>
        <w:t xml:space="preserve">The potential integration of carbon removals into the EU ETS further complicates the calculus</w:t>
      </w:r>
      <w:r>
        <w:t xml:space="preserve"> </w:t>
      </w:r>
      <w:r>
        <w:t xml:space="preserve">around the invalidation mechanism. Maintaining a greater number of allowances as a strategic</w:t>
      </w:r>
      <w:r>
        <w:t xml:space="preserve"> </w:t>
      </w:r>
      <w:r>
        <w:t xml:space="preserve">reserve could provide a more reliable backstop for market interventions than relying solely on</w:t>
      </w:r>
      <w:r>
        <w:t xml:space="preserve"> </w:t>
      </w:r>
      <w:r>
        <w:t xml:space="preserve">uncertain removal deliveries. This approach would allow the MSR to serve as a stabilizing</w:t>
      </w:r>
    </w:p>
    <w:p>
      <w:pPr>
        <w:pStyle w:val="BodyText"/>
      </w:pPr>
      <w:r>
        <w:t xml:space="preserve">73 See European Commission (2014a), European Commission (2014b), Taschini &amp; Kollerberg (2019) and</w:t>
      </w:r>
      <w:r>
        <w:t xml:space="preserve"> </w:t>
      </w:r>
      <w:r>
        <w:t xml:space="preserve">Osario et al (2021).</w:t>
      </w:r>
      <w:r>
        <w:t xml:space="preserve"> </w:t>
      </w:r>
      <w:r>
        <w:t xml:space="preserve">74 In the future, a potential introduction of a lower buffer zone would also affect this duration.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force during potential supply shortages in the late 2030s and early 2040s, when allowance</w:t>
      </w:r>
      <w:r>
        <w:t xml:space="preserve"> </w:t>
      </w:r>
      <w:r>
        <w:t xml:space="preserve">scarcity may otherwise drive sharp price increases that could undermine market functioning</w:t>
      </w:r>
      <w:r>
        <w:t xml:space="preserve"> </w:t>
      </w:r>
      <w:r>
        <w:t xml:space="preserve">and investment predictability.</w:t>
      </w:r>
      <w:r>
        <w:t xml:space="preserve"> </w:t>
      </w:r>
      <w:r>
        <w:t xml:space="preserve">Perspectives of stakeholders interviewed regarding the invalidation mechanism reveal</w:t>
      </w:r>
      <w:r>
        <w:t xml:space="preserve"> </w:t>
      </w:r>
      <w:r>
        <w:t xml:space="preserve">disagreements about its continued relevance and implementation.</w:t>
      </w:r>
      <w:r>
        <w:br/>
      </w:r>
      <w:r>
        <w:t xml:space="preserve">Likewise, in the OPC, the potential change to the MSR most frequently raised, in close to a</w:t>
      </w:r>
      <w:r>
        <w:t xml:space="preserve"> </w:t>
      </w:r>
      <w:r>
        <w:t xml:space="preserve">quarter of responses, mainly by businesses, was to adjust the invalidation rule for holdings in</w:t>
      </w:r>
      <w:r>
        <w:t xml:space="preserve"> </w:t>
      </w:r>
      <w:r>
        <w:t xml:space="preserve">the reserve above 400 million.</w:t>
      </w:r>
      <w:r>
        <w:t xml:space="preserve"> </w:t>
      </w:r>
      <w:r>
        <w:t xml:space="preserve">2.6. Market Stability Reserve revision scope</w:t>
      </w:r>
      <w:r>
        <w:t xml:space="preserve"> </w:t>
      </w:r>
      <w:r>
        <w:t xml:space="preserve">The accumulated evidence from recent academic as well as stakeholder outreach indicates</w:t>
      </w:r>
      <w:r>
        <w:t xml:space="preserve"> </w:t>
      </w:r>
      <w:r>
        <w:t xml:space="preserve">potential benefits from revising the MSR to enhance its effectiveness in the evolving market</w:t>
      </w:r>
      <w:r>
        <w:t xml:space="preserve"> </w:t>
      </w:r>
      <w:r>
        <w:t xml:space="preserve">landscape. However, the question on the extent of these revisions requires careful consideration</w:t>
      </w:r>
      <w:r>
        <w:t xml:space="preserve"> </w:t>
      </w:r>
      <w:r>
        <w:t xml:space="preserve">of the trade-offs between preserving the MSR’s proven track record and adapting it to</w:t>
      </w:r>
      <w:r>
        <w:t xml:space="preserve"> </w:t>
      </w:r>
      <w:r>
        <w:t xml:space="preserve">fundamentally different market conditions and challenges.</w:t>
      </w:r>
      <w:r>
        <w:br/>
      </w:r>
      <w:r>
        <w:t xml:space="preserve">Different conceptions of MSR revision can be organised along a spectrum from operational to</w:t>
      </w:r>
      <w:r>
        <w:t xml:space="preserve"> </w:t>
      </w:r>
      <w:r>
        <w:t xml:space="preserve">fundamental changes, though this distinction represents a continuum rather than discrete</w:t>
      </w:r>
      <w:r>
        <w:t xml:space="preserve"> </w:t>
      </w:r>
      <w:r>
        <w:t xml:space="preserve">categories. Moving towards the more fundamental end are novel innovations that would</w:t>
      </w:r>
      <w:r>
        <w:t xml:space="preserve"> </w:t>
      </w:r>
      <w:r>
        <w:t xml:space="preserve">transform the MSR’s core function. An important consideration in this context is the need for</w:t>
      </w:r>
      <w:r>
        <w:t xml:space="preserve"> </w:t>
      </w:r>
      <w:r>
        <w:t xml:space="preserve">simplification and continuity. Therefore, the next section develops the measures which span</w:t>
      </w:r>
      <w:r>
        <w:t xml:space="preserve"> </w:t>
      </w:r>
      <w:r>
        <w:t xml:space="preserve">this spectrum focusing on the operational end.75</w:t>
      </w:r>
      <w:r>
        <w:br/>
      </w:r>
      <w:r>
        <w:t xml:space="preserve">3. POLICY MEASURES FOR THE MARKET STABILITY RESERVE</w:t>
      </w:r>
      <w:r>
        <w:t xml:space="preserve"> </w:t>
      </w:r>
      <w:r>
        <w:t xml:space="preserve">This section describes the specific measures assessed for the current review, to study the</w:t>
      </w:r>
      <w:r>
        <w:t xml:space="preserve"> </w:t>
      </w:r>
      <w:r>
        <w:t xml:space="preserve">various MSR changes that may be implemented and become effective from 2028, i.e. the first</w:t>
      </w:r>
      <w:r>
        <w:t xml:space="preserve"> </w:t>
      </w:r>
      <w:r>
        <w:t xml:space="preserve">realistic date by which the EU legislative process can reasonably be expected to conclude. The</w:t>
      </w:r>
      <w:r>
        <w:t xml:space="preserve"> </w:t>
      </w:r>
      <w:r>
        <w:t xml:space="preserve">measures MSR1 to MSR3 presented below span the operational end of the reform spectrum</w:t>
      </w:r>
      <w:r>
        <w:t xml:space="preserve"> </w:t>
      </w:r>
      <w:r>
        <w:t xml:space="preserve">introduced in the previous section. The impact of these measures must be assessed against two</w:t>
      </w:r>
      <w:r>
        <w:t xml:space="preserve"> </w:t>
      </w:r>
      <w:r>
        <w:t xml:space="preserve">counterfactual scenarios MSR0 and MSR0+ which are motivated and described below.</w:t>
      </w:r>
      <w:r>
        <w:t xml:space="preserve"> </w:t>
      </w:r>
      <w:r>
        <w:t xml:space="preserve">3.1. Description of measures</w:t>
      </w:r>
      <w:r>
        <w:t xml:space="preserve"> </w:t>
      </w:r>
      <w:r>
        <w:t xml:space="preserve">3.1.1. Baseline</w:t>
      </w:r>
      <w:r>
        <w:t xml:space="preserve"> </w:t>
      </w:r>
      <w:r>
        <w:t xml:space="preserve">The baseline scenario for the current Impact Assessment forms the main reference point for the</w:t>
      </w:r>
      <w:r>
        <w:t xml:space="preserve"> </w:t>
      </w:r>
      <w:r>
        <w:t xml:space="preserve">policy option-level analysis undertaken in this report. It represents a legal default configuration,</w:t>
      </w:r>
      <w:r>
        <w:t xml:space="preserve"> </w:t>
      </w:r>
      <w:r>
        <w:t xml:space="preserve">strictly respecting the current legislation, in which the MSR parameters remain unchanged</w:t>
      </w:r>
      <w:r>
        <w:t xml:space="preserve"> </w:t>
      </w:r>
      <w:r>
        <w:t xml:space="preserve">compared to today (a detailed definition is provided in the main impact assessment report).</w:t>
      </w:r>
      <w:r>
        <w:t xml:space="preserve"> </w:t>
      </w:r>
      <w:r>
        <w:t xml:space="preserve">However, the currently legislated cap trajectory and MSR design could lead to a vastly over-</w:t>
      </w:r>
      <w:r>
        <w:t xml:space="preserve"> </w:t>
      </w:r>
      <w:r>
        <w:t xml:space="preserve">constrained system in the 2030s. This baseline is therefore not well suited to be used as a</w:t>
      </w:r>
      <w:r>
        <w:t xml:space="preserve"> </w:t>
      </w:r>
      <w:r>
        <w:t xml:space="preserve">starting point in the MSR measure-level analysis.</w:t>
      </w:r>
      <w:r>
        <w:br/>
      </w:r>
      <w:r>
        <w:t xml:space="preserve">To demonstrate this, the baseline scenario was simulated using the POLES-Enerdata model,</w:t>
      </w:r>
      <w:r>
        <w:t xml:space="preserve"> </w:t>
      </w:r>
      <w:r>
        <w:t xml:space="preserve">which calculates the EUA price evolution, based on a supply-demand equilibrium. Indexed</w:t>
      </w:r>
      <w:r>
        <w:t xml:space="preserve"> </w:t>
      </w:r>
      <w:r>
        <w:t xml:space="preserve">price curves are presented to illustrate overall annual price trends compared to 2028. Such</w:t>
      </w:r>
      <w:r>
        <w:t xml:space="preserve"> </w:t>
      </w:r>
      <w:r>
        <w:t xml:space="preserve">illustrations require careful interpretation as modelling relies on uncertain assumptions and</w:t>
      </w:r>
      <w:r>
        <w:t xml:space="preserve"> </w:t>
      </w:r>
      <w:r>
        <w:t xml:space="preserve">may not capture actual short term price movements, which can be driven by other factors</w:t>
      </w:r>
    </w:p>
    <w:p>
      <w:pPr>
        <w:pStyle w:val="BodyText"/>
      </w:pPr>
      <w:r>
        <w:t xml:space="preserve">75 These measures are designed and assessed with the aid of the POLES-Enerdata model. While the quantitative</w:t>
      </w:r>
      <w:r>
        <w:t xml:space="preserve"> </w:t>
      </w:r>
      <w:r>
        <w:t xml:space="preserve">assessment under the MSR does not include removals integration through the MSR, one such measure is</w:t>
      </w:r>
      <w:r>
        <w:t xml:space="preserve"> </w:t>
      </w:r>
      <w:r>
        <w:t xml:space="preserve">assessed qualitatively in Annex 8 sub-section on removals.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outside the scope of this assessment. The indexes are therefore used to show trends - such as</w:t>
      </w:r>
      <w:r>
        <w:t xml:space="preserve"> </w:t>
      </w:r>
      <w:r>
        <w:t xml:space="preserve">relative annual price increases and directional movements - and to serve as a comparison</w:t>
      </w:r>
      <w:r>
        <w:t xml:space="preserve"> </w:t>
      </w:r>
      <w:r>
        <w:t xml:space="preserve">framework across measures, rather than to deliver precise price forecasts. This approach</w:t>
      </w:r>
      <w:r>
        <w:t xml:space="preserve"> </w:t>
      </w:r>
      <w:r>
        <w:t xml:space="preserve">applies to all measures modelled in Annex 8.</w:t>
      </w:r>
      <w:r>
        <w:br/>
      </w:r>
      <w:r>
        <w:t xml:space="preserve">As shown on Figure 3 below, baseline scenario exhibits a modest price increase until 2030,</w:t>
      </w:r>
      <w:r>
        <w:t xml:space="preserve"> </w:t>
      </w:r>
      <w:r>
        <w:t xml:space="preserve">followed by a steeper rise in 2035 and a significant price spike in 2040.</w:t>
      </w:r>
      <w:r>
        <w:t xml:space="preserve"> </w:t>
      </w:r>
      <w:r>
        <w:t xml:space="preserve">Figure 3:</w:t>
      </w:r>
      <w:r>
        <w:t xml:space="preserve"> </w:t>
      </w:r>
      <w:r>
        <w:t xml:space="preserve">Baseline scenario - EUA indexed price evolution</w:t>
      </w:r>
    </w:p>
    <w:p>
      <w:pPr>
        <w:pStyle w:val="BodyText"/>
      </w:pPr>
      <w:r>
        <w:t xml:space="preserve">Source: POLES-Enerdata model run - baseline scenario</w:t>
      </w:r>
      <w:r>
        <w:t xml:space="preserve"> </w:t>
      </w:r>
      <w:r>
        <w:t xml:space="preserve">The TNAC evolution shows a counter-intuitive trajectory in this baseline, with a phase of slow</w:t>
      </w:r>
      <w:r>
        <w:t xml:space="preserve"> </w:t>
      </w:r>
      <w:r>
        <w:t xml:space="preserve">increase between 2030 and 2036, before starting to significantly decrease. With a high</w:t>
      </w:r>
      <w:r>
        <w:t xml:space="preserve"> </w:t>
      </w:r>
      <w:r>
        <w:t xml:space="preserve">constraint on the market, and with such a price, the expectations would be for the TNAC to</w:t>
      </w:r>
      <w:r>
        <w:t xml:space="preserve"> </w:t>
      </w:r>
      <w:r>
        <w:t xml:space="preserve">drop more quickly. This does not happen because, in the POLES-Enerdata model, actors have</w:t>
      </w:r>
      <w:r>
        <w:t xml:space="preserve"> </w:t>
      </w:r>
      <w:r>
        <w:t xml:space="preserve">an 8-year anticipation period, which forces them to plan for the future scarcity at all times. The</w:t>
      </w:r>
      <w:r>
        <w:t xml:space="preserve"> </w:t>
      </w:r>
      <w:r>
        <w:t xml:space="preserve">increasing TNAC up to 2036 is therefore explained by actors anticipating that future scarcity</w:t>
      </w:r>
      <w:r>
        <w:t xml:space="preserve"> </w:t>
      </w:r>
      <w:r>
        <w:t xml:space="preserve">will be harder to face than current scarcity, meaning that they prefer to decarbonise in the early</w:t>
      </w:r>
      <w:r>
        <w:t xml:space="preserve"> </w:t>
      </w:r>
      <w:r>
        <w:t xml:space="preserve">future and save EUAs on their registry accounts for later use. This TNAC trajectory shows the</w:t>
      </w:r>
      <w:r>
        <w:t xml:space="preserve"> </w:t>
      </w:r>
      <w:r>
        <w:t xml:space="preserve">limits of the current design, when combined with the 8-year anticipation of the modelling</w:t>
      </w:r>
      <w:r>
        <w:t xml:space="preserve"> </w:t>
      </w:r>
      <w:r>
        <w:t xml:space="preserve">framework. The TNAC indicator remains high despite the general scarcity of allowances,</w:t>
      </w:r>
      <w:r>
        <w:t xml:space="preserve"> </w:t>
      </w:r>
      <w:r>
        <w:t xml:space="preserve">because forward-looking actors are assumed to hoard allowances rather than surrender them.</w:t>
      </w:r>
      <w:r>
        <w:t xml:space="preserve"> </w:t>
      </w:r>
      <w:r>
        <w:t xml:space="preserve">This in turn results in no MSR releases before 2040. MSR releases actually happen over 2041-</w:t>
      </w:r>
      <w:r>
        <w:t xml:space="preserve"> </w:t>
      </w:r>
      <w:r>
        <w:t xml:space="preserve">2045, and the anticipation of this effect explains the plateau in the price trajectory around 2034-</w:t>
      </w:r>
      <w:r>
        <w:t xml:space="preserve"> </w:t>
      </w:r>
      <w:r>
        <w:t xml:space="preserve">2037. In 2045, the MSR is empty and cannot continue to release allowances. In anticipation of</w:t>
      </w:r>
      <w:r>
        <w:t xml:space="preserve"> </w:t>
      </w:r>
      <w:r>
        <w:t xml:space="preserve">this, the price increases sharply from 2037.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Figure 4:</w:t>
      </w:r>
      <w:r>
        <w:t xml:space="preserve"> </w:t>
      </w:r>
      <w:r>
        <w:t xml:space="preserve">Baseline scenario - TNAC evolution</w:t>
      </w:r>
    </w:p>
    <w:p>
      <w:pPr>
        <w:pStyle w:val="BodyText"/>
      </w:pPr>
      <w:r>
        <w:t xml:space="preserve">Source: POLES-Enerdata model run - Baseline scenario</w:t>
      </w:r>
      <w:r>
        <w:t xml:space="preserve"> </w:t>
      </w:r>
      <w:r>
        <w:t xml:space="preserve">The comparison of ETS-covered emissions and the corresponding cap also helps to understand</w:t>
      </w:r>
      <w:r>
        <w:t xml:space="preserve"> </w:t>
      </w:r>
      <w:r>
        <w:t xml:space="preserve">the model results (Figure 5). By 2030, the EU ETS emissions are broadly in line with the cap</w:t>
      </w:r>
      <w:r>
        <w:t xml:space="preserve"> </w:t>
      </w:r>
      <w:r>
        <w:t xml:space="preserve">(from a historical situation where they were below it). In the period 2030-2035, they have to</w:t>
      </w:r>
      <w:r>
        <w:t xml:space="preserve"> </w:t>
      </w:r>
      <w:r>
        <w:t xml:space="preserve">decrease very quickly, even faster than the (already ambitious) cap, because the decrease rate</w:t>
      </w:r>
      <w:r>
        <w:t xml:space="preserve"> </w:t>
      </w:r>
      <w:r>
        <w:t xml:space="preserve">of the cap after 2035 cannot be followed by emissions, as the model shows. Most easy-to-abate</w:t>
      </w:r>
      <w:r>
        <w:t xml:space="preserve"> </w:t>
      </w:r>
      <w:r>
        <w:t xml:space="preserve">emissions have been reduced by then, and the remaining emissions require longer to further</w:t>
      </w:r>
      <w:r>
        <w:t xml:space="preserve"> </w:t>
      </w:r>
      <w:r>
        <w:t xml:space="preserve">reduce. The annual decrease of emissions is progressively reducing, whereas the cap keeps</w:t>
      </w:r>
      <w:r>
        <w:t xml:space="preserve"> </w:t>
      </w:r>
      <w:r>
        <w:t xml:space="preserve">linearly decreasing. Hence, after 2035, the emissions above the cap have to be covered by the</w:t>
      </w:r>
      <w:r>
        <w:t xml:space="preserve"> </w:t>
      </w:r>
      <w:r>
        <w:t xml:space="preserve">surplus which was built by then (and after 2040, by the MSR releases as well).</w:t>
      </w:r>
      <w:r>
        <w:t xml:space="preserve"> </w:t>
      </w:r>
      <w:r>
        <w:t xml:space="preserve">Figure 5:</w:t>
      </w:r>
      <w:r>
        <w:t xml:space="preserve"> </w:t>
      </w:r>
      <w:r>
        <w:t xml:space="preserve">Baseline scenario - EU ETS emissions and cap</w:t>
      </w:r>
    </w:p>
    <w:p>
      <w:pPr>
        <w:pStyle w:val="BodyText"/>
      </w:pPr>
      <w:r>
        <w:t xml:space="preserve">Source: POLES-Enerdata model run - Baseline scenario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The modelling results from this baseline scenario are insightful, but not necessarily realistic.</w:t>
      </w:r>
      <w:r>
        <w:t xml:space="preserve"> </w:t>
      </w:r>
      <w:r>
        <w:t xml:space="preserve">In a more realistic projection, rather than hoard allowances for a scarcer future, we could expect</w:t>
      </w:r>
      <w:r>
        <w:t xml:space="preserve"> </w:t>
      </w:r>
      <w:r>
        <w:t xml:space="preserve">actors to use up the historical surplus much earlier. This would lead the TNAC to drop quickly,</w:t>
      </w:r>
      <w:r>
        <w:t xml:space="preserve"> </w:t>
      </w:r>
      <w:r>
        <w:t xml:space="preserve">and to release of allowances from the MSR earlier. This would in turn lead to slower price</w:t>
      </w:r>
      <w:r>
        <w:t xml:space="preserve"> </w:t>
      </w:r>
      <w:r>
        <w:t xml:space="preserve">evolution in the short term, but even faster supply constraint from 2033, which could rapidly</w:t>
      </w:r>
      <w:r>
        <w:t xml:space="preserve"> </w:t>
      </w:r>
      <w:r>
        <w:t xml:space="preserve">deplete the reserve and lead the TNAC to even become negative.</w:t>
      </w:r>
      <w:r>
        <w:br/>
      </w:r>
      <w:r>
        <w:t xml:space="preserve">Yet, the baseline measure depicts a scenario in which no changes in the overall ETS design</w:t>
      </w:r>
      <w:r>
        <w:t xml:space="preserve"> </w:t>
      </w:r>
      <w:r>
        <w:t xml:space="preserve">have been implemented. As a result, this might not provide a meaningful point of departure as</w:t>
      </w:r>
      <w:r>
        <w:t xml:space="preserve"> </w:t>
      </w:r>
      <w:r>
        <w:t xml:space="preserve">different MSR design options should be appropriately tested against a future carbon market</w:t>
      </w:r>
      <w:r>
        <w:t xml:space="preserve"> </w:t>
      </w:r>
      <w:r>
        <w:t xml:space="preserve">closer to what is being proposed in this impact assessment (i.e. changes in the size of cap,</w:t>
      </w:r>
      <w:r>
        <w:t xml:space="preserve"> </w:t>
      </w:r>
      <w:r>
        <w:t xml:space="preserve">emissions reduction trajectory, the scope76, among others).</w:t>
      </w:r>
      <w:r>
        <w:br/>
      </w:r>
      <w:r>
        <w:t xml:space="preserve">Therefore, in addition to the baseline, the MSR0 presents a scenario in which the ETS is</w:t>
      </w:r>
      <w:r>
        <w:t xml:space="preserve"> </w:t>
      </w:r>
      <w:r>
        <w:t xml:space="preserve">amended in line with the agreed 2040 target, but no changes are made to the MSR. This</w:t>
      </w:r>
      <w:r>
        <w:t xml:space="preserve"> </w:t>
      </w:r>
      <w:r>
        <w:t xml:space="preserve">scenario - the Core Working Assumption Scenario (CWAS) - serves as a starting point and an</w:t>
      </w:r>
      <w:r>
        <w:t xml:space="preserve"> </w:t>
      </w:r>
      <w:r>
        <w:t xml:space="preserve">appropriate comparison for all the MSR measures considered in the impact assessment.</w:t>
      </w:r>
      <w:r>
        <w:t xml:space="preserve"> </w:t>
      </w:r>
      <w:r>
        <w:t xml:space="preserve">3.1.2. Measure MSR0: Core Working Assumption Scenario (CWAS)</w:t>
      </w:r>
      <w:r>
        <w:t xml:space="preserve"> </w:t>
      </w:r>
      <w:r>
        <w:t xml:space="preserve">The MSR0 measure, also referred to as the Core Working Assumption Scenario, is defined as</w:t>
      </w:r>
      <w:r>
        <w:t xml:space="preserve"> </w:t>
      </w:r>
      <w:r>
        <w:t xml:space="preserve">meeting a 90% economy-wide emission reduction target in 2040, and features the inclusion of</w:t>
      </w:r>
      <w:r>
        <w:t xml:space="preserve"> </w:t>
      </w:r>
      <w:r>
        <w:t xml:space="preserve">50% of the international extra-EEA aviation in the ETS scope. This enables the analysis to rely</w:t>
      </w:r>
      <w:r>
        <w:t xml:space="preserve"> </w:t>
      </w:r>
      <w:r>
        <w:t xml:space="preserve">on a robust and meaningful starting scenario, with notably an adjusted cap trajectory, from</w:t>
      </w:r>
      <w:r>
        <w:t xml:space="preserve"> </w:t>
      </w:r>
      <w:r>
        <w:t xml:space="preserve">which different measures will be incorporated and assessed.</w:t>
      </w:r>
      <w:r>
        <w:t xml:space="preserve"> </w:t>
      </w:r>
      <w:r>
        <w:t xml:space="preserve">The MSR0 scenario is first generated with the PRIMES model, within the same workstream as</w:t>
      </w:r>
      <w:r>
        <w:t xml:space="preserve"> </w:t>
      </w:r>
      <w:r>
        <w:t xml:space="preserve">the preparation of the Baseline &amp; Policy options scenarios. For the MSR measure-level</w:t>
      </w:r>
      <w:r>
        <w:t xml:space="preserve"> </w:t>
      </w:r>
      <w:r>
        <w:t xml:space="preserve">analysis, the POLES-Enerdata model is calibrated to reproduce the main assumptions and</w:t>
      </w:r>
      <w:r>
        <w:t xml:space="preserve"> </w:t>
      </w:r>
      <w:r>
        <w:t xml:space="preserve">equilibrium from the PRIMES model. More information about the production of the Core</w:t>
      </w:r>
      <w:r>
        <w:t xml:space="preserve"> </w:t>
      </w:r>
      <w:r>
        <w:t xml:space="preserve">Working Assumption Scenario for the measure-level analysis of the MSR using the POLES-</w:t>
      </w:r>
      <w:r>
        <w:t xml:space="preserve"> </w:t>
      </w:r>
      <w:r>
        <w:t xml:space="preserve">Enerdata model is included in Annex 4.</w:t>
      </w:r>
      <w:r>
        <w:t xml:space="preserve"> </w:t>
      </w:r>
      <w:r>
        <w:t xml:space="preserve">In terms of MSR design, MSR0 corresponds to the baseline configuration. The TNAC</w:t>
      </w:r>
      <w:r>
        <w:t xml:space="preserve"> </w:t>
      </w:r>
      <w:r>
        <w:t xml:space="preserve">calculation and all MSR parameters remain as they currently are, e.g. the upper threshold stays</w:t>
      </w:r>
      <w:r>
        <w:t xml:space="preserve"> </w:t>
      </w:r>
      <w:r>
        <w:t xml:space="preserve">constant at 833 million EUAs and the lower threshold at 400 million EUAs. In particular, the</w:t>
      </w:r>
      <w:r>
        <w:t xml:space="preserve"> </w:t>
      </w:r>
      <w:r>
        <w:t xml:space="preserve">intake rate reverts to 12% after 2030 in the MSR0 measure. The upper buffer value from 2031</w:t>
      </w:r>
      <w:r>
        <w:t xml:space="preserve"> </w:t>
      </w:r>
      <w:r>
        <w:t xml:space="preserve">onwards is therefore adjusted to accommodate for this. While current legislation fixes this</w:t>
      </w:r>
      <w:r>
        <w:t xml:space="preserve"> </w:t>
      </w:r>
      <w:r>
        <w:t xml:space="preserve">value at 1096 million EUAs, MSR0 and all following measures calculate the upper buffer</w:t>
      </w:r>
      <w:r>
        <w:t xml:space="preserve"> </w:t>
      </w:r>
      <w:r>
        <w:t xml:space="preserve">parameter based on the below formula, depending on the upper threshold and the intake rate:</w:t>
      </w:r>
      <w:r>
        <w:t xml:space="preserve"> </w:t>
      </w:r>
      <w:r>
        <w:t xml:space="preserve">𝐹𝑜𝑟 𝑒𝑎𝑐ℎ 𝑦𝑒𝑎𝑟 𝑦: 𝑢𝑝𝑝𝑒𝑟 𝑏𝑢𝑓𝑓𝑒𝑟(𝑦) = 𝑢𝑝𝑝𝑒𝑟 𝑡ℎ𝑟𝑒𝑠ℎ𝑜𝑙𝑑(𝑦)</w:t>
      </w:r>
      <w:r>
        <w:t xml:space="preserve"> </w:t>
      </w:r>
      <w:r>
        <w:t xml:space="preserve">1 −𝑖𝑛𝑡𝑎𝑘𝑒 𝑟𝑎𝑡𝑒(𝑦)</w:t>
      </w:r>
      <w:r>
        <w:t xml:space="preserve"> </w:t>
      </w:r>
      <w:r>
        <w:t xml:space="preserve">3.1.3. Measure MSR0+: Augmented Core Working Assumption Scenario (ACWAS)</w:t>
      </w:r>
      <w:r>
        <w:t xml:space="preserve"> </w:t>
      </w:r>
      <w:r>
        <w:t xml:space="preserve">Building on MSR0, MSR0+ maintains all current MSR parameters and operational rules while</w:t>
      </w:r>
      <w:r>
        <w:t xml:space="preserve"> </w:t>
      </w:r>
      <w:r>
        <w:t xml:space="preserve">implementing a few straightforward and targeted improvements:</w:t>
      </w:r>
    </w:p>
    <w:p>
      <w:pPr>
        <w:pStyle w:val="BodyText"/>
      </w:pPr>
      <w:r>
        <w:t xml:space="preserve">76 All policy options assume at some extent an expansion in scope covering removals, waste, CCU, aviation,</w:t>
      </w:r>
      <w:r>
        <w:t xml:space="preserve"> </w:t>
      </w:r>
      <w:r>
        <w:t xml:space="preserve">and maritime. These are treated as an exogenous addition to both to supply and demand. Because these</w:t>
      </w:r>
      <w:r>
        <w:t xml:space="preserve"> </w:t>
      </w:r>
      <w:r>
        <w:t xml:space="preserve">segments still make up only a small share of the overall ETS market, they are not expected to have a major</w:t>
      </w:r>
      <w:r>
        <w:t xml:space="preserve"> </w:t>
      </w:r>
      <w:r>
        <w:t xml:space="preserve">effect on carbon prices. Therefore, significant change in hedging behaviour is considered unlikely due to the</w:t>
      </w:r>
      <w:r>
        <w:t xml:space="preserve"> </w:t>
      </w:r>
      <w:r>
        <w:t xml:space="preserve">expansion of the scope.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• Technical correction of the TNAC to account for net aviation demand for the period</w:t>
      </w:r>
      <w:r>
        <w:t xml:space="preserve"> </w:t>
      </w:r>
      <w:r>
        <w:t xml:space="preserve">2012-2023.</w:t>
      </w:r>
      <w:r>
        <w:t xml:space="preserve"> </w:t>
      </w:r>
      <w:r>
        <w:t xml:space="preserve">• Introduction of a lower buffer to avoid threshold effects.</w:t>
      </w:r>
      <w:r>
        <w:t xml:space="preserve"> </w:t>
      </w:r>
      <w:r>
        <w:t xml:space="preserve">• Stopping the invalidation mechanism from 2027 onwards.</w:t>
      </w:r>
      <w:r>
        <w:t xml:space="preserve"> </w:t>
      </w:r>
      <w:r>
        <w:t xml:space="preserve">• Maintaining the intake rate at 24% beyond 2030.</w:t>
      </w:r>
      <w:r>
        <w:t xml:space="preserve"> </w:t>
      </w:r>
      <w:r>
        <w:t xml:space="preserve">Representing the most operational end of the reform spectrum, MSR0+ is effectively an</w:t>
      </w:r>
      <w:r>
        <w:t xml:space="preserve"> </w:t>
      </w:r>
      <w:r>
        <w:t xml:space="preserve">augmented version of the Core Working Assumption Scenario against which further MSR</w:t>
      </w:r>
      <w:r>
        <w:t xml:space="preserve"> </w:t>
      </w:r>
      <w:r>
        <w:t xml:space="preserve">measures should be compared.</w:t>
      </w:r>
      <w:r>
        <w:t xml:space="preserve"> </w:t>
      </w:r>
      <w:r>
        <w:t xml:space="preserve">While Article 1(4a) of the MSR Decision requires that net aviation demand be reflected in the</w:t>
      </w:r>
      <w:r>
        <w:t xml:space="preserve"> </w:t>
      </w:r>
      <w:r>
        <w:t xml:space="preserve">TNAC calculation from 2024, no such requirement exists to account for the cumulative impact</w:t>
      </w:r>
      <w:r>
        <w:t xml:space="preserve"> </w:t>
      </w:r>
      <w:r>
        <w:t xml:space="preserve">of net aviation demand over 2012-2023, hence there is no legal obligation for such correction.</w:t>
      </w:r>
      <w:r>
        <w:t xml:space="preserve"> </w:t>
      </w:r>
      <w:r>
        <w:t xml:space="preserve">However, in order to bring the calculated TNAC more in line with the actual surplus on the</w:t>
      </w:r>
      <w:r>
        <w:t xml:space="preserve"> </w:t>
      </w:r>
      <w:r>
        <w:t xml:space="preserve">market, the first improvement introduces a technical correction to the TNAC formula in 2028,</w:t>
      </w:r>
      <w:r>
        <w:t xml:space="preserve"> </w:t>
      </w:r>
      <w:r>
        <w:t xml:space="preserve">effectively reducing the TNAC calculated for 2027 by 173 million allowances to account for</w:t>
      </w:r>
      <w:r>
        <w:t xml:space="preserve"> </w:t>
      </w:r>
      <w:r>
        <w:t xml:space="preserve">this cumulative impact. 77</w:t>
      </w:r>
      <w:r>
        <w:t xml:space="preserve"> </w:t>
      </w:r>
      <w:r>
        <w:t xml:space="preserve">The second improvement introduces a lower buffer parameter, defined as the difference</w:t>
      </w:r>
      <w:r>
        <w:t xml:space="preserve"> </w:t>
      </w:r>
      <w:r>
        <w:t xml:space="preserve">between the lower threshold and the release rate. The current MSR parameters therefore imply</w:t>
      </w:r>
      <w:r>
        <w:t xml:space="preserve"> </w:t>
      </w:r>
      <w:r>
        <w:t xml:space="preserve">a lower buffer value of 300 million EUAs.</w:t>
      </w:r>
      <w:r>
        <w:br/>
      </w:r>
      <w:r>
        <w:t xml:space="preserve">𝐹𝑜𝑟 𝑒𝑎𝑐ℎ 𝑦𝑒𝑎𝑟 𝑦: 𝑙𝑜𝑤𝑒𝑟 𝑏𝑢𝑓𝑓𝑒𝑟(𝑦) = 𝑙𝑜𝑤𝑒𝑟 𝑡ℎ𝑟𝑒𝑠ℎ𝑜𝑙𝑑(𝑦) −𝑟𝑒𝑙𝑒𝑎𝑠𝑒 𝑟𝑎𝑡𝑒(𝑦)</w:t>
      </w:r>
      <w:r>
        <w:t xml:space="preserve"> </w:t>
      </w:r>
      <w:r>
        <w:t xml:space="preserve">This lower buffer adjustment mirrors the logic behind the introduction of the upper buffer in</w:t>
      </w:r>
      <w:r>
        <w:t xml:space="preserve"> </w:t>
      </w:r>
      <w:r>
        <w:t xml:space="preserve">the 2023 MSR revision. When the TNAC is between the lower threshold and the lower buffer,</w:t>
      </w:r>
      <w:r>
        <w:t xml:space="preserve"> </w:t>
      </w:r>
      <w:r>
        <w:t xml:space="preserve">TNAC minus 300 million allowances are released from the MSR, rather than 100 million under</w:t>
      </w:r>
      <w:r>
        <w:t xml:space="preserve"> </w:t>
      </w:r>
      <w:r>
        <w:t xml:space="preserve">the current rules.</w:t>
      </w:r>
      <w:r>
        <w:t xml:space="preserve"> </w:t>
      </w:r>
      <w:r>
        <w:t xml:space="preserve">𝐹𝑜𝑟 𝑒𝑎𝑐ℎ 𝑦𝑒𝑎𝑟 𝑦: 𝑖𝑓 𝑇𝑁𝐴𝐶(𝑦) &lt; 𝑙𝑜𝑤𝑒𝑟 𝑏𝑢𝑓𝑓𝑒𝑟,</w:t>
      </w:r>
      <w:r>
        <w:t xml:space="preserve"> </w:t>
      </w:r>
      <w:r>
        <w:t xml:space="preserve">𝐸𝑈𝐴𝑠 𝑟𝑒𝑙𝑒𝑎𝑠𝑒𝑑= 𝑟𝑒𝑙𝑒𝑎𝑠𝑒 𝑟𝑎𝑡𝑒= 100 𝑚𝑖𝑙𝑙𝑖𝑜𝑛</w:t>
      </w:r>
      <w:r>
        <w:t xml:space="preserve"> </w:t>
      </w:r>
      <w:r>
        <w:t xml:space="preserve">𝑖𝑓 𝑙𝑜𝑤𝑒𝑟 𝑏𝑢𝑓𝑓𝑒𝑟&lt; 𝑇𝑁𝐴𝐶(𝑦) &lt; 𝑙𝑜𝑤𝑒𝑟 𝑡ℎ𝑟𝑒𝑠ℎ𝑜𝑙𝑑,</w:t>
      </w:r>
      <w:r>
        <w:t xml:space="preserve"> </w:t>
      </w:r>
      <w:r>
        <w:t xml:space="preserve">𝐸𝑈𝐴𝑠 𝑟𝑒𝑙𝑒𝑎𝑠𝑒𝑑= 𝑇𝑁𝐴𝐶(𝑦) −𝑙𝑜𝑤𝑒𝑟 𝑡ℎ𝑟𝑒𝑠ℎ𝑜𝑙𝑑</w:t>
      </w:r>
      <w:r>
        <w:t xml:space="preserve"> </w:t>
      </w:r>
      <w:r>
        <w:t xml:space="preserve">where ‘EUAs released’ corresponds to the releases defined based on TNAC(y), which will</w:t>
      </w:r>
      <w:r>
        <w:t xml:space="preserve"> </w:t>
      </w:r>
      <w:r>
        <w:t xml:space="preserve">effectively be released between September y+1 and August y+2.</w:t>
      </w:r>
      <w:r>
        <w:t xml:space="preserve"> </w:t>
      </w:r>
      <w:r>
        <w:t xml:space="preserve">One potentially significant implication of this improvement is the lengthening of the time it</w:t>
      </w:r>
      <w:r>
        <w:t xml:space="preserve"> </w:t>
      </w:r>
      <w:r>
        <w:t xml:space="preserve">may take for the MSR to be depleted. Under the current rules and assuming Article 29a release</w:t>
      </w:r>
      <w:r>
        <w:t xml:space="preserve"> </w:t>
      </w:r>
      <w:r>
        <w:t xml:space="preserve">is not triggered, if TNAC drops below the current lower threshold of 400 million allowances</w:t>
      </w:r>
      <w:r>
        <w:t xml:space="preserve"> </w:t>
      </w:r>
      <w:r>
        <w:t xml:space="preserve">four times, the MSR holdings will decline to zero. The adoption of a lower buffer, holding all</w:t>
      </w:r>
      <w:r>
        <w:t xml:space="preserve"> </w:t>
      </w:r>
      <w:r>
        <w:t xml:space="preserve">else constant, allows MSR holdings to remain positive for significantly longer if TNAC</w:t>
      </w:r>
      <w:r>
        <w:t xml:space="preserve"> </w:t>
      </w:r>
      <w:r>
        <w:t xml:space="preserve">remains between 300 and 400 million allowances. The OPC responses support measures to</w:t>
      </w:r>
      <w:r>
        <w:t xml:space="preserve"> </w:t>
      </w:r>
      <w:r>
        <w:t xml:space="preserve">avoid threshold effects and sustain liquidity (5% explicitly proposed a lower buffer, 15%</w:t>
      </w:r>
      <w:r>
        <w:t xml:space="preserve"> </w:t>
      </w:r>
      <w:r>
        <w:t xml:space="preserve">favoured dynamic thresholds, and volatility/liquidity were the top open text themes), consistent</w:t>
      </w:r>
    </w:p>
    <w:p>
      <w:pPr>
        <w:pStyle w:val="BodyText"/>
      </w:pPr>
      <w:r>
        <w:t xml:space="preserve">77 An additional correction could consist in adjusting the TNAC to reflect allowances used for flexibility</w:t>
      </w:r>
      <w:r>
        <w:t xml:space="preserve"> </w:t>
      </w:r>
      <w:r>
        <w:t xml:space="preserve">purposes under Article 6 of Regulation (EU) 2018/842 (the Effort Sharing Regulation). The 2025 TNAC</w:t>
      </w:r>
      <w:r>
        <w:t xml:space="preserve"> </w:t>
      </w:r>
      <w:r>
        <w:t xml:space="preserve">Communication estimated a cumulative volume of such allowances at approximately 36 million in 2025, with</w:t>
      </w:r>
      <w:r>
        <w:t xml:space="preserve"> </w:t>
      </w:r>
      <w:r>
        <w:t xml:space="preserve">potential for a further increase until 2030. This adjustment has not been included in the present measure level</w:t>
      </w:r>
      <w:r>
        <w:t xml:space="preserve"> </w:t>
      </w:r>
      <w:r>
        <w:t xml:space="preserve">assessment. The mechanics of such an adjustment on the distinct MSR options are expected to be similar to</w:t>
      </w:r>
      <w:r>
        <w:t xml:space="preserve"> </w:t>
      </w:r>
      <w:r>
        <w:t xml:space="preserve">the adjustment for aviation, though smaller in magnitude, as the size of this adjustment would be limited,</w:t>
      </w:r>
      <w:r>
        <w:t xml:space="preserve"> </w:t>
      </w:r>
      <w:r>
        <w:t xml:space="preserve">depending on the amount of cumulative allowances used by the Member States flexibility under the Effort</w:t>
      </w:r>
      <w:r>
        <w:t xml:space="preserve"> </w:t>
      </w:r>
      <w:r>
        <w:t xml:space="preserve">Sharing Regulation.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with adopting a lower buffer that would smooth releases and prolong MSR holdings when</w:t>
      </w:r>
      <w:r>
        <w:t xml:space="preserve"> </w:t>
      </w:r>
      <w:r>
        <w:t xml:space="preserve">TNAC is between 300 million and 400 million.</w:t>
      </w:r>
      <w:r>
        <w:t xml:space="preserve"> </w:t>
      </w:r>
      <w:r>
        <w:t xml:space="preserve">The third adjustment featured in MSR0+ consists in stopping the invalidation mechanism as of</w:t>
      </w:r>
      <w:r>
        <w:t xml:space="preserve"> </w:t>
      </w:r>
      <w:r>
        <w:t xml:space="preserve">2027 (the last invalidations would be done by 31st December 2026). This proposed change is</w:t>
      </w:r>
      <w:r>
        <w:t xml:space="preserve"> </w:t>
      </w:r>
      <w:r>
        <w:t xml:space="preserve">supported by a large majority of stakeholders. The idea is to enable the MSR to enter the</w:t>
      </w:r>
      <w:r>
        <w:t xml:space="preserve"> </w:t>
      </w:r>
      <w:r>
        <w:t xml:space="preserve">scarcity-oriented future of the ETS with a larger number of EUAs in the reserve and therefore</w:t>
      </w:r>
      <w:r>
        <w:t xml:space="preserve"> </w:t>
      </w:r>
      <w:r>
        <w:t xml:space="preserve">enable it to contribute more to a healthy market liquidity moving forward. Such adjustment is</w:t>
      </w:r>
      <w:r>
        <w:t xml:space="preserve"> </w:t>
      </w:r>
      <w:r>
        <w:t xml:space="preserve">time sensitive as it can effectively lead to a larger reserve only as long as the MSR is still</w:t>
      </w:r>
      <w:r>
        <w:t xml:space="preserve"> </w:t>
      </w:r>
      <w:r>
        <w:t xml:space="preserve">triggering intakes, hence the modelling considers such adjustment already as of 2027 to</w:t>
      </w:r>
      <w:r>
        <w:t xml:space="preserve"> </w:t>
      </w:r>
      <w:r>
        <w:t xml:space="preserve">maximise its potential impact in the analysis. The OPC responses support ending invalidation</w:t>
      </w:r>
      <w:r>
        <w:t xml:space="preserve"> </w:t>
      </w:r>
      <w:r>
        <w:t xml:space="preserve">as the most mentioned MSR change overall: 13% selected adjusting the invalidation rule in the</w:t>
      </w:r>
      <w:r>
        <w:t xml:space="preserve"> </w:t>
      </w:r>
      <w:r>
        <w:t xml:space="preserve">design change question, invalidation was the - most cited theme in - follow-up- open text (47%</w:t>
      </w:r>
      <w:r>
        <w:t xml:space="preserve"> </w:t>
      </w:r>
      <w:r>
        <w:t xml:space="preserve">of mentions, many calling for cancellation), and coordinated submissions pressed to pause or</w:t>
      </w:r>
      <w:r>
        <w:t xml:space="preserve"> </w:t>
      </w:r>
      <w:r>
        <w:t xml:space="preserve">halt invalidation.</w:t>
      </w:r>
      <w:r>
        <w:t xml:space="preserve"> </w:t>
      </w:r>
      <w:r>
        <w:t xml:space="preserve">The modelling for the MSR0+ measure was done in a progressive manner, sequentially adding</w:t>
      </w:r>
      <w:r>
        <w:t xml:space="preserve"> </w:t>
      </w:r>
      <w:r>
        <w:t xml:space="preserve">the different improvements. The intermediate analysis with and without the invalidation</w:t>
      </w:r>
      <w:r>
        <w:t xml:space="preserve"> </w:t>
      </w:r>
      <w:r>
        <w:t xml:space="preserve">mechanism confirmed that maintaining the current invalidation mechanism leads to an</w:t>
      </w:r>
      <w:r>
        <w:t xml:space="preserve"> </w:t>
      </w:r>
      <w:r>
        <w:t xml:space="preserve">extremely tight reserve of 400 million allowances, even with a lower buffer mechanism. The</w:t>
      </w:r>
      <w:r>
        <w:t xml:space="preserve"> </w:t>
      </w:r>
      <w:r>
        <w:t xml:space="preserve">reserve would be fully depleted in 2040. As demonstrated in sections below, the removal of</w:t>
      </w:r>
      <w:r>
        <w:t xml:space="preserve"> </w:t>
      </w:r>
      <w:r>
        <w:t xml:space="preserve">invalidation in measures MSR1 to MSR3, increases the reserve at the start of the period,</w:t>
      </w:r>
      <w:r>
        <w:t xml:space="preserve"> </w:t>
      </w:r>
      <w:r>
        <w:t xml:space="preserve">allowing for more margin in the system in the late 2030s, to accommodate for shocks and to</w:t>
      </w:r>
      <w:r>
        <w:t xml:space="preserve"> </w:t>
      </w:r>
      <w:r>
        <w:t xml:space="preserve">prepare for the post-2040 period.</w:t>
      </w:r>
      <w:r>
        <w:t xml:space="preserve"> </w:t>
      </w:r>
      <w:r>
        <w:t xml:space="preserve">Finally, the fourth improvement included in MSR0+ is related to the MSR intake rate, which</w:t>
      </w:r>
      <w:r>
        <w:t xml:space="preserve"> </w:t>
      </w:r>
      <w:r>
        <w:t xml:space="preserve">is maintained constant at 24% after 2030, instead of decreasing to 12% as in the existing</w:t>
      </w:r>
      <w:r>
        <w:t xml:space="preserve"> </w:t>
      </w:r>
      <w:r>
        <w:t xml:space="preserve">legislation. This change maintains the intake rate at its current value, which is now well</w:t>
      </w:r>
      <w:r>
        <w:t xml:space="preserve"> </w:t>
      </w:r>
      <w:r>
        <w:t xml:space="preserve">understood and accepted by market participants and thus provides simplicity. It also maintains</w:t>
      </w:r>
      <w:r>
        <w:t xml:space="preserve"> </w:t>
      </w:r>
      <w:r>
        <w:t xml:space="preserve">the current value of the upper buffer through the relationship between the buffer and threshold</w:t>
      </w:r>
      <w:r>
        <w:t xml:space="preserve"> </w:t>
      </w:r>
      <w:r>
        <w:t xml:space="preserve">described in Section 2.1. Therefore, the intake rate only makes a difference when the TNAC is</w:t>
      </w:r>
      <w:r>
        <w:t xml:space="preserve"> </w:t>
      </w:r>
      <w:r>
        <w:t xml:space="preserve">above the upper buffer, i.e. when a high surplus develops, which would then justify a stronger</w:t>
      </w:r>
      <w:r>
        <w:t xml:space="preserve"> </w:t>
      </w:r>
      <w:r>
        <w:t xml:space="preserve">response by the MSR. The OPC responses provide some support for maintaining the 24%</w:t>
      </w:r>
      <w:r>
        <w:t xml:space="preserve"> </w:t>
      </w:r>
      <w:r>
        <w:t xml:space="preserve">intake rate beyond 2030 (8%) and very limited support for reverting to 12% (2%), indicating a</w:t>
      </w:r>
      <w:r>
        <w:t xml:space="preserve"> </w:t>
      </w:r>
      <w:r>
        <w:t xml:space="preserve">cautious preference to avoid lowering the rate.</w:t>
      </w:r>
      <w:r>
        <w:t xml:space="preserve"> </w:t>
      </w:r>
      <w:r>
        <w:t xml:space="preserve">MSR0+ therefore serves as an augmented baseline. Measures MSR1-MSR3, which all include</w:t>
      </w:r>
      <w:r>
        <w:t xml:space="preserve"> </w:t>
      </w:r>
      <w:r>
        <w:t xml:space="preserve">the improvements in Measure MSR0+ in order to test the implications of specific additional</w:t>
      </w:r>
      <w:r>
        <w:t xml:space="preserve"> </w:t>
      </w:r>
      <w:r>
        <w:t xml:space="preserve">changes. Table 1 summarises the specification of key MSR parameters in MSR0 and MSR0+.</w:t>
      </w:r>
      <w:r>
        <w:t xml:space="preserve"> </w:t>
      </w:r>
      <w:r>
        <w:t xml:space="preserve">Table 1:</w:t>
      </w:r>
      <w:r>
        <w:t xml:space="preserve"> </w:t>
      </w:r>
      <w:r>
        <w:t xml:space="preserve">Overview of the MSR design in MSR0 and MSR0+</w:t>
      </w:r>
    </w:p>
    <w:p>
      <w:pPr>
        <w:pStyle w:val="BodyText"/>
      </w:pPr>
      <w:r>
        <w:t xml:space="preserve">MSR0 (CWAS)</w:t>
      </w:r>
      <w:r>
        <w:t xml:space="preserve"> </w:t>
      </w:r>
      <w:r>
        <w:t xml:space="preserve">MSR0+ (ACWAS)</w:t>
      </w:r>
      <w:r>
        <w:t xml:space="preserve"> </w:t>
      </w:r>
      <w:r>
        <w:t xml:space="preserve">UB: upper buffer</w:t>
      </w:r>
      <w:r>
        <w:t xml:space="preserve"> </w:t>
      </w:r>
      <w:r>
        <w:t xml:space="preserve">Implied by UT and IR: 𝑈𝐵(𝑦) =</w:t>
      </w:r>
      <w:r>
        <w:t xml:space="preserve"> </w:t>
      </w:r>
      <w:r>
        <w:t xml:space="preserve">𝑈𝑇(𝑦)</w:t>
      </w:r>
      <w:r>
        <w:t xml:space="preserve"> </w:t>
      </w:r>
      <w:r>
        <w:t xml:space="preserve">1−𝐼𝑅(𝑦)</w:t>
      </w:r>
      <w:r>
        <w:t xml:space="preserve"> </w:t>
      </w:r>
      <w:r>
        <w:t xml:space="preserve">UT: upper threshold</w:t>
      </w:r>
      <w:r>
        <w:t xml:space="preserve"> </w:t>
      </w:r>
      <w:r>
        <w:t xml:space="preserve">833 Mt constant (unchanged)</w:t>
      </w:r>
      <w:r>
        <w:t xml:space="preserve"> </w:t>
      </w:r>
      <w:r>
        <w:t xml:space="preserve">IR: intake rate</w:t>
      </w:r>
      <w:r>
        <w:t xml:space="preserve"> </w:t>
      </w:r>
      <w:r>
        <w:t xml:space="preserve">24% until 2030</w:t>
      </w:r>
      <w:r>
        <w:t xml:space="preserve"> </w:t>
      </w:r>
      <w:r>
        <w:t xml:space="preserve">12% after 2030</w:t>
      </w:r>
      <w:r>
        <w:t xml:space="preserve"> </w:t>
      </w:r>
      <w:r>
        <w:t xml:space="preserve">24% constant</w:t>
      </w:r>
      <w:r>
        <w:t xml:space="preserve"> </w:t>
      </w:r>
      <w:r>
        <w:t xml:space="preserve">LT: Lower threshold</w:t>
      </w:r>
      <w:r>
        <w:t xml:space="preserve"> </w:t>
      </w:r>
      <w:r>
        <w:t xml:space="preserve">400 Mt constant (unchanged)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MSR0 (CWAS)</w:t>
      </w:r>
      <w:r>
        <w:t xml:space="preserve"> </w:t>
      </w:r>
      <w:r>
        <w:t xml:space="preserve">MSR0+ (ACWAS)</w:t>
      </w:r>
      <w:r>
        <w:t xml:space="preserve"> </w:t>
      </w:r>
      <w:r>
        <w:t xml:space="preserve">LB: Lower buffer</w:t>
      </w:r>
      <w:r>
        <w:t xml:space="preserve"> </w:t>
      </w:r>
      <w:r>
        <w:t xml:space="preserve">No buffer</w:t>
      </w:r>
      <w:r>
        <w:t xml:space="preserve"> </w:t>
      </w:r>
      <w:r>
        <w:t xml:space="preserve">Implied by LT and RR: 𝐿𝐵(𝑦) =</w:t>
      </w:r>
      <w:r>
        <w:t xml:space="preserve"> </w:t>
      </w:r>
      <w:r>
        <w:t xml:space="preserve">𝐿𝑇(𝑦) −𝑅𝑅(𝑦)</w:t>
      </w:r>
      <w:r>
        <w:t xml:space="preserve"> </w:t>
      </w:r>
      <w:r>
        <w:t xml:space="preserve">RR: Release rate</w:t>
      </w:r>
      <w:r>
        <w:t xml:space="preserve"> </w:t>
      </w:r>
      <w:r>
        <w:t xml:space="preserve">100 Mt constant</w:t>
      </w:r>
      <w:r>
        <w:t xml:space="preserve"> </w:t>
      </w:r>
      <w:r>
        <w:t xml:space="preserve">Invalidation mechanism</w:t>
      </w:r>
      <w:r>
        <w:t xml:space="preserve"> </w:t>
      </w:r>
      <w:r>
        <w:t xml:space="preserve">unchanged</w:t>
      </w:r>
      <w:r>
        <w:t xml:space="preserve"> </w:t>
      </w:r>
      <w:r>
        <w:t xml:space="preserve">Dropped as of 2027</w:t>
      </w:r>
      <w:r>
        <w:t xml:space="preserve"> </w:t>
      </w:r>
      <w:r>
        <w:t xml:space="preserve">29R: A29a release</w:t>
      </w:r>
      <w:r>
        <w:t xml:space="preserve"> </w:t>
      </w:r>
      <w:r>
        <w:t xml:space="preserve">75 Mt constant (unchanged)</w:t>
      </w:r>
      <w:r>
        <w:t xml:space="preserve"> </w:t>
      </w:r>
      <w:r>
        <w:t xml:space="preserve">TNAC calculation</w:t>
      </w:r>
      <w:r>
        <w:t xml:space="preserve"> </w:t>
      </w:r>
      <w:r>
        <w:t xml:space="preserve">unchanged</w:t>
      </w:r>
      <w:r>
        <w:t xml:space="preserve"> </w:t>
      </w:r>
      <w:r>
        <w:t xml:space="preserve">Technical correction for 2027</w:t>
      </w:r>
      <w:r>
        <w:t xml:space="preserve"> </w:t>
      </w:r>
      <w:r>
        <w:t xml:space="preserve">TNAC</w:t>
      </w:r>
      <w:r>
        <w:t xml:space="preserve"> </w:t>
      </w:r>
      <w:r>
        <w:t xml:space="preserve">3.1.4. Measure MSR1</w:t>
      </w:r>
      <w:r>
        <w:t xml:space="preserve"> </w:t>
      </w:r>
      <w:r>
        <w:t xml:space="preserve">MSR1 builds upon MSR0+ and adjusts the level of two MSR parameters, the upper and lower</w:t>
      </w:r>
      <w:r>
        <w:t xml:space="preserve"> </w:t>
      </w:r>
      <w:r>
        <w:t xml:space="preserve">thresholds, while maintaining their static nature. The upper buffer and lower buffer are</w:t>
      </w:r>
      <w:r>
        <w:t xml:space="preserve"> </w:t>
      </w:r>
      <w:r>
        <w:t xml:space="preserve">therefore automatically adjusted as well, through the formulas presented above.</w:t>
      </w:r>
      <w:r>
        <w:t xml:space="preserve"> </w:t>
      </w:r>
      <w:r>
        <w:t xml:space="preserve">The upper threshold is lowered from 833 million EUAs to 650 million EUAs from 2028</w:t>
      </w:r>
      <w:r>
        <w:t xml:space="preserve"> </w:t>
      </w:r>
      <w:r>
        <w:t xml:space="preserve">onwards. The rationale for this change is based on updated estimates of hedging needs by</w:t>
      </w:r>
      <w:r>
        <w:t xml:space="preserve"> </w:t>
      </w:r>
      <w:r>
        <w:t xml:space="preserve">regulated entities stemming from literature review and stakeholder interviews. The OPC</w:t>
      </w:r>
      <w:r>
        <w:t xml:space="preserve"> </w:t>
      </w:r>
      <w:r>
        <w:t xml:space="preserve">responses indicate measured support for recalibrating fixed TNAC thresholds, with more</w:t>
      </w:r>
      <w:r>
        <w:t xml:space="preserve"> </w:t>
      </w:r>
      <w:r>
        <w:t xml:space="preserve">selections for lowering than raising them (7% vs 3% in the design change question), and</w:t>
      </w:r>
      <w:r>
        <w:t xml:space="preserve"> </w:t>
      </w:r>
      <w:r>
        <w:t xml:space="preserve">threshold adjustment recurring in open text (15% of mentions).</w:t>
      </w:r>
      <w:r>
        <w:t xml:space="preserve"> </w:t>
      </w:r>
      <w:r>
        <w:t xml:space="preserve">As detailed in Section 2.1, the initial value of 833 million EUAs was proposed and justified on</w:t>
      </w:r>
      <w:r>
        <w:t xml:space="preserve"> </w:t>
      </w:r>
      <w:r>
        <w:t xml:space="preserve">the basis of estimated hedging needs at the time of its introduction. These needs have evolved</w:t>
      </w:r>
      <w:r>
        <w:t xml:space="preserve"> </w:t>
      </w:r>
      <w:r>
        <w:t xml:space="preserve">since, leading to a necessary update of the threshold. Factors that explain the evolution of</w:t>
      </w:r>
      <w:r>
        <w:t xml:space="preserve"> </w:t>
      </w:r>
      <w:r>
        <w:t xml:space="preserve">hedging needs include first and foremost the reduction (and expected future reduction) of the</w:t>
      </w:r>
      <w:r>
        <w:t xml:space="preserve"> </w:t>
      </w:r>
      <w:r>
        <w:t xml:space="preserve">EU ETS-covered emissions, and particularly those of the power sector. The reduction in the</w:t>
      </w:r>
      <w:r>
        <w:t xml:space="preserve"> </w:t>
      </w:r>
      <w:r>
        <w:t xml:space="preserve">corresponding hedging needs was only partially offset by progressively growing needs of</w:t>
      </w:r>
      <w:r>
        <w:t xml:space="preserve"> </w:t>
      </w:r>
      <w:r>
        <w:t xml:space="preserve">hedging from other sectors (industry, aviation and maritime). Overall hedging needs are</w:t>
      </w:r>
      <w:r>
        <w:t xml:space="preserve"> </w:t>
      </w:r>
      <w:r>
        <w:t xml:space="preserve">estimated to have reduced to around 650 million EUAs, a value consistent with expectations</w:t>
      </w:r>
      <w:r>
        <w:t xml:space="preserve"> </w:t>
      </w:r>
      <w:r>
        <w:t xml:space="preserve">from different market analysts interviewed by the European Commission.</w:t>
      </w:r>
      <w:r>
        <w:t xml:space="preserve"> </w:t>
      </w:r>
      <w:r>
        <w:t xml:space="preserve">The reduction in the upper threshold value amounts to 183 million EUAs, which is in the same</w:t>
      </w:r>
      <w:r>
        <w:t xml:space="preserve"> </w:t>
      </w:r>
      <w:r>
        <w:t xml:space="preserve">order of magnitude as the technical correction in the TNAC introduced in measure MSR0+</w:t>
      </w:r>
      <w:r>
        <w:t xml:space="preserve"> </w:t>
      </w:r>
      <w:r>
        <w:t xml:space="preserve">(173 million EUAs). Even if the modifications are not correlated, the level of the TNAC and</w:t>
      </w:r>
      <w:r>
        <w:t xml:space="preserve"> </w:t>
      </w:r>
      <w:r>
        <w:t xml:space="preserve">upper threshold fall by similar amounts. The relative position of the TNAC compared to the</w:t>
      </w:r>
      <w:r>
        <w:t xml:space="preserve"> </w:t>
      </w:r>
      <w:r>
        <w:t xml:space="preserve">upper threshold is therefore maintained, offering a form of continuity in the operations of the</w:t>
      </w:r>
      <w:r>
        <w:t xml:space="preserve"> </w:t>
      </w:r>
      <w:r>
        <w:t xml:space="preserve">MSR.</w:t>
      </w:r>
      <w:r>
        <w:t xml:space="preserve"> </w:t>
      </w:r>
      <w:r>
        <w:t xml:space="preserve">In addition to the upper threshold adjustment, MSR1 also includes a recalibration of the lower</w:t>
      </w:r>
      <w:r>
        <w:t xml:space="preserve"> </w:t>
      </w:r>
      <w:r>
        <w:t xml:space="preserve">threshold, with the same relative magnitude as the upper threshold (around 22%). This</w:t>
      </w:r>
      <w:r>
        <w:t xml:space="preserve"> </w:t>
      </w:r>
      <w:r>
        <w:t xml:space="preserve">maintains the ratio between the upper threshold and lower thresholds, before and after the</w:t>
      </w:r>
      <w:r>
        <w:t xml:space="preserve"> </w:t>
      </w:r>
      <w:r>
        <w:t xml:space="preserve">recalibration. It implies reducing the lower threshold to 310 million EUAs from 2028 onwards</w:t>
      </w:r>
      <w:r>
        <w:t xml:space="preserve"> </w:t>
      </w:r>
      <w:r>
        <w:t xml:space="preserve">(down from 400 million EUAs up to 2027).</w:t>
      </w:r>
      <w:r>
        <w:t xml:space="preserve"> </w:t>
      </w:r>
      <w:r>
        <w:t xml:space="preserve">Both the upper and lower buffer are automatically impacted by these changes, but keep the</w:t>
      </w:r>
      <w:r>
        <w:t xml:space="preserve"> </w:t>
      </w:r>
      <w:r>
        <w:t xml:space="preserve">same logic as implemented in measure MSR0+, with the same formulas. Figure 6 illustrates</w:t>
      </w:r>
      <w:r>
        <w:t xml:space="preserve"> </w:t>
      </w:r>
      <w:r>
        <w:t xml:space="preserve">how the MSR thresholds and buffer are affected in measure MSR1.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Figure 6:</w:t>
      </w:r>
      <w:r>
        <w:t xml:space="preserve"> </w:t>
      </w:r>
      <w:r>
        <w:t xml:space="preserve">Measure MSR1: illustration of the parameter adjustments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This minimalist approach, with limited changes compared to MSR0+ enables testing of</w:t>
      </w:r>
      <w:r>
        <w:t xml:space="preserve"> </w:t>
      </w:r>
      <w:r>
        <w:t xml:space="preserve">whether targeted parameter recalibration can address key challenges in a smaller market, while</w:t>
      </w:r>
      <w:r>
        <w:t xml:space="preserve"> </w:t>
      </w:r>
      <w:r>
        <w:t xml:space="preserve">preserving the predictability and rule-based nature that has made the MSR politically</w:t>
      </w:r>
      <w:r>
        <w:t xml:space="preserve"> </w:t>
      </w:r>
      <w:r>
        <w:t xml:space="preserve">acceptable and operationally successful.</w:t>
      </w:r>
      <w:r>
        <w:t xml:space="preserve"> </w:t>
      </w:r>
      <w:r>
        <w:t xml:space="preserve">3.1.5. Measure MSR2</w:t>
      </w:r>
      <w:r>
        <w:t xml:space="preserve"> </w:t>
      </w:r>
      <w:r>
        <w:t xml:space="preserve">MSR2 introduces the same adjustments as in MSR1 in 2028 and then goes beyond by making</w:t>
      </w:r>
      <w:r>
        <w:t xml:space="preserve"> </w:t>
      </w:r>
      <w:r>
        <w:t xml:space="preserve">some MSR parameter values dynamic after 2028, namely the upper and lower thresholds, as</w:t>
      </w:r>
      <w:r>
        <w:t xml:space="preserve"> </w:t>
      </w:r>
      <w:r>
        <w:t xml:space="preserve">well as the release rate. These parameters evolve over time, with calculations based on the cap</w:t>
      </w:r>
      <w:r>
        <w:t xml:space="preserve"> </w:t>
      </w:r>
      <w:r>
        <w:t xml:space="preserve">LRF, with the rationale that, for the MSR to fulfil its objectives with a market that progressively</w:t>
      </w:r>
      <w:r>
        <w:t xml:space="preserve"> </w:t>
      </w:r>
      <w:r>
        <w:t xml:space="preserve">decreases in size, its parameters are also required to decrease to adapt to the market. This</w:t>
      </w:r>
      <w:r>
        <w:t xml:space="preserve"> </w:t>
      </w:r>
      <w:r>
        <w:t xml:space="preserve">principle is backed by numerous contributions from stakeholders, who generally underline that</w:t>
      </w:r>
      <w:r>
        <w:t xml:space="preserve"> </w:t>
      </w:r>
      <w:r>
        <w:t xml:space="preserve">having parameters evolving with a decreasing market is an important feature of an adequate</w:t>
      </w:r>
      <w:r>
        <w:t xml:space="preserve"> </w:t>
      </w:r>
      <w:r>
        <w:t xml:space="preserve">and future-proof MSR.</w:t>
      </w:r>
      <w:r>
        <w:t xml:space="preserve"> </w:t>
      </w:r>
      <w:r>
        <w:t xml:space="preserve">As in MSR1, in MSR2, the upper threshold is lowered to 650 million EUAs in 2028, and the</w:t>
      </w:r>
      <w:r>
        <w:t xml:space="preserve"> </w:t>
      </w:r>
      <w:r>
        <w:t xml:space="preserve">lower threshold to 310 million EUAs. As a reminder, the release rate stands constant at 100</w:t>
      </w:r>
      <w:r>
        <w:t xml:space="preserve"> </w:t>
      </w:r>
      <w:r>
        <w:t xml:space="preserve">million EUAs in 2028 (as in MSR1 and MSR0+).</w:t>
      </w:r>
      <w:r>
        <w:t xml:space="preserve"> </w:t>
      </w:r>
      <w:r>
        <w:t xml:space="preserve">Then, from 2029 onwards, these three parameter values are decreasing following the same LRF</w:t>
      </w:r>
      <w:r>
        <w:t xml:space="preserve"> </w:t>
      </w:r>
      <w:r>
        <w:t xml:space="preserve">as the cap, with the formulas below:</w:t>
      </w:r>
      <w:r>
        <w:t xml:space="preserve"> </w:t>
      </w:r>
      <w:r>
        <w:t xml:space="preserve">𝐹𝑜𝑟 𝑒𝑎𝑐ℎ 𝑦𝑒𝑎𝑟 𝑦:</w:t>
      </w:r>
      <w:r>
        <w:br/>
      </w:r>
      <w:r>
        <w:t xml:space="preserve">𝑢𝑝𝑝𝑒𝑟 𝑡ℎ𝑟𝑒𝑠ℎ𝑜𝑙𝑑(𝑦) = 𝑢𝑝𝑝𝑒𝑟 𝑡ℎ𝑟𝑒𝑠ℎ𝑜𝑙𝑑(𝑦−1) −𝑢𝑝𝑝𝑒𝑟 𝑡ℎ𝑟𝑒𝑠ℎ𝑜𝑙𝑑(2028) ∗𝐿𝑅𝐹(𝑦)</w:t>
      </w:r>
      <w:r>
        <w:t xml:space="preserve"> </w:t>
      </w:r>
      <w:r>
        <w:t xml:space="preserve">𝑙𝑜𝑤𝑒𝑟 𝑡ℎ𝑟𝑒𝑠ℎ𝑜𝑙𝑑(𝑦) = 𝑙𝑜𝑤𝑒𝑟 𝑡ℎ𝑟𝑒𝑠ℎ𝑜𝑙𝑑(𝑦−1) −𝑙𝑜𝑤𝑒𝑟 𝑡ℎ𝑟𝑒𝑠ℎ𝑜𝑙𝑑(2028) ∗𝐿𝑅𝐹(𝑦)</w:t>
      </w:r>
      <w:r>
        <w:t xml:space="preserve"> </w:t>
      </w:r>
      <w:r>
        <w:t xml:space="preserve">𝑟𝑒𝑙𝑒𝑎𝑠𝑒 𝑟𝑎𝑡𝑒(𝑦) = 𝑟𝑒𝑙𝑒𝑎𝑠𝑒 𝑟𝑎𝑡𝑒(𝑦−1) −𝑟𝑒𝑙𝑒𝑎𝑠𝑒 𝑟𝑎𝑡𝑒(2028) ∗𝐿𝑅𝐹(𝑦)</w:t>
      </w:r>
      <w:r>
        <w:t xml:space="preserve"> </w:t>
      </w:r>
      <w:r>
        <w:t xml:space="preserve">For the present measure-level assessment based on the MSR0 working scenario, the LRF</w:t>
      </w:r>
      <w:r>
        <w:t xml:space="preserve"> </w:t>
      </w:r>
      <w:r>
        <w:t xml:space="preserve">values used are the currently legislated LRF until 2030 (4.4%), then 3.4% for the period 2031-</w:t>
      </w:r>
      <w:r>
        <w:t xml:space="preserve"> </w:t>
      </w:r>
      <w:r>
        <w:t xml:space="preserve">2035 and 2.65% for the period 2036-2040. These values were calculated as implied LRFs in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the period 2031-2040 based on the intermediate results of the PRIMES 90% scenario used in</w:t>
      </w:r>
      <w:r>
        <w:t xml:space="preserve"> </w:t>
      </w:r>
      <w:r>
        <w:t xml:space="preserve">the calibration of POLES-Enerdata for the MSR0 scenario (see also the methodological Annex</w:t>
      </w:r>
      <w:r>
        <w:t xml:space="preserve"> </w:t>
      </w:r>
      <w:r>
        <w:t xml:space="preserve">4).</w:t>
      </w:r>
      <w:r>
        <w:br/>
      </w:r>
      <w:r>
        <w:t xml:space="preserve">As previously explained for MSR1, the upper buffer and lower buffer are automatically</w:t>
      </w:r>
      <w:r>
        <w:t xml:space="preserve"> </w:t>
      </w:r>
      <w:r>
        <w:t xml:space="preserve">adjusted based on these updated values for the thresholds and the release rate, with the same</w:t>
      </w:r>
      <w:r>
        <w:t xml:space="preserve"> </w:t>
      </w:r>
      <w:r>
        <w:t xml:space="preserve">formula as presented before.</w:t>
      </w:r>
      <w:r>
        <w:t xml:space="preserve"> </w:t>
      </w:r>
      <w:r>
        <w:t xml:space="preserve">The remaining MSR parameters, and notably the intake rate, are not changed as compared to</w:t>
      </w:r>
      <w:r>
        <w:t xml:space="preserve"> </w:t>
      </w:r>
      <w:r>
        <w:t xml:space="preserve">MSR0+. Since the intake rate is already expressed as a percentage of the TNAC, if the market</w:t>
      </w:r>
      <w:r>
        <w:t xml:space="preserve"> </w:t>
      </w:r>
      <w:r>
        <w:t xml:space="preserve">(and hence TNAC) decreases, the potential volume of intake will also adjust accordingly.</w:t>
      </w:r>
      <w:r>
        <w:t xml:space="preserve"> </w:t>
      </w:r>
      <w:r>
        <w:t xml:space="preserve">Figure 7 illustrates how the MSR thresholds and buffer are affected in measure MSR2, as</w:t>
      </w:r>
      <w:r>
        <w:t xml:space="preserve"> </w:t>
      </w:r>
      <w:r>
        <w:t xml:space="preserve">compared to MSR0+. The release rate is also adjusted in this measure (as explained above) but</w:t>
      </w:r>
      <w:r>
        <w:t xml:space="preserve"> </w:t>
      </w:r>
      <w:r>
        <w:t xml:space="preserve">not depicted in the figure. The resulting levels of the annual buffers, thresholds and release rate</w:t>
      </w:r>
      <w:r>
        <w:t xml:space="preserve"> </w:t>
      </w:r>
      <w:r>
        <w:t xml:space="preserve">for this configuration are also presented in Table 2 below.</w:t>
      </w:r>
      <w:r>
        <w:t xml:space="preserve"> </w:t>
      </w:r>
      <w:r>
        <w:t xml:space="preserve">Figure 7:</w:t>
      </w:r>
      <w:r>
        <w:t xml:space="preserve"> </w:t>
      </w:r>
      <w:r>
        <w:t xml:space="preserve">Measure MSR2: illustration of the parameter adjustments</w:t>
      </w:r>
    </w:p>
    <w:p>
      <w:pPr>
        <w:pStyle w:val="BodyText"/>
      </w:pPr>
      <w:r>
        <w:t xml:space="preserve">Source: Own illustration derived from the POLES-Enerdata model</w:t>
      </w:r>
      <w:r>
        <w:t xml:space="preserve"> </w:t>
      </w:r>
      <w:r>
        <w:t xml:space="preserve">Table 2:</w:t>
      </w:r>
      <w:r>
        <w:t xml:space="preserve"> </w:t>
      </w:r>
      <w:r>
        <w:t xml:space="preserve">Measure MSR2: dynamic parameters decreasing with LRF (4.4% in 2028-2030, 3.4%</w:t>
      </w:r>
      <w:r>
        <w:t xml:space="preserve"> </w:t>
      </w:r>
      <w:r>
        <w:t xml:space="preserve">in 2031-2035 and 2.65% in 2036-2040 for the 90% target configuration)</w:t>
      </w:r>
      <w:r>
        <w:t xml:space="preserve"> </w:t>
      </w:r>
      <w:r>
        <w:t xml:space="preserve">Million</w:t>
      </w:r>
      <w:r>
        <w:t xml:space="preserve"> </w:t>
      </w:r>
      <w:r>
        <w:t xml:space="preserve">EUAs</w:t>
      </w:r>
      <w:r>
        <w:t xml:space="preserve"> </w:t>
      </w:r>
      <w:r>
        <w:t xml:space="preserve">2028 2029 2030 2031 2032 2033 2034 2035 2036 2037 2038 2039</w:t>
      </w:r>
      <w:r>
        <w:t xml:space="preserve"> </w:t>
      </w:r>
      <w:r>
        <w:t xml:space="preserve">2040</w:t>
      </w:r>
      <w:r>
        <w:t xml:space="preserve"> </w:t>
      </w:r>
      <w:r>
        <w:t xml:space="preserve">Upper</w:t>
      </w:r>
      <w:r>
        <w:t xml:space="preserve"> </w:t>
      </w:r>
      <w:r>
        <w:t xml:space="preserve">buffer</w:t>
      </w:r>
      <w:r>
        <w:t xml:space="preserve"> </w:t>
      </w:r>
      <w:r>
        <w:t xml:space="preserve">855</w:t>
      </w:r>
      <w:r>
        <w:t xml:space="preserve"> </w:t>
      </w:r>
      <w:r>
        <w:t xml:space="preserve">818</w:t>
      </w:r>
      <w:r>
        <w:t xml:space="preserve"> </w:t>
      </w:r>
      <w:r>
        <w:t xml:space="preserve">780</w:t>
      </w:r>
      <w:r>
        <w:t xml:space="preserve"> </w:t>
      </w:r>
      <w:r>
        <w:t xml:space="preserve">649</w:t>
      </w:r>
      <w:r>
        <w:t xml:space="preserve"> </w:t>
      </w:r>
      <w:r>
        <w:t xml:space="preserve">623</w:t>
      </w:r>
      <w:r>
        <w:t xml:space="preserve"> </w:t>
      </w:r>
      <w:r>
        <w:t xml:space="preserve">598</w:t>
      </w:r>
      <w:r>
        <w:t xml:space="preserve"> </w:t>
      </w:r>
      <w:r>
        <w:t xml:space="preserve">573</w:t>
      </w:r>
      <w:r>
        <w:t xml:space="preserve"> </w:t>
      </w:r>
      <w:r>
        <w:t xml:space="preserve">548</w:t>
      </w:r>
      <w:r>
        <w:t xml:space="preserve"> </w:t>
      </w:r>
      <w:r>
        <w:t xml:space="preserve">528</w:t>
      </w:r>
      <w:r>
        <w:t xml:space="preserve"> </w:t>
      </w:r>
      <w:r>
        <w:t xml:space="preserve">509</w:t>
      </w:r>
      <w:r>
        <w:t xml:space="preserve"> </w:t>
      </w:r>
      <w:r>
        <w:t xml:space="preserve">489</w:t>
      </w:r>
      <w:r>
        <w:t xml:space="preserve"> </w:t>
      </w:r>
      <w:r>
        <w:t xml:space="preserve">470</w:t>
      </w:r>
      <w:r>
        <w:t xml:space="preserve"> </w:t>
      </w:r>
      <w:r>
        <w:t xml:space="preserve">450</w:t>
      </w:r>
      <w:r>
        <w:t xml:space="preserve"> </w:t>
      </w:r>
      <w:r>
        <w:t xml:space="preserve">Upper</w:t>
      </w:r>
      <w:r>
        <w:t xml:space="preserve"> </w:t>
      </w:r>
      <w:r>
        <w:t xml:space="preserve">threshold</w:t>
      </w:r>
      <w:r>
        <w:t xml:space="preserve"> </w:t>
      </w:r>
      <w:r>
        <w:t xml:space="preserve">650</w:t>
      </w:r>
      <w:r>
        <w:t xml:space="preserve"> </w:t>
      </w:r>
      <w:r>
        <w:t xml:space="preserve">621</w:t>
      </w:r>
      <w:r>
        <w:t xml:space="preserve"> </w:t>
      </w:r>
      <w:r>
        <w:t xml:space="preserve">593</w:t>
      </w:r>
      <w:r>
        <w:t xml:space="preserve"> </w:t>
      </w:r>
      <w:r>
        <w:t xml:space="preserve">571</w:t>
      </w:r>
      <w:r>
        <w:t xml:space="preserve"> </w:t>
      </w:r>
      <w:r>
        <w:t xml:space="preserve">549</w:t>
      </w:r>
      <w:r>
        <w:t xml:space="preserve"> </w:t>
      </w:r>
      <w:r>
        <w:t xml:space="preserve">527</w:t>
      </w:r>
      <w:r>
        <w:t xml:space="preserve"> </w:t>
      </w:r>
      <w:r>
        <w:t xml:space="preserve">504</w:t>
      </w:r>
      <w:r>
        <w:t xml:space="preserve"> </w:t>
      </w:r>
      <w:r>
        <w:t xml:space="preserve">482</w:t>
      </w:r>
      <w:r>
        <w:t xml:space="preserve"> </w:t>
      </w:r>
      <w:r>
        <w:t xml:space="preserve">465</w:t>
      </w:r>
      <w:r>
        <w:t xml:space="preserve"> </w:t>
      </w:r>
      <w:r>
        <w:t xml:space="preserve">448</w:t>
      </w:r>
      <w:r>
        <w:t xml:space="preserve"> </w:t>
      </w:r>
      <w:r>
        <w:t xml:space="preserve">431</w:t>
      </w:r>
      <w:r>
        <w:t xml:space="preserve"> </w:t>
      </w:r>
      <w:r>
        <w:t xml:space="preserve">413</w:t>
      </w:r>
      <w:r>
        <w:t xml:space="preserve"> </w:t>
      </w:r>
      <w:r>
        <w:t xml:space="preserve">396</w:t>
      </w:r>
      <w:r>
        <w:t xml:space="preserve"> </w:t>
      </w:r>
      <w:r>
        <w:t xml:space="preserve">Lower</w:t>
      </w:r>
      <w:r>
        <w:t xml:space="preserve"> </w:t>
      </w:r>
      <w:r>
        <w:t xml:space="preserve">threshold</w:t>
      </w:r>
      <w:r>
        <w:t xml:space="preserve"> </w:t>
      </w:r>
      <w:r>
        <w:t xml:space="preserve">310</w:t>
      </w:r>
      <w:r>
        <w:t xml:space="preserve"> </w:t>
      </w:r>
      <w:r>
        <w:t xml:space="preserve">296</w:t>
      </w:r>
      <w:r>
        <w:t xml:space="preserve"> </w:t>
      </w:r>
      <w:r>
        <w:t xml:space="preserve">283</w:t>
      </w:r>
      <w:r>
        <w:t xml:space="preserve"> </w:t>
      </w:r>
      <w:r>
        <w:t xml:space="preserve">272</w:t>
      </w:r>
      <w:r>
        <w:t xml:space="preserve"> </w:t>
      </w:r>
      <w:r>
        <w:t xml:space="preserve">262</w:t>
      </w:r>
      <w:r>
        <w:t xml:space="preserve"> </w:t>
      </w:r>
      <w:r>
        <w:t xml:space="preserve">251</w:t>
      </w:r>
      <w:r>
        <w:t xml:space="preserve"> </w:t>
      </w:r>
      <w:r>
        <w:t xml:space="preserve">241</w:t>
      </w:r>
      <w:r>
        <w:t xml:space="preserve"> </w:t>
      </w:r>
      <w:r>
        <w:t xml:space="preserve">230</w:t>
      </w:r>
      <w:r>
        <w:t xml:space="preserve"> </w:t>
      </w:r>
      <w:r>
        <w:t xml:space="preserve">222</w:t>
      </w:r>
      <w:r>
        <w:t xml:space="preserve"> </w:t>
      </w:r>
      <w:r>
        <w:t xml:space="preserve">214</w:t>
      </w:r>
      <w:r>
        <w:t xml:space="preserve"> </w:t>
      </w:r>
      <w:r>
        <w:t xml:space="preserve">205</w:t>
      </w:r>
      <w:r>
        <w:t xml:space="preserve"> </w:t>
      </w:r>
      <w:r>
        <w:t xml:space="preserve">197</w:t>
      </w:r>
      <w:r>
        <w:t xml:space="preserve"> </w:t>
      </w:r>
      <w:r>
        <w:t xml:space="preserve">189</w:t>
      </w:r>
      <w:r>
        <w:t xml:space="preserve"> </w:t>
      </w:r>
      <w:r>
        <w:t xml:space="preserve">Lower</w:t>
      </w:r>
      <w:r>
        <w:t xml:space="preserve"> </w:t>
      </w:r>
      <w:r>
        <w:t xml:space="preserve">buffer</w:t>
      </w:r>
      <w:r>
        <w:t xml:space="preserve"> </w:t>
      </w:r>
      <w:r>
        <w:t xml:space="preserve">210</w:t>
      </w:r>
      <w:r>
        <w:t xml:space="preserve"> </w:t>
      </w:r>
      <w:r>
        <w:t xml:space="preserve">201</w:t>
      </w:r>
      <w:r>
        <w:t xml:space="preserve"> </w:t>
      </w:r>
      <w:r>
        <w:t xml:space="preserve">192</w:t>
      </w:r>
      <w:r>
        <w:t xml:space="preserve"> </w:t>
      </w:r>
      <w:r>
        <w:t xml:space="preserve">184</w:t>
      </w:r>
      <w:r>
        <w:t xml:space="preserve"> </w:t>
      </w:r>
      <w:r>
        <w:t xml:space="preserve">177</w:t>
      </w:r>
      <w:r>
        <w:t xml:space="preserve"> </w:t>
      </w:r>
      <w:r>
        <w:t xml:space="preserve">170</w:t>
      </w:r>
      <w:r>
        <w:t xml:space="preserve"> </w:t>
      </w:r>
      <w:r>
        <w:t xml:space="preserve">163</w:t>
      </w:r>
      <w:r>
        <w:t xml:space="preserve"> </w:t>
      </w:r>
      <w:r>
        <w:t xml:space="preserve">156</w:t>
      </w:r>
      <w:r>
        <w:t xml:space="preserve"> </w:t>
      </w:r>
      <w:r>
        <w:t xml:space="preserve">150</w:t>
      </w:r>
      <w:r>
        <w:t xml:space="preserve"> </w:t>
      </w:r>
      <w:r>
        <w:t xml:space="preserve">145</w:t>
      </w:r>
      <w:r>
        <w:t xml:space="preserve"> </w:t>
      </w:r>
      <w:r>
        <w:t xml:space="preserve">139</w:t>
      </w:r>
      <w:r>
        <w:t xml:space="preserve"> </w:t>
      </w:r>
      <w:r>
        <w:t xml:space="preserve">134</w:t>
      </w:r>
      <w:r>
        <w:t xml:space="preserve"> </w:t>
      </w:r>
      <w:r>
        <w:t xml:space="preserve">128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Million</w:t>
      </w:r>
      <w:r>
        <w:t xml:space="preserve"> </w:t>
      </w:r>
      <w:r>
        <w:t xml:space="preserve">EUAs</w:t>
      </w:r>
      <w:r>
        <w:t xml:space="preserve"> </w:t>
      </w:r>
      <w:r>
        <w:t xml:space="preserve">2028 2029 2030 2031 2032 2033 2034 2035 2036 2037 2038 2039</w:t>
      </w:r>
      <w:r>
        <w:t xml:space="preserve"> </w:t>
      </w:r>
      <w:r>
        <w:t xml:space="preserve">2040</w:t>
      </w:r>
      <w:r>
        <w:t xml:space="preserve"> </w:t>
      </w:r>
      <w:r>
        <w:t xml:space="preserve">Release</w:t>
      </w:r>
      <w:r>
        <w:t xml:space="preserve"> </w:t>
      </w:r>
      <w:r>
        <w:t xml:space="preserve">rate</w:t>
      </w:r>
      <w:r>
        <w:t xml:space="preserve"> </w:t>
      </w:r>
      <w:r>
        <w:t xml:space="preserve">100</w:t>
      </w:r>
      <w:r>
        <w:t xml:space="preserve"> </w:t>
      </w:r>
      <w:r>
        <w:t xml:space="preserve">96</w:t>
      </w:r>
      <w:r>
        <w:t xml:space="preserve"> </w:t>
      </w:r>
      <w:r>
        <w:t xml:space="preserve">91</w:t>
      </w:r>
      <w:r>
        <w:t xml:space="preserve"> </w:t>
      </w:r>
      <w:r>
        <w:t xml:space="preserve">88</w:t>
      </w:r>
      <w:r>
        <w:t xml:space="preserve"> </w:t>
      </w:r>
      <w:r>
        <w:t xml:space="preserve">84</w:t>
      </w:r>
      <w:r>
        <w:t xml:space="preserve"> </w:t>
      </w:r>
      <w:r>
        <w:t xml:space="preserve">81</w:t>
      </w:r>
      <w:r>
        <w:t xml:space="preserve"> </w:t>
      </w:r>
      <w:r>
        <w:t xml:space="preserve">78</w:t>
      </w:r>
      <w:r>
        <w:t xml:space="preserve"> </w:t>
      </w:r>
      <w:r>
        <w:t xml:space="preserve">74</w:t>
      </w:r>
      <w:r>
        <w:t xml:space="preserve"> </w:t>
      </w:r>
      <w:r>
        <w:t xml:space="preserve">72</w:t>
      </w:r>
      <w:r>
        <w:t xml:space="preserve"> </w:t>
      </w:r>
      <w:r>
        <w:t xml:space="preserve">69</w:t>
      </w:r>
      <w:r>
        <w:t xml:space="preserve"> </w:t>
      </w:r>
      <w:r>
        <w:t xml:space="preserve">66</w:t>
      </w:r>
      <w:r>
        <w:t xml:space="preserve"> </w:t>
      </w:r>
      <w:r>
        <w:t xml:space="preserve">64</w:t>
      </w:r>
      <w:r>
        <w:t xml:space="preserve"> </w:t>
      </w:r>
      <w:r>
        <w:t xml:space="preserve">61</w:t>
      </w:r>
      <w:r>
        <w:t xml:space="preserve"> </w:t>
      </w:r>
      <w:r>
        <w:t xml:space="preserve">This measure introduces rule-based responsiveness by replacing static MSR parameters with</w:t>
      </w:r>
      <w:r>
        <w:t xml:space="preserve"> </w:t>
      </w:r>
      <w:r>
        <w:t xml:space="preserve">dynamic ones that decline with the same LRF as the cap, applied to their respective 2028</w:t>
      </w:r>
      <w:r>
        <w:t xml:space="preserve"> </w:t>
      </w:r>
      <w:r>
        <w:t xml:space="preserve">reference values. The rationale is that dynamic adjustment mechanisms could help ensure that</w:t>
      </w:r>
      <w:r>
        <w:t xml:space="preserve"> </w:t>
      </w:r>
      <w:r>
        <w:t xml:space="preserve">the MSR remains balanced and effective as fundamental market conditions change over the</w:t>
      </w:r>
      <w:r>
        <w:t xml:space="preserve"> </w:t>
      </w:r>
      <w:r>
        <w:t xml:space="preserve">assessment period. In addition to proposals to this effect in the literature and stakeholder</w:t>
      </w:r>
      <w:r>
        <w:t xml:space="preserve"> </w:t>
      </w:r>
      <w:r>
        <w:t xml:space="preserve">interviews, MSR2 also addresses the review clause in Article 3 of the MSR Decision requiring</w:t>
      </w:r>
      <w:r>
        <w:t xml:space="preserve"> </w:t>
      </w:r>
      <w:r>
        <w:t xml:space="preserve">the assessment of a potential adjustment of the thresholds in line with the LRF.</w:t>
      </w:r>
      <w:r>
        <w:t xml:space="preserve"> </w:t>
      </w:r>
      <w:r>
        <w:t xml:space="preserve">3.1.6. Measure MSR3</w:t>
      </w:r>
      <w:r>
        <w:t xml:space="preserve"> </w:t>
      </w:r>
      <w:r>
        <w:t xml:space="preserve">MSR3 keeps the same idea of having dynamic parameters adjust to a market decreasing in size.</w:t>
      </w:r>
      <w:r>
        <w:t xml:space="preserve"> </w:t>
      </w:r>
      <w:r>
        <w:t xml:space="preserve">However, it has been built with a more empirical approach. Parameters were derived by testing</w:t>
      </w:r>
      <w:r>
        <w:t xml:space="preserve"> </w:t>
      </w:r>
      <w:r>
        <w:t xml:space="preserve">numerous candidates iteratively with the objective of achieving a good balance between the</w:t>
      </w:r>
      <w:r>
        <w:t xml:space="preserve"> </w:t>
      </w:r>
      <w:r>
        <w:t xml:space="preserve">following considerations:</w:t>
      </w:r>
      <w:r>
        <w:t xml:space="preserve"> </w:t>
      </w:r>
      <w:r>
        <w:t xml:space="preserve">• Progressively decreasing TNAC, in line with the decrease in EU ETS emissions.</w:t>
      </w:r>
      <w:r>
        <w:t xml:space="preserve"> </w:t>
      </w:r>
      <w:r>
        <w:t xml:space="preserve">• Enabling the MSR to release substantial amounts of EUAs to support market liquidity,</w:t>
      </w:r>
      <w:r>
        <w:t xml:space="preserve"> </w:t>
      </w:r>
      <w:r>
        <w:t xml:space="preserve">with sufficient volume remaining in the reserve in 2040, to maintain its ability to</w:t>
      </w:r>
      <w:r>
        <w:t xml:space="preserve"> </w:t>
      </w:r>
      <w:r>
        <w:t xml:space="preserve">operate thereafter, and to accommodate for possible unanticipated shocks.</w:t>
      </w:r>
      <w:r>
        <w:t xml:space="preserve"> </w:t>
      </w:r>
      <w:r>
        <w:t xml:space="preserve">• Smoothing price increases, with no strong peaks or fluctuations, indicating a healthy</w:t>
      </w:r>
      <w:r>
        <w:t xml:space="preserve"> </w:t>
      </w:r>
      <w:r>
        <w:t xml:space="preserve">EUA supply-demand balance.</w:t>
      </w:r>
      <w:r>
        <w:t xml:space="preserve"> </w:t>
      </w:r>
      <w:r>
        <w:t xml:space="preserve">In practice, MSR3 introduces the following changes to the MSR parameters.</w:t>
      </w:r>
      <w:r>
        <w:br/>
      </w:r>
      <w:r>
        <w:t xml:space="preserve">• The initial lower threshold stays at 400 million as in MSR0+.</w:t>
      </w:r>
      <w:r>
        <w:t xml:space="preserve"> </w:t>
      </w:r>
      <w:r>
        <w:t xml:space="preserve">• After 2028, the upper threshold, the lower threshold and the release rate all decrease at</w:t>
      </w:r>
      <w:r>
        <w:t xml:space="preserve"> </w:t>
      </w:r>
      <w:r>
        <w:t xml:space="preserve">the same yearly rate of 4% per year, with the following formulas:</w:t>
      </w:r>
      <w:r>
        <w:t xml:space="preserve"> </w:t>
      </w:r>
      <w:r>
        <w:t xml:space="preserve">𝐹𝑜𝑟 𝑒𝑎𝑐ℎ 𝑦𝑒𝑎𝑟 𝑦:</w:t>
      </w:r>
      <w:r>
        <w:br/>
      </w:r>
      <w:r>
        <w:t xml:space="preserve">𝑢𝑝𝑝𝑒𝑟 𝑡ℎ𝑟𝑒𝑠ℎ𝑜𝑙𝑑(𝑦) = 𝑢𝑝𝑝𝑒𝑟 𝑡ℎ𝑟𝑒𝑠ℎ𝑜𝑙𝑑(𝑦−1) ∗(1 −4%)</w:t>
      </w:r>
      <w:r>
        <w:t xml:space="preserve"> </w:t>
      </w:r>
      <w:r>
        <w:t xml:space="preserve">𝑙𝑜𝑤𝑒𝑟 𝑡ℎ𝑟𝑒𝑠ℎ𝑜𝑙𝑑(𝑦) = 𝑙𝑜𝑤𝑒𝑟 𝑡ℎ𝑟𝑒𝑠ℎ𝑜𝑙𝑑(𝑦−1) ∗(1 −4%)</w:t>
      </w:r>
      <w:r>
        <w:t xml:space="preserve"> </w:t>
      </w:r>
      <w:r>
        <w:t xml:space="preserve">𝑟𝑒𝑙𝑒𝑎𝑠𝑒 𝑟𝑎𝑡𝑒(𝑦) = 𝑟𝑒𝑙𝑒𝑎𝑠𝑒 𝑟𝑎𝑡𝑒(𝑦−1) ∗(1 −4%)</w:t>
      </w:r>
      <w:r>
        <w:t xml:space="preserve"> </w:t>
      </w:r>
      <w:r>
        <w:t xml:space="preserve">The 4% decrease rate has been calibrated to obtain a good balance across the considerations</w:t>
      </w:r>
      <w:r>
        <w:t xml:space="preserve"> </w:t>
      </w:r>
      <w:r>
        <w:t xml:space="preserve">explained above.</w:t>
      </w:r>
      <w:r>
        <w:t xml:space="preserve"> </w:t>
      </w:r>
      <w:r>
        <w:t xml:space="preserve">In contrast to MSR0+, MSR1 and MSR 2, the intake rate is reduced to 12% compared to 24%</w:t>
      </w:r>
      <w:r>
        <w:t xml:space="preserve"> </w:t>
      </w:r>
      <w:r>
        <w:t xml:space="preserve">after 2028. Both buffers are automatically adjusted based on the same formula as shown</w:t>
      </w:r>
      <w:r>
        <w:t xml:space="preserve"> </w:t>
      </w:r>
      <w:r>
        <w:t xml:space="preserve">previously.</w:t>
      </w:r>
      <w:r>
        <w:t xml:space="preserve"> </w:t>
      </w:r>
      <w:r>
        <w:t xml:space="preserve">Figure 8 illustrates how the MSR thresholds and buffer are affected in measure MSR2, as</w:t>
      </w:r>
      <w:r>
        <w:t xml:space="preserve"> </w:t>
      </w:r>
      <w:r>
        <w:t xml:space="preserve">compared to MSR0+. The release rate is also adjusted in this measure (as explained above) but</w:t>
      </w:r>
      <w:r>
        <w:t xml:space="preserve"> </w:t>
      </w:r>
      <w:r>
        <w:t xml:space="preserve">not depicted in the figure. The resulting levels of the annual buffers, thresholds and release rate</w:t>
      </w:r>
      <w:r>
        <w:t xml:space="preserve"> </w:t>
      </w:r>
      <w:r>
        <w:t xml:space="preserve">for this configuration are also presented in Table 3 below.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Figure 8:</w:t>
      </w:r>
      <w:r>
        <w:t xml:space="preserve"> </w:t>
      </w:r>
      <w:r>
        <w:t xml:space="preserve">Measure MSR3: illustration of the parameter adjustments</w:t>
      </w:r>
      <w:r>
        <w:t xml:space="preserve"> </w:t>
      </w:r>
      <w:r>
        <w:t xml:space="preserve">Source: Own visualisation derived from the POLES-Enerdata model</w:t>
      </w:r>
      <w:r>
        <w:t xml:space="preserve"> </w:t>
      </w:r>
      <w:r>
        <w:t xml:space="preserve">Table 3:</w:t>
      </w:r>
      <w:r>
        <w:t xml:space="preserve"> </w:t>
      </w:r>
      <w:r>
        <w:t xml:space="preserve">Measure MSR3: dynamic parameters decreasing at a yearly rate of 4 % per year</w:t>
      </w:r>
    </w:p>
    <w:p>
      <w:pPr>
        <w:pStyle w:val="BodyText"/>
      </w:pPr>
      <w:r>
        <w:t xml:space="preserve">Million</w:t>
      </w:r>
      <w:r>
        <w:t xml:space="preserve"> </w:t>
      </w:r>
      <w:r>
        <w:t xml:space="preserve">EUAs</w:t>
      </w:r>
      <w:r>
        <w:t xml:space="preserve"> </w:t>
      </w:r>
      <w:r>
        <w:t xml:space="preserve">2028 2029 2030 2031 2032 2033 2034 2035 2036 2037 2038 2039 2040</w:t>
      </w:r>
      <w:r>
        <w:t xml:space="preserve"> </w:t>
      </w:r>
      <w:r>
        <w:t xml:space="preserve">Upper</w:t>
      </w:r>
      <w:r>
        <w:t xml:space="preserve"> </w:t>
      </w:r>
      <w:r>
        <w:t xml:space="preserve">buffer</w:t>
      </w:r>
      <w:r>
        <w:t xml:space="preserve"> </w:t>
      </w:r>
      <w:r>
        <w:t xml:space="preserve">947</w:t>
      </w:r>
      <w:r>
        <w:t xml:space="preserve"> </w:t>
      </w:r>
      <w:r>
        <w:t xml:space="preserve">909</w:t>
      </w:r>
      <w:r>
        <w:t xml:space="preserve"> </w:t>
      </w:r>
      <w:r>
        <w:t xml:space="preserve">872</w:t>
      </w:r>
      <w:r>
        <w:t xml:space="preserve"> </w:t>
      </w:r>
      <w:r>
        <w:t xml:space="preserve">837</w:t>
      </w:r>
      <w:r>
        <w:t xml:space="preserve"> </w:t>
      </w:r>
      <w:r>
        <w:t xml:space="preserve">804</w:t>
      </w:r>
      <w:r>
        <w:t xml:space="preserve"> </w:t>
      </w:r>
      <w:r>
        <w:t xml:space="preserve">772</w:t>
      </w:r>
      <w:r>
        <w:t xml:space="preserve"> </w:t>
      </w:r>
      <w:r>
        <w:t xml:space="preserve">741</w:t>
      </w:r>
      <w:r>
        <w:t xml:space="preserve"> </w:t>
      </w:r>
      <w:r>
        <w:t xml:space="preserve">711</w:t>
      </w:r>
      <w:r>
        <w:t xml:space="preserve"> </w:t>
      </w:r>
      <w:r>
        <w:t xml:space="preserve">683</w:t>
      </w:r>
      <w:r>
        <w:t xml:space="preserve"> </w:t>
      </w:r>
      <w:r>
        <w:t xml:space="preserve">656</w:t>
      </w:r>
      <w:r>
        <w:t xml:space="preserve"> </w:t>
      </w:r>
      <w:r>
        <w:t xml:space="preserve">629</w:t>
      </w:r>
      <w:r>
        <w:t xml:space="preserve"> </w:t>
      </w:r>
      <w:r>
        <w:t xml:space="preserve">604</w:t>
      </w:r>
      <w:r>
        <w:t xml:space="preserve"> </w:t>
      </w:r>
      <w:r>
        <w:t xml:space="preserve">580</w:t>
      </w:r>
      <w:r>
        <w:t xml:space="preserve"> </w:t>
      </w:r>
      <w:r>
        <w:t xml:space="preserve">Upper</w:t>
      </w:r>
      <w:r>
        <w:t xml:space="preserve"> </w:t>
      </w:r>
      <w:r>
        <w:t xml:space="preserve">threshold</w:t>
      </w:r>
      <w:r>
        <w:t xml:space="preserve"> </w:t>
      </w:r>
      <w:r>
        <w:t xml:space="preserve">833</w:t>
      </w:r>
      <w:r>
        <w:t xml:space="preserve"> </w:t>
      </w:r>
      <w:r>
        <w:t xml:space="preserve">800</w:t>
      </w:r>
      <w:r>
        <w:t xml:space="preserve"> </w:t>
      </w:r>
      <w:r>
        <w:t xml:space="preserve">768</w:t>
      </w:r>
      <w:r>
        <w:t xml:space="preserve"> </w:t>
      </w:r>
      <w:r>
        <w:t xml:space="preserve">737</w:t>
      </w:r>
      <w:r>
        <w:t xml:space="preserve"> </w:t>
      </w:r>
      <w:r>
        <w:t xml:space="preserve">708</w:t>
      </w:r>
      <w:r>
        <w:t xml:space="preserve"> </w:t>
      </w:r>
      <w:r>
        <w:t xml:space="preserve">679</w:t>
      </w:r>
      <w:r>
        <w:t xml:space="preserve"> </w:t>
      </w:r>
      <w:r>
        <w:t xml:space="preserve">652</w:t>
      </w:r>
      <w:r>
        <w:t xml:space="preserve"> </w:t>
      </w:r>
      <w:r>
        <w:t xml:space="preserve">626</w:t>
      </w:r>
      <w:r>
        <w:t xml:space="preserve"> </w:t>
      </w:r>
      <w:r>
        <w:t xml:space="preserve">601</w:t>
      </w:r>
      <w:r>
        <w:t xml:space="preserve"> </w:t>
      </w:r>
      <w:r>
        <w:t xml:space="preserve">577</w:t>
      </w:r>
      <w:r>
        <w:t xml:space="preserve"> </w:t>
      </w:r>
      <w:r>
        <w:t xml:space="preserve">554</w:t>
      </w:r>
      <w:r>
        <w:t xml:space="preserve"> </w:t>
      </w:r>
      <w:r>
        <w:t xml:space="preserve">532</w:t>
      </w:r>
      <w:r>
        <w:t xml:space="preserve"> </w:t>
      </w:r>
      <w:r>
        <w:t xml:space="preserve">510</w:t>
      </w:r>
      <w:r>
        <w:t xml:space="preserve"> </w:t>
      </w:r>
      <w:r>
        <w:t xml:space="preserve">Lower</w:t>
      </w:r>
      <w:r>
        <w:t xml:space="preserve"> </w:t>
      </w:r>
      <w:r>
        <w:t xml:space="preserve">threshold</w:t>
      </w:r>
      <w:r>
        <w:t xml:space="preserve"> </w:t>
      </w:r>
      <w:r>
        <w:t xml:space="preserve">400</w:t>
      </w:r>
      <w:r>
        <w:t xml:space="preserve"> </w:t>
      </w:r>
      <w:r>
        <w:t xml:space="preserve">384</w:t>
      </w:r>
      <w:r>
        <w:t xml:space="preserve"> </w:t>
      </w:r>
      <w:r>
        <w:t xml:space="preserve">369</w:t>
      </w:r>
      <w:r>
        <w:t xml:space="preserve"> </w:t>
      </w:r>
      <w:r>
        <w:t xml:space="preserve">354</w:t>
      </w:r>
      <w:r>
        <w:t xml:space="preserve"> </w:t>
      </w:r>
      <w:r>
        <w:t xml:space="preserve">340</w:t>
      </w:r>
      <w:r>
        <w:t xml:space="preserve"> </w:t>
      </w:r>
      <w:r>
        <w:t xml:space="preserve">326</w:t>
      </w:r>
      <w:r>
        <w:t xml:space="preserve"> </w:t>
      </w:r>
      <w:r>
        <w:t xml:space="preserve">313</w:t>
      </w:r>
      <w:r>
        <w:t xml:space="preserve"> </w:t>
      </w:r>
      <w:r>
        <w:t xml:space="preserve">301</w:t>
      </w:r>
      <w:r>
        <w:t xml:space="preserve"> </w:t>
      </w:r>
      <w:r>
        <w:t xml:space="preserve">289</w:t>
      </w:r>
      <w:r>
        <w:t xml:space="preserve"> </w:t>
      </w:r>
      <w:r>
        <w:t xml:space="preserve">277</w:t>
      </w:r>
      <w:r>
        <w:t xml:space="preserve"> </w:t>
      </w:r>
      <w:r>
        <w:t xml:space="preserve">266</w:t>
      </w:r>
      <w:r>
        <w:t xml:space="preserve"> </w:t>
      </w:r>
      <w:r>
        <w:t xml:space="preserve">255</w:t>
      </w:r>
      <w:r>
        <w:t xml:space="preserve"> </w:t>
      </w:r>
      <w:r>
        <w:t xml:space="preserve">245</w:t>
      </w:r>
      <w:r>
        <w:t xml:space="preserve"> </w:t>
      </w:r>
      <w:r>
        <w:t xml:space="preserve">Lower</w:t>
      </w:r>
      <w:r>
        <w:t xml:space="preserve"> </w:t>
      </w:r>
      <w:r>
        <w:t xml:space="preserve">buffer</w:t>
      </w:r>
      <w:r>
        <w:t xml:space="preserve"> </w:t>
      </w:r>
      <w:r>
        <w:t xml:space="preserve">300</w:t>
      </w:r>
      <w:r>
        <w:t xml:space="preserve"> </w:t>
      </w:r>
      <w:r>
        <w:t xml:space="preserve">288</w:t>
      </w:r>
      <w:r>
        <w:t xml:space="preserve"> </w:t>
      </w:r>
      <w:r>
        <w:t xml:space="preserve">276</w:t>
      </w:r>
      <w:r>
        <w:t xml:space="preserve"> </w:t>
      </w:r>
      <w:r>
        <w:t xml:space="preserve">265</w:t>
      </w:r>
      <w:r>
        <w:t xml:space="preserve"> </w:t>
      </w:r>
      <w:r>
        <w:t xml:space="preserve">255</w:t>
      </w:r>
      <w:r>
        <w:t xml:space="preserve"> </w:t>
      </w:r>
      <w:r>
        <w:t xml:space="preserve">245</w:t>
      </w:r>
      <w:r>
        <w:t xml:space="preserve"> </w:t>
      </w:r>
      <w:r>
        <w:t xml:space="preserve">235</w:t>
      </w:r>
      <w:r>
        <w:t xml:space="preserve"> </w:t>
      </w:r>
      <w:r>
        <w:t xml:space="preserve">225</w:t>
      </w:r>
      <w:r>
        <w:t xml:space="preserve"> </w:t>
      </w:r>
      <w:r>
        <w:t xml:space="preserve">216</w:t>
      </w:r>
      <w:r>
        <w:t xml:space="preserve"> </w:t>
      </w:r>
      <w:r>
        <w:t xml:space="preserve">208</w:t>
      </w:r>
      <w:r>
        <w:t xml:space="preserve"> </w:t>
      </w:r>
      <w:r>
        <w:t xml:space="preserve">199</w:t>
      </w:r>
      <w:r>
        <w:t xml:space="preserve"> </w:t>
      </w:r>
      <w:r>
        <w:t xml:space="preserve">191</w:t>
      </w:r>
      <w:r>
        <w:t xml:space="preserve"> </w:t>
      </w:r>
      <w:r>
        <w:t xml:space="preserve">184</w:t>
      </w:r>
      <w:r>
        <w:t xml:space="preserve"> </w:t>
      </w:r>
      <w:r>
        <w:t xml:space="preserve">Release</w:t>
      </w:r>
      <w:r>
        <w:t xml:space="preserve"> </w:t>
      </w:r>
      <w:r>
        <w:t xml:space="preserve">rate</w:t>
      </w:r>
      <w:r>
        <w:t xml:space="preserve"> </w:t>
      </w:r>
      <w:r>
        <w:t xml:space="preserve">100</w:t>
      </w:r>
      <w:r>
        <w:t xml:space="preserve"> </w:t>
      </w:r>
      <w:r>
        <w:t xml:space="preserve">96</w:t>
      </w:r>
      <w:r>
        <w:t xml:space="preserve"> </w:t>
      </w:r>
      <w:r>
        <w:t xml:space="preserve">92</w:t>
      </w:r>
      <w:r>
        <w:t xml:space="preserve"> </w:t>
      </w:r>
      <w:r>
        <w:t xml:space="preserve">88</w:t>
      </w:r>
      <w:r>
        <w:t xml:space="preserve"> </w:t>
      </w:r>
      <w:r>
        <w:t xml:space="preserve">85</w:t>
      </w:r>
      <w:r>
        <w:t xml:space="preserve"> </w:t>
      </w:r>
      <w:r>
        <w:t xml:space="preserve">82</w:t>
      </w:r>
      <w:r>
        <w:t xml:space="preserve"> </w:t>
      </w:r>
      <w:r>
        <w:t xml:space="preserve">78</w:t>
      </w:r>
      <w:r>
        <w:t xml:space="preserve"> </w:t>
      </w:r>
      <w:r>
        <w:t xml:space="preserve">75</w:t>
      </w:r>
      <w:r>
        <w:t xml:space="preserve"> </w:t>
      </w:r>
      <w:r>
        <w:t xml:space="preserve">72</w:t>
      </w:r>
      <w:r>
        <w:t xml:space="preserve"> </w:t>
      </w:r>
      <w:r>
        <w:t xml:space="preserve">69</w:t>
      </w:r>
      <w:r>
        <w:t xml:space="preserve"> </w:t>
      </w:r>
      <w:r>
        <w:t xml:space="preserve">66</w:t>
      </w:r>
      <w:r>
        <w:t xml:space="preserve"> </w:t>
      </w:r>
      <w:r>
        <w:t xml:space="preserve">64</w:t>
      </w:r>
      <w:r>
        <w:t xml:space="preserve"> </w:t>
      </w:r>
      <w:r>
        <w:t xml:space="preserve">61</w:t>
      </w:r>
      <w:r>
        <w:t xml:space="preserve"> </w:t>
      </w:r>
      <w:r>
        <w:t xml:space="preserve">The suggested approach allows to obtain similar upper threshold values as in MSR2, although</w:t>
      </w:r>
      <w:r>
        <w:t xml:space="preserve"> </w:t>
      </w:r>
      <w:r>
        <w:t xml:space="preserve">with a slightly smoother trajectory as the percentage decrease is constant, which is not the case</w:t>
      </w:r>
      <w:r>
        <w:t xml:space="preserve"> </w:t>
      </w:r>
      <w:r>
        <w:t xml:space="preserve">in MSR2 (with the LRF changing in 2031 and 2036). In MSR3, the decrease is applied year-</w:t>
      </w:r>
      <w:r>
        <w:t xml:space="preserve"> </w:t>
      </w:r>
      <w:r>
        <w:t xml:space="preserve">on-year and hence it is progressive, constant and proportionate to declining levels of the</w:t>
      </w:r>
      <w:r>
        <w:t xml:space="preserve"> </w:t>
      </w:r>
      <w:r>
        <w:t xml:space="preserve">thresholds. The decline trajectory in MSR3 is therefore simpler and more straightforward. In</w:t>
      </w:r>
      <w:r>
        <w:t xml:space="preserve"> </w:t>
      </w:r>
      <w:r>
        <w:t xml:space="preserve">MSR2, with parameters decreasing over three periods (pre-2030, 2031-2035, and up to 2040),</w:t>
      </w:r>
      <w:r>
        <w:t xml:space="preserve"> </w:t>
      </w:r>
      <w:r>
        <w:t xml:space="preserve">the yearly proportional decrease of the parameters exhibits ups and downs. This is not the case</w:t>
      </w:r>
      <w:r>
        <w:t xml:space="preserve"> </w:t>
      </w:r>
      <w:r>
        <w:t xml:space="preserve">in MSR3.</w:t>
      </w:r>
      <w:r>
        <w:br/>
      </w:r>
      <w:r>
        <w:t xml:space="preserve">Based on the same principles as MSR1 and MSR2, namely the introduction of dynamic</w:t>
      </w:r>
      <w:r>
        <w:t xml:space="preserve"> </w:t>
      </w:r>
      <w:r>
        <w:t xml:space="preserve">parameters and taking account of hedging needs, the precise design of MSR3 was obtained</w:t>
      </w:r>
      <w:r>
        <w:t xml:space="preserve"> </w:t>
      </w:r>
      <w:r>
        <w:t xml:space="preserve">through an iterative process, learning from successive simulations to find an optimal set of</w:t>
      </w:r>
      <w:r>
        <w:t xml:space="preserve"> </w:t>
      </w:r>
      <w:r>
        <w:t xml:space="preserve">parameters. The formulation of the final design remains relatively simple, with a single</w:t>
      </w:r>
      <w:r>
        <w:t xml:space="preserve"> </w:t>
      </w:r>
      <w:r>
        <w:t xml:space="preserve">percentage decrease for the three targeted parameters. The decrease rate is set empirically, and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is not correlated to the LRF, which is calibrated for the cap decrease, and not necessarily</w:t>
      </w:r>
      <w:r>
        <w:t xml:space="preserve"> </w:t>
      </w:r>
      <w:r>
        <w:t xml:space="preserve">optimal for the MSR parameters themselves.</w:t>
      </w:r>
      <w:r>
        <w:t xml:space="preserve"> </w:t>
      </w:r>
      <w:r>
        <w:t xml:space="preserve">Table 4 below provides a summary of the definitions of measures MSR0 through MSR3, in</w:t>
      </w:r>
      <w:r>
        <w:t xml:space="preserve"> </w:t>
      </w:r>
      <w:r>
        <w:t xml:space="preserve">terms of MSR parameters and their respective values/formulas.</w:t>
      </w:r>
      <w:r>
        <w:t xml:space="preserve"> </w:t>
      </w:r>
      <w:r>
        <w:t xml:space="preserve">Table 4:</w:t>
      </w:r>
      <w:r>
        <w:t xml:space="preserve"> </w:t>
      </w:r>
      <w:r>
        <w:t xml:space="preserve">Summary of the MSR measures definitions</w:t>
      </w:r>
    </w:p>
    <w:p>
      <w:pPr>
        <w:pStyle w:val="BodyText"/>
      </w:pPr>
      <w:r>
        <w:t xml:space="preserve">MSR0</w:t>
      </w:r>
      <w:r>
        <w:t xml:space="preserve"> </w:t>
      </w:r>
      <w:r>
        <w:t xml:space="preserve">MSR0+</w:t>
      </w:r>
      <w:r>
        <w:t xml:space="preserve"> </w:t>
      </w:r>
      <w:r>
        <w:t xml:space="preserve">MSR1</w:t>
      </w:r>
      <w:r>
        <w:t xml:space="preserve"> </w:t>
      </w:r>
      <w:r>
        <w:t xml:space="preserve">MSR2</w:t>
      </w:r>
      <w:r>
        <w:t xml:space="preserve"> </w:t>
      </w:r>
      <w:r>
        <w:t xml:space="preserve">MSR3</w:t>
      </w:r>
      <w:r>
        <w:t xml:space="preserve"> </w:t>
      </w:r>
      <w:r>
        <w:t xml:space="preserve">UB: upper</w:t>
      </w:r>
      <w:r>
        <w:t xml:space="preserve"> </w:t>
      </w:r>
      <w:r>
        <w:t xml:space="preserve">buffer</w:t>
      </w:r>
      <w:r>
        <w:t xml:space="preserve"> </w:t>
      </w:r>
      <w:r>
        <w:t xml:space="preserve">Implied by UT and IR: 𝑈𝐵(𝑦) =</w:t>
      </w:r>
      <w:r>
        <w:t xml:space="preserve"> </w:t>
      </w:r>
      <w:r>
        <w:t xml:space="preserve">𝑈𝑇(𝑦)</w:t>
      </w:r>
      <w:r>
        <w:t xml:space="preserve"> </w:t>
      </w:r>
      <w:r>
        <w:t xml:space="preserve">1−𝐼𝑅(𝑦)</w:t>
      </w:r>
      <w:r>
        <w:t xml:space="preserve"> </w:t>
      </w:r>
      <w:r>
        <w:t xml:space="preserve">UT: upper</w:t>
      </w:r>
      <w:r>
        <w:t xml:space="preserve"> </w:t>
      </w:r>
      <w:r>
        <w:t xml:space="preserve">threshold</w:t>
      </w:r>
      <w:r>
        <w:t xml:space="preserve"> </w:t>
      </w:r>
      <w:r>
        <w:t xml:space="preserve">833 Mt constant</w:t>
      </w:r>
      <w:r>
        <w:t xml:space="preserve"> </w:t>
      </w:r>
      <w:r>
        <w:t xml:space="preserve">(unchanged)</w:t>
      </w:r>
      <w:r>
        <w:t xml:space="preserve"> </w:t>
      </w:r>
      <w:r>
        <w:t xml:space="preserve">650 Mt</w:t>
      </w:r>
      <w:r>
        <w:t xml:space="preserve"> </w:t>
      </w:r>
      <w:r>
        <w:t xml:space="preserve">constant from</w:t>
      </w:r>
      <w:r>
        <w:t xml:space="preserve"> </w:t>
      </w:r>
      <w:r>
        <w:t xml:space="preserve">2028</w:t>
      </w:r>
      <w:r>
        <w:t xml:space="preserve"> </w:t>
      </w:r>
      <w:r>
        <w:t xml:space="preserve">650 Mt in 2028</w:t>
      </w:r>
      <w:r>
        <w:t xml:space="preserve"> </w:t>
      </w:r>
      <w:r>
        <w:t xml:space="preserve">Decreases with</w:t>
      </w:r>
      <w:r>
        <w:t xml:space="preserve"> </w:t>
      </w:r>
      <w:r>
        <w:t xml:space="preserve">LRF after</w:t>
      </w:r>
      <w:r>
        <w:t xml:space="preserve"> </w:t>
      </w:r>
      <w:r>
        <w:t xml:space="preserve">833 Mt in 2028</w:t>
      </w:r>
      <w:r>
        <w:t xml:space="preserve"> </w:t>
      </w:r>
      <w:r>
        <w:t xml:space="preserve">Decreases at</w:t>
      </w:r>
      <w:r>
        <w:t xml:space="preserve"> </w:t>
      </w:r>
      <w:r>
        <w:t xml:space="preserve">4%/year after</w:t>
      </w:r>
      <w:r>
        <w:t xml:space="preserve"> </w:t>
      </w:r>
      <w:r>
        <w:t xml:space="preserve">IR: intake rate</w:t>
      </w:r>
      <w:r>
        <w:t xml:space="preserve"> </w:t>
      </w:r>
      <w:r>
        <w:t xml:space="preserve">24% until 2030</w:t>
      </w:r>
      <w:r>
        <w:t xml:space="preserve"> </w:t>
      </w:r>
      <w:r>
        <w:t xml:space="preserve">12% after 2030</w:t>
      </w:r>
      <w:r>
        <w:t xml:space="preserve"> </w:t>
      </w:r>
      <w:r>
        <w:t xml:space="preserve">24% constant</w:t>
      </w:r>
      <w:r>
        <w:t xml:space="preserve"> </w:t>
      </w:r>
      <w:r>
        <w:t xml:space="preserve">12% constant</w:t>
      </w:r>
      <w:r>
        <w:t xml:space="preserve"> </w:t>
      </w:r>
      <w:r>
        <w:t xml:space="preserve">from 2028</w:t>
      </w:r>
      <w:r>
        <w:t xml:space="preserve"> </w:t>
      </w:r>
      <w:r>
        <w:t xml:space="preserve">LT: Lower</w:t>
      </w:r>
      <w:r>
        <w:t xml:space="preserve"> </w:t>
      </w:r>
      <w:r>
        <w:t xml:space="preserve">threshold</w:t>
      </w:r>
      <w:r>
        <w:t xml:space="preserve"> </w:t>
      </w:r>
      <w:r>
        <w:t xml:space="preserve">400 Mt constant</w:t>
      </w:r>
      <w:r>
        <w:t xml:space="preserve"> </w:t>
      </w:r>
      <w:r>
        <w:t xml:space="preserve">(unchanged)</w:t>
      </w:r>
      <w:r>
        <w:t xml:space="preserve"> </w:t>
      </w:r>
      <w:r>
        <w:t xml:space="preserve">310 Mt</w:t>
      </w:r>
      <w:r>
        <w:t xml:space="preserve"> </w:t>
      </w:r>
      <w:r>
        <w:t xml:space="preserve">constant from</w:t>
      </w:r>
      <w:r>
        <w:t xml:space="preserve"> </w:t>
      </w:r>
      <w:r>
        <w:t xml:space="preserve">2028</w:t>
      </w:r>
      <w:r>
        <w:t xml:space="preserve"> </w:t>
      </w:r>
      <w:r>
        <w:t xml:space="preserve">310 Mt in 2028</w:t>
      </w:r>
      <w:r>
        <w:t xml:space="preserve"> </w:t>
      </w:r>
      <w:r>
        <w:t xml:space="preserve">Decreases with</w:t>
      </w:r>
      <w:r>
        <w:t xml:space="preserve"> </w:t>
      </w:r>
      <w:r>
        <w:t xml:space="preserve">LRF after</w:t>
      </w:r>
      <w:r>
        <w:t xml:space="preserve"> </w:t>
      </w:r>
      <w:r>
        <w:t xml:space="preserve">400 Mt in 2028</w:t>
      </w:r>
      <w:r>
        <w:t xml:space="preserve"> </w:t>
      </w:r>
      <w:r>
        <w:t xml:space="preserve">Decreases at</w:t>
      </w:r>
      <w:r>
        <w:t xml:space="preserve"> </w:t>
      </w:r>
      <w:r>
        <w:t xml:space="preserve">4%/year after</w:t>
      </w:r>
      <w:r>
        <w:t xml:space="preserve"> </w:t>
      </w:r>
      <w:r>
        <w:t xml:space="preserve">LB: Lower</w:t>
      </w:r>
      <w:r>
        <w:t xml:space="preserve"> </w:t>
      </w:r>
      <w:r>
        <w:t xml:space="preserve">buffer</w:t>
      </w:r>
      <w:r>
        <w:t xml:space="preserve"> </w:t>
      </w:r>
      <w:r>
        <w:t xml:space="preserve">No buffer</w:t>
      </w:r>
      <w:r>
        <w:t xml:space="preserve"> </w:t>
      </w:r>
      <w:r>
        <w:t xml:space="preserve">Implied by LT and RR: 𝐿𝐵(𝑦) = 𝐿𝑇(𝑦) −𝑅𝑅(𝑦)</w:t>
      </w:r>
      <w:r>
        <w:t xml:space="preserve"> </w:t>
      </w:r>
      <w:r>
        <w:t xml:space="preserve">RR: Release rate</w:t>
      </w:r>
      <w:r>
        <w:t xml:space="preserve"> </w:t>
      </w:r>
      <w:r>
        <w:t xml:space="preserve">100 Mt constant</w:t>
      </w:r>
      <w:r>
        <w:t xml:space="preserve"> </w:t>
      </w:r>
      <w:r>
        <w:t xml:space="preserve">100 Mt in 2028</w:t>
      </w:r>
      <w:r>
        <w:t xml:space="preserve"> </w:t>
      </w:r>
      <w:r>
        <w:t xml:space="preserve">Decreases with</w:t>
      </w:r>
      <w:r>
        <w:t xml:space="preserve"> </w:t>
      </w:r>
      <w:r>
        <w:t xml:space="preserve">LRF after</w:t>
      </w:r>
      <w:r>
        <w:t xml:space="preserve"> </w:t>
      </w:r>
      <w:r>
        <w:t xml:space="preserve">100 Mt in 2028</w:t>
      </w:r>
      <w:r>
        <w:t xml:space="preserve"> </w:t>
      </w:r>
      <w:r>
        <w:t xml:space="preserve">Decreases at</w:t>
      </w:r>
      <w:r>
        <w:t xml:space="preserve"> </w:t>
      </w:r>
      <w:r>
        <w:t xml:space="preserve">4%/year after</w:t>
      </w:r>
      <w:r>
        <w:t xml:space="preserve"> </w:t>
      </w:r>
      <w:r>
        <w:t xml:space="preserve">Invalidation</w:t>
      </w:r>
      <w:r>
        <w:t xml:space="preserve"> </w:t>
      </w:r>
      <w:r>
        <w:t xml:space="preserve">mechanism</w:t>
      </w:r>
      <w:r>
        <w:t xml:space="preserve"> </w:t>
      </w:r>
      <w:r>
        <w:t xml:space="preserve">unchanged</w:t>
      </w:r>
      <w:r>
        <w:t xml:space="preserve"> </w:t>
      </w:r>
      <w:r>
        <w:t xml:space="preserve">Dropped after 2027</w:t>
      </w:r>
      <w:r>
        <w:t xml:space="preserve"> </w:t>
      </w:r>
      <w:r>
        <w:t xml:space="preserve">29R: A29a</w:t>
      </w:r>
      <w:r>
        <w:t xml:space="preserve"> </w:t>
      </w:r>
      <w:r>
        <w:t xml:space="preserve">release</w:t>
      </w:r>
      <w:r>
        <w:t xml:space="preserve"> </w:t>
      </w:r>
      <w:r>
        <w:t xml:space="preserve">75 Mt constant (unchanged)</w:t>
      </w:r>
      <w:r>
        <w:t xml:space="preserve"> </w:t>
      </w:r>
      <w:r>
        <w:t xml:space="preserve">TNAC</w:t>
      </w:r>
      <w:r>
        <w:t xml:space="preserve"> </w:t>
      </w:r>
      <w:r>
        <w:t xml:space="preserve">calculation</w:t>
      </w:r>
      <w:r>
        <w:t xml:space="preserve"> </w:t>
      </w:r>
      <w:r>
        <w:t xml:space="preserve">unchanged</w:t>
      </w:r>
      <w:r>
        <w:t xml:space="preserve"> </w:t>
      </w:r>
      <w:r>
        <w:t xml:space="preserve">Technical correction for 2027 TNAC</w:t>
      </w:r>
      <w:r>
        <w:t xml:space="preserve"> </w:t>
      </w:r>
      <w:r>
        <w:t xml:space="preserve">3.2. Discarded measures</w:t>
      </w:r>
      <w:r>
        <w:t xml:space="preserve"> </w:t>
      </w:r>
      <w:r>
        <w:t xml:space="preserve">The scoping exercise identified a of potential reforms ranging from operational parameter</w:t>
      </w:r>
      <w:r>
        <w:t xml:space="preserve"> </w:t>
      </w:r>
      <w:r>
        <w:t xml:space="preserve">adjustments to fundamental institutional innovations. Three measures that concern</w:t>
      </w:r>
      <w:r>
        <w:t xml:space="preserve"> </w:t>
      </w:r>
      <w:r>
        <w:t xml:space="preserve">fundamental reforms of the MSR (price-based triggers, higher-frequency indicators, and the</w:t>
      </w:r>
      <w:r>
        <w:t xml:space="preserve"> </w:t>
      </w:r>
      <w:r>
        <w:t xml:space="preserve">creation of a European Carbon Central Bank ‘ECCB’) were ultimately discarded before</w:t>
      </w:r>
      <w:r>
        <w:t xml:space="preserve"> </w:t>
      </w:r>
      <w:r>
        <w:t xml:space="preserve">undertaking the quantitative impact assessment.</w:t>
      </w:r>
      <w:r>
        <w:br/>
      </w:r>
      <w:r>
        <w:t xml:space="preserve">While these measures have theoretical merit, they face significant institutional barriers, require</w:t>
      </w:r>
      <w:r>
        <w:t xml:space="preserve"> </w:t>
      </w:r>
      <w:r>
        <w:t xml:space="preserve">multi-year preparation timelines, and represent departures from the MSR’s established</w:t>
      </w:r>
      <w:r>
        <w:t xml:space="preserve"> </w:t>
      </w:r>
      <w:r>
        <w:t xml:space="preserve">operational principles, hence are not feasible for implementation by 2028. The current revision</w:t>
      </w:r>
      <w:r>
        <w:t xml:space="preserve"> </w:t>
      </w:r>
      <w:r>
        <w:t xml:space="preserve">therefore focuses on operational refinements that address potential parameter misalignments</w:t>
      </w:r>
      <w:r>
        <w:t xml:space="preserve"> </w:t>
      </w:r>
      <w:r>
        <w:t xml:space="preserve">while preserving the rule-based, transparent framework that has made the MSR both politically</w:t>
      </w:r>
      <w:r>
        <w:t xml:space="preserve"> </w:t>
      </w:r>
      <w:r>
        <w:t xml:space="preserve">acceptable and operationally successful so far.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3.2.1. Price-based triggers</w:t>
      </w:r>
      <w:r>
        <w:t xml:space="preserve"> </w:t>
      </w:r>
      <w:r>
        <w:t xml:space="preserve">A price-based MSR would replace or supplement the existing quantity triggers for TNAC with</w:t>
      </w:r>
      <w:r>
        <w:t xml:space="preserve"> </w:t>
      </w:r>
      <w:r>
        <w:t xml:space="preserve">mechanisms that make the MSR respond to EUA price movements. Such approaches include</w:t>
      </w:r>
      <w:r>
        <w:t xml:space="preserve"> </w:t>
      </w:r>
      <w:r>
        <w:t xml:space="preserve">price ceilings and tiers, cost containment mechanisms, auction reserve prices and have strong</w:t>
      </w:r>
      <w:r>
        <w:t xml:space="preserve"> </w:t>
      </w:r>
      <w:r>
        <w:t xml:space="preserve">economic credentials: prices are observable continuously rather than calculated annually with</w:t>
      </w:r>
      <w:r>
        <w:t xml:space="preserve"> </w:t>
      </w:r>
      <w:r>
        <w:t xml:space="preserve">a certain time lag, incorporate forward-looking market expectations about scarcity, and provide</w:t>
      </w:r>
      <w:r>
        <w:t xml:space="preserve"> </w:t>
      </w:r>
      <w:r>
        <w:t xml:space="preserve">explicit planning parameters for investment decisions. Price-based market stability</w:t>
      </w:r>
      <w:r>
        <w:t xml:space="preserve"> </w:t>
      </w:r>
      <w:r>
        <w:t xml:space="preserve">mechanisms are in use in California, the UK, and Washington State, among others. Through</w:t>
      </w:r>
      <w:r>
        <w:t xml:space="preserve"> </w:t>
      </w:r>
      <w:r>
        <w:t xml:space="preserve">the Article 29a release mechanism, the MSR itself has a rule- and price-based element to</w:t>
      </w:r>
      <w:r>
        <w:t xml:space="preserve"> </w:t>
      </w:r>
      <w:r>
        <w:t xml:space="preserve">respond to significant price movements.</w:t>
      </w:r>
      <w:r>
        <w:br/>
      </w:r>
      <w:r>
        <w:t xml:space="preserve">Price-based triggers are discarded for the current review, as a quantity-based approach was</w:t>
      </w:r>
      <w:r>
        <w:t xml:space="preserve"> </w:t>
      </w:r>
      <w:r>
        <w:t xml:space="preserve">deliberately chosen when establishing the MSR in 2015, grounded in the belief that prices of</w:t>
      </w:r>
      <w:r>
        <w:t xml:space="preserve"> </w:t>
      </w:r>
      <w:r>
        <w:t xml:space="preserve">allowances should be determined by the market and not influenced by a price range set by the</w:t>
      </w:r>
      <w:r>
        <w:t xml:space="preserve"> </w:t>
      </w:r>
      <w:r>
        <w:t xml:space="preserve">regulator. The OPC synopsis report indicates that while a majority respondents called for</w:t>
      </w:r>
      <w:r>
        <w:t xml:space="preserve"> </w:t>
      </w:r>
      <w:r>
        <w:t xml:space="preserve">measures to improve MSR predictability and reduce price volatility, only a small minority</w:t>
      </w:r>
      <w:r>
        <w:t xml:space="preserve"> </w:t>
      </w:r>
      <w:r>
        <w:t xml:space="preserve">explicitly advocated for a price-based mechanism.</w:t>
      </w:r>
      <w:r>
        <w:br/>
      </w:r>
      <w:r>
        <w:t xml:space="preserve">3.2.2. Higher-frequency indicators</w:t>
      </w:r>
      <w:r>
        <w:t xml:space="preserve"> </w:t>
      </w:r>
      <w:r>
        <w:t xml:space="preserve">Higher-frequency indicators could complement rather than replace TNAC-based triggers,</w:t>
      </w:r>
      <w:r>
        <w:t xml:space="preserve"> </w:t>
      </w:r>
      <w:r>
        <w:t xml:space="preserve">incorporating measures such as volatility indices, liquidity metrics, derivatives market data,</w:t>
      </w:r>
      <w:r>
        <w:t xml:space="preserve"> </w:t>
      </w:r>
      <w:r>
        <w:t xml:space="preserve">and position concentrations to enhance MSR responsiveness. The OPC synopsis report</w:t>
      </w:r>
      <w:r>
        <w:t xml:space="preserve"> </w:t>
      </w:r>
      <w:r>
        <w:t xml:space="preserve">indicates that 10% of respondents explicitly called for shortening MSR response time through</w:t>
      </w:r>
      <w:r>
        <w:t xml:space="preserve"> </w:t>
      </w:r>
      <w:r>
        <w:t xml:space="preserve">more frequent adjustments. These views align with concerns raised about TNAC’s limitations</w:t>
      </w:r>
      <w:r>
        <w:t xml:space="preserve"> </w:t>
      </w:r>
      <w:r>
        <w:t xml:space="preserve">in an evolving market.</w:t>
      </w:r>
      <w:r>
        <w:br/>
      </w:r>
      <w:r>
        <w:t xml:space="preserve">The development of complementary indicators and associated rules to trigger MSR</w:t>
      </w:r>
      <w:r>
        <w:t xml:space="preserve"> </w:t>
      </w:r>
      <w:r>
        <w:t xml:space="preserve">intervention is discarded for the current review due to substantial practical barriers. Current</w:t>
      </w:r>
      <w:r>
        <w:t xml:space="preserve"> </w:t>
      </w:r>
      <w:r>
        <w:t xml:space="preserve">data infrastructure suffers from significant gaps in granular understanding of trading, hedging,</w:t>
      </w:r>
      <w:r>
        <w:t xml:space="preserve"> </w:t>
      </w:r>
      <w:r>
        <w:t xml:space="preserve">and banking activities, with regulatory and academic stakeholders acknowledging that existing</w:t>
      </w:r>
      <w:r>
        <w:t xml:space="preserve"> </w:t>
      </w:r>
      <w:r>
        <w:t xml:space="preserve">systems were not designed for EU ETS monitoring purposes and have fundamental data</w:t>
      </w:r>
      <w:r>
        <w:t xml:space="preserve"> </w:t>
      </w:r>
      <w:r>
        <w:t xml:space="preserve">availability issues. Developing robust indicators would potentially require expanded ESMA</w:t>
      </w:r>
      <w:r>
        <w:t xml:space="preserve"> </w:t>
      </w:r>
      <w:r>
        <w:t xml:space="preserve">mandate and resources. Moreover, no consensus exists on which specific indicators to adopt.</w:t>
      </w:r>
      <w:r>
        <w:t xml:space="preserve"> </w:t>
      </w:r>
      <w:r>
        <w:t xml:space="preserve">3.2.3. European Carbon Central Bank</w:t>
      </w:r>
      <w:r>
        <w:t xml:space="preserve"> </w:t>
      </w:r>
      <w:r>
        <w:t xml:space="preserve">A European Carbon Central Bank (ECCB) would be a new EU institution modelled</w:t>
      </w:r>
      <w:r>
        <w:t xml:space="preserve"> </w:t>
      </w:r>
      <w:r>
        <w:t xml:space="preserve">conceptually on the European Central Bank with authority over carbon market management.</w:t>
      </w:r>
      <w:r>
        <w:t xml:space="preserve"> </w:t>
      </w:r>
      <w:r>
        <w:t xml:space="preserve">In principle, numerous ECCB design variants exist, differing substantially in scope of mandate</w:t>
      </w:r>
      <w:r>
        <w:t xml:space="preserve"> </w:t>
      </w:r>
      <w:r>
        <w:t xml:space="preserve">and governance architecture. Existing proposals range from narrow rule-based mechanisms</w:t>
      </w:r>
      <w:r>
        <w:t xml:space="preserve"> </w:t>
      </w:r>
      <w:r>
        <w:t xml:space="preserve">focused solely on allowance reserve management and market oversight to broader discretionary</w:t>
      </w:r>
      <w:r>
        <w:t xml:space="preserve"> </w:t>
      </w:r>
      <w:r>
        <w:t xml:space="preserve">frameworks encompassing multiple market functions.</w:t>
      </w:r>
      <w:r>
        <w:br/>
      </w:r>
      <w:r>
        <w:t xml:space="preserve">The ECCB option was discarded for two reasons. First, other stakeholders raised objections to</w:t>
      </w:r>
      <w:r>
        <w:t xml:space="preserve"> </w:t>
      </w:r>
      <w:r>
        <w:t xml:space="preserve">discretionary ECCB designs and their political-institutional infeasibility. Interviews with</w:t>
      </w:r>
      <w:r>
        <w:t xml:space="preserve"> </w:t>
      </w:r>
      <w:r>
        <w:t xml:space="preserve">market operators and industry associations revealed strong rejection of discretionary</w:t>
      </w:r>
      <w:r>
        <w:t xml:space="preserve"> </w:t>
      </w:r>
      <w:r>
        <w:t xml:space="preserve">institutional approaches, with preference for the MSR’s predictable, transparent, volume-based</w:t>
      </w:r>
      <w:r>
        <w:t xml:space="preserve"> </w:t>
      </w:r>
      <w:r>
        <w:t xml:space="preserve">operation as central to political acceptability and market confidence. Second, establishing a</w:t>
      </w:r>
      <w:r>
        <w:t xml:space="preserve"> </w:t>
      </w:r>
      <w:r>
        <w:t xml:space="preserve">new EU institution requires multi-year political processes to define mandate, governance</w:t>
      </w:r>
      <w:r>
        <w:t xml:space="preserve"> </w:t>
      </w:r>
      <w:r>
        <w:t xml:space="preserve">structures, institutional composition, independence safeguards and accountability mechanisms,</w:t>
      </w:r>
      <w:r>
        <w:t xml:space="preserve"> </w:t>
      </w:r>
      <w:r>
        <w:t xml:space="preserve">rendering implementation infeasible in the context of the 2026 review and highly ambitious</w:t>
      </w:r>
      <w:r>
        <w:t xml:space="preserve"> </w:t>
      </w:r>
      <w:r>
        <w:t xml:space="preserve">even for the 2031 review timeline.</w:t>
      </w:r>
    </w:p>
    <w:p>
      <w:pPr>
        <w:pStyle w:val="BodyText"/>
      </w:pPr>
      <w:r>
        <w:t xml:space="preserve">112</w:t>
      </w:r>
    </w:p>
    <w:p>
      <w:pPr>
        <w:pStyle w:val="Compact"/>
        <w:numPr>
          <w:ilvl w:val="0"/>
          <w:numId w:val="1010"/>
        </w:numPr>
      </w:pPr>
      <w:r>
        <w:t xml:space="preserve">ASSESSMENT OF THE MEASURES</w:t>
      </w:r>
      <w:r>
        <w:t xml:space="preserve"> </w:t>
      </w:r>
      <w:r>
        <w:t xml:space="preserve">4.1. Modelling results</w:t>
      </w:r>
      <w:r>
        <w:t xml:space="preserve"> </w:t>
      </w:r>
      <w:r>
        <w:t xml:space="preserve">MSR measures were assessed quantitatively with the POLES-Enerdata model. The model</w:t>
      </w:r>
      <w:r>
        <w:t xml:space="preserve"> </w:t>
      </w:r>
      <w:r>
        <w:t xml:space="preserve">allows to simulate the EU energy systems, and notably the ETS-covered sectors, with annual</w:t>
      </w:r>
      <w:r>
        <w:t xml:space="preserve"> </w:t>
      </w:r>
      <w:r>
        <w:t xml:space="preserve">results up to 2050. An optimisation module is added on top of the energy systems simulation</w:t>
      </w:r>
      <w:r>
        <w:t xml:space="preserve"> </w:t>
      </w:r>
      <w:r>
        <w:t xml:space="preserve">to model the EU ETS market operations, including an explicit representation of the MSR</w:t>
      </w:r>
      <w:r>
        <w:t xml:space="preserve"> </w:t>
      </w:r>
      <w:r>
        <w:t xml:space="preserve">design. The tool therefore allows to analyse, under different MSR design configurations, the</w:t>
      </w:r>
      <w:r>
        <w:t xml:space="preserve"> </w:t>
      </w:r>
      <w:r>
        <w:t xml:space="preserve">endogenous evolution of key indicators such as the ETS-covered emissions, the TNAC, the</w:t>
      </w:r>
      <w:r>
        <w:t xml:space="preserve"> </w:t>
      </w:r>
      <w:r>
        <w:t xml:space="preserve">MSR operations and the EUA price evolution. It is important to recall that the MSR measures</w:t>
      </w:r>
      <w:r>
        <w:t xml:space="preserve"> </w:t>
      </w:r>
      <w:r>
        <w:t xml:space="preserve">are assessed based on a scenario with an adjusted ETS cap trajectory meeting a 90% economy-</w:t>
      </w:r>
      <w:r>
        <w:t xml:space="preserve"> </w:t>
      </w:r>
      <w:r>
        <w:t xml:space="preserve">wide emission reduction target in 2040 and featuring the inclusion of 50% of the international</w:t>
      </w:r>
      <w:r>
        <w:t xml:space="preserve"> </w:t>
      </w:r>
      <w:r>
        <w:t xml:space="preserve">extra-EEA aviation in the ETS scope in addition to the current scope.</w:t>
      </w:r>
      <w:r>
        <w:t xml:space="preserve"> </w:t>
      </w:r>
      <w:r>
        <w:t xml:space="preserve">The MSR0 scenario (CWAS) is the starting point for the MSR measure-level analysis. Measure</w:t>
      </w:r>
      <w:r>
        <w:t xml:space="preserve"> </w:t>
      </w:r>
      <w:r>
        <w:t xml:space="preserve">MSR0+ (ACWAS) is then introduced to envision changes considered necessary to the existing</w:t>
      </w:r>
      <w:r>
        <w:t xml:space="preserve"> </w:t>
      </w:r>
      <w:r>
        <w:t xml:space="preserve">design of the MSR. It serves as the basis for the development of further measures, MSR1 to</w:t>
      </w:r>
      <w:r>
        <w:t xml:space="preserve"> </w:t>
      </w:r>
      <w:r>
        <w:t xml:space="preserve">MSR3, which were implemented in the model. Their respective results are analysed in this</w:t>
      </w:r>
      <w:r>
        <w:t xml:space="preserve"> </w:t>
      </w:r>
      <w:r>
        <w:t xml:space="preserve">section. A sensitivity analysis is also conducted to verify assess each measure’s robustness in</w:t>
      </w:r>
      <w:r>
        <w:t xml:space="preserve"> </w:t>
      </w:r>
      <w:r>
        <w:t xml:space="preserve">the presence of EUA supply or demand shocks.</w:t>
      </w:r>
      <w:r>
        <w:br/>
      </w:r>
      <w:r>
        <w:t xml:space="preserve">A more comprehensive description of the modelling approach is provided in Annex 4. As</w:t>
      </w:r>
      <w:r>
        <w:t xml:space="preserve"> </w:t>
      </w:r>
      <w:r>
        <w:t xml:space="preserve">outlined in the methodological annex, for the purpose of the below measure assessment, MSR</w:t>
      </w:r>
      <w:r>
        <w:t xml:space="preserve"> </w:t>
      </w:r>
      <w:r>
        <w:t xml:space="preserve">scenarios were assessed on the basis of a 90% economy wide reduction target.</w:t>
      </w:r>
      <w:r>
        <w:t xml:space="preserve"> </w:t>
      </w:r>
      <w:r>
        <w:t xml:space="preserve">The next section (Section 5), analyses of the most promising measures (MSR1 and MSR3) in</w:t>
      </w:r>
      <w:r>
        <w:t xml:space="preserve"> </w:t>
      </w:r>
      <w:r>
        <w:t xml:space="preserve">the broader context of policy options: it tests how they perform when packaged together with</w:t>
      </w:r>
      <w:r>
        <w:t xml:space="preserve"> </w:t>
      </w:r>
      <w:r>
        <w:t xml:space="preserve">the other elements of EU ETS design that form the policy options of the main impact</w:t>
      </w:r>
      <w:r>
        <w:t xml:space="preserve"> </w:t>
      </w:r>
      <w:r>
        <w:t xml:space="preserve">assessment. For alignment purposes, it is important to note that the results for the policy options</w:t>
      </w:r>
      <w:r>
        <w:t xml:space="preserve"> </w:t>
      </w:r>
      <w:r>
        <w:t xml:space="preserve">analysis for PO1, PO2 and PO3 which make use of the MSR1 and MSR3 scenarios, were</w:t>
      </w:r>
      <w:r>
        <w:t xml:space="preserve"> </w:t>
      </w:r>
      <w:r>
        <w:t xml:space="preserve">assessed on the POLES Enerdata model to take account of the 90% emission reduction target</w:t>
      </w:r>
      <w:r>
        <w:t xml:space="preserve"> </w:t>
      </w:r>
      <w:r>
        <w:t xml:space="preserve">for 2035 and 85% for 2040 in comparison with 1990 instead of a 90% economy wide reduction</w:t>
      </w:r>
      <w:r>
        <w:t xml:space="preserve"> </w:t>
      </w:r>
      <w:r>
        <w:t xml:space="preserve">target.</w:t>
      </w:r>
      <w:r>
        <w:t xml:space="preserve"> </w:t>
      </w:r>
      <w:r>
        <w:t xml:space="preserve">The present measure level analysis does not incorporate the 2025 TNAC published on 28 May</w:t>
      </w:r>
      <w:r>
        <w:t xml:space="preserve"> </w:t>
      </w:r>
      <w:r>
        <w:t xml:space="preserve">202678 in the POLES-Enerdata model, which resulted in an intake of 190 million allowances</w:t>
      </w:r>
      <w:r>
        <w:t xml:space="preserve"> </w:t>
      </w:r>
      <w:r>
        <w:t xml:space="preserve">in the MSR over a period of 12 months from September 2026 until August 2027. The POLES-</w:t>
      </w:r>
      <w:r>
        <w:t xml:space="preserve"> </w:t>
      </w:r>
      <w:r>
        <w:t xml:space="preserve">Enerdata model estimates for 2025 a higher TNAC than the official TNAC as it projects greater</w:t>
      </w:r>
      <w:r>
        <w:t xml:space="preserve"> </w:t>
      </w:r>
      <w:r>
        <w:t xml:space="preserve">emissions reductions than those observed in 2025. This, in turn, impacts results for future MSR</w:t>
      </w:r>
      <w:r>
        <w:t xml:space="preserve"> </w:t>
      </w:r>
      <w:r>
        <w:t xml:space="preserve">operations and consequently EUA prices. A more complete description of the impact of the</w:t>
      </w:r>
      <w:r>
        <w:t xml:space="preserve"> </w:t>
      </w:r>
      <w:r>
        <w:t xml:space="preserve">adjusted 2025 TNAC on the policy options results is provided in in section 5.4.</w:t>
      </w:r>
      <w:r>
        <w:t xml:space="preserve"> </w:t>
      </w:r>
      <w:r>
        <w:t xml:space="preserve">4.1.1. Results from measure MSR0 (CWAS)</w:t>
      </w:r>
      <w:r>
        <w:t xml:space="preserve"> </w:t>
      </w:r>
      <w:r>
        <w:t xml:space="preserve">Historically, the TNAC has always been above the MSR upper threshold and buffer, leading</w:t>
      </w:r>
      <w:r>
        <w:t xml:space="preserve"> </w:t>
      </w:r>
      <w:r>
        <w:t xml:space="preserve">to continued intakes by the MSR since it started operating. In measure MSR0, as shown on</w:t>
      </w:r>
      <w:r>
        <w:t xml:space="preserve"> </w:t>
      </w:r>
      <w:r>
        <w:t xml:space="preserve">Figure 9, the TNAC progressively drops, going below the upper threshold in 2027. After that,</w:t>
      </w:r>
      <w:r>
        <w:t xml:space="preserve"> </w:t>
      </w:r>
      <w:r>
        <w:t xml:space="preserve">it continues to decrease, although remaining in the neutral zone (i.e. between the upper and</w:t>
      </w:r>
      <w:r>
        <w:t xml:space="preserve"> </w:t>
      </w:r>
      <w:r>
        <w:t xml:space="preserve">lower thresholds) until 2035, after which it spends three years below the lower threshold, before</w:t>
      </w:r>
      <w:r>
        <w:t xml:space="preserve"> </w:t>
      </w:r>
      <w:r>
        <w:t xml:space="preserve">coming back up in the neutral zone again in 2039.</w:t>
      </w:r>
    </w:p>
    <w:p>
      <w:pPr>
        <w:pStyle w:val="FirstParagraph"/>
      </w:pPr>
      <w:r>
        <w:t xml:space="preserve">78 See the European Commission Publication of the TNAC Communication 2025.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Figure 9:</w:t>
      </w:r>
      <w:r>
        <w:t xml:space="preserve"> </w:t>
      </w:r>
      <w:r>
        <w:t xml:space="preserve">MSR0 results - Evolution of the TNAC and MSR thresholds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This TNAC evolution translates into the following operations carried out by the MSR</w:t>
      </w:r>
      <w:r>
        <w:t xml:space="preserve"> </w:t>
      </w:r>
      <w:r>
        <w:t xml:space="preserve">(illustrated on Figure 10), specifically the curve ‘MSR decision based on current TNAC’,</w:t>
      </w:r>
      <w:r>
        <w:t xml:space="preserve"> </w:t>
      </w:r>
      <w:r>
        <w:t xml:space="preserve">which corresponds to the quantity of allowances to be absorbed or released from the MSR. To</w:t>
      </w:r>
      <w:r>
        <w:t xml:space="preserve"> </w:t>
      </w:r>
      <w:r>
        <w:t xml:space="preserve">recall, by 1 of June every year y, the TNAC of the previous year y-1 is published, which can</w:t>
      </w:r>
      <w:r>
        <w:t xml:space="preserve"> </w:t>
      </w:r>
      <w:r>
        <w:t xml:space="preserve">trigger intakes or releases of allowances spread over a period of 12 months, from September y</w:t>
      </w:r>
      <w:r>
        <w:t xml:space="preserve"> </w:t>
      </w:r>
      <w:r>
        <w:t xml:space="preserve">to August y+1. Therefore, the MSR operation in year y can be calculated based on the following</w:t>
      </w:r>
      <w:r>
        <w:t xml:space="preserve"> </w:t>
      </w:r>
      <w:r>
        <w:t xml:space="preserve">formula:</w:t>
      </w:r>
      <w:r>
        <w:t xml:space="preserve"> </w:t>
      </w:r>
      <w:r>
        <w:t xml:space="preserve">𝑀𝑆𝑅 𝑜𝑝𝑒𝑟𝑎𝑡𝑖𝑜𝑛 (𝑦) = 2</w:t>
      </w:r>
      <w:r>
        <w:t xml:space="preserve"> </w:t>
      </w:r>
      <w:r>
        <w:t xml:space="preserve">3 ∗𝑇𝑁𝐴𝐶 (𝑦−2) + 1</w:t>
      </w:r>
      <w:r>
        <w:t xml:space="preserve"> </w:t>
      </w:r>
      <w:r>
        <w:t xml:space="preserve">3 ∗𝑇𝑁𝐴𝐶(𝑦−1)</w:t>
      </w:r>
      <w:r>
        <w:t xml:space="preserve"> </w:t>
      </w:r>
      <w:r>
        <w:t xml:space="preserve">The last decision to intake additional EUAs is based on the 2027 TNAC. Considering the lag</w:t>
      </w:r>
      <w:r>
        <w:t xml:space="preserve"> </w:t>
      </w:r>
      <w:r>
        <w:t xml:space="preserve">between the MSR decision and actual intakes, the last EUAs are absorbed by the MSR in</w:t>
      </w:r>
      <w:r>
        <w:t xml:space="preserve"> </w:t>
      </w:r>
      <w:r>
        <w:t xml:space="preserve">August 2028. Then, the MSR become inactive until September 2037, time at which it starts</w:t>
      </w:r>
      <w:r>
        <w:t xml:space="preserve"> </w:t>
      </w:r>
      <w:r>
        <w:t xml:space="preserve">releasing allowances, since the 2036 TNAC has crossed the lower threshold. The EUAs</w:t>
      </w:r>
      <w:r>
        <w:t xml:space="preserve"> </w:t>
      </w:r>
      <w:r>
        <w:t xml:space="preserve">released over 2037-2040 enable the TNAC to get back to the neutral zone, as observed above.</w:t>
      </w:r>
      <w:r>
        <w:t xml:space="preserve"> </w:t>
      </w:r>
      <w:r>
        <w:t xml:space="preserve">MSR operations are illustrated in Figure 10.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Figure 10: MSR0 results - MSR operations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The amount of EUAs in the reserve (Figure 11) is capped at 400 million with the invalidation</w:t>
      </w:r>
      <w:r>
        <w:t xml:space="preserve"> </w:t>
      </w:r>
      <w:r>
        <w:t xml:space="preserve">mechanism, which leads to a total of 1,111 million EUAs invalidated over 2024-2028.</w:t>
      </w:r>
      <w:r>
        <w:t xml:space="preserve"> </w:t>
      </w:r>
      <w:r>
        <w:t xml:space="preserve">Cumulative releases between 2037 and 2040 amount to about 300 million EUAs, leading the</w:t>
      </w:r>
      <w:r>
        <w:t xml:space="preserve"> </w:t>
      </w:r>
      <w:r>
        <w:t xml:space="preserve">remaining volume in the MSR to drop to only 100 million by 2040. This leaves a limited</w:t>
      </w:r>
      <w:r>
        <w:t xml:space="preserve"> </w:t>
      </w:r>
      <w:r>
        <w:t xml:space="preserve">capacity for the MSR to keep operating in later years and keeps a relatively low margin in the</w:t>
      </w:r>
      <w:r>
        <w:t xml:space="preserve"> </w:t>
      </w:r>
      <w:r>
        <w:t xml:space="preserve">case of an unanticipated event which could cause an EUA demand shock (only 1 year of</w:t>
      </w:r>
      <w:r>
        <w:t xml:space="preserve"> </w:t>
      </w:r>
      <w:r>
        <w:t xml:space="preserve">additional releases available assuming no releases due to the Article 29a being triggered</w:t>
      </w:r>
      <w:r>
        <w:t xml:space="preserve"> </w:t>
      </w:r>
      <w:r>
        <w:t xml:space="preserve">previously).</w:t>
      </w:r>
      <w:r>
        <w:t xml:space="preserve"> </w:t>
      </w:r>
      <w:r>
        <w:t xml:space="preserve">Figure 11: MSR0 results – Stock of EUAs in the MSR (January 1st) &amp; invalidations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Figure 12 shows that EUA indexed price79 for MSR0 is expected to increase until 2029. Then,</w:t>
      </w:r>
      <w:r>
        <w:t xml:space="preserve"> </w:t>
      </w:r>
      <w:r>
        <w:t xml:space="preserve">it stabilizes for about 3 years before starting to increase quickly in the second half of the 2030</w:t>
      </w:r>
      <w:r>
        <w:t xml:space="preserve"> </w:t>
      </w:r>
      <w:r>
        <w:t xml:space="preserve">decade. In other words, the market becomes tight relatively quickly after 2033, and the MSR</w:t>
      </w:r>
      <w:r>
        <w:t xml:space="preserve"> </w:t>
      </w:r>
      <w:r>
        <w:t xml:space="preserve">release is not early or strong enough to counter that effect.</w:t>
      </w:r>
    </w:p>
    <w:p>
      <w:pPr>
        <w:pStyle w:val="BodyText"/>
      </w:pPr>
      <w:r>
        <w:t xml:space="preserve">79 The difference between the price trajectories obtained from POLES-Enerdata and those used in the initial</w:t>
      </w:r>
      <w:r>
        <w:t xml:space="preserve"> </w:t>
      </w:r>
      <w:r>
        <w:t xml:space="preserve">PRIMES-based 90% scenario are analysed and explained in Annex 4.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Figure 12: MSR0 results – EUA indexed price evolution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Figure 13 below shows the EU ETS-covered emissions resulting from the MSR0 scenario.</w:t>
      </w:r>
      <w:r>
        <w:t xml:space="preserve"> </w:t>
      </w:r>
      <w:r>
        <w:t xml:space="preserve">These emissions are steadily decreasing through 2040, by 8%/year on average, despite the</w:t>
      </w:r>
      <w:r>
        <w:t xml:space="preserve"> </w:t>
      </w:r>
      <w:r>
        <w:t xml:space="preserve">addition of the departing extra-EEA aviation emissions in the ETS scope in 2027. Emissions</w:t>
      </w:r>
      <w:r>
        <w:t xml:space="preserve"> </w:t>
      </w:r>
      <w:r>
        <w:t xml:space="preserve">from the power sector are decreasing fast and reach low levels by 2040 (about 40 MtCO2),</w:t>
      </w:r>
      <w:r>
        <w:t xml:space="preserve"> </w:t>
      </w:r>
      <w:r>
        <w:t xml:space="preserve">while industrial emissions reduce more progressively to 170 MtCO2 in 2040. Combined,</w:t>
      </w:r>
      <w:r>
        <w:t xml:space="preserve"> </w:t>
      </w:r>
      <w:r>
        <w:t xml:space="preserve">aviation and maritime emissions amount to 110 MtCO2 in 2040, about half their 2027 levels.</w:t>
      </w:r>
      <w:r>
        <w:t xml:space="preserve"> </w:t>
      </w:r>
      <w:r>
        <w:t xml:space="preserve">Figure 13: MSR0 results - EU ETS emissions</w:t>
      </w:r>
    </w:p>
    <w:p>
      <w:pPr>
        <w:pStyle w:val="BodyText"/>
      </w:pPr>
      <w:r>
        <w:t xml:space="preserve">Figure 13 above shows a misalignment in the POLES-Enerdata model between the EU ETS</w:t>
      </w:r>
      <w:r>
        <w:t xml:space="preserve"> </w:t>
      </w:r>
      <w:r>
        <w:t xml:space="preserve">emissions and the cap, which can be explained by two factors. First, there is a historical surplus</w:t>
      </w:r>
      <w:r>
        <w:t xml:space="preserve"> </w:t>
      </w:r>
      <w:r>
        <w:t xml:space="preserve">of allowances on the market, part of which is held by market participants and part of which sits</w:t>
      </w:r>
      <w:r>
        <w:t xml:space="preserve"> </w:t>
      </w:r>
      <w:r>
        <w:t xml:space="preserve">in the MSR. These allowances can later be used for compliance, on top of the allowances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supplied through free allocations and auctions according to the yearly cap. Secondly, the</w:t>
      </w:r>
      <w:r>
        <w:t xml:space="preserve"> </w:t>
      </w:r>
      <w:r>
        <w:t xml:space="preserve">model’s methodology solves the compliance problem with rolling anticipation periods of 8</w:t>
      </w:r>
      <w:r>
        <w:t xml:space="preserve"> </w:t>
      </w:r>
      <w:r>
        <w:t xml:space="preserve">years, allowing for some banking effects. Therefore, yearly emissions observed in the POLES-</w:t>
      </w:r>
      <w:r>
        <w:t xml:space="preserve"> </w:t>
      </w:r>
      <w:r>
        <w:t xml:space="preserve">Enerdata model are not necessarily aligned with the cap, which can be seen as realistic for these</w:t>
      </w:r>
      <w:r>
        <w:t xml:space="preserve"> </w:t>
      </w:r>
      <w:r>
        <w:t xml:space="preserve">two reasons.</w:t>
      </w:r>
      <w:r>
        <w:t xml:space="preserve"> </w:t>
      </w:r>
      <w:r>
        <w:t xml:space="preserve">Finally, an interesting indicator when considering the liquidity of the EU ETS is the stock-to-</w:t>
      </w:r>
      <w:r>
        <w:t xml:space="preserve"> </w:t>
      </w:r>
      <w:r>
        <w:t xml:space="preserve">flow ratio between the TNAC and the annual emissions. This ratio is presented in Figure 14. It</w:t>
      </w:r>
      <w:r>
        <w:t xml:space="preserve"> </w:t>
      </w:r>
      <w:r>
        <w:t xml:space="preserve">can be interpreted as the number of years’ worth of emissions that actors hold in their registry</w:t>
      </w:r>
      <w:r>
        <w:t xml:space="preserve"> </w:t>
      </w:r>
      <w:r>
        <w:t xml:space="preserve">accounts in the form of allowances. These EUAs are notably used for hedging and banking,</w:t>
      </w:r>
      <w:r>
        <w:t xml:space="preserve"> </w:t>
      </w:r>
      <w:r>
        <w:t xml:space="preserve">and it is therefore healthy for the market to feature some surplus.</w:t>
      </w:r>
      <w:r>
        <w:br/>
      </w:r>
      <w:r>
        <w:t xml:space="preserve">If the stock-to-flow ratio is too low, it means that the surplus is too low and the market faces</w:t>
      </w:r>
      <w:r>
        <w:t xml:space="preserve"> </w:t>
      </w:r>
      <w:r>
        <w:t xml:space="preserve">scarcity, and it could lead to a high price increase. Typically, less than 3-4 months of emissions</w:t>
      </w:r>
      <w:r>
        <w:t xml:space="preserve"> </w:t>
      </w:r>
      <w:r>
        <w:t xml:space="preserve">in stock, i.e. a TNAC-to-emission ratio below around 0.25-0.3, is assumed to be too limited for</w:t>
      </w:r>
      <w:r>
        <w:t xml:space="preserve"> </w:t>
      </w:r>
      <w:r>
        <w:t xml:space="preserve">market stability.</w:t>
      </w:r>
      <w:r>
        <w:br/>
      </w:r>
      <w:r>
        <w:t xml:space="preserve">A stock-to-flow ratio that is too high corresponds to a situation of oversupply of allowances,</w:t>
      </w:r>
      <w:r>
        <w:t xml:space="preserve"> </w:t>
      </w:r>
      <w:r>
        <w:t xml:space="preserve">which could also be unfavourable to the market. It takes in this situation time for the ETS-</w:t>
      </w:r>
      <w:r>
        <w:t xml:space="preserve"> </w:t>
      </w:r>
      <w:r>
        <w:t xml:space="preserve">covered emissions to reach the cap, indicating that the price signal might be weakened. In</w:t>
      </w:r>
      <w:r>
        <w:t xml:space="preserve"> </w:t>
      </w:r>
      <w:r>
        <w:t xml:space="preserve">modelled simulations (though not in historical observation so far), a high ratio could also</w:t>
      </w:r>
      <w:r>
        <w:t xml:space="preserve"> </w:t>
      </w:r>
      <w:r>
        <w:t xml:space="preserve">indicate anticipation of future tightness (hoarding) as discussed in Section 3.1.1. A full year of</w:t>
      </w:r>
      <w:r>
        <w:t xml:space="preserve"> </w:t>
      </w:r>
      <w:r>
        <w:t xml:space="preserve">emissions in stock (i.e. a TNAC-to-emissions ratio of 1) is considered much too high for a</w:t>
      </w:r>
      <w:r>
        <w:t xml:space="preserve"> </w:t>
      </w:r>
      <w:r>
        <w:t xml:space="preserve">healthy functioning of the market. Hence, it is assumed that a sweet spot for the TNAC-to-</w:t>
      </w:r>
      <w:r>
        <w:t xml:space="preserve"> </w:t>
      </w:r>
      <w:r>
        <w:t xml:space="preserve">emission ratio would be between 0.3 and 0.6, for the market balance to be healthy.</w:t>
      </w:r>
      <w:r>
        <w:br/>
      </w:r>
      <w:r>
        <w:t xml:space="preserve">In MSR0, we observe a ratio declining towards this range in the beginning of the simulation</w:t>
      </w:r>
      <w:r>
        <w:t xml:space="preserve"> </w:t>
      </w:r>
      <w:r>
        <w:t xml:space="preserve">period (around 2030), but then it rises again and ends around 1.3 by 2040, much higher than</w:t>
      </w:r>
      <w:r>
        <w:t xml:space="preserve"> </w:t>
      </w:r>
      <w:r>
        <w:t xml:space="preserve">expectations for an adequate liquidity.</w:t>
      </w:r>
      <w:r>
        <w:t xml:space="preserve"> </w:t>
      </w:r>
      <w:r>
        <w:t xml:space="preserve">Figure 14: MSR0 results - TNAC-to-Emissions ratio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4.1.2. Results from measure MSR0+ (ACWAS)</w:t>
      </w:r>
      <w:r>
        <w:t xml:space="preserve"> </w:t>
      </w:r>
      <w:r>
        <w:t xml:space="preserve">Summary. Compared to MSR0, the improvements introduced in measure MSR0+ prove very</w:t>
      </w:r>
      <w:r>
        <w:t xml:space="preserve"> </w:t>
      </w:r>
      <w:r>
        <w:t xml:space="preserve">useful in some ways, the lower buffer and removal of the invalidation mechanism improve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market liquidity, prevent the TNAC from oscillating too strongly, and enable the MSR to have</w:t>
      </w:r>
      <w:r>
        <w:t xml:space="preserve"> </w:t>
      </w:r>
      <w:r>
        <w:t xml:space="preserve">a higher number of EUAs in the reserve, thereby strengthening its ability to release allowances</w:t>
      </w:r>
      <w:r>
        <w:t xml:space="preserve"> </w:t>
      </w:r>
      <w:r>
        <w:t xml:space="preserve">when these are required. However, the price trajectory in MSR0+ is problematic, with prices</w:t>
      </w:r>
      <w:r>
        <w:t xml:space="preserve"> </w:t>
      </w:r>
      <w:r>
        <w:t xml:space="preserve">initially falling, then starting a steep climb as in MSR0 but even earlier. This risks jeopardising</w:t>
      </w:r>
      <w:r>
        <w:t xml:space="preserve"> </w:t>
      </w:r>
      <w:r>
        <w:t xml:space="preserve">the short-term business case for the decarbonisation investments required in the long-term, and</w:t>
      </w:r>
      <w:r>
        <w:t xml:space="preserve"> </w:t>
      </w:r>
      <w:r>
        <w:t xml:space="preserve">demonstrates the need for further adjustments to MSR design parameters.</w:t>
      </w:r>
      <w:r>
        <w:t xml:space="preserve"> </w:t>
      </w:r>
      <w:r>
        <w:t xml:space="preserve">Detailed results. Measure MSR0+ introduces a set of technical improvements to the MSR</w:t>
      </w:r>
      <w:r>
        <w:t xml:space="preserve"> </w:t>
      </w:r>
      <w:r>
        <w:t xml:space="preserve">design, with a technical correction for the inclusion of the historical net aviation demand to the</w:t>
      </w:r>
      <w:r>
        <w:t xml:space="preserve"> </w:t>
      </w:r>
      <w:r>
        <w:t xml:space="preserve">2027 TNAC, the end of the invalidation mechanism as of 2027, the addition of the lower buffer</w:t>
      </w:r>
      <w:r>
        <w:t xml:space="preserve"> </w:t>
      </w:r>
      <w:r>
        <w:t xml:space="preserve">as of 2028, and the continuation of the 24% intake rate after 2030.</w:t>
      </w:r>
      <w:r>
        <w:t xml:space="preserve"> </w:t>
      </w:r>
      <w:r>
        <w:t xml:space="preserve">Some of these adjustments have noticeable impacts on the TNAC evolution, as shown in Figure</w:t>
      </w:r>
      <w:r>
        <w:t xml:space="preserve"> </w:t>
      </w:r>
      <w:r>
        <w:t xml:space="preserve">15.</w:t>
      </w:r>
      <w:r>
        <w:br/>
      </w:r>
      <w:r>
        <w:t xml:space="preserve">The TNAC technical correction brings the 2027 TNAC close to the middle of the neutral band</w:t>
      </w:r>
      <w:r>
        <w:t xml:space="preserve"> </w:t>
      </w:r>
      <w:r>
        <w:t xml:space="preserve">(range between upper and lower thresholds in which the MSR is inactive), at around 600</w:t>
      </w:r>
      <w:r>
        <w:t xml:space="preserve"> </w:t>
      </w:r>
      <w:r>
        <w:t xml:space="preserve">million EUAs. Then it follows a decreasing trend as in the MSR0 simulation and crosses the</w:t>
      </w:r>
      <w:r>
        <w:t xml:space="preserve"> </w:t>
      </w:r>
      <w:r>
        <w:t xml:space="preserve">lower threshold already by 2030. After this date, the MSR starts to release allowances, which</w:t>
      </w:r>
      <w:r>
        <w:t xml:space="preserve"> </w:t>
      </w:r>
      <w:r>
        <w:t xml:space="preserve">supports the stabilisation of the TNAC. The TNAC does not leave the lower buffer zone until</w:t>
      </w:r>
      <w:r>
        <w:t xml:space="preserve"> </w:t>
      </w:r>
      <w:r>
        <w:t xml:space="preserve">2040 (i.e. stays between 300 million and 400 million EUAs for the whole decade), with limited</w:t>
      </w:r>
      <w:r>
        <w:t xml:space="preserve"> </w:t>
      </w:r>
      <w:r>
        <w:t xml:space="preserve">fluctuations.</w:t>
      </w:r>
      <w:r>
        <w:br/>
      </w:r>
      <w:r>
        <w:t xml:space="preserve">Figure 15: MSR0+ results - Evolution of the TNAC and MSR thresholds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The changes included in measure MSR0+ do not affect the amount of intakes at the beginning</w:t>
      </w:r>
      <w:r>
        <w:t xml:space="preserve"> </w:t>
      </w:r>
      <w:r>
        <w:t xml:space="preserve">of the period (up to 2028) as compared to MSR0, as shown in Figure 16. However, the releases</w:t>
      </w:r>
      <w:r>
        <w:t xml:space="preserve"> </w:t>
      </w:r>
      <w:r>
        <w:t xml:space="preserve">start much earlier, in 2031 rather than in 2037.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Figure 16: MSR0+ results - MSR operations and invalidations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MSR0+ cumulatively releases more than twice as much as MSR0 by 2040. This is partly</w:t>
      </w:r>
      <w:r>
        <w:t xml:space="preserve"> </w:t>
      </w:r>
      <w:r>
        <w:t xml:space="preserve">because the reserve is larger (by around 300 million EUAs) due to the suppression of the</w:t>
      </w:r>
      <w:r>
        <w:t xml:space="preserve"> </w:t>
      </w:r>
      <w:r>
        <w:t xml:space="preserve">invalidation mechanism. Hence, the total EUAs sitting in the reserve in 2029 are about 700</w:t>
      </w:r>
      <w:r>
        <w:t xml:space="preserve"> </w:t>
      </w:r>
      <w:r>
        <w:t xml:space="preserve">million, as compared to 400 million in the MSR0 configuration. However, this larger stock is</w:t>
      </w:r>
      <w:r>
        <w:t xml:space="preserve"> </w:t>
      </w:r>
      <w:r>
        <w:t xml:space="preserve">depleted at an even higher rate in the MSR0+ simulation than in MSR0. Therefore, by 2040,</w:t>
      </w:r>
      <w:r>
        <w:t xml:space="preserve"> </w:t>
      </w:r>
      <w:r>
        <w:t xml:space="preserve">the remaining stock in the reserve is only of about 90 million EUAs. This leaves only a small</w:t>
      </w:r>
      <w:r>
        <w:t xml:space="preserve"> </w:t>
      </w:r>
      <w:r>
        <w:t xml:space="preserve">room for additional adjustment in the event of an unanticipated demand shock and seems</w:t>
      </w:r>
      <w:r>
        <w:t xml:space="preserve"> </w:t>
      </w:r>
      <w:r>
        <w:t xml:space="preserve">insufficient for the MSR to continue operating in the 2040s.</w:t>
      </w:r>
      <w:r>
        <w:t xml:space="preserve"> </w:t>
      </w:r>
      <w:r>
        <w:t xml:space="preserve">Figure 17: MSR0+ results – stock of EUAs in the MSR (January 1st)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In Figure 18, MSR0+ leads to faster but similar price increases compared to MSR0 after 2034.80</w:t>
      </w:r>
      <w:r>
        <w:t xml:space="preserve"> </w:t>
      </w:r>
      <w:r>
        <w:t xml:space="preserve">However, in the shorter term, the additional and earlier releases by the MSR add supply and</w:t>
      </w:r>
    </w:p>
    <w:p>
      <w:pPr>
        <w:pStyle w:val="BodyText"/>
      </w:pPr>
      <w:r>
        <w:t xml:space="preserve">80 Since the chart is expressed in index terms, higher indexed curve for MSR0+ than MSR0 after 2032 does not</w:t>
      </w:r>
      <w:r>
        <w:t xml:space="preserve"> </w:t>
      </w:r>
      <w:r>
        <w:t xml:space="preserve">indicate higher absolute carbon prices. Instead, it reflects a faster rate of price increase relative to the base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liquidity to the market and thus lead to a lower price between 2029 and 2031. Overall, there</w:t>
      </w:r>
      <w:r>
        <w:t xml:space="preserve"> </w:t>
      </w:r>
      <w:r>
        <w:t xml:space="preserve">are two potential issues with the evolution of the price in MSR0+, both of which are related to</w:t>
      </w:r>
      <w:r>
        <w:t xml:space="preserve"> </w:t>
      </w:r>
      <w:r>
        <w:t xml:space="preserve">the 8-year foresight assumption of the modelling framework.</w:t>
      </w:r>
      <w:r>
        <w:br/>
      </w:r>
      <w:r>
        <w:t xml:space="preserve">First, the price tends to decrease until 2031 in relation to 2028 price, as actors anticipate the</w:t>
      </w:r>
      <w:r>
        <w:t xml:space="preserve"> </w:t>
      </w:r>
      <w:r>
        <w:t xml:space="preserve">additional MSR releases in the early 2030s. In the real world, such a development would send</w:t>
      </w:r>
      <w:r>
        <w:t xml:space="preserve"> </w:t>
      </w:r>
      <w:r>
        <w:t xml:space="preserve">mixed signals for the actors investing in the decarbonisation of their activities. However, the</w:t>
      </w:r>
      <w:r>
        <w:t xml:space="preserve"> </w:t>
      </w:r>
      <w:r>
        <w:t xml:space="preserve">anticipation of a subsequently tighter market kicks in soon, increasing the price quickly and</w:t>
      </w:r>
      <w:r>
        <w:t xml:space="preserve"> </w:t>
      </w:r>
      <w:r>
        <w:t xml:space="preserve">steadily after 2032, which could prove very challenging for the regulated entities, who would</w:t>
      </w:r>
      <w:r>
        <w:t xml:space="preserve"> </w:t>
      </w:r>
      <w:r>
        <w:t xml:space="preserve">face rapidly rising carbon costs and have only little time to adjust and decarbonize their</w:t>
      </w:r>
      <w:r>
        <w:t xml:space="preserve"> </w:t>
      </w:r>
      <w:r>
        <w:t xml:space="preserve">activities. The lack of a stable and progressively increasing price signal in MSR0+ constitutes</w:t>
      </w:r>
      <w:r>
        <w:t xml:space="preserve"> </w:t>
      </w:r>
      <w:r>
        <w:t xml:space="preserve">a large obstacle to industrial decarbonisation investment, demonstrating the need to consider</w:t>
      </w:r>
      <w:r>
        <w:t xml:space="preserve"> </w:t>
      </w:r>
      <w:r>
        <w:t xml:space="preserve">further MSR design adjustment measures.</w:t>
      </w:r>
      <w:r>
        <w:t xml:space="preserve"> </w:t>
      </w:r>
      <w:r>
        <w:t xml:space="preserve">Figure 18: MSR0+ results – EUA indexed price evolution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The EU ETS emissions are slightly higher in MSR0+ than in MSR0, especially around 2030,</w:t>
      </w:r>
      <w:r>
        <w:t xml:space="preserve"> </w:t>
      </w:r>
      <w:r>
        <w:t xml:space="preserve">due to the factors mentioned above. Emissions then remain broadly in line with the MSR0</w:t>
      </w:r>
      <w:r>
        <w:t xml:space="preserve"> </w:t>
      </w:r>
      <w:r>
        <w:t xml:space="preserve">trajectory and tend to converge to its 2040 value.</w:t>
      </w:r>
    </w:p>
    <w:p>
      <w:pPr>
        <w:pStyle w:val="BodyText"/>
      </w:pPr>
      <w:r>
        <w:t xml:space="preserve">year. In other words, MSR0+ shows a steeper upward trajectory, meaning prices grow more rapidly over</w:t>
      </w:r>
      <w:r>
        <w:t xml:space="preserve"> </w:t>
      </w:r>
      <w:r>
        <w:t xml:space="preserve">time, even though they remain below the absolute price levels observed under MSR0.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Figure 19: MSR0+ results - EU ETS emissions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4.1.3. Results from measures MSR1 to MSR3</w:t>
      </w:r>
      <w:r>
        <w:t xml:space="preserve"> </w:t>
      </w:r>
      <w:r>
        <w:t xml:space="preserve">Summary. MSR1, which features a limited and simple adjustment of the MSR thresholds,</w:t>
      </w:r>
      <w:r>
        <w:t xml:space="preserve"> </w:t>
      </w:r>
      <w:r>
        <w:t xml:space="preserve">improves some of the measured indicators compared to MSR0+. It smooths the price trajectory</w:t>
      </w:r>
      <w:r>
        <w:t xml:space="preserve"> </w:t>
      </w:r>
      <w:r>
        <w:t xml:space="preserve">somewhat by delaying and dampening MSR0+’s short-term fall and subsequent sharp increase,</w:t>
      </w:r>
      <w:r>
        <w:t xml:space="preserve"> </w:t>
      </w:r>
      <w:r>
        <w:t xml:space="preserve">thereby lessening concerns over the short-term case for decarbonisation investments. In</w:t>
      </w:r>
      <w:r>
        <w:t xml:space="preserve"> </w:t>
      </w:r>
      <w:r>
        <w:t xml:space="preserve">addition, even though significant volumes of EUAs are released by 2040 in MSR1, the</w:t>
      </w:r>
      <w:r>
        <w:t xml:space="preserve"> </w:t>
      </w:r>
      <w:r>
        <w:t xml:space="preserve">remaining 2040 stock remains above 300 million EUAs. This constitutes a useful margin for</w:t>
      </w:r>
      <w:r>
        <w:t xml:space="preserve"> </w:t>
      </w:r>
      <w:r>
        <w:t xml:space="preserve">the MSR to keep intervening after 2040, and to further adjust the market balance in the case of</w:t>
      </w:r>
      <w:r>
        <w:t xml:space="preserve"> </w:t>
      </w:r>
      <w:r>
        <w:t xml:space="preserve">a deviation from the modelled scenario, as studied in the following section.</w:t>
      </w:r>
      <w:r>
        <w:t xml:space="preserve"> </w:t>
      </w:r>
      <w:r>
        <w:t xml:space="preserve">MSR2 and MSR3 envision more fundamental changes to the MSR design with dynamically</w:t>
      </w:r>
      <w:r>
        <w:t xml:space="preserve"> </w:t>
      </w:r>
      <w:r>
        <w:t xml:space="preserve">decreasing thresholds and release rate after 2028. This type of approach is called for by many</w:t>
      </w:r>
      <w:r>
        <w:t xml:space="preserve"> </w:t>
      </w:r>
      <w:r>
        <w:t xml:space="preserve">stakeholders and allows to prepare the MSR for a future where the market will progressively</w:t>
      </w:r>
      <w:r>
        <w:t xml:space="preserve"> </w:t>
      </w:r>
      <w:r>
        <w:t xml:space="preserve">decrease to a smaller size. Measure MSR2 aims to use an existing measure of the market</w:t>
      </w:r>
      <w:r>
        <w:t xml:space="preserve"> </w:t>
      </w:r>
      <w:r>
        <w:t xml:space="preserve">decrease, the cap’s LRF, to adjust the MSR parameters, while MSR3 is calibrated empirically</w:t>
      </w:r>
      <w:r>
        <w:t xml:space="preserve"> </w:t>
      </w:r>
      <w:r>
        <w:t xml:space="preserve">to obtain a satisfactory constant yearly decrease rate for those parameters.</w:t>
      </w:r>
      <w:r>
        <w:br/>
      </w:r>
      <w:r>
        <w:t xml:space="preserve">MSR2 fails to deliver satisfactory results, with a very tight market in the medium term (2030-</w:t>
      </w:r>
      <w:r>
        <w:t xml:space="preserve"> </w:t>
      </w:r>
      <w:r>
        <w:t xml:space="preserve">2035) and almost no releases by the MSR before 2040, despite the market tension. On the other</w:t>
      </w:r>
      <w:r>
        <w:t xml:space="preserve"> </w:t>
      </w:r>
      <w:r>
        <w:t xml:space="preserve">hand, measure MSR3 allows for a smooth and progressive decrease of the TNAC, a smooth</w:t>
      </w:r>
      <w:r>
        <w:t xml:space="preserve"> </w:t>
      </w:r>
      <w:r>
        <w:t xml:space="preserve">increase in the EUA price, and a release of appropriate amounts of EUAs before 2040, It also</w:t>
      </w:r>
      <w:r>
        <w:t xml:space="preserve"> </w:t>
      </w:r>
      <w:r>
        <w:t xml:space="preserve">keeps a significant amount in the reserve allowing for its further operation in later years,</w:t>
      </w:r>
      <w:r>
        <w:t xml:space="preserve"> </w:t>
      </w:r>
      <w:r>
        <w:t xml:space="preserve">thereby providing a margin in the case of unanticipated shocks. It also delivers are more stable</w:t>
      </w:r>
      <w:r>
        <w:t xml:space="preserve"> </w:t>
      </w:r>
      <w:r>
        <w:t xml:space="preserve">spread over time of the TNAC-to-emission ratio, a good measure of market liquidity.</w:t>
      </w:r>
      <w:r>
        <w:t xml:space="preserve"> </w:t>
      </w:r>
      <w:r>
        <w:t xml:space="preserve">Based on the detailed analysis (below), two measures are brought forward for the sensitivity</w:t>
      </w:r>
      <w:r>
        <w:t xml:space="preserve"> </w:t>
      </w:r>
      <w:r>
        <w:t xml:space="preserve">analysis in the Section 4.2: MSR1, as a simpler adjustment of the current design, and MSR3,</w:t>
      </w:r>
      <w:r>
        <w:t xml:space="preserve"> </w:t>
      </w:r>
      <w:r>
        <w:t xml:space="preserve">which provided the most satisfactory results overall.</w:t>
      </w:r>
      <w:r>
        <w:t xml:space="preserve"> </w:t>
      </w:r>
      <w:r>
        <w:t xml:space="preserve">Detailed results. Measure MSR1 is based on MSR0+ and features an immediate and one-time</w:t>
      </w:r>
      <w:r>
        <w:t xml:space="preserve"> </w:t>
      </w:r>
      <w:r>
        <w:t xml:space="preserve">adjustment of the upper and lower thresholds of the MSR in 2028, with constant values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thereafter. This results in the lowering of the neutral band as compared to MSR0+. Therefore,</w:t>
      </w:r>
      <w:r>
        <w:t xml:space="preserve"> </w:t>
      </w:r>
      <w:r>
        <w:t xml:space="preserve">the decreasing TNAC observed in MSR1 crosses the lower threshold in 2033, later than in</w:t>
      </w:r>
      <w:r>
        <w:t xml:space="preserve"> </w:t>
      </w:r>
      <w:r>
        <w:t xml:space="preserve">MSR0+. MSR releases hence occur later in the period as well. The TNAC then keeps</w:t>
      </w:r>
      <w:r>
        <w:t xml:space="preserve"> </w:t>
      </w:r>
      <w:r>
        <w:t xml:space="preserve">decreasing for a few years and drops below the lower buffer, before the EUAs released counter</w:t>
      </w:r>
      <w:r>
        <w:t xml:space="preserve"> </w:t>
      </w:r>
      <w:r>
        <w:t xml:space="preserve">the decreasing trend. The TNAC then progressively starts increasing and gets back into the</w:t>
      </w:r>
      <w:r>
        <w:t xml:space="preserve"> </w:t>
      </w:r>
      <w:r>
        <w:t xml:space="preserve">lower buffer zone between 2036 and 2040.</w:t>
      </w:r>
      <w:r>
        <w:t xml:space="preserve"> </w:t>
      </w:r>
      <w:r>
        <w:t xml:space="preserve">Figure 20: MSR1 results - Evolution of the TNAC and MSR thresholds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Measure MSR2 is based on MSR1, with the same adjustments on the thresholds applied in</w:t>
      </w:r>
      <w:r>
        <w:t xml:space="preserve"> </w:t>
      </w:r>
      <w:r>
        <w:t xml:space="preserve">2028. From that point, it introduces a dynamic component, with the parameter values of the</w:t>
      </w:r>
      <w:r>
        <w:t xml:space="preserve"> </w:t>
      </w:r>
      <w:r>
        <w:t xml:space="preserve">thresholds and the release rate decreasing over time in line with the cap LRF. The decreasing</w:t>
      </w:r>
      <w:r>
        <w:t xml:space="preserve"> </w:t>
      </w:r>
      <w:r>
        <w:t xml:space="preserve">lower threshold causes the TNAC to remain longer in the neutral band than in MSR1 or MSR0+</w:t>
      </w:r>
      <w:r>
        <w:t xml:space="preserve"> </w:t>
      </w:r>
      <w:r>
        <w:t xml:space="preserve">and crosses the lower threshold in 2039 (see Figure 21). It decreases throughout the period, but</w:t>
      </w:r>
      <w:r>
        <w:t xml:space="preserve"> </w:t>
      </w:r>
      <w:r>
        <w:t xml:space="preserve">more slowly than in MSR1 because, in the absence of releases, actors are further incentivized</w:t>
      </w:r>
      <w:r>
        <w:t xml:space="preserve"> </w:t>
      </w:r>
      <w:r>
        <w:t xml:space="preserve">to decarbonise their activities and hold allowances for future use, leading to sharper EUA price</w:t>
      </w:r>
      <w:r>
        <w:t xml:space="preserve"> </w:t>
      </w:r>
      <w:r>
        <w:t xml:space="preserve">increases over 2030-2035, but ultimately avoiding MSR1’s even sharper increases in the late</w:t>
      </w:r>
      <w:r>
        <w:t xml:space="preserve"> </w:t>
      </w:r>
      <w:r>
        <w:t xml:space="preserve">2030s. With the additional emission reductions achieved, the TNAC decreases slower than in</w:t>
      </w:r>
      <w:r>
        <w:t xml:space="preserve"> </w:t>
      </w:r>
      <w:r>
        <w:t xml:space="preserve">MSR1.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Figure 21: MSR2 results - Evolution of the TNAC and MSR thresholds</w:t>
      </w:r>
      <w:r>
        <w:t xml:space="preserve"> </w:t>
      </w:r>
      <w:r>
        <w:t xml:space="preserve">Source: Own visualisation derived from the POLES-Enerdata model</w:t>
      </w:r>
      <w:r>
        <w:t xml:space="preserve"> </w:t>
      </w:r>
      <w:r>
        <w:t xml:space="preserve">Measure MSR3 envisions a different MSR design than MSR2, although also featuring dynamic</w:t>
      </w:r>
      <w:r>
        <w:t xml:space="preserve"> </w:t>
      </w:r>
      <w:r>
        <w:t xml:space="preserve">decreasing thresholds. First, the lower threshold stays at 400 million EUAs in 2028; and</w:t>
      </w:r>
      <w:r>
        <w:t xml:space="preserve"> </w:t>
      </w:r>
      <w:r>
        <w:t xml:space="preserve">second, the decrease of the thresholds and the release rate are based on a fixed yearly decrease</w:t>
      </w:r>
      <w:r>
        <w:t xml:space="preserve"> </w:t>
      </w:r>
      <w:r>
        <w:t xml:space="preserve">rate, instead of the LRF-based mechanism. In MSR3 the level of the lower threshold remains</w:t>
      </w:r>
      <w:r>
        <w:t xml:space="preserve"> </w:t>
      </w:r>
      <w:r>
        <w:t xml:space="preserve">above its level in MSR2 throughout the period to 2040. The TNAC progressively decreases</w:t>
      </w:r>
      <w:r>
        <w:t xml:space="preserve"> </w:t>
      </w:r>
      <w:r>
        <w:t xml:space="preserve">and drops below the lower threshold in 2034. It then keeps decreasing until just below the lower</w:t>
      </w:r>
      <w:r>
        <w:t xml:space="preserve"> </w:t>
      </w:r>
      <w:r>
        <w:t xml:space="preserve">buffer, before stabilizing for a few years and starting to decrease again in 2040.</w:t>
      </w:r>
      <w:r>
        <w:t xml:space="preserve"> </w:t>
      </w:r>
      <w:r>
        <w:t xml:space="preserve">Figure 22: MSR3 results - Evolution of the TNAC and MSR thresholds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The TNAC evolutions in measures MSR1 to MSR3 lead to substantial differences on MSR</w:t>
      </w:r>
      <w:r>
        <w:t xml:space="preserve"> </w:t>
      </w:r>
      <w:r>
        <w:t xml:space="preserve">operations. In all three measures, the adjustments induce a postponement of the first EUA</w:t>
      </w:r>
      <w:r>
        <w:t xml:space="preserve"> </w:t>
      </w:r>
      <w:r>
        <w:t xml:space="preserve">releases, as compared to MSR0+. In MSR1, significant releases are triggered from 2035</w:t>
      </w:r>
      <w:r>
        <w:t xml:space="preserve"> </w:t>
      </w:r>
      <w:r>
        <w:t xml:space="preserve">onwards, with a cumulative volume of releases in the next decade of around 490 million EUAs.</w:t>
      </w:r>
      <w:r>
        <w:t xml:space="preserve"> </w:t>
      </w:r>
      <w:r>
        <w:t xml:space="preserve">In MSR2, almost no releases happen before 2040, with only 3 million EUAs released in 2040.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In MSR3, releases start in 2035 with lower values compared to MSR1 (and a fortiori MSR0+),</w:t>
      </w:r>
      <w:r>
        <w:t xml:space="preserve"> </w:t>
      </w:r>
      <w:r>
        <w:t xml:space="preserve">reaching cumulative releases of about 320 million EUAs by 2040. MSR operations are</w:t>
      </w:r>
      <w:r>
        <w:t xml:space="preserve"> </w:t>
      </w:r>
      <w:r>
        <w:t xml:space="preserve">presented in Figure 23.</w:t>
      </w:r>
      <w:r>
        <w:t xml:space="preserve"> </w:t>
      </w:r>
      <w:r>
        <w:t xml:space="preserve">Figure 23: MSR1-to-MSR3 results - MSR operations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All of the measures from MSR0+ to MSR3 stop the invalidation mechanism as of 2027 and</w:t>
      </w:r>
      <w:r>
        <w:t xml:space="preserve"> </w:t>
      </w:r>
      <w:r>
        <w:t xml:space="preserve">have similar intakes at the start of the period, leading to the accumulation of about 700 million</w:t>
      </w:r>
      <w:r>
        <w:t xml:space="preserve"> </w:t>
      </w:r>
      <w:r>
        <w:t xml:space="preserve">EUAs in the MSR in 2029. By 2040, this initial stock depletes at a different pace in the different</w:t>
      </w:r>
      <w:r>
        <w:t xml:space="preserve"> </w:t>
      </w:r>
      <w:r>
        <w:t xml:space="preserve">measures. With significant volumes released as soon as 2031 in MSR0+ (where there is no</w:t>
      </w:r>
      <w:r>
        <w:t xml:space="preserve"> </w:t>
      </w:r>
      <w:r>
        <w:t xml:space="preserve">adjustment of the lower threshold), leading to a largely empty reserve by 2040. With the</w:t>
      </w:r>
      <w:r>
        <w:t xml:space="preserve"> </w:t>
      </w:r>
      <w:r>
        <w:t xml:space="preserve">delayed EUA releases in measure MSR1-to-MSR3, the stocks remaining by 2040 are higher.</w:t>
      </w:r>
      <w:r>
        <w:t xml:space="preserve"> </w:t>
      </w:r>
      <w:r>
        <w:t xml:space="preserve">In MSR1, the reserve volumes drop down to around 300 million EUAs by 1st January 2040,</w:t>
      </w:r>
      <w:r>
        <w:t xml:space="preserve"> </w:t>
      </w:r>
      <w:r>
        <w:t xml:space="preserve">whereas in MSR3, this amounts to 450 million EUAs. In MSR2, with virtually no releases by</w:t>
      </w:r>
      <w:r>
        <w:t xml:space="preserve"> </w:t>
      </w:r>
      <w:r>
        <w:t xml:space="preserve">then, the reserve stock remains around 700 million EUAs, as shown in Figure 24.</w:t>
      </w:r>
      <w:r>
        <w:t xml:space="preserve"> </w:t>
      </w:r>
      <w:r>
        <w:t xml:space="preserve">Figure 24: MSR1-to-MSR3 results - stock of EUAs in the MSR (January 1st)</w:t>
      </w:r>
    </w:p>
    <w:p>
      <w:pPr>
        <w:pStyle w:val="BodyText"/>
      </w:pPr>
      <w:r>
        <w:t xml:space="preserve">Source: Own visualisation derived from the POLES-Enerdata model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The previously presented TNAC trajectory and corresponding MSR operations have notable</w:t>
      </w:r>
      <w:r>
        <w:t xml:space="preserve"> </w:t>
      </w:r>
      <w:r>
        <w:t xml:space="preserve">impacts on the indexed price trajectories produced by the POLES-Enerdata model. These are</w:t>
      </w:r>
      <w:r>
        <w:t xml:space="preserve"> </w:t>
      </w:r>
      <w:r>
        <w:t xml:space="preserve">presented in Figure 25 below. With the delay in MSR releases, the MSR1-3 scenarios delay or</w:t>
      </w:r>
      <w:r>
        <w:t xml:space="preserve"> </w:t>
      </w:r>
      <w:r>
        <w:t xml:space="preserve">postpone the immediate fall in EUA prices seen in MSR0+, thereby also softening that</w:t>
      </w:r>
      <w:r>
        <w:t xml:space="preserve"> </w:t>
      </w:r>
      <w:r>
        <w:t xml:space="preserve">scenario’s sharp increase in prices from 2031.</w:t>
      </w:r>
      <w:r>
        <w:br/>
      </w:r>
      <w:r>
        <w:t xml:space="preserve">In MSR1, the simple lowering of the thresholds delays the price fall and subsequent increase</w:t>
      </w:r>
      <w:r>
        <w:t xml:space="preserve"> </w:t>
      </w:r>
      <w:r>
        <w:t xml:space="preserve">observed in MSR0+ by around 3 years. Despite this pause, the scenario is therefore exposed to</w:t>
      </w:r>
      <w:r>
        <w:t xml:space="preserve"> </w:t>
      </w:r>
      <w:r>
        <w:t xml:space="preserve">the same criticism as MSR0+ regarding the weakening of decarbonisation incentives in the</w:t>
      </w:r>
      <w:r>
        <w:t xml:space="preserve"> </w:t>
      </w:r>
      <w:r>
        <w:t xml:space="preserve">short-term, extreme market tightness in the long-term, and questions over whether such an</w:t>
      </w:r>
      <w:r>
        <w:t xml:space="preserve"> </w:t>
      </w:r>
      <w:r>
        <w:t xml:space="preserve">outcome is credible outside of the modelled framework.</w:t>
      </w:r>
      <w:r>
        <w:t xml:space="preserve"> </w:t>
      </w:r>
      <w:r>
        <w:t xml:space="preserve">In MSR2, the absence of releases prior to 2040 leads to a relatively tight market in the early</w:t>
      </w:r>
      <w:r>
        <w:t xml:space="preserve"> </w:t>
      </w:r>
      <w:r>
        <w:t xml:space="preserve">2030s, with the price increasing much higher than in the other measures (over twice as high as</w:t>
      </w:r>
      <w:r>
        <w:t xml:space="preserve"> </w:t>
      </w:r>
      <w:r>
        <w:t xml:space="preserve">the MSR0+ and MSR1 prices in some years). The sharp increase slows down after 2035, and</w:t>
      </w:r>
      <w:r>
        <w:t xml:space="preserve"> </w:t>
      </w:r>
      <w:r>
        <w:t xml:space="preserve">the 2040 price in MSR2 is even lower than that in MSR1, with additional decarbonisation</w:t>
      </w:r>
      <w:r>
        <w:t xml:space="preserve"> </w:t>
      </w:r>
      <w:r>
        <w:t xml:space="preserve">efforts triggered by higher prices paying off in the later years of the studied period.</w:t>
      </w:r>
      <w:r>
        <w:t xml:space="preserve"> </w:t>
      </w:r>
      <w:r>
        <w:t xml:space="preserve">Measure MSR3 allows for a progressive, steady increase in the price throughout the period,</w:t>
      </w:r>
      <w:r>
        <w:t xml:space="preserve"> </w:t>
      </w:r>
      <w:r>
        <w:t xml:space="preserve">marking a healthy supply-demand balance on the market. It more generally brings a form of</w:t>
      </w:r>
      <w:r>
        <w:t xml:space="preserve"> </w:t>
      </w:r>
      <w:r>
        <w:t xml:space="preserve">stability to the EU ETS price signal, with a slow and steady price increase, providing a well-</w:t>
      </w:r>
      <w:r>
        <w:t xml:space="preserve"> </w:t>
      </w:r>
      <w:r>
        <w:t xml:space="preserve">balanced environment for actors to invest in the decarbonisation of their activities.</w:t>
      </w:r>
      <w:r>
        <w:t xml:space="preserve"> </w:t>
      </w:r>
      <w:r>
        <w:t xml:space="preserve">Figure 25: SR1-to-MSR3 results – EUA indexed price evolution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All measures present close trajectories in terms of EU ETS emissions. Measure MSR0+ leads</w:t>
      </w:r>
      <w:r>
        <w:t xml:space="preserve"> </w:t>
      </w:r>
      <w:r>
        <w:t xml:space="preserve">to cumulative emissions over 2026-2040 of around 11,280 MtCO2. MSR1 to MSR3 all lead to</w:t>
      </w:r>
      <w:r>
        <w:t xml:space="preserve"> </w:t>
      </w:r>
      <w:r>
        <w:t xml:space="preserve">slightly lower emissions than MSR0+, of respectively -0.6%, -3.9% and -1.5%. These</w:t>
      </w:r>
      <w:r>
        <w:t xml:space="preserve"> </w:t>
      </w:r>
      <w:r>
        <w:t xml:space="preserve">variations are mostly due to the different cumulative release volumes, which are higher in</w:t>
      </w:r>
      <w:r>
        <w:t xml:space="preserve"> </w:t>
      </w:r>
      <w:r>
        <w:t xml:space="preserve">MSR0+ and lowest in MSR2. By 2050, these differences in cumulative emissions reduce, as</w:t>
      </w:r>
      <w:r>
        <w:t xml:space="preserve"> </w:t>
      </w:r>
      <w:r>
        <w:t xml:space="preserve">the remaining EUAs are released from the reserve, and differences in the cumulative volumes</w:t>
      </w:r>
      <w:r>
        <w:t xml:space="preserve"> </w:t>
      </w:r>
      <w:r>
        <w:t xml:space="preserve">released converge to zero.</w:t>
      </w:r>
      <w:r>
        <w:br/>
      </w:r>
      <w:r>
        <w:t xml:space="preserve">As a measurement of market liquidity, Figure 26 shows the TNAC-to-emissions ratio. In all</w:t>
      </w:r>
      <w:r>
        <w:t xml:space="preserve"> </w:t>
      </w:r>
      <w:r>
        <w:t xml:space="preserve">measures, the ratio decreases from its high historical values to about 0.55 in 2027 with the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TNAC technical correction. It then slightly decreases by 2029, after which the different</w:t>
      </w:r>
      <w:r>
        <w:t xml:space="preserve"> </w:t>
      </w:r>
      <w:r>
        <w:t xml:space="preserve">measures start to substantially diverge.</w:t>
      </w:r>
      <w:r>
        <w:t xml:space="preserve"> </w:t>
      </w:r>
      <w:r>
        <w:t xml:space="preserve">As previously noted in the MSR0 case, measure MSR0+ sees its ratio skyrocket after 2036,</w:t>
      </w:r>
      <w:r>
        <w:t xml:space="preserve"> </w:t>
      </w:r>
      <w:r>
        <w:t xml:space="preserve">which puts the market balance into question in this scenario. Adjustments made as part of</w:t>
      </w:r>
      <w:r>
        <w:t xml:space="preserve"> </w:t>
      </w:r>
      <w:r>
        <w:t xml:space="preserve">measure MSR1 allow to reduce this effect, although not completely correcting it. The MSR1</w:t>
      </w:r>
      <w:r>
        <w:t xml:space="preserve"> </w:t>
      </w:r>
      <w:r>
        <w:t xml:space="preserve">ratio also features a lower minimum value in 2036, of about 0.28.</w:t>
      </w:r>
      <w:r>
        <w:t xml:space="preserve"> </w:t>
      </w:r>
      <w:r>
        <w:t xml:space="preserve">In MSR2, the stock-to-flow ratio increases over 2030-2034 and then stabilizes at around 0.6</w:t>
      </w:r>
      <w:r>
        <w:t xml:space="preserve"> </w:t>
      </w:r>
      <w:r>
        <w:t xml:space="preserve">for four years before sharply dropping over the last two years.</w:t>
      </w:r>
      <w:r>
        <w:t xml:space="preserve"> </w:t>
      </w:r>
      <w:r>
        <w:t xml:space="preserve">Finally, measure MSR3 features the lowest spread in terms of TNAC-to-emission ratio over</w:t>
      </w:r>
      <w:r>
        <w:t xml:space="preserve"> </w:t>
      </w:r>
      <w:r>
        <w:t xml:space="preserve">time. The ratio is generally stable over the period, with a noticeable convex minimum around</w:t>
      </w:r>
      <w:r>
        <w:t xml:space="preserve"> </w:t>
      </w:r>
      <w:r>
        <w:t xml:space="preserve">2036. It remains between 0.34 and 0.55 over 2027-2040, confirming a healthy market balance,</w:t>
      </w:r>
      <w:r>
        <w:t xml:space="preserve"> </w:t>
      </w:r>
      <w:r>
        <w:t xml:space="preserve">as observed through the indexed price evolution. MSR3 thus provides the most progressive and</w:t>
      </w:r>
      <w:r>
        <w:t xml:space="preserve"> </w:t>
      </w:r>
      <w:r>
        <w:t xml:space="preserve">smooth evolution on the market.</w:t>
      </w:r>
      <w:r>
        <w:t xml:space="preserve"> </w:t>
      </w:r>
      <w:r>
        <w:t xml:space="preserve">Figure 26: MSR1-to-MSR3 results - TNAC-to-Emissions ratio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Table 5 provides a summary of the main results of the measures MSR0 to MSR3. The analysis</w:t>
      </w:r>
      <w:r>
        <w:t xml:space="preserve"> </w:t>
      </w:r>
      <w:r>
        <w:t xml:space="preserve">starts from MSR0, a core working assumption scenario which maintains the current MSR</w:t>
      </w:r>
      <w:r>
        <w:t xml:space="preserve"> </w:t>
      </w:r>
      <w:r>
        <w:t xml:space="preserve">design forward. A first set of improvements to this case are introduced in MSR0+. However,</w:t>
      </w:r>
      <w:r>
        <w:t xml:space="preserve"> </w:t>
      </w:r>
      <w:r>
        <w:t xml:space="preserve">the results obtained, as well as the analysis of stakeholder’s input call for further adjustments</w:t>
      </w:r>
      <w:r>
        <w:t xml:space="preserve"> </w:t>
      </w:r>
      <w:r>
        <w:t xml:space="preserve">to the MSR design.</w:t>
      </w:r>
      <w:r>
        <w:t xml:space="preserve"> </w:t>
      </w:r>
      <w:r>
        <w:t xml:space="preserve">Table 5:</w:t>
      </w:r>
      <w:r>
        <w:t xml:space="preserve"> </w:t>
      </w:r>
      <w:r>
        <w:t xml:space="preserve">MSR measures summary dashboard</w:t>
      </w:r>
    </w:p>
    <w:p>
      <w:pPr>
        <w:pStyle w:val="BodyText"/>
      </w:pPr>
      <w:r>
        <w:t xml:space="preserve">MSR0</w:t>
      </w:r>
      <w:r>
        <w:t xml:space="preserve"> </w:t>
      </w:r>
      <w:r>
        <w:t xml:space="preserve">MSR0+</w:t>
      </w:r>
      <w:r>
        <w:t xml:space="preserve"> </w:t>
      </w:r>
      <w:r>
        <w:t xml:space="preserve">MSR1</w:t>
      </w:r>
      <w:r>
        <w:t xml:space="preserve"> </w:t>
      </w:r>
      <w:r>
        <w:t xml:space="preserve">MSR2</w:t>
      </w:r>
      <w:r>
        <w:t xml:space="preserve"> </w:t>
      </w:r>
      <w:r>
        <w:t xml:space="preserve">MSR3</w:t>
      </w:r>
      <w:r>
        <w:t xml:space="preserve"> </w:t>
      </w:r>
      <w:r>
        <w:t xml:space="preserve">When is LT &lt;</w:t>
      </w:r>
      <w:r>
        <w:t xml:space="preserve"> </w:t>
      </w:r>
      <w:r>
        <w:t xml:space="preserve">TNAC &lt; UT ?</w:t>
      </w:r>
      <w:r>
        <w:t xml:space="preserve"> </w:t>
      </w:r>
      <w:r>
        <w:t xml:space="preserve">2027-2035</w:t>
      </w:r>
      <w:r>
        <w:t xml:space="preserve"> </w:t>
      </w:r>
      <w:r>
        <w:t xml:space="preserve">2027-2029</w:t>
      </w:r>
      <w:r>
        <w:t xml:space="preserve"> </w:t>
      </w:r>
      <w:r>
        <w:t xml:space="preserve">2027-2032</w:t>
      </w:r>
      <w:r>
        <w:t xml:space="preserve"> </w:t>
      </w:r>
      <w:r>
        <w:t xml:space="preserve">2027-2038</w:t>
      </w:r>
      <w:r>
        <w:t xml:space="preserve"> </w:t>
      </w:r>
      <w:r>
        <w:t xml:space="preserve">2027-2033</w:t>
      </w:r>
      <w:r>
        <w:t xml:space="preserve"> </w:t>
      </w:r>
      <w:r>
        <w:t xml:space="preserve">First</w:t>
      </w:r>
      <w:r>
        <w:t xml:space="preserve"> </w:t>
      </w:r>
      <w:r>
        <w:t xml:space="preserve">year</w:t>
      </w:r>
      <w:r>
        <w:t xml:space="preserve"> </w:t>
      </w:r>
      <w:r>
        <w:t xml:space="preserve">of</w:t>
      </w:r>
      <w:r>
        <w:t xml:space="preserve"> </w:t>
      </w:r>
      <w:r>
        <w:t xml:space="preserve">release from MSR</w:t>
      </w:r>
      <w:r>
        <w:t xml:space="preserve"> </w:t>
      </w:r>
      <w:r>
        <w:t xml:space="preserve">2037</w:t>
      </w:r>
      <w:r>
        <w:t xml:space="preserve"> </w:t>
      </w:r>
      <w:r>
        <w:t xml:space="preserve">2031</w:t>
      </w:r>
      <w:r>
        <w:t xml:space="preserve"> </w:t>
      </w:r>
      <w:r>
        <w:t xml:space="preserve">2034</w:t>
      </w:r>
      <w:r>
        <w:t xml:space="preserve"> </w:t>
      </w:r>
      <w:r>
        <w:t xml:space="preserve">2040</w:t>
      </w:r>
      <w:r>
        <w:t xml:space="preserve"> </w:t>
      </w:r>
      <w:r>
        <w:t xml:space="preserve">2035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MSR0</w:t>
      </w:r>
      <w:r>
        <w:t xml:space="preserve"> </w:t>
      </w:r>
      <w:r>
        <w:t xml:space="preserve">MSR0+</w:t>
      </w:r>
      <w:r>
        <w:t xml:space="preserve"> </w:t>
      </w:r>
      <w:r>
        <w:t xml:space="preserve">MSR1</w:t>
      </w:r>
      <w:r>
        <w:t xml:space="preserve"> </w:t>
      </w:r>
      <w:r>
        <w:t xml:space="preserve">MSR2</w:t>
      </w:r>
      <w:r>
        <w:t xml:space="preserve"> </w:t>
      </w:r>
      <w:r>
        <w:t xml:space="preserve">MSR3</w:t>
      </w:r>
      <w:r>
        <w:t xml:space="preserve"> </w:t>
      </w:r>
      <w:r>
        <w:t xml:space="preserve">Cumulative</w:t>
      </w:r>
      <w:r>
        <w:t xml:space="preserve"> </w:t>
      </w:r>
      <w:r>
        <w:t xml:space="preserve">volume of release</w:t>
      </w:r>
      <w:r>
        <w:t xml:space="preserve"> </w:t>
      </w:r>
      <w:r>
        <w:t xml:space="preserve">by 2040 (M EUAs)</w:t>
      </w:r>
      <w:r>
        <w:t xml:space="preserve"> </w:t>
      </w:r>
      <w:r>
        <w:t xml:space="preserve">300</w:t>
      </w:r>
      <w:r>
        <w:t xml:space="preserve"> </w:t>
      </w:r>
      <w:r>
        <w:t xml:space="preserve">657</w:t>
      </w:r>
      <w:r>
        <w:t xml:space="preserve"> </w:t>
      </w:r>
      <w:r>
        <w:t xml:space="preserve">489</w:t>
      </w:r>
      <w:r>
        <w:t xml:space="preserve"> </w:t>
      </w:r>
      <w:r>
        <w:t xml:space="preserve">3</w:t>
      </w:r>
      <w:r>
        <w:t xml:space="preserve"> </w:t>
      </w:r>
      <w:r>
        <w:t xml:space="preserve">318</w:t>
      </w:r>
      <w:r>
        <w:t xml:space="preserve"> </w:t>
      </w:r>
      <w:r>
        <w:t xml:space="preserve">Cumulative</w:t>
      </w:r>
      <w:r>
        <w:t xml:space="preserve"> </w:t>
      </w:r>
      <w:r>
        <w:t xml:space="preserve">emissions</w:t>
      </w:r>
      <w:r>
        <w:t xml:space="preserve"> </w:t>
      </w:r>
      <w:r>
        <w:t xml:space="preserve">over</w:t>
      </w:r>
      <w:r>
        <w:t xml:space="preserve"> </w:t>
      </w:r>
      <w:r>
        <w:t xml:space="preserve">2026-2040</w:t>
      </w:r>
      <w:r>
        <w:t xml:space="preserve"> </w:t>
      </w:r>
      <w:r>
        <w:t xml:space="preserve">(MtCO2)</w:t>
      </w:r>
      <w:r>
        <w:t xml:space="preserve"> </w:t>
      </w:r>
      <w:r>
        <w:t xml:space="preserve">11,016</w:t>
      </w:r>
      <w:r>
        <w:t xml:space="preserve"> </w:t>
      </w:r>
      <w:r>
        <w:t xml:space="preserve">11,282</w:t>
      </w:r>
      <w:r>
        <w:t xml:space="preserve"> </w:t>
      </w:r>
      <w:r>
        <w:t xml:space="preserve">11,214</w:t>
      </w:r>
      <w:r>
        <w:t xml:space="preserve"> </w:t>
      </w:r>
      <w:r>
        <w:t xml:space="preserve">10,845</w:t>
      </w:r>
      <w:r>
        <w:t xml:space="preserve"> </w:t>
      </w:r>
      <w:r>
        <w:t xml:space="preserve">11,117</w:t>
      </w:r>
      <w:r>
        <w:t xml:space="preserve"> </w:t>
      </w:r>
      <w:r>
        <w:t xml:space="preserve">Stock of EUAs in</w:t>
      </w:r>
      <w:r>
        <w:t xml:space="preserve"> </w:t>
      </w:r>
      <w:r>
        <w:t xml:space="preserve">the MSR in 2040</w:t>
      </w:r>
      <w:r>
        <w:t xml:space="preserve"> </w:t>
      </w:r>
      <w:r>
        <w:t xml:space="preserve">(M EUAs)</w:t>
      </w:r>
      <w:r>
        <w:t xml:space="preserve"> </w:t>
      </w:r>
      <w:r>
        <w:t xml:space="preserve">167</w:t>
      </w:r>
      <w:r>
        <w:t xml:space="preserve"> </w:t>
      </w:r>
      <w:r>
        <w:t xml:space="preserve">89</w:t>
      </w:r>
      <w:r>
        <w:t xml:space="preserve"> </w:t>
      </w:r>
      <w:r>
        <w:t xml:space="preserve">303</w:t>
      </w:r>
      <w:r>
        <w:t xml:space="preserve"> </w:t>
      </w:r>
      <w:r>
        <w:t xml:space="preserve">700</w:t>
      </w:r>
      <w:r>
        <w:t xml:space="preserve"> </w:t>
      </w:r>
      <w:r>
        <w:t xml:space="preserve">459</w:t>
      </w:r>
      <w:r>
        <w:t xml:space="preserve"> </w:t>
      </w:r>
      <w:r>
        <w:t xml:space="preserve">Stock of EUAs in</w:t>
      </w:r>
      <w:r>
        <w:t xml:space="preserve"> </w:t>
      </w:r>
      <w:r>
        <w:t xml:space="preserve">the MSR in 2050</w:t>
      </w:r>
      <w:r>
        <w:t xml:space="preserve"> </w:t>
      </w:r>
      <w:r>
        <w:t xml:space="preserve">(M EUAs)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265</w:t>
      </w:r>
      <w:r>
        <w:t xml:space="preserve"> </w:t>
      </w:r>
      <w:r>
        <w:t xml:space="preserve">8</w:t>
      </w:r>
      <w:r>
        <w:t xml:space="preserve"> </w:t>
      </w:r>
      <w:r>
        <w:t xml:space="preserve">TNAC-to-</w:t>
      </w:r>
      <w:r>
        <w:t xml:space="preserve"> </w:t>
      </w:r>
      <w:r>
        <w:t xml:space="preserve">Emission</w:t>
      </w:r>
      <w:r>
        <w:t xml:space="preserve"> </w:t>
      </w:r>
      <w:r>
        <w:t xml:space="preserve">ratio</w:t>
      </w:r>
      <w:r>
        <w:t xml:space="preserve"> </w:t>
      </w:r>
      <w:r>
        <w:t xml:space="preserve">spread over 2027-</w:t>
      </w:r>
      <w:r>
        <w:t xml:space="preserve"> </w:t>
      </w:r>
      <w:r>
        <w:t xml:space="preserve">2040</w:t>
      </w:r>
      <w:r>
        <w:t xml:space="preserve"> </w:t>
      </w:r>
      <w:r>
        <w:t xml:space="preserve">0.61-1.33</w:t>
      </w:r>
      <w:r>
        <w:t xml:space="preserve"> </w:t>
      </w:r>
      <w:r>
        <w:t xml:space="preserve">0.36-1.05</w:t>
      </w:r>
      <w:r>
        <w:t xml:space="preserve"> </w:t>
      </w:r>
      <w:r>
        <w:t xml:space="preserve">0.28-0.72</w:t>
      </w:r>
      <w:r>
        <w:t xml:space="preserve"> </w:t>
      </w:r>
      <w:r>
        <w:t xml:space="preserve">0.39-0.60</w:t>
      </w:r>
      <w:r>
        <w:t xml:space="preserve"> </w:t>
      </w:r>
      <w:r>
        <w:t xml:space="preserve">0.34-0.55</w:t>
      </w:r>
      <w:r>
        <w:t xml:space="preserve"> </w:t>
      </w:r>
      <w:r>
        <w:t xml:space="preserve">Note: values for MSR3 are based on 4.1% parameter instead of 4.0%.</w:t>
      </w:r>
      <w:r>
        <w:br/>
      </w:r>
      <w:r>
        <w:t xml:space="preserve">4.2. Sensitivity analysis on selected measures</w:t>
      </w:r>
      <w:r>
        <w:t xml:space="preserve"> </w:t>
      </w:r>
      <w:r>
        <w:t xml:space="preserve">Measures MSR1 and MSR3 have been selected to be further tested with a sensitivity analysis,</w:t>
      </w:r>
      <w:r>
        <w:t xml:space="preserve"> </w:t>
      </w:r>
      <w:r>
        <w:t xml:space="preserve">replicating a variety of techno-economic shocks that could impact the carbon market resulting</w:t>
      </w:r>
      <w:r>
        <w:t xml:space="preserve"> </w:t>
      </w:r>
      <w:r>
        <w:t xml:space="preserve">in an increase or decrease in demand for EUAs over different time horizons. A full description</w:t>
      </w:r>
      <w:r>
        <w:t xml:space="preserve"> </w:t>
      </w:r>
      <w:r>
        <w:t xml:space="preserve">can be found in Appendix 1 of this annex. Table 6 summarises the resilience of the MSR system</w:t>
      </w:r>
      <w:r>
        <w:t xml:space="preserve"> </w:t>
      </w:r>
      <w:r>
        <w:t xml:space="preserve">(designs MSR1 and MSR3) in the face of these shocks.</w:t>
      </w:r>
      <w:r>
        <w:t xml:space="preserve"> </w:t>
      </w:r>
      <w:r>
        <w:t xml:space="preserve">As well as the liquidity spreads discussed in the previous section, the table considers two</w:t>
      </w:r>
      <w:r>
        <w:t xml:space="preserve"> </w:t>
      </w:r>
      <w:r>
        <w:t xml:space="preserve">additional indicators. First, the convergence of the TNAC back to the no-shock trajectory, a</w:t>
      </w:r>
      <w:r>
        <w:t xml:space="preserve"> </w:t>
      </w:r>
      <w:r>
        <w:t xml:space="preserve">few years after the shock is introduced, which is a good indicator of the MSR’s ability to adjust</w:t>
      </w:r>
      <w:r>
        <w:t xml:space="preserve"> </w:t>
      </w:r>
      <w:r>
        <w:t xml:space="preserve">to specific contexts. This convergence is more notable in MSR3. Second, the convergence of</w:t>
      </w:r>
      <w:r>
        <w:t xml:space="preserve"> </w:t>
      </w:r>
      <w:r>
        <w:t xml:space="preserve">emissions back to their original trajectory is an interesting indicator to monitor. In that regard,</w:t>
      </w:r>
      <w:r>
        <w:t xml:space="preserve"> </w:t>
      </w:r>
      <w:r>
        <w:t xml:space="preserve">both MSR1 and MSR3 lead to satisfactory alignments in emissions in the presence of shocks.</w:t>
      </w:r>
      <w:r>
        <w:t xml:space="preserve"> </w:t>
      </w:r>
      <w:r>
        <w:t xml:space="preserve">Table 6:</w:t>
      </w:r>
      <w:r>
        <w:t xml:space="preserve"> </w:t>
      </w:r>
      <w:r>
        <w:t xml:space="preserve">Sensitivity analysis – key indicators for system resilience</w:t>
      </w:r>
    </w:p>
    <w:p>
      <w:pPr>
        <w:pStyle w:val="BodyText"/>
      </w:pPr>
      <w:r>
        <w:t xml:space="preserve">MSR1</w:t>
      </w:r>
      <w:r>
        <w:t xml:space="preserve"> </w:t>
      </w:r>
      <w:r>
        <w:t xml:space="preserve">MSR3</w:t>
      </w:r>
      <w:r>
        <w:t xml:space="preserve"> </w:t>
      </w:r>
      <w:r>
        <w:t xml:space="preserve">TNAC converging back to the no-shock trajectory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Emissions converging back to the no-shock</w:t>
      </w:r>
      <w:r>
        <w:t xml:space="preserve"> </w:t>
      </w:r>
      <w:r>
        <w:t xml:space="preserve">trajectory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TNAC-to-Emission ratio spread over 2027-2040</w:t>
      </w:r>
      <w:r>
        <w:t xml:space="preserve"> </w:t>
      </w:r>
      <w:r>
        <w:t xml:space="preserve">0.28 - 0.75</w:t>
      </w:r>
      <w:r>
        <w:t xml:space="preserve"> </w:t>
      </w:r>
      <w:r>
        <w:t xml:space="preserve">0.33 - 0.63</w:t>
      </w:r>
      <w:r>
        <w:t xml:space="preserve"> </w:t>
      </w:r>
      <w:r>
        <w:t xml:space="preserve">Overall, the simpler MSR1 design already provides some resilience in the EU ETS, in</w:t>
      </w:r>
      <w:r>
        <w:t xml:space="preserve"> </w:t>
      </w:r>
      <w:r>
        <w:t xml:space="preserve">particular up to 2035. However, the more refined MSR3 design shows stronger performance,</w:t>
      </w:r>
      <w:r>
        <w:t xml:space="preserve"> </w:t>
      </w:r>
      <w:r>
        <w:t xml:space="preserve">allowing for the price impacts to be better kept under control, and leading to much improved</w:t>
      </w:r>
      <w:r>
        <w:t xml:space="preserve"> </w:t>
      </w:r>
      <w:r>
        <w:t xml:space="preserve">indicators towards the end of the 2030s. MSR3 therefore seems to provide a more future-proof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4.3. Economic impacts</w:t>
      </w:r>
      <w:r>
        <w:t xml:space="preserve"> </w:t>
      </w:r>
      <w:r>
        <w:t xml:space="preserve">The design of the MSR directly affects how well the EU ETS functions through several</w:t>
      </w:r>
      <w:r>
        <w:t xml:space="preserve"> </w:t>
      </w:r>
      <w:r>
        <w:t xml:space="preserve">economic channels, notably market liquidity (adequate allowance availability for compliance,</w:t>
      </w:r>
      <w:r>
        <w:t xml:space="preserve"> </w:t>
      </w:r>
      <w:r>
        <w:t xml:space="preserve">hedging and banking), price predictability (stable signals for decarbonisation investment) and</w:t>
      </w:r>
      <w:r>
        <w:t xml:space="preserve"> </w:t>
      </w:r>
      <w:r>
        <w:t xml:space="preserve">business planning certainty (manageable costs and foreseeable regulatory environment). This</w:t>
      </w:r>
      <w:r>
        <w:t xml:space="preserve"> </w:t>
      </w:r>
      <w:r>
        <w:t xml:space="preserve">section assesses measures MSR0+ through MSR3 against these criteria primarily using the</w:t>
      </w:r>
      <w:r>
        <w:t xml:space="preserve"> </w:t>
      </w:r>
      <w:r>
        <w:t xml:space="preserve">results from the POLES-Enerdata model in Section 2.1.</w:t>
      </w:r>
      <w:r>
        <w:t xml:space="preserve"> </w:t>
      </w:r>
      <w:r>
        <w:t xml:space="preserve">4.3.1. Liquidity in the EU ETS</w:t>
      </w:r>
      <w:r>
        <w:t xml:space="preserve"> </w:t>
      </w:r>
      <w:r>
        <w:t xml:space="preserve">Market liquidity in the EU ETS context refers to adequate allowance availability to meet</w:t>
      </w:r>
      <w:r>
        <w:t xml:space="preserve"> </w:t>
      </w:r>
      <w:r>
        <w:t xml:space="preserve">compliance obligations and support hedging and banking activities. An MSR design which is</w:t>
      </w:r>
      <w:r>
        <w:t xml:space="preserve"> </w:t>
      </w:r>
      <w:r>
        <w:t xml:space="preserve">fit for purpose should feature timely intakes and releases of appropriate size when the market</w:t>
      </w:r>
      <w:r>
        <w:t xml:space="preserve"> </w:t>
      </w:r>
      <w:r>
        <w:t xml:space="preserve">experiences surplus or scarcity, maintain relatively stable liquidity in relation to covered</w:t>
      </w:r>
      <w:r>
        <w:t xml:space="preserve"> </w:t>
      </w:r>
      <w:r>
        <w:t xml:space="preserve">emissions, and avoid premature reserve depletion, preserving shock-absorption capacity and</w:t>
      </w:r>
      <w:r>
        <w:t xml:space="preserve"> </w:t>
      </w:r>
      <w:r>
        <w:t xml:space="preserve">post-2040 flexibility.</w:t>
      </w:r>
      <w:r>
        <w:br/>
      </w:r>
      <w:r>
        <w:t xml:space="preserve">Liquidity is assessed through several indicators: TNAC levels and trajectories in relation to the</w:t>
      </w:r>
      <w:r>
        <w:t xml:space="preserve"> </w:t>
      </w:r>
      <w:r>
        <w:t xml:space="preserve">upper and lower thresholds and buffer zones; the evolution of the stock of allowances in the</w:t>
      </w:r>
      <w:r>
        <w:t xml:space="preserve"> </w:t>
      </w:r>
      <w:r>
        <w:t xml:space="preserve">MSR indicating capacity for future interventions; the TNAC-to-emissions ratio spread which</w:t>
      </w:r>
      <w:r>
        <w:t xml:space="preserve"> </w:t>
      </w:r>
      <w:r>
        <w:t xml:space="preserve">is a proxy for liquidity consistency relative to compliance needs; and the timing and volume of</w:t>
      </w:r>
      <w:r>
        <w:t xml:space="preserve"> </w:t>
      </w:r>
      <w:r>
        <w:t xml:space="preserve">MSR releases.</w:t>
      </w:r>
      <w:r>
        <w:br/>
      </w:r>
      <w:r>
        <w:t xml:space="preserve">Table 7:</w:t>
      </w:r>
      <w:r>
        <w:t xml:space="preserve"> </w:t>
      </w:r>
      <w:r>
        <w:t xml:space="preserve">Summary of liquidity analysis</w:t>
      </w:r>
      <w:r>
        <w:t xml:space="preserve"> </w:t>
      </w:r>
      <w:r>
        <w:t xml:space="preserve">MSR</w:t>
      </w:r>
      <w:r>
        <w:t xml:space="preserve"> </w:t>
      </w:r>
      <w:r>
        <w:t xml:space="preserve">option</w:t>
      </w:r>
      <w:r>
        <w:t xml:space="preserve"> </w:t>
      </w:r>
      <w:r>
        <w:t xml:space="preserve">Description</w:t>
      </w:r>
      <w:r>
        <w:br/>
      </w:r>
      <w:r>
        <w:t xml:space="preserve">Conclusion</w:t>
      </w:r>
      <w:r>
        <w:t xml:space="preserve"> </w:t>
      </w:r>
      <w:r>
        <w:t xml:space="preserve">MSR 0+</w:t>
      </w:r>
      <w:r>
        <w:t xml:space="preserve"> </w:t>
      </w:r>
      <w:r>
        <w:t xml:space="preserve">Intakes into the MSR cease in the late 2020s across all</w:t>
      </w:r>
      <w:r>
        <w:t xml:space="preserve"> </w:t>
      </w:r>
      <w:r>
        <w:t xml:space="preserve">modelled measures, as TNAC drops below the upper</w:t>
      </w:r>
      <w:r>
        <w:t xml:space="preserve"> </w:t>
      </w:r>
      <w:r>
        <w:t xml:space="preserve">threshold. In MSR0+, releases begin earliest among the</w:t>
      </w:r>
      <w:r>
        <w:t xml:space="preserve"> </w:t>
      </w:r>
      <w:r>
        <w:t xml:space="preserve">measures and proceed most aggressively, with substantial</w:t>
      </w:r>
      <w:r>
        <w:t xml:space="preserve"> </w:t>
      </w:r>
      <w:r>
        <w:t xml:space="preserve">cumulative volumes released by 2040.</w:t>
      </w:r>
      <w:r>
        <w:br/>
      </w:r>
      <w:r>
        <w:t xml:space="preserve">This improves near-term liquidity relative to MSR0, with</w:t>
      </w:r>
      <w:r>
        <w:t xml:space="preserve"> </w:t>
      </w:r>
      <w:r>
        <w:t xml:space="preserve">allowance availability more consistent relative to</w:t>
      </w:r>
      <w:r>
        <w:t xml:space="preserve"> </w:t>
      </w:r>
      <w:r>
        <w:t xml:space="preserve">compliance needs. However, the reserve depletes rapidly,</w:t>
      </w:r>
      <w:r>
        <w:t xml:space="preserve"> </w:t>
      </w:r>
      <w:r>
        <w:t xml:space="preserve">leaving minimal intervention capacity for potential</w:t>
      </w:r>
      <w:r>
        <w:t xml:space="preserve"> </w:t>
      </w:r>
      <w:r>
        <w:t xml:space="preserve">shocks and for post-2040 interventions. This is true even</w:t>
      </w:r>
      <w:r>
        <w:t xml:space="preserve"> </w:t>
      </w:r>
      <w:r>
        <w:t xml:space="preserve">though stopping invalidations after 2027 increases the</w:t>
      </w:r>
      <w:r>
        <w:t xml:space="preserve"> </w:t>
      </w:r>
      <w:r>
        <w:t xml:space="preserve">number of allowances for release. The lower buffer</w:t>
      </w:r>
      <w:r>
        <w:t xml:space="preserve"> </w:t>
      </w:r>
      <w:r>
        <w:t xml:space="preserve">successfully enables graduated releases when TNAC</w:t>
      </w:r>
      <w:r>
        <w:t xml:space="preserve"> </w:t>
      </w:r>
      <w:r>
        <w:t xml:space="preserve">enters the lower buffer zone, avoiding abrupt threshold</w:t>
      </w:r>
      <w:r>
        <w:t xml:space="preserve"> </w:t>
      </w:r>
      <w:r>
        <w:t xml:space="preserve">effects and preventing an even more rapid depletion of the</w:t>
      </w:r>
      <w:r>
        <w:t xml:space="preserve"> </w:t>
      </w:r>
      <w:r>
        <w:t xml:space="preserve">reserve.</w:t>
      </w:r>
      <w:r>
        <w:t xml:space="preserve"> </w:t>
      </w:r>
      <w:r>
        <w:t xml:space="preserve">In short, MSR0+ delivers</w:t>
      </w:r>
      <w:r>
        <w:t xml:space="preserve"> </w:t>
      </w:r>
      <w:r>
        <w:t xml:space="preserve">strong near-term liquidity</w:t>
      </w:r>
      <w:r>
        <w:t xml:space="preserve"> </w:t>
      </w:r>
      <w:r>
        <w:t xml:space="preserve">improvement at the expense</w:t>
      </w:r>
      <w:r>
        <w:t xml:space="preserve"> </w:t>
      </w:r>
      <w:r>
        <w:t xml:space="preserve">of sustained intervention</w:t>
      </w:r>
      <w:r>
        <w:t xml:space="preserve"> </w:t>
      </w:r>
      <w:r>
        <w:t xml:space="preserve">capability in the medium</w:t>
      </w:r>
      <w:r>
        <w:t xml:space="preserve"> </w:t>
      </w:r>
      <w:r>
        <w:t xml:space="preserve">and long term.</w:t>
      </w:r>
      <w:r>
        <w:t xml:space="preserve"> </w:t>
      </w:r>
      <w:r>
        <w:t xml:space="preserve">MSR 1</w:t>
      </w:r>
      <w:r>
        <w:t xml:space="preserve"> </w:t>
      </w:r>
      <w:r>
        <w:t xml:space="preserve">Releases under MSR1 start several years later than</w:t>
      </w:r>
      <w:r>
        <w:t xml:space="preserve"> </w:t>
      </w:r>
      <w:r>
        <w:t xml:space="preserve">MSR0+. Nevertheless, substantial cumulative volumes</w:t>
      </w:r>
      <w:r>
        <w:t xml:space="preserve"> </w:t>
      </w:r>
      <w:r>
        <w:t xml:space="preserve">are released by 2040. Critically, the measure preserves</w:t>
      </w:r>
      <w:r>
        <w:t xml:space="preserve"> </w:t>
      </w:r>
      <w:r>
        <w:t xml:space="preserve">meaningful intervention capacity in 2040, while</w:t>
      </w:r>
      <w:r>
        <w:t xml:space="preserve"> </w:t>
      </w:r>
      <w:r>
        <w:t xml:space="preserve">maintaining sufficient reserve stock for potential shocks</w:t>
      </w:r>
      <w:r>
        <w:t xml:space="preserve"> </w:t>
      </w:r>
      <w:r>
        <w:t xml:space="preserve">and for multiple post-2040 releases. The TNAC-to-</w:t>
      </w:r>
      <w:r>
        <w:t xml:space="preserve"> </w:t>
      </w:r>
      <w:r>
        <w:t xml:space="preserve">emissions ratio under MSR1 falls within a narrower range</w:t>
      </w:r>
      <w:r>
        <w:t xml:space="preserve"> </w:t>
      </w:r>
      <w:r>
        <w:t xml:space="preserve">than in MSR0+ over the assessment period, indicating</w:t>
      </w:r>
      <w:r>
        <w:t xml:space="preserve"> </w:t>
      </w:r>
      <w:r>
        <w:t xml:space="preserve">more stable liquidity in this measure.</w:t>
      </w:r>
      <w:r>
        <w:t xml:space="preserve"> </w:t>
      </w:r>
      <w:r>
        <w:t xml:space="preserve">MSR1 delivers balanced</w:t>
      </w:r>
      <w:r>
        <w:t xml:space="preserve"> </w:t>
      </w:r>
      <w:r>
        <w:t xml:space="preserve">liquidity</w:t>
      </w:r>
      <w:r>
        <w:t xml:space="preserve"> </w:t>
      </w:r>
      <w:r>
        <w:t xml:space="preserve">performance,</w:t>
      </w:r>
      <w:r>
        <w:t xml:space="preserve"> </w:t>
      </w:r>
      <w:r>
        <w:t xml:space="preserve">adequate</w:t>
      </w:r>
      <w:r>
        <w:t xml:space="preserve"> </w:t>
      </w:r>
      <w:r>
        <w:t xml:space="preserve">releases</w:t>
      </w:r>
      <w:r>
        <w:t xml:space="preserve"> </w:t>
      </w:r>
      <w:r>
        <w:t xml:space="preserve">when</w:t>
      </w:r>
      <w:r>
        <w:t xml:space="preserve"> </w:t>
      </w:r>
      <w:r>
        <w:t xml:space="preserve">needed, preserved long-term</w:t>
      </w:r>
      <w:r>
        <w:t xml:space="preserve"> </w:t>
      </w:r>
      <w:r>
        <w:t xml:space="preserve">intervention capacity, and</w:t>
      </w:r>
      <w:r>
        <w:t xml:space="preserve"> </w:t>
      </w:r>
      <w:r>
        <w:t xml:space="preserve">stable</w:t>
      </w:r>
      <w:r>
        <w:t xml:space="preserve"> </w:t>
      </w:r>
      <w:r>
        <w:t xml:space="preserve">supply-demand</w:t>
      </w:r>
      <w:r>
        <w:t xml:space="preserve"> </w:t>
      </w:r>
      <w:r>
        <w:t xml:space="preserve">dynamics</w:t>
      </w:r>
      <w:r>
        <w:t xml:space="preserve"> </w:t>
      </w:r>
      <w:r>
        <w:t xml:space="preserve">through</w:t>
      </w:r>
      <w:r>
        <w:t xml:space="preserve"> </w:t>
      </w:r>
      <w:r>
        <w:t xml:space="preserve">minimalist recalibration.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MSR2</w:t>
      </w:r>
      <w:r>
        <w:t xml:space="preserve"> </w:t>
      </w:r>
      <w:r>
        <w:t xml:space="preserve">In MSR2, where key parameters decline at time-</w:t>
      </w:r>
      <w:r>
        <w:t xml:space="preserve"> </w:t>
      </w:r>
      <w:r>
        <w:t xml:space="preserve">dependent LRFs, negligible releases occur before 2040</w:t>
      </w:r>
      <w:r>
        <w:t xml:space="preserve"> </w:t>
      </w:r>
      <w:r>
        <w:t xml:space="preserve">despite market tightening, as evidenced by significantly</w:t>
      </w:r>
      <w:r>
        <w:t xml:space="preserve"> </w:t>
      </w:r>
      <w:r>
        <w:t xml:space="preserve">higher prices than in all other measures assessed. This</w:t>
      </w:r>
      <w:r>
        <w:t xml:space="preserve"> </w:t>
      </w:r>
      <w:r>
        <w:t xml:space="preserve">measure also features the largest stock in the MSR in</w:t>
      </w:r>
      <w:r>
        <w:t xml:space="preserve"> </w:t>
      </w:r>
      <w:r>
        <w:t xml:space="preserve">2040, as this reserve will have remained largely</w:t>
      </w:r>
      <w:r>
        <w:t xml:space="preserve"> </w:t>
      </w:r>
      <w:r>
        <w:t xml:space="preserve">inaccessible when liquidity is needed.</w:t>
      </w:r>
      <w:r>
        <w:br/>
      </w:r>
      <w:r>
        <w:t xml:space="preserve">The TNAC-to-emissions ratio remains relatively narrow,</w:t>
      </w:r>
      <w:r>
        <w:t xml:space="preserve"> </w:t>
      </w:r>
      <w:r>
        <w:t xml:space="preserve">but this reflects consistently tight market conditions</w:t>
      </w:r>
      <w:r>
        <w:t xml:space="preserve"> </w:t>
      </w:r>
      <w:r>
        <w:t xml:space="preserve">during the first half of the 2030s rather than effective</w:t>
      </w:r>
      <w:r>
        <w:t xml:space="preserve"> </w:t>
      </w:r>
      <w:r>
        <w:t xml:space="preserve">MSR intervention through releases.</w:t>
      </w:r>
      <w:r>
        <w:t xml:space="preserve"> </w:t>
      </w:r>
      <w:r>
        <w:t xml:space="preserve">In MSR 2 the LRF-based</w:t>
      </w:r>
      <w:r>
        <w:t xml:space="preserve"> </w:t>
      </w:r>
      <w:r>
        <w:t xml:space="preserve">calibration</w:t>
      </w:r>
      <w:r>
        <w:t xml:space="preserve"> </w:t>
      </w:r>
      <w:r>
        <w:t xml:space="preserve">prevents</w:t>
      </w:r>
      <w:r>
        <w:t xml:space="preserve"> </w:t>
      </w:r>
      <w:r>
        <w:t xml:space="preserve">the</w:t>
      </w:r>
      <w:r>
        <w:t xml:space="preserve"> </w:t>
      </w:r>
      <w:r>
        <w:t xml:space="preserve">mechanism from fulfilling</w:t>
      </w:r>
      <w:r>
        <w:t xml:space="preserve"> </w:t>
      </w:r>
      <w:r>
        <w:t xml:space="preserve">its function to augment</w:t>
      </w:r>
      <w:r>
        <w:t xml:space="preserve"> </w:t>
      </w:r>
      <w:r>
        <w:t xml:space="preserve">liquidity when needed.</w:t>
      </w:r>
    </w:p>
    <w:p>
      <w:pPr>
        <w:pStyle w:val="BodyText"/>
      </w:pPr>
      <w:r>
        <w:t xml:space="preserve">MSR3</w:t>
      </w:r>
      <w:r>
        <w:br/>
      </w:r>
      <w:r>
        <w:t xml:space="preserve">MSR3 generates moderate releases starting in 2035, with</w:t>
      </w:r>
      <w:r>
        <w:t xml:space="preserve"> </w:t>
      </w:r>
      <w:r>
        <w:t xml:space="preserve">meaningful cumulative volumes released by 2040.</w:t>
      </w:r>
      <w:r>
        <w:br/>
      </w:r>
      <w:r>
        <w:t xml:space="preserve">The TNAC-to-emissions ratio under MSR3 falls within a</w:t>
      </w:r>
      <w:r>
        <w:t xml:space="preserve"> </w:t>
      </w:r>
      <w:r>
        <w:t xml:space="preserve">narrow range over the assessment period, similar to</w:t>
      </w:r>
      <w:r>
        <w:t xml:space="preserve"> </w:t>
      </w:r>
      <w:r>
        <w:t xml:space="preserve">MSR1 while maintaining greater reserve depth for</w:t>
      </w:r>
      <w:r>
        <w:t xml:space="preserve"> </w:t>
      </w:r>
      <w:r>
        <w:t xml:space="preserve">potential shock absorption, including potential Article</w:t>
      </w:r>
      <w:r>
        <w:t xml:space="preserve"> </w:t>
      </w:r>
      <w:r>
        <w:t xml:space="preserve">29a activations during the 2030s, and for post-2040</w:t>
      </w:r>
      <w:r>
        <w:t xml:space="preserve"> </w:t>
      </w:r>
      <w:r>
        <w:t xml:space="preserve">operations.</w:t>
      </w:r>
    </w:p>
    <w:p>
      <w:pPr>
        <w:pStyle w:val="BodyText"/>
      </w:pPr>
      <w:r>
        <w:t xml:space="preserve">Under MSR 3 the uniform</w:t>
      </w:r>
      <w:r>
        <w:t xml:space="preserve"> </w:t>
      </w:r>
      <w:r>
        <w:t xml:space="preserve">decline</w:t>
      </w:r>
      <w:r>
        <w:t xml:space="preserve"> </w:t>
      </w:r>
      <w:r>
        <w:t xml:space="preserve">across</w:t>
      </w:r>
      <w:r>
        <w:t xml:space="preserve"> </w:t>
      </w:r>
      <w:r>
        <w:t xml:space="preserve">upper</w:t>
      </w:r>
      <w:r>
        <w:t xml:space="preserve"> </w:t>
      </w:r>
      <w:r>
        <w:t xml:space="preserve">threshold, lower threshold,</w:t>
      </w:r>
      <w:r>
        <w:t xml:space="preserve"> </w:t>
      </w:r>
      <w:r>
        <w:t xml:space="preserve">and release volumes creates</w:t>
      </w:r>
      <w:r>
        <w:t xml:space="preserve"> </w:t>
      </w:r>
      <w:r>
        <w:t xml:space="preserve">internally</w:t>
      </w:r>
      <w:r>
        <w:t xml:space="preserve"> </w:t>
      </w:r>
      <w:r>
        <w:t xml:space="preserve">consistent</w:t>
      </w:r>
      <w:r>
        <w:t xml:space="preserve"> </w:t>
      </w:r>
      <w:r>
        <w:t xml:space="preserve">dynamics.</w:t>
      </w:r>
      <w:r>
        <w:t xml:space="preserve"> </w:t>
      </w:r>
      <w:r>
        <w:t xml:space="preserve">MSR3 avoids both MSR0+</w:t>
      </w:r>
      <w:r>
        <w:t xml:space="preserve">‘s</w:t>
      </w:r>
      <w:r>
        <w:t xml:space="preserve"> </w:t>
      </w:r>
      <w:r>
        <w:t xml:space="preserve">rapid reserve depletion and</w:t>
      </w:r>
      <w:r>
        <w:t xml:space="preserve"> </w:t>
      </w:r>
      <w:r>
        <w:t xml:space="preserve">MSR2’s</w:t>
      </w:r>
      <w:r>
        <w:t xml:space="preserve"> </w:t>
      </w:r>
      <w:r>
        <w:t xml:space="preserve">locked</w:t>
      </w:r>
      <w:r>
        <w:t xml:space="preserve"> </w:t>
      </w:r>
      <w:r>
        <w:t xml:space="preserve">reserve</w:t>
      </w:r>
      <w:r>
        <w:t xml:space="preserve"> </w:t>
      </w:r>
      <w:r>
        <w:t xml:space="preserve">problem, providing timely</w:t>
      </w:r>
      <w:r>
        <w:t xml:space="preserve"> </w:t>
      </w:r>
      <w:r>
        <w:t xml:space="preserve">liquidity provision while</w:t>
      </w:r>
      <w:r>
        <w:t xml:space="preserve"> </w:t>
      </w:r>
      <w:r>
        <w:t xml:space="preserve">preserving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capacity. MSR3 has the</w:t>
      </w:r>
      <w:r>
        <w:t xml:space="preserve"> </w:t>
      </w:r>
      <w:r>
        <w:t xml:space="preserve">advantage it adapts to a</w:t>
      </w:r>
      <w:r>
        <w:t xml:space="preserve"> </w:t>
      </w:r>
      <w:r>
        <w:t xml:space="preserve">shrinking</w:t>
      </w:r>
      <w:r>
        <w:t xml:space="preserve"> </w:t>
      </w:r>
      <w:r>
        <w:t xml:space="preserve">market</w:t>
      </w:r>
      <w:r>
        <w:t xml:space="preserve"> </w:t>
      </w:r>
      <w:r>
        <w:t xml:space="preserve">as</w:t>
      </w:r>
      <w:r>
        <w:t xml:space="preserve"> </w:t>
      </w:r>
      <w:r>
        <w:t xml:space="preserve">compared to MSR1.</w:t>
      </w:r>
      <w:r>
        <w:br/>
      </w:r>
      <w:r>
        <w:t xml:space="preserve">Both MSR 1 and MSR3 measures demonstrate robustness under the tested shock scenarios,</w:t>
      </w:r>
      <w:r>
        <w:t xml:space="preserve"> </w:t>
      </w:r>
      <w:r>
        <w:t xml:space="preserve">though through different mechanisms as further described in appendix 2 of Annex 8. MSR1</w:t>
      </w:r>
      <w:r>
        <w:t xml:space="preserve"> </w:t>
      </w:r>
      <w:r>
        <w:t xml:space="preserve">relies on recalibrated static thresholds providing predictable intervention triggers, supported by</w:t>
      </w:r>
      <w:r>
        <w:t xml:space="preserve"> </w:t>
      </w:r>
      <w:r>
        <w:t xml:space="preserve">adequate baseline reserve capacity. MSR3 achieves a similar result through dynamic</w:t>
      </w:r>
      <w:r>
        <w:t xml:space="preserve"> </w:t>
      </w:r>
      <w:r>
        <w:t xml:space="preserve">parameters that adjust intervention timing and release volumes to evolving market conditions,</w:t>
      </w:r>
      <w:r>
        <w:t xml:space="preserve"> </w:t>
      </w:r>
      <w:r>
        <w:t xml:space="preserve">backed by deeper reserve stocks that sustain intervention capacity across scenarios.</w:t>
      </w:r>
      <w:r>
        <w:br/>
      </w:r>
      <w:r>
        <w:t xml:space="preserve">4.3.2. Price Volatility</w:t>
      </w:r>
      <w:r>
        <w:t xml:space="preserve"> </w:t>
      </w:r>
      <w:r>
        <w:t xml:space="preserve">Price volatility affects regulated entities’</w:t>
      </w:r>
      <w:r>
        <w:t xml:space="preserve"> </w:t>
      </w:r>
      <w:r>
        <w:t xml:space="preserve">ability to plan investments, manage compliance costs,</w:t>
      </w:r>
      <w:r>
        <w:t xml:space="preserve"> </w:t>
      </w:r>
      <w:r>
        <w:t xml:space="preserve">and execute hedging and banking strategies. This analysis focuses on volatility patterns across</w:t>
      </w:r>
      <w:r>
        <w:t xml:space="preserve"> </w:t>
      </w:r>
      <w:r>
        <w:t xml:space="preserve">years relevant for medium-term investment planning and compliance strategies.</w:t>
      </w:r>
      <w:r>
        <w:t xml:space="preserve"> </w:t>
      </w:r>
      <w:r>
        <w:t xml:space="preserve">Rather than formal statistical volatility metrics, the assessment relies on graphical analysis of</w:t>
      </w:r>
      <w:r>
        <w:t xml:space="preserve"> </w:t>
      </w:r>
      <w:r>
        <w:t xml:space="preserve">price trajectories and their evolution under baseline and shock scenarios. The four measures</w:t>
      </w:r>
      <w:r>
        <w:t xml:space="preserve"> </w:t>
      </w:r>
      <w:r>
        <w:t xml:space="preserve">exhibit markedly different inter-annual volatility patterns as outline in Table 8 below.</w:t>
      </w:r>
      <w:r>
        <w:t xml:space="preserve"> </w:t>
      </w:r>
      <w:r>
        <w:t xml:space="preserve">Table 8:</w:t>
      </w:r>
      <w:r>
        <w:t xml:space="preserve"> </w:t>
      </w:r>
      <w:r>
        <w:t xml:space="preserve">Summary of volatility analysis</w:t>
      </w:r>
      <w:r>
        <w:t xml:space="preserve"> </w:t>
      </w:r>
      <w:r>
        <w:t xml:space="preserve">MSR</w:t>
      </w:r>
      <w:r>
        <w:t xml:space="preserve"> </w:t>
      </w:r>
      <w:r>
        <w:t xml:space="preserve">scenario</w:t>
      </w:r>
      <w:r>
        <w:t xml:space="preserve"> </w:t>
      </w:r>
      <w:r>
        <w:t xml:space="preserve">Assessment</w:t>
      </w:r>
      <w:r>
        <w:br/>
      </w:r>
      <w:r>
        <w:t xml:space="preserve">Conclusion</w:t>
      </w:r>
      <w:r>
        <w:t xml:space="preserve"> </w:t>
      </w:r>
      <w:r>
        <w:t xml:space="preserve">MSR0+</w:t>
      </w:r>
      <w:r>
        <w:t xml:space="preserve"> </w:t>
      </w:r>
      <w:r>
        <w:t xml:space="preserve">MSR0+ demonstrates a non-monotonic trajectory, with</w:t>
      </w:r>
      <w:r>
        <w:t xml:space="preserve"> </w:t>
      </w:r>
      <w:r>
        <w:t xml:space="preserve">prices declining from 2028 to 2031, before reversing</w:t>
      </w:r>
      <w:r>
        <w:t xml:space="preserve"> </w:t>
      </w:r>
      <w:r>
        <w:t xml:space="preserve">direction and increasing rapidly by 2040. This</w:t>
      </w:r>
      <w:r>
        <w:t xml:space="preserve"> </w:t>
      </w:r>
      <w:r>
        <w:t xml:space="preserve">directional reversal in the late 2020s represents volatility</w:t>
      </w:r>
      <w:r>
        <w:t xml:space="preserve"> </w:t>
      </w:r>
      <w:r>
        <w:t xml:space="preserve">Price decline followed by</w:t>
      </w:r>
      <w:r>
        <w:t xml:space="preserve"> </w:t>
      </w:r>
      <w:r>
        <w:t xml:space="preserve">steep year over year price</w:t>
      </w:r>
      <w:r>
        <w:t xml:space="preserve"> </w:t>
      </w:r>
      <w:r>
        <w:t xml:space="preserve">increases as from 2031.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through both the sign change and the subsequent</w:t>
      </w:r>
      <w:r>
        <w:t xml:space="preserve"> </w:t>
      </w:r>
      <w:r>
        <w:t xml:space="preserve">acceleration in price growth</w:t>
      </w:r>
      <w:r>
        <w:t xml:space="preserve"> </w:t>
      </w:r>
      <w:r>
        <w:t xml:space="preserve">The pace of price increases post-2031 is particularly</w:t>
      </w:r>
      <w:r>
        <w:t xml:space="preserve"> </w:t>
      </w:r>
      <w:r>
        <w:t xml:space="preserve">pronounced, with year-on-year changes substantially</w:t>
      </w:r>
      <w:r>
        <w:t xml:space="preserve"> </w:t>
      </w:r>
      <w:r>
        <w:t xml:space="preserve">larger than in other measures.</w:t>
      </w:r>
      <w:r>
        <w:t xml:space="preserve"> </w:t>
      </w:r>
      <w:r>
        <w:t xml:space="preserve">MSR1</w:t>
      </w:r>
      <w:r>
        <w:t xml:space="preserve"> </w:t>
      </w:r>
      <w:r>
        <w:t xml:space="preserve">MSR1 exhibits a similar non-monotonic pattern to</w:t>
      </w:r>
      <w:r>
        <w:t xml:space="preserve"> </w:t>
      </w:r>
      <w:r>
        <w:t xml:space="preserve">MSR0+, though delayed any price increase by</w:t>
      </w:r>
      <w:r>
        <w:t xml:space="preserve"> </w:t>
      </w:r>
      <w:r>
        <w:t xml:space="preserve">approximately three years. Prices stabilise in 2030 and</w:t>
      </w:r>
      <w:r>
        <w:t xml:space="preserve"> </w:t>
      </w:r>
      <w:r>
        <w:t xml:space="preserve">show limited fluctuation through the early 2030s before</w:t>
      </w:r>
      <w:r>
        <w:t xml:space="preserve"> </w:t>
      </w:r>
      <w:r>
        <w:t xml:space="preserve">accelerating sharply after 2034. While partially avoiding</w:t>
      </w:r>
      <w:r>
        <w:t xml:space="preserve"> </w:t>
      </w:r>
      <w:r>
        <w:t xml:space="preserve">the early decline observed in MSR0+, MSR1 still</w:t>
      </w:r>
      <w:r>
        <w:t xml:space="preserve"> </w:t>
      </w:r>
      <w:r>
        <w:t xml:space="preserve">features a pronounced hiatus-to-surge pattern. The</w:t>
      </w:r>
      <w:r>
        <w:t xml:space="preserve"> </w:t>
      </w:r>
      <w:r>
        <w:t xml:space="preserve">transition from relative price stability to rapid escalation</w:t>
      </w:r>
      <w:r>
        <w:t xml:space="preserve"> </w:t>
      </w:r>
      <w:r>
        <w:t xml:space="preserve">after 2034 generates substantial year-on-year percentage</w:t>
      </w:r>
      <w:r>
        <w:t xml:space="preserve"> </w:t>
      </w:r>
      <w:r>
        <w:t xml:space="preserve">changes similar in magnitude to those observed in</w:t>
      </w:r>
      <w:r>
        <w:t xml:space="preserve"> </w:t>
      </w:r>
      <w:r>
        <w:t xml:space="preserve">MSR0+.</w:t>
      </w:r>
      <w:r>
        <w:br/>
      </w:r>
      <w:r>
        <w:t xml:space="preserve">MSR</w:t>
      </w:r>
      <w:r>
        <w:t xml:space="preserve"> </w:t>
      </w:r>
      <w:r>
        <w:t xml:space="preserve">1</w:t>
      </w:r>
      <w:r>
        <w:t xml:space="preserve"> </w:t>
      </w:r>
      <w:r>
        <w:t xml:space="preserve">observes</w:t>
      </w:r>
      <w:r>
        <w:t xml:space="preserve"> </w:t>
      </w:r>
      <w:r>
        <w:t xml:space="preserve">stabilisation followed by a</w:t>
      </w:r>
      <w:r>
        <w:t xml:space="preserve"> </w:t>
      </w:r>
      <w:r>
        <w:t xml:space="preserve">relative rapid escalation of</w:t>
      </w:r>
      <w:r>
        <w:t xml:space="preserve"> </w:t>
      </w:r>
      <w:r>
        <w:t xml:space="preserve">prices after 2034. MSR1</w:t>
      </w:r>
      <w:r>
        <w:t xml:space="preserve"> </w:t>
      </w:r>
      <w:r>
        <w:t xml:space="preserve">generates a hiatus-to-surge</w:t>
      </w:r>
      <w:r>
        <w:t xml:space="preserve"> </w:t>
      </w:r>
      <w:r>
        <w:t xml:space="preserve">pattern</w:t>
      </w:r>
      <w:r>
        <w:t xml:space="preserve"> </w:t>
      </w:r>
      <w:r>
        <w:t xml:space="preserve">vulnerable</w:t>
      </w:r>
      <w:r>
        <w:t xml:space="preserve"> </w:t>
      </w:r>
      <w:r>
        <w:t xml:space="preserve">to</w:t>
      </w:r>
      <w:r>
        <w:t xml:space="preserve"> </w:t>
      </w:r>
      <w:r>
        <w:t xml:space="preserve">amplification under certain</w:t>
      </w:r>
      <w:r>
        <w:t xml:space="preserve"> </w:t>
      </w:r>
      <w:r>
        <w:t xml:space="preserve">shocks. Nevertheless, year</w:t>
      </w:r>
      <w:r>
        <w:t xml:space="preserve"> </w:t>
      </w:r>
      <w:r>
        <w:t xml:space="preserve">over year volatility remains</w:t>
      </w:r>
      <w:r>
        <w:t xml:space="preserve"> </w:t>
      </w:r>
      <w:r>
        <w:t xml:space="preserve">within</w:t>
      </w:r>
      <w:r>
        <w:t xml:space="preserve"> </w:t>
      </w:r>
      <w:r>
        <w:t xml:space="preserve">reasonable</w:t>
      </w:r>
      <w:r>
        <w:t xml:space="preserve"> </w:t>
      </w:r>
      <w:r>
        <w:t xml:space="preserve">boundaries.</w:t>
      </w:r>
      <w:r>
        <w:t xml:space="preserve"> </w:t>
      </w:r>
      <w:r>
        <w:t xml:space="preserve">MSR2</w:t>
      </w:r>
      <w:r>
        <w:t xml:space="preserve"> </w:t>
      </w:r>
      <w:r>
        <w:t xml:space="preserve">MSR2 exhibits a non-monotonic trajectory distinct from</w:t>
      </w:r>
      <w:r>
        <w:t xml:space="preserve"> </w:t>
      </w:r>
      <w:r>
        <w:t xml:space="preserve">MSR0+ and MSR1, with rapid early-period price</w:t>
      </w:r>
      <w:r>
        <w:t xml:space="preserve"> </w:t>
      </w:r>
      <w:r>
        <w:t xml:space="preserve">increases followed by a decline at the end of the</w:t>
      </w:r>
      <w:r>
        <w:t xml:space="preserve"> </w:t>
      </w:r>
      <w:r>
        <w:t xml:space="preserve">assessment period. Prices increase sharply from 2028 to</w:t>
      </w:r>
      <w:r>
        <w:t xml:space="preserve"> </w:t>
      </w:r>
      <w:r>
        <w:t xml:space="preserve">2030, substantially above all other measures, and</w:t>
      </w:r>
      <w:r>
        <w:t xml:space="preserve"> </w:t>
      </w:r>
      <w:r>
        <w:t xml:space="preserve">continue escalating rapidly through the mid-2030s,</w:t>
      </w:r>
      <w:r>
        <w:t xml:space="preserve"> </w:t>
      </w:r>
      <w:r>
        <w:t xml:space="preserve">before declining in 2040. The steep price escalation in</w:t>
      </w:r>
      <w:r>
        <w:t xml:space="preserve"> </w:t>
      </w:r>
      <w:r>
        <w:t xml:space="preserve">the 2030-2035 period generates the highest annual price</w:t>
      </w:r>
      <w:r>
        <w:t xml:space="preserve"> </w:t>
      </w:r>
      <w:r>
        <w:t xml:space="preserve">growth across all measures, with prices exceeding</w:t>
      </w:r>
      <w:r>
        <w:t xml:space="preserve"> </w:t>
      </w:r>
      <w:r>
        <w:t xml:space="preserve">MSR0+ and MSR1 by factors of two during specific</w:t>
      </w:r>
      <w:r>
        <w:t xml:space="preserve"> </w:t>
      </w:r>
      <w:r>
        <w:t xml:space="preserve">years. MSR2 surges first then reverses, representing an</w:t>
      </w:r>
      <w:r>
        <w:t xml:space="preserve"> </w:t>
      </w:r>
      <w:r>
        <w:t xml:space="preserve">inverted non-monotonic pattern that combines rapid</w:t>
      </w:r>
      <w:r>
        <w:t xml:space="preserve"> </w:t>
      </w:r>
      <w:r>
        <w:t xml:space="preserve">early acceleration with late-period reversal in direction.</w:t>
      </w:r>
      <w:r>
        <w:t xml:space="preserve"> </w:t>
      </w:r>
      <w:r>
        <w:t xml:space="preserve">MSR 2 provides for the</w:t>
      </w:r>
      <w:r>
        <w:t xml:space="preserve"> </w:t>
      </w:r>
      <w:r>
        <w:t xml:space="preserve">highest annual price growth</w:t>
      </w:r>
      <w:r>
        <w:t xml:space="preserve"> </w:t>
      </w:r>
      <w:r>
        <w:t xml:space="preserve">across all measures. MSR 2</w:t>
      </w:r>
      <w:r>
        <w:t xml:space="preserve"> </w:t>
      </w:r>
      <w:r>
        <w:t xml:space="preserve">that combines rapid early</w:t>
      </w:r>
      <w:r>
        <w:t xml:space="preserve"> </w:t>
      </w:r>
      <w:r>
        <w:t xml:space="preserve">acceleration with late-period</w:t>
      </w:r>
      <w:r>
        <w:t xml:space="preserve"> </w:t>
      </w:r>
      <w:r>
        <w:t xml:space="preserve">reversal</w:t>
      </w:r>
      <w:r>
        <w:t xml:space="preserve"> </w:t>
      </w:r>
      <w:r>
        <w:t xml:space="preserve">in</w:t>
      </w:r>
      <w:r>
        <w:t xml:space="preserve"> </w:t>
      </w:r>
      <w:r>
        <w:t xml:space="preserve">direction</w:t>
      </w:r>
      <w:r>
        <w:t xml:space="preserve"> </w:t>
      </w:r>
      <w:r>
        <w:t xml:space="preserve">consequently higher level of</w:t>
      </w:r>
      <w:r>
        <w:t xml:space="preserve"> </w:t>
      </w:r>
      <w:r>
        <w:t xml:space="preserve">volatility</w:t>
      </w:r>
      <w:r>
        <w:t xml:space="preserve"> </w:t>
      </w:r>
      <w:r>
        <w:t xml:space="preserve">MSR3</w:t>
      </w:r>
      <w:r>
        <w:t xml:space="preserve"> </w:t>
      </w:r>
      <w:r>
        <w:t xml:space="preserve">MSR3 demonstrates the lowest inter-annual volatility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assessment</w:t>
      </w:r>
      <w:r>
        <w:t xml:space="preserve"> </w:t>
      </w:r>
      <w:r>
        <w:t xml:space="preserve">period.</w:t>
      </w:r>
      <w:r>
        <w:t xml:space="preserve"> </w:t>
      </w:r>
      <w:r>
        <w:t xml:space="preserve">Prices</w:t>
      </w:r>
      <w:r>
        <w:t xml:space="preserve"> </w:t>
      </w:r>
      <w:r>
        <w:t xml:space="preserve">increase</w:t>
      </w:r>
      <w:r>
        <w:t xml:space="preserve"> </w:t>
      </w:r>
      <w:r>
        <w:t xml:space="preserve">progressively from approximately in 2030 up until 2040,</w:t>
      </w:r>
      <w:r>
        <w:t xml:space="preserve"> </w:t>
      </w:r>
      <w:r>
        <w:t xml:space="preserve">maintaining consistent directional momentum without</w:t>
      </w:r>
      <w:r>
        <w:t xml:space="preserve"> </w:t>
      </w:r>
      <w:r>
        <w:t xml:space="preserve">abrupt accelerations, plateaus, or reversals. Year-on-</w:t>
      </w:r>
      <w:r>
        <w:t xml:space="preserve"> </w:t>
      </w:r>
      <w:r>
        <w:t xml:space="preserve">year price changes remain relatively uniform throughout</w:t>
      </w:r>
      <w:r>
        <w:t xml:space="preserve"> </w:t>
      </w:r>
      <w:r>
        <w:t xml:space="preserve">the period, avoiding both the directional reversals of</w:t>
      </w:r>
      <w:r>
        <w:t xml:space="preserve"> </w:t>
      </w:r>
      <w:r>
        <w:t xml:space="preserve">MSR0+/MSR1/MSR2 and the extreme early-period</w:t>
      </w:r>
      <w:r>
        <w:t xml:space="preserve"> </w:t>
      </w:r>
      <w:r>
        <w:t xml:space="preserve">escalation of MSR2. This smooth, gradual trajectory</w:t>
      </w:r>
      <w:r>
        <w:t xml:space="preserve"> </w:t>
      </w:r>
      <w:r>
        <w:t xml:space="preserve">provides the most stable inter-annual price evolution</w:t>
      </w:r>
      <w:r>
        <w:t xml:space="preserve"> </w:t>
      </w:r>
      <w:r>
        <w:t xml:space="preserve">among the four measures.</w:t>
      </w:r>
      <w:r>
        <w:t xml:space="preserve"> </w:t>
      </w:r>
      <w:r>
        <w:t xml:space="preserve">MSR 3 provides for a</w:t>
      </w:r>
      <w:r>
        <w:t xml:space="preserve"> </w:t>
      </w:r>
      <w:r>
        <w:t xml:space="preserve">smooth, gradual trajectory</w:t>
      </w:r>
      <w:r>
        <w:t xml:space="preserve"> </w:t>
      </w:r>
      <w:r>
        <w:t xml:space="preserve">and the most stable inter-</w:t>
      </w:r>
      <w:r>
        <w:t xml:space="preserve"> </w:t>
      </w:r>
      <w:r>
        <w:t xml:space="preserve">annual</w:t>
      </w:r>
      <w:r>
        <w:t xml:space="preserve"> </w:t>
      </w:r>
      <w:r>
        <w:t xml:space="preserve">price</w:t>
      </w:r>
      <w:r>
        <w:t xml:space="preserve"> </w:t>
      </w:r>
      <w:r>
        <w:t xml:space="preserve">evolution</w:t>
      </w:r>
      <w:r>
        <w:t xml:space="preserve"> </w:t>
      </w:r>
      <w:r>
        <w:t xml:space="preserve">among the four measures.</w:t>
      </w:r>
      <w:r>
        <w:t xml:space="preserve"> </w:t>
      </w:r>
      <w:r>
        <w:t xml:space="preserve">MSR 3 provides for the most</w:t>
      </w:r>
      <w:r>
        <w:t xml:space="preserve"> </w:t>
      </w:r>
      <w:r>
        <w:t xml:space="preserve">stable and gradual price</w:t>
      </w:r>
      <w:r>
        <w:t xml:space="preserve"> </w:t>
      </w:r>
      <w:r>
        <w:t xml:space="preserve">evolution over time. MSR3</w:t>
      </w:r>
      <w:r>
        <w:t xml:space="preserve"> </w:t>
      </w:r>
      <w:r>
        <w:t xml:space="preserve">also maintains progressive</w:t>
      </w:r>
      <w:r>
        <w:t xml:space="preserve"> </w:t>
      </w:r>
      <w:r>
        <w:t xml:space="preserve">price</w:t>
      </w:r>
      <w:r>
        <w:t xml:space="preserve"> </w:t>
      </w:r>
      <w:r>
        <w:t xml:space="preserve">evolution</w:t>
      </w:r>
      <w:r>
        <w:t xml:space="preserve"> </w:t>
      </w:r>
      <w:r>
        <w:t xml:space="preserve">with</w:t>
      </w:r>
      <w:r>
        <w:t xml:space="preserve"> </w:t>
      </w:r>
      <w:r>
        <w:t xml:space="preserve">superior shock resilience.</w:t>
      </w:r>
      <w:r>
        <w:t xml:space="preserve"> </w:t>
      </w:r>
      <w:r>
        <w:t xml:space="preserve">4.3.3. Conduct of business</w:t>
      </w:r>
      <w:r>
        <w:t xml:space="preserve"> </w:t>
      </w:r>
      <w:r>
        <w:t xml:space="preserve">Conduct of business considerations assess how each measure’s liquidity and volatility</w:t>
      </w:r>
      <w:r>
        <w:t xml:space="preserve"> </w:t>
      </w:r>
      <w:r>
        <w:t xml:space="preserve">characteristics affect regulated entities’ operational decision-making. Two dimensions are</w:t>
      </w:r>
      <w:r>
        <w:t xml:space="preserve"> </w:t>
      </w:r>
      <w:r>
        <w:t xml:space="preserve">central: market conditions that enable effective risk management, and mechanism</w:t>
      </w:r>
      <w:r>
        <w:t xml:space="preserve"> </w:t>
      </w:r>
      <w:r>
        <w:t xml:space="preserve">predictability that supports credible price expectations.</w:t>
      </w:r>
      <w:r>
        <w:t xml:space="preserve"> </w:t>
      </w:r>
      <w:r>
        <w:t xml:space="preserve">Table 9:</w:t>
      </w:r>
      <w:r>
        <w:t xml:space="preserve"> </w:t>
      </w:r>
      <w:r>
        <w:t xml:space="preserve">Conduct of business analysis</w:t>
      </w:r>
    </w:p>
    <w:p>
      <w:pPr>
        <w:pStyle w:val="BodyText"/>
      </w:pPr>
      <w:r>
        <w:t xml:space="preserve">Market</w:t>
      </w:r>
      <w:r>
        <w:t xml:space="preserve"> </w:t>
      </w:r>
      <w:r>
        <w:t xml:space="preserve">conditions</w:t>
      </w:r>
      <w:r>
        <w:t xml:space="preserve"> </w:t>
      </w:r>
      <w:r>
        <w:t xml:space="preserve">for</w:t>
      </w:r>
      <w:r>
        <w:t xml:space="preserve"> </w:t>
      </w:r>
      <w:r>
        <w:t xml:space="preserve">operational</w:t>
      </w:r>
      <w:r>
        <w:t xml:space="preserve"> </w:t>
      </w:r>
      <w:r>
        <w:t xml:space="preserve">decision making</w:t>
      </w:r>
      <w:r>
        <w:t xml:space="preserve"> </w:t>
      </w:r>
      <w:r>
        <w:t xml:space="preserve">Predictability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MSR 0+ Problematic market conditions: MSR0+</w:t>
      </w:r>
      <w:r>
        <w:t xml:space="preserve"> </w:t>
      </w:r>
      <w:r>
        <w:t xml:space="preserve">sends inconsistent signals for investment</w:t>
      </w:r>
      <w:r>
        <w:t xml:space="preserve"> </w:t>
      </w:r>
      <w:r>
        <w:t xml:space="preserve">planning: prices decline when forward-</w:t>
      </w:r>
      <w:r>
        <w:t xml:space="preserve"> </w:t>
      </w:r>
      <w:r>
        <w:t xml:space="preserve">looking entities would expect tightening</w:t>
      </w:r>
      <w:r>
        <w:t xml:space="preserve"> </w:t>
      </w:r>
      <w:r>
        <w:t xml:space="preserve">markets, then surge rapidly</w:t>
      </w:r>
      <w:r>
        <w:t xml:space="preserve"> </w:t>
      </w:r>
      <w:r>
        <w:t xml:space="preserve">MSR0+</w:t>
      </w:r>
      <w:r>
        <w:t xml:space="preserve"> </w:t>
      </w:r>
      <w:r>
        <w:t xml:space="preserve">offers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through</w:t>
      </w:r>
      <w:r>
        <w:t xml:space="preserve"> </w:t>
      </w:r>
      <w:r>
        <w:t xml:space="preserve">maintaining static thresholds.</w:t>
      </w:r>
      <w:r>
        <w:t xml:space="preserve"> </w:t>
      </w:r>
      <w:r>
        <w:t xml:space="preserve">MSR1</w:t>
      </w:r>
      <w:r>
        <w:t xml:space="preserve"> </w:t>
      </w:r>
      <w:r>
        <w:t xml:space="preserve">More suitable market conditions: TNAC</w:t>
      </w:r>
      <w:r>
        <w:t xml:space="preserve"> </w:t>
      </w:r>
      <w:r>
        <w:t xml:space="preserve">within the neutral band until the mid-2030s,</w:t>
      </w:r>
      <w:r>
        <w:t xml:space="preserve"> </w:t>
      </w:r>
      <w:r>
        <w:t xml:space="preserve">MSR1 exhibits wider spreads and hiatus-</w:t>
      </w:r>
      <w:r>
        <w:t xml:space="preserve"> </w:t>
      </w:r>
      <w:r>
        <w:t xml:space="preserve">to-surge price dynamics.</w:t>
      </w:r>
      <w:r>
        <w:t xml:space="preserve"> </w:t>
      </w:r>
      <w:r>
        <w:t xml:space="preserve">MSR1</w:t>
      </w:r>
      <w:r>
        <w:t xml:space="preserve"> </w:t>
      </w:r>
      <w:r>
        <w:t xml:space="preserve">offers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through</w:t>
      </w:r>
      <w:r>
        <w:t xml:space="preserve"> </w:t>
      </w:r>
      <w:r>
        <w:t xml:space="preserve">recalibrated static thresholds.</w:t>
      </w:r>
      <w:r>
        <w:t xml:space="preserve"> </w:t>
      </w:r>
      <w:r>
        <w:t xml:space="preserve">MSR2</w:t>
      </w:r>
      <w:r>
        <w:t xml:space="preserve"> </w:t>
      </w:r>
      <w:r>
        <w:t xml:space="preserve">Problematic market conditions: early-</w:t>
      </w:r>
      <w:r>
        <w:t xml:space="preserve"> </w:t>
      </w:r>
      <w:r>
        <w:t xml:space="preserve">period price escalation followed by late</w:t>
      </w:r>
      <w:r>
        <w:t xml:space="preserve"> </w:t>
      </w:r>
      <w:r>
        <w:t xml:space="preserve">reversal creates a non-monotonic pattern</w:t>
      </w:r>
      <w:r>
        <w:t xml:space="preserve"> </w:t>
      </w:r>
      <w:r>
        <w:t xml:space="preserve">unhelpful to compliance and investment</w:t>
      </w:r>
      <w:r>
        <w:t xml:space="preserve"> </w:t>
      </w:r>
      <w:r>
        <w:t xml:space="preserve">planning or hedging and banking strategies.</w:t>
      </w:r>
      <w:r>
        <w:t xml:space="preserve"> </w:t>
      </w:r>
      <w:r>
        <w:t xml:space="preserve">MSR2’s LRF-based parameter dynamics</w:t>
      </w:r>
      <w:r>
        <w:t xml:space="preserve"> </w:t>
      </w:r>
      <w:r>
        <w:t xml:space="preserve">introduce</w:t>
      </w:r>
      <w:r>
        <w:t xml:space="preserve"> </w:t>
      </w:r>
      <w:r>
        <w:t xml:space="preserve">substantial</w:t>
      </w:r>
      <w:r>
        <w:t xml:space="preserve"> </w:t>
      </w:r>
      <w:r>
        <w:t xml:space="preserve">complexity:</w:t>
      </w:r>
      <w:r>
        <w:t xml:space="preserve"> </w:t>
      </w:r>
      <w:r>
        <w:t xml:space="preserve">thresholds and release rates decline</w:t>
      </w:r>
      <w:r>
        <w:t xml:space="preserve"> </w:t>
      </w:r>
      <w:r>
        <w:t xml:space="preserve">annually at varying paces</w:t>
      </w:r>
      <w:r>
        <w:t xml:space="preserve"> </w:t>
      </w:r>
      <w:r>
        <w:t xml:space="preserve">MSR3</w:t>
      </w:r>
      <w:r>
        <w:t xml:space="preserve"> </w:t>
      </w:r>
      <w:r>
        <w:t xml:space="preserve">More suitable market conditions: TNAC</w:t>
      </w:r>
      <w:r>
        <w:t xml:space="preserve"> </w:t>
      </w:r>
      <w:r>
        <w:t xml:space="preserve">within the neutral band until the mid-2030s.</w:t>
      </w:r>
      <w:r>
        <w:t xml:space="preserve"> </w:t>
      </w:r>
      <w:r>
        <w:t xml:space="preserve">MSR3 demonstrates narrower TNAC-to-</w:t>
      </w:r>
      <w:r>
        <w:t xml:space="preserve"> </w:t>
      </w:r>
      <w:r>
        <w:t xml:space="preserve">emissions ratio spreads and smoother price</w:t>
      </w:r>
      <w:r>
        <w:t xml:space="preserve"> </w:t>
      </w:r>
      <w:r>
        <w:t xml:space="preserve">trajectories. Better response to unexpected</w:t>
      </w:r>
      <w:r>
        <w:t xml:space="preserve"> </w:t>
      </w:r>
      <w:r>
        <w:t xml:space="preserve">shocks.</w:t>
      </w:r>
      <w:r>
        <w:t xml:space="preserve"> </w:t>
      </w:r>
      <w:r>
        <w:t xml:space="preserve">MSR3 employs a single annual decline rate</w:t>
      </w:r>
      <w:r>
        <w:t xml:space="preserve"> </w:t>
      </w:r>
      <w:r>
        <w:t xml:space="preserve">across relevant parameters, balancing</w:t>
      </w:r>
      <w:r>
        <w:t xml:space="preserve"> </w:t>
      </w:r>
      <w:r>
        <w:t xml:space="preserve">adaptation to market shrinkage with</w:t>
      </w:r>
      <w:r>
        <w:t xml:space="preserve"> </w:t>
      </w:r>
      <w:r>
        <w:t xml:space="preserve">relative simplicity and transparency. The</w:t>
      </w:r>
      <w:r>
        <w:t xml:space="preserve"> </w:t>
      </w:r>
      <w:r>
        <w:t xml:space="preserve">constant percentage adjustment creates</w:t>
      </w:r>
      <w:r>
        <w:t xml:space="preserve"> </w:t>
      </w:r>
      <w:r>
        <w:t xml:space="preserve">predictable parameter trajectories.</w:t>
      </w:r>
      <w:r>
        <w:br/>
      </w:r>
      <w:r>
        <w:t xml:space="preserve">From a conduct of business perspective, MSR0+ and MSR2 exhibit significant weaknesses:</w:t>
      </w:r>
      <w:r>
        <w:t xml:space="preserve"> </w:t>
      </w:r>
      <w:r>
        <w:t xml:space="preserve">problematic liquidity conditions combined with high volatility; early or delayed releases and</w:t>
      </w:r>
      <w:r>
        <w:t xml:space="preserve"> </w:t>
      </w:r>
      <w:r>
        <w:t xml:space="preserve">non-uniform price dynamics. MSR1 and MSR3 perform better through adequate liquidity</w:t>
      </w:r>
      <w:r>
        <w:t xml:space="preserve"> </w:t>
      </w:r>
      <w:r>
        <w:t xml:space="preserve">provision, directional price stability, and mechanism designs support forward planning: MSR1</w:t>
      </w:r>
      <w:r>
        <w:t xml:space="preserve"> </w:t>
      </w:r>
      <w:r>
        <w:t xml:space="preserve">through minimalist recalibration preserving familiarity and MSR3 through uniform adaptive</w:t>
      </w:r>
      <w:r>
        <w:t xml:space="preserve"> </w:t>
      </w:r>
      <w:r>
        <w:t xml:space="preserve">parameters balancing responsiveness and transparency, as well as better response to shocks</w:t>
      </w:r>
      <w:r>
        <w:t xml:space="preserve"> </w:t>
      </w:r>
      <w:r>
        <w:t xml:space="preserve">(see Section 4.2).</w:t>
      </w:r>
      <w:r>
        <w:br/>
      </w:r>
      <w:r>
        <w:t xml:space="preserve">4.3.4. Recommendation based on economic impacts</w:t>
      </w:r>
      <w:r>
        <w:t xml:space="preserve"> </w:t>
      </w:r>
      <w:r>
        <w:t xml:space="preserve">Based on the economic impact assessment across liquidity, price volatility, and conduct of</w:t>
      </w:r>
      <w:r>
        <w:t xml:space="preserve"> </w:t>
      </w:r>
      <w:r>
        <w:t xml:space="preserve">business dimensions, MSR1 and MSR3 are recommended to advance to policy option-level</w:t>
      </w:r>
      <w:r>
        <w:t xml:space="preserve"> </w:t>
      </w:r>
      <w:r>
        <w:t xml:space="preserve">analysis. Both measures avoid problematic TNAC dynamics that trigger premature or</w:t>
      </w:r>
      <w:r>
        <w:t xml:space="preserve"> </w:t>
      </w:r>
      <w:r>
        <w:t xml:space="preserve">excessively delayed releases, demonstrate adequate reserve capacity sustaining MSR</w:t>
      </w:r>
      <w:r>
        <w:t xml:space="preserve"> </w:t>
      </w:r>
      <w:r>
        <w:t xml:space="preserve">intervention capability through 2040 and beyond, and generate directional price stability</w:t>
      </w:r>
      <w:r>
        <w:t xml:space="preserve"> </w:t>
      </w:r>
      <w:r>
        <w:t xml:space="preserve">conducive to forward planning and risk management. MSR0+ and MSR2 are not recommended</w:t>
      </w:r>
      <w:r>
        <w:t xml:space="preserve"> </w:t>
      </w:r>
      <w:r>
        <w:t xml:space="preserve">to advance to policy option-level analysis due to structural weaknesses identified across these</w:t>
      </w:r>
      <w:r>
        <w:t xml:space="preserve"> </w:t>
      </w:r>
      <w:r>
        <w:t xml:space="preserve">dimensions.</w:t>
      </w:r>
      <w:r>
        <w:t xml:space="preserve"> </w:t>
      </w:r>
      <w:r>
        <w:t xml:space="preserve">4.4. Social impacts</w:t>
      </w:r>
      <w:r>
        <w:t xml:space="preserve"> </w:t>
      </w:r>
      <w:r>
        <w:t xml:space="preserve">Social impacts of MSR measures cannot be meaningfully assessed at the measure level for</w:t>
      </w:r>
      <w:r>
        <w:t xml:space="preserve"> </w:t>
      </w:r>
      <w:r>
        <w:t xml:space="preserve">three principal reasons. First, the POLES-Enerdata model generates projections for allowance</w:t>
      </w:r>
      <w:r>
        <w:t xml:space="preserve"> </w:t>
      </w:r>
      <w:r>
        <w:t xml:space="preserve">prices, emissions profiles for covered sectors, and MSR-related variables like TNAC and</w:t>
      </w:r>
      <w:r>
        <w:t xml:space="preserve"> </w:t>
      </w:r>
      <w:r>
        <w:t xml:space="preserve">release volumes, but does not capture labour market dynamics, household income distribution,</w:t>
      </w:r>
      <w:r>
        <w:t xml:space="preserve"> </w:t>
      </w:r>
      <w:r>
        <w:t xml:space="preserve">or social welfare indicators required for social impact assessment. Second, social impacts result</w:t>
      </w:r>
      <w:r>
        <w:t xml:space="preserve"> </w:t>
      </w:r>
      <w:r>
        <w:t xml:space="preserve">from interactions across multiple thematic areas. Third, MSR measures influence social</w:t>
      </w:r>
      <w:r>
        <w:t xml:space="preserve"> </w:t>
      </w:r>
      <w:r>
        <w:t xml:space="preserve">outcomes exclusively through indirect general equilibrium channels requiring integrated</w:t>
      </w:r>
      <w:r>
        <w:t xml:space="preserve"> </w:t>
      </w:r>
      <w:r>
        <w:t xml:space="preserve">economy-wide modelling, available only at the policy option level.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4.5. Environmental impacts</w:t>
      </w:r>
      <w:r>
        <w:t xml:space="preserve"> </w:t>
      </w:r>
      <w:r>
        <w:t xml:space="preserve">This section assesses the impact of MSR measures on cumulative EU ETS emissions over</w:t>
      </w:r>
      <w:r>
        <w:t xml:space="preserve"> </w:t>
      </w:r>
      <w:r>
        <w:t xml:space="preserve">2026–2040, which are meaningful than annual emissions from a climate impact perspective.</w:t>
      </w:r>
      <w:r>
        <w:t xml:space="preserve"> </w:t>
      </w:r>
      <w:r>
        <w:t xml:space="preserve">Across MSR0+, MSR1, MSR2 and MSR3, cumulative emissions over 2026–2040 are</w:t>
      </w:r>
      <w:r>
        <w:t xml:space="preserve"> </w:t>
      </w:r>
      <w:r>
        <w:t xml:space="preserve">governed by how the MSR modifies net allowance supply in the 2030s through the timing and</w:t>
      </w:r>
      <w:r>
        <w:t xml:space="preserve"> </w:t>
      </w:r>
      <w:r>
        <w:t xml:space="preserve">size of releases.</w:t>
      </w:r>
      <w:r>
        <w:t xml:space="preserve"> </w:t>
      </w:r>
      <w:r>
        <w:t xml:space="preserve">Table 10: Summary assessment of cumulative emissions 2026-2040</w:t>
      </w:r>
    </w:p>
    <w:p>
      <w:pPr>
        <w:pStyle w:val="BodyText"/>
      </w:pPr>
      <w:r>
        <w:t xml:space="preserve">Assessment of cumulative emissions for distinct MSR scenario’s</w:t>
      </w:r>
      <w:r>
        <w:t xml:space="preserve"> </w:t>
      </w:r>
      <w:r>
        <w:t xml:space="preserve">MSR0+</w:t>
      </w:r>
      <w:r>
        <w:t xml:space="preserve"> </w:t>
      </w:r>
      <w:r>
        <w:t xml:space="preserve">MSR0+ produces the highest cumulative emissions: early and comparatively large releases</w:t>
      </w:r>
      <w:r>
        <w:t xml:space="preserve"> </w:t>
      </w:r>
      <w:r>
        <w:t xml:space="preserve">are sustained for an extended period, raising totals over the window relative to other designs</w:t>
      </w:r>
      <w:r>
        <w:t xml:space="preserve"> </w:t>
      </w:r>
      <w:r>
        <w:t xml:space="preserve">MSR1</w:t>
      </w:r>
      <w:r>
        <w:t xml:space="preserve"> </w:t>
      </w:r>
      <w:r>
        <w:t xml:space="preserve">MSR1 lowers cumulative emissions relative to MSR0+ though a delayed onset of releases,</w:t>
      </w:r>
      <w:r>
        <w:t xml:space="preserve"> </w:t>
      </w:r>
      <w:r>
        <w:t xml:space="preserve">although overall cumulative emissions remain higher than under MSR3</w:t>
      </w:r>
      <w:r>
        <w:t xml:space="preserve"> </w:t>
      </w:r>
      <w:r>
        <w:t xml:space="preserve">MSR2</w:t>
      </w:r>
      <w:r>
        <w:t xml:space="preserve"> </w:t>
      </w:r>
      <w:r>
        <w:t xml:space="preserve">MSR2 yields the lowest cumulative emissions of all measures, but for reasons that are</w:t>
      </w:r>
      <w:r>
        <w:t xml:space="preserve"> </w:t>
      </w:r>
      <w:r>
        <w:t xml:space="preserve">problematic for market functioning: dynamic thresholds retreat with the cap and suppress</w:t>
      </w:r>
      <w:r>
        <w:t xml:space="preserve"> </w:t>
      </w:r>
      <w:r>
        <w:t xml:space="preserve">releases even under tight market conditions, effectively forcing early abatement via persistent</w:t>
      </w:r>
      <w:r>
        <w:t xml:space="preserve"> </w:t>
      </w:r>
      <w:r>
        <w:t xml:space="preserve">scarcity.</w:t>
      </w:r>
      <w:r>
        <w:t xml:space="preserve"> </w:t>
      </w:r>
      <w:r>
        <w:t xml:space="preserve">MSR3</w:t>
      </w:r>
      <w:r>
        <w:t xml:space="preserve"> </w:t>
      </w:r>
      <w:r>
        <w:t xml:space="preserve">MSR3 delivers a clearer reduction in cumulative emissions than both MSR0+ and MSR1:</w:t>
      </w:r>
      <w:r>
        <w:t xml:space="preserve"> </w:t>
      </w:r>
      <w:r>
        <w:t xml:space="preserve">uniform annual declines in thresholds and release volumes provide timely liquidity while</w:t>
      </w:r>
      <w:r>
        <w:t xml:space="preserve"> </w:t>
      </w:r>
      <w:r>
        <w:t xml:space="preserve">preserving credible scarcity while preserving intervention capacity, avoiding both premature</w:t>
      </w:r>
      <w:r>
        <w:t xml:space="preserve"> </w:t>
      </w:r>
      <w:r>
        <w:t xml:space="preserve">depletion and locked‑reserve dynamics.</w:t>
      </w:r>
      <w:r>
        <w:t xml:space="preserve"> </w:t>
      </w:r>
      <w:r>
        <w:t xml:space="preserve">The above ranking on the basis of emission impacts implies a trade‑off: designs that release</w:t>
      </w:r>
      <w:r>
        <w:t xml:space="preserve"> </w:t>
      </w:r>
      <w:r>
        <w:t xml:space="preserve">earlier and more forcefully raise cumulative emissions; designs that keep scarcity high reduce</w:t>
      </w:r>
      <w:r>
        <w:t xml:space="preserve"> </w:t>
      </w:r>
      <w:r>
        <w:t xml:space="preserve">cumulative emissions but risk compromising market functioning if reserves become</w:t>
      </w:r>
      <w:r>
        <w:t xml:space="preserve"> </w:t>
      </w:r>
      <w:r>
        <w:t xml:space="preserve">inaccessible.</w:t>
      </w:r>
      <w:r>
        <w:t xml:space="preserve"> </w:t>
      </w:r>
      <w:r>
        <w:t xml:space="preserve">On cumulative emissions grounds, MSR3 is the preferred design among the viable options. It</w:t>
      </w:r>
      <w:r>
        <w:t xml:space="preserve"> </w:t>
      </w:r>
      <w:r>
        <w:t xml:space="preserve">delivers lower cumulative emissions than MSR1 while maintaining liquidity and intervention</w:t>
      </w:r>
      <w:r>
        <w:t xml:space="preserve"> </w:t>
      </w:r>
      <w:r>
        <w:t xml:space="preserve">capacity, albeit by a small margin. MSR1 remains a suitable alternative, achieving a modest</w:t>
      </w:r>
      <w:r>
        <w:t xml:space="preserve"> </w:t>
      </w:r>
      <w:r>
        <w:t xml:space="preserve">reduction versus MSR0+ but less than MSR3. MSR0+ is not recommended on emissions</w:t>
      </w:r>
      <w:r>
        <w:t xml:space="preserve"> </w:t>
      </w:r>
      <w:r>
        <w:t xml:space="preserve">grounds, as early and comparatively large releases raise cumulative emissions over 2026–2040.</w:t>
      </w:r>
      <w:r>
        <w:t xml:space="preserve"> </w:t>
      </w:r>
      <w:r>
        <w:t xml:space="preserve">MSR2 yields the lowest cumulative emissions but does so through locked‑reserve dynamics</w:t>
      </w:r>
      <w:r>
        <w:t xml:space="preserve"> </w:t>
      </w:r>
      <w:r>
        <w:t xml:space="preserve">that compromise market functioning; it is therefore not recommended despite its emissions</w:t>
      </w:r>
      <w:r>
        <w:t xml:space="preserve"> </w:t>
      </w:r>
      <w:r>
        <w:t xml:space="preserve">outcome.</w:t>
      </w:r>
      <w:r>
        <w:t xml:space="preserve"> </w:t>
      </w:r>
      <w:r>
        <w:t xml:space="preserve">4.6. Summary</w:t>
      </w:r>
      <w:r>
        <w:t xml:space="preserve"> </w:t>
      </w:r>
      <w:r>
        <w:t xml:space="preserve">This section synthesises the measure-level assessment of MSR1, MSR2, and MSR3 relative to</w:t>
      </w:r>
      <w:r>
        <w:t xml:space="preserve"> </w:t>
      </w:r>
      <w:r>
        <w:t xml:space="preserve">MSR0+ across economic, social, and environmental impact dimensions, based on results across</w:t>
      </w:r>
      <w:r>
        <w:t xml:space="preserve"> </w:t>
      </w:r>
      <w:r>
        <w:t xml:space="preserve">Section 4. Table 11 summarises the key impacts using a four-point scale: substantial</w:t>
      </w:r>
      <w:r>
        <w:t xml:space="preserve"> </w:t>
      </w:r>
      <w:r>
        <w:t xml:space="preserve">improvement (++), moderate improvement (+), moderate deterioration (-), substantial</w:t>
      </w:r>
      <w:r>
        <w:t xml:space="preserve"> </w:t>
      </w:r>
      <w:r>
        <w:t xml:space="preserve">deterioration (–), or no change/cannot be assessed (0).</w:t>
      </w:r>
      <w:r>
        <w:t xml:space="preserve"> </w:t>
      </w:r>
      <w:r>
        <w:t xml:space="preserve">Table 11: Key impacts of MSR1, MSR2 and MSR3 compared to MSR0+</w:t>
      </w:r>
      <w:r>
        <w:t xml:space="preserve"> </w:t>
      </w:r>
      <w:r>
        <w:t xml:space="preserve">Key impacts compared to</w:t>
      </w:r>
      <w:r>
        <w:t xml:space="preserve"> </w:t>
      </w:r>
      <w:r>
        <w:t xml:space="preserve">MSR0+</w:t>
      </w:r>
      <w:r>
        <w:t xml:space="preserve"> </w:t>
      </w:r>
      <w:r>
        <w:t xml:space="preserve">MSR1</w:t>
      </w:r>
      <w:r>
        <w:t xml:space="preserve"> </w:t>
      </w:r>
      <w:r>
        <w:t xml:space="preserve">MSR2</w:t>
      </w:r>
      <w:r>
        <w:t xml:space="preserve"> </w:t>
      </w:r>
      <w:r>
        <w:t xml:space="preserve">MSR3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Liquidity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Key impacts compared to</w:t>
      </w:r>
      <w:r>
        <w:t xml:space="preserve"> </w:t>
      </w:r>
      <w:r>
        <w:t xml:space="preserve">MSR0+</w:t>
      </w:r>
      <w:r>
        <w:t xml:space="preserve"> </w:t>
      </w:r>
      <w:r>
        <w:t xml:space="preserve">MSR1</w:t>
      </w:r>
      <w:r>
        <w:t xml:space="preserve"> </w:t>
      </w:r>
      <w:r>
        <w:t xml:space="preserve">MSR2</w:t>
      </w:r>
      <w:r>
        <w:t xml:space="preserve"> </w:t>
      </w:r>
      <w:r>
        <w:t xml:space="preserve">MSR3</w:t>
      </w:r>
      <w:r>
        <w:t xml:space="preserve"> </w:t>
      </w:r>
      <w:r>
        <w:t xml:space="preserve">Price volatility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Employment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Income distribution, social</w:t>
      </w:r>
      <w:r>
        <w:t xml:space="preserve"> </w:t>
      </w:r>
      <w:r>
        <w:t xml:space="preserve">protection,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inclusion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Cumulative emissions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MSR3 delivers substantial improvements across all economic impact categories. It maintains</w:t>
      </w:r>
      <w:r>
        <w:t xml:space="preserve"> </w:t>
      </w:r>
      <w:r>
        <w:t xml:space="preserve">narrower TNAC-to-emissions ratios through timely releases whilst preserving deeper post-</w:t>
      </w:r>
      <w:r>
        <w:t xml:space="preserve"> </w:t>
      </w:r>
      <w:r>
        <w:t xml:space="preserve">2040 intervention capacity, demonstrates the lowest inter-annual price volatility with smooth</w:t>
      </w:r>
      <w:r>
        <w:t xml:space="preserve"> </w:t>
      </w:r>
      <w:r>
        <w:t xml:space="preserve">trajectories resilient to shocks, and provides superior market conditions through uniform</w:t>
      </w:r>
      <w:r>
        <w:t xml:space="preserve"> </w:t>
      </w:r>
      <w:r>
        <w:t xml:space="preserve">adaptive parameters balancing responsiveness with transparency.</w:t>
      </w:r>
      <w:r>
        <w:br/>
      </w:r>
      <w:r>
        <w:t xml:space="preserve">MSR1 achieves moderate improvements through minimalist recalibration, though it exhibits</w:t>
      </w:r>
      <w:r>
        <w:t xml:space="preserve"> </w:t>
      </w:r>
      <w:r>
        <w:t xml:space="preserve">wider liquidity spreads and hiatus-to-surge price dynamics vulnerable to amplification under</w:t>
      </w:r>
      <w:r>
        <w:t xml:space="preserve"> </w:t>
      </w:r>
      <w:r>
        <w:t xml:space="preserve">supply-side shocks. MSR2 shows substantial deterioration: locked-reserve dynamics prevent</w:t>
      </w:r>
      <w:r>
        <w:t xml:space="preserve"> </w:t>
      </w:r>
      <w:r>
        <w:t xml:space="preserve">releases when needed, generating the highest annual price growth and inverted non-monotonic</w:t>
      </w:r>
      <w:r>
        <w:t xml:space="preserve"> </w:t>
      </w:r>
      <w:r>
        <w:t xml:space="preserve">patterns that severely complicate compliance planning.</w:t>
      </w:r>
      <w:r>
        <w:t xml:space="preserve"> </w:t>
      </w:r>
      <w:r>
        <w:t xml:space="preserve">Regarding social impacts, employment and income distribution cannot be assessed at measure</w:t>
      </w:r>
      <w:r>
        <w:t xml:space="preserve"> </w:t>
      </w:r>
      <w:r>
        <w:t xml:space="preserve">level. However, MSR1 and MSR3 contribute positively to fundamental rights through viable</w:t>
      </w:r>
      <w:r>
        <w:t xml:space="preserve"> </w:t>
      </w:r>
      <w:r>
        <w:t xml:space="preserve">designs that preserve carbon price signal effectiveness, enhancing environmental protection</w:t>
      </w:r>
      <w:r>
        <w:t xml:space="preserve"> </w:t>
      </w:r>
      <w:r>
        <w:t xml:space="preserve">under Article 37 of the Charter. MSR2 maintains baseline respect for fundamental rights but</w:t>
      </w:r>
      <w:r>
        <w:t xml:space="preserve"> </w:t>
      </w:r>
      <w:r>
        <w:t xml:space="preserve">may not deliver this enhancement due to compromised market functioning.</w:t>
      </w:r>
      <w:r>
        <w:t xml:space="preserve"> </w:t>
      </w:r>
      <w:r>
        <w:t xml:space="preserve">On cumulative emissions, both MSR2 and MSR3 deliver substantial reductions relative to</w:t>
      </w:r>
      <w:r>
        <w:t xml:space="preserve"> </w:t>
      </w:r>
      <w:r>
        <w:t xml:space="preserve">MSR0+, with MSR1 achieving moderate reductions. MSR2’s lowest cumulative emissions</w:t>
      </w:r>
      <w:r>
        <w:t xml:space="preserve"> </w:t>
      </w:r>
      <w:r>
        <w:t xml:space="preserve">result from sustained scarcity that compromises market functioning. MSR3 achieves</w:t>
      </w:r>
      <w:r>
        <w:t xml:space="preserve"> </w:t>
      </w:r>
      <w:r>
        <w:t xml:space="preserve">comparable emissions reductions whilst maintaining better economic performance.</w:t>
      </w:r>
      <w:r>
        <w:t xml:space="preserve"> </w:t>
      </w:r>
      <w:r>
        <w:t xml:space="preserve">Finally, in terms of simplicity of design, MSR1 is the closest to the current design with constant</w:t>
      </w:r>
      <w:r>
        <w:t xml:space="preserve"> </w:t>
      </w:r>
      <w:r>
        <w:t xml:space="preserve">thresholds and release rate, while MSR2 and MSR3 both introduce a layer of complexity with</w:t>
      </w:r>
      <w:r>
        <w:t xml:space="preserve"> </w:t>
      </w:r>
      <w:r>
        <w:t xml:space="preserve">dynamically adjusted thresholds and release rate. MSR3 is however slightly less complex than</w:t>
      </w:r>
      <w:r>
        <w:t xml:space="preserve"> </w:t>
      </w:r>
      <w:r>
        <w:t xml:space="preserve">MSR2 as it uses a single annual decline rate for all dynamically adjusted parameters.</w:t>
      </w:r>
      <w:r>
        <w:t xml:space="preserve"> </w:t>
      </w:r>
      <w:r>
        <w:t xml:space="preserve">In conclusion, while MSR1 provides a viable alternative with moderate improvements, MSR3</w:t>
      </w:r>
      <w:r>
        <w:t xml:space="preserve"> </w:t>
      </w:r>
      <w:r>
        <w:t xml:space="preserve">is the preferred option. This is because its dynamic parameters better reflect the cap and are</w:t>
      </w:r>
      <w:r>
        <w:t xml:space="preserve"> </w:t>
      </w:r>
      <w:r>
        <w:t xml:space="preserve">more responsive to the need of the EU ETS market. In addition, MSR3 delivers the clear</w:t>
      </w:r>
      <w:r>
        <w:t xml:space="preserve"> </w:t>
      </w:r>
      <w:r>
        <w:t xml:space="preserve">environmental benefits while overall preserving a better economic performance and a positive</w:t>
      </w:r>
      <w:r>
        <w:t xml:space="preserve"> </w:t>
      </w:r>
      <w:r>
        <w:t xml:space="preserve">social contribution. By contrast, MSR2 is not recommended despite greater emissions</w:t>
      </w:r>
      <w:r>
        <w:t xml:space="preserve"> </w:t>
      </w:r>
      <w:r>
        <w:t xml:space="preserve">reductions.</w:t>
      </w:r>
    </w:p>
    <w:p>
      <w:pPr>
        <w:pStyle w:val="BodyText"/>
      </w:pPr>
      <w:r>
        <w:t xml:space="preserve">133</w:t>
      </w:r>
    </w:p>
    <w:p>
      <w:pPr>
        <w:pStyle w:val="Compact"/>
        <w:numPr>
          <w:ilvl w:val="0"/>
          <w:numId w:val="1011"/>
        </w:numPr>
      </w:pPr>
      <w:r>
        <w:t xml:space="preserve">THE MARKET STABILITY RESERVE IN OVERALL POLICY OPTIONS</w:t>
      </w:r>
      <w:r>
        <w:t xml:space="preserve"> </w:t>
      </w:r>
      <w:r>
        <w:t xml:space="preserve">In light of the results analysed in the previous section, MSR1 and MSR3 are taken forward as</w:t>
      </w:r>
      <w:r>
        <w:t xml:space="preserve"> </w:t>
      </w:r>
      <w:r>
        <w:t xml:space="preserve">policy options, meaning that in the main impact assessment, they are bundled into policy</w:t>
      </w:r>
      <w:r>
        <w:t xml:space="preserve"> </w:t>
      </w:r>
      <w:r>
        <w:t xml:space="preserve">packages with other elements of EU ETS design. MSR1 is part of policy option 1 (PO1) and</w:t>
      </w:r>
      <w:r>
        <w:t xml:space="preserve"> </w:t>
      </w:r>
      <w:r>
        <w:t xml:space="preserve">MSR3 is part of policy options 2 and 3 (PO2 and PO3).</w:t>
      </w:r>
      <w:r>
        <w:br/>
      </w:r>
      <w:r>
        <w:t xml:space="preserve">These designs are tested for an EU ETS contribution to the 90-85% economy-wide emissions</w:t>
      </w:r>
      <w:r>
        <w:t xml:space="preserve"> </w:t>
      </w:r>
      <w:r>
        <w:t xml:space="preserve">reduction target, which allows to validate the parameters of the MSR configuration (including</w:t>
      </w:r>
      <w:r>
        <w:t xml:space="preserve"> </w:t>
      </w:r>
      <w:r>
        <w:t xml:space="preserve">the decline rate of parameters in the MSR3 design) in the context of the final considered</w:t>
      </w:r>
      <w:r>
        <w:t xml:space="preserve"> </w:t>
      </w:r>
      <w:r>
        <w:t xml:space="preserve">scenarios81.</w:t>
      </w:r>
      <w:r>
        <w:t xml:space="preserve"> </w:t>
      </w:r>
      <w:r>
        <w:t xml:space="preserve">This section presents the detailed modelling results of the policy option level analysis (PO1,</w:t>
      </w:r>
      <w:r>
        <w:t xml:space="preserve"> </w:t>
      </w:r>
      <w:r>
        <w:t xml:space="preserve">PO2 &amp; PO3), with a more detailed specific focus on the MSR than in the MSR main Impact</w:t>
      </w:r>
      <w:r>
        <w:t xml:space="preserve"> </w:t>
      </w:r>
      <w:r>
        <w:t xml:space="preserve">Assessment document. The results for PO2 and PO3 are identical given certain MSR modelling</w:t>
      </w:r>
      <w:r>
        <w:t xml:space="preserve"> </w:t>
      </w:r>
      <w:r>
        <w:t xml:space="preserve">limitations as regards the integration of removals and the different sector scope in the two</w:t>
      </w:r>
      <w:r>
        <w:t xml:space="preserve"> </w:t>
      </w:r>
      <w:r>
        <w:t xml:space="preserve">policy options, but a short qualitative assessment is included in Section 5.3.</w:t>
      </w:r>
      <w:r>
        <w:t xml:space="preserve"> </w:t>
      </w:r>
      <w:r>
        <w:t xml:space="preserve">5.1. Modelling results</w:t>
      </w:r>
      <w:r>
        <w:t xml:space="preserve"> </w:t>
      </w:r>
      <w:r>
        <w:t xml:space="preserve">The first policy option PO1 is based on the MSR1 measure for the MSR design. Under this</w:t>
      </w:r>
      <w:r>
        <w:t xml:space="preserve"> </w:t>
      </w:r>
      <w:r>
        <w:t xml:space="preserve">measure, new thresholds are set as of 2028 (650 million for upper threshold, 310 million for</w:t>
      </w:r>
      <w:r>
        <w:t xml:space="preserve"> </w:t>
      </w:r>
      <w:r>
        <w:t xml:space="preserve">lower threshold), release rate maintained at 100 million and these parameters are then kept</w:t>
      </w:r>
      <w:r>
        <w:t xml:space="preserve"> </w:t>
      </w:r>
      <w:r>
        <w:t xml:space="preserve">constant over the time in period up until 2040.82 In the PO1 simulation based on the POLES-</w:t>
      </w:r>
      <w:r>
        <w:t xml:space="preserve"> </w:t>
      </w:r>
      <w:r>
        <w:t xml:space="preserve">Enerdata model run, the TNAC steadily decreases from 2027 onwards, similarly to the MSR1</w:t>
      </w:r>
      <w:r>
        <w:t xml:space="preserve"> </w:t>
      </w:r>
      <w:r>
        <w:t xml:space="preserve">run. It crosses the lower threshold in 2034. Moreover, TNAC decreases below the lower buffer</w:t>
      </w:r>
      <w:r>
        <w:t xml:space="preserve"> </w:t>
      </w:r>
      <w:r>
        <w:t xml:space="preserve">before staying at 237 million in 2040. Due to the static releases in MSR1, 100 million</w:t>
      </w:r>
      <w:r>
        <w:t xml:space="preserve"> </w:t>
      </w:r>
      <w:r>
        <w:t xml:space="preserve">allowances are being released each year from 2036 until 2040.</w:t>
      </w:r>
      <w:r>
        <w:t xml:space="preserve"> </w:t>
      </w:r>
      <w:r>
        <w:t xml:space="preserve">Figure 27: PO1 results - Evolution of the TNAC and MSR thresholds</w:t>
      </w:r>
    </w:p>
    <w:p>
      <w:pPr>
        <w:pStyle w:val="FirstParagraph"/>
      </w:pPr>
      <w:r>
        <w:t xml:space="preserve">81 The effects of the timing of supply of free allowances are further assessed in section 5.5.</w:t>
      </w:r>
      <w:r>
        <w:t xml:space="preserve"> </w:t>
      </w:r>
      <w:r>
        <w:t xml:space="preserve">82 Note that PO1 also assumes that 1) no invalidations take place after 2028 which implies that a balance of</w:t>
      </w:r>
      <w:r>
        <w:t xml:space="preserve"> </w:t>
      </w:r>
      <w:r>
        <w:t xml:space="preserve">allowances builds up in the MSR; 2) a lower buffer is introduced from 2028; and 3) both upper and lower</w:t>
      </w:r>
      <w:r>
        <w:t xml:space="preserve"> </w:t>
      </w:r>
      <w:r>
        <w:t xml:space="preserve">buffers are adjusted as needed to avoid threshold effects.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PO2 and PO3 are based on the MSR design from the MSR3 measure. Under this measure, new</w:t>
      </w:r>
      <w:r>
        <w:t xml:space="preserve"> </w:t>
      </w:r>
      <w:r>
        <w:t xml:space="preserve">upper thresholds are set as of 2028 (650 million), 400 million maintained for lower threshold,</w:t>
      </w:r>
      <w:r>
        <w:t xml:space="preserve"> </w:t>
      </w:r>
      <w:r>
        <w:t xml:space="preserve">release rate maintained at 100 million. All these parameters are then declining at a fixed</w:t>
      </w:r>
      <w:r>
        <w:t xml:space="preserve"> </w:t>
      </w:r>
      <w:r>
        <w:t xml:space="preserve">proportional rate of 4%.83 In these policy option runs, the TNAC drops below the lower</w:t>
      </w:r>
      <w:r>
        <w:t xml:space="preserve"> </w:t>
      </w:r>
      <w:r>
        <w:t xml:space="preserve">threshold in 2035. After that, TNAC further drops below the lower buffer until 2040. During</w:t>
      </w:r>
      <w:r>
        <w:t xml:space="preserve"> </w:t>
      </w:r>
      <w:r>
        <w:t xml:space="preserve">this period, the MSR is expected to release between 18 million and 70 million EUAs each year,</w:t>
      </w:r>
      <w:r>
        <w:t xml:space="preserve"> </w:t>
      </w:r>
      <w:r>
        <w:t xml:space="preserve">inducing progressive declines in TNAC at an average rate close to that of the thresholds.</w:t>
      </w:r>
      <w:r>
        <w:t xml:space="preserve"> </w:t>
      </w:r>
      <w:r>
        <w:t xml:space="preserve">Figure 28: PO2 &amp; PO3 results - Evolution of the TNAC and MSR thresholds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The TNAC evolutions in PO1 on the one hand, and PO2 and PO3 on the other hand, lead to</w:t>
      </w:r>
      <w:r>
        <w:t xml:space="preserve"> </w:t>
      </w:r>
      <w:r>
        <w:t xml:space="preserve">significant differences in MSR operations relative to the baseline scenario. The releases start</w:t>
      </w:r>
      <w:r>
        <w:t xml:space="preserve"> </w:t>
      </w:r>
      <w:r>
        <w:t xml:space="preserve">in 2035 in PO1, one year earlier than in PO2 &amp; PO3. However, the cumulative amount of EUAs</w:t>
      </w:r>
      <w:r>
        <w:t xml:space="preserve"> </w:t>
      </w:r>
      <w:r>
        <w:t xml:space="preserve">released over 2034-2040 is higher in PO1 than in PO2 and PO3, with a yearly average of 66</w:t>
      </w:r>
      <w:r>
        <w:t xml:space="preserve"> </w:t>
      </w:r>
      <w:r>
        <w:t xml:space="preserve">million EUAs for PO1 compared to 40 million EUAs in PO2 and PO3.</w:t>
      </w:r>
    </w:p>
    <w:p>
      <w:pPr>
        <w:pStyle w:val="BodyText"/>
      </w:pPr>
      <w:r>
        <w:t xml:space="preserve">83 PO2 and PO3 also include the changes described in the previous footnote.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Figure 29: Policy options results - Evolution of MSR operations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This mechanically leads to a difference in the evolution of the stock of EUAs in the MSR. All</w:t>
      </w:r>
      <w:r>
        <w:t xml:space="preserve"> </w:t>
      </w:r>
      <w:r>
        <w:t xml:space="preserve">considered policy options include the termination of the invalidation mechanism after 2027</w:t>
      </w:r>
      <w:r>
        <w:t xml:space="preserve"> </w:t>
      </w:r>
      <w:r>
        <w:t xml:space="preserve">which implies an accumulation of about 659 million EUAs in the MSR by 2029. By 2040, this</w:t>
      </w:r>
      <w:r>
        <w:t xml:space="preserve"> </w:t>
      </w:r>
      <w:r>
        <w:t xml:space="preserve">initial stock declines according to different profiles under PO1 on the one hand, and PO2 and</w:t>
      </w:r>
      <w:r>
        <w:t xml:space="preserve"> </w:t>
      </w:r>
      <w:r>
        <w:t xml:space="preserve">PO3 on the other hand. The latter options see releases starting later than in PO1, but with lower</w:t>
      </w:r>
      <w:r>
        <w:t xml:space="preserve"> </w:t>
      </w:r>
      <w:r>
        <w:t xml:space="preserve">quantities released. Eventually, the stock remaining by 2040 is higher for PO2 and PO3 than</w:t>
      </w:r>
      <w:r>
        <w:t xml:space="preserve"> </w:t>
      </w:r>
      <w:r>
        <w:t xml:space="preserve">in PO1, with 442 million EUAs left in the MSR reserve compared to 298 million EUAs. These</w:t>
      </w:r>
      <w:r>
        <w:t xml:space="preserve"> </w:t>
      </w:r>
      <w:r>
        <w:t xml:space="preserve">stocks determine the capacity of the MSR to continue responding to shocks to the liquidity</w:t>
      </w:r>
      <w:r>
        <w:t xml:space="preserve"> </w:t>
      </w:r>
      <w:r>
        <w:t xml:space="preserve">beyond 2040.</w:t>
      </w:r>
      <w:r>
        <w:t xml:space="preserve"> </w:t>
      </w:r>
      <w:r>
        <w:t xml:space="preserve">Figure 30: Policy options results - stock of EUAs in the MSR (January 1st)</w:t>
      </w:r>
      <w:r>
        <w:t xml:space="preserve"> </w:t>
      </w:r>
      <w:r>
        <w:t xml:space="preserve">Source: Own visualisation derived from the POLES-Enerdata model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The previously presented TNAC trajectory and corresponding MSR operations have notable</w:t>
      </w:r>
      <w:r>
        <w:t xml:space="preserve"> </w:t>
      </w:r>
      <w:r>
        <w:t xml:space="preserve">impacts on the indexed price trajectories produced by the POLES-Enerdata model. PO1</w:t>
      </w:r>
      <w:r>
        <w:t xml:space="preserve"> </w:t>
      </w:r>
      <w:r>
        <w:t xml:space="preserve">features the same hiatus in EUA indexed price in late 2020s already observed in the measure-</w:t>
      </w:r>
      <w:r>
        <w:t xml:space="preserve"> </w:t>
      </w:r>
      <w:r>
        <w:t xml:space="preserve">level assessment of MSR1, as well as a small decline in early 2030 and the following rapid</w:t>
      </w:r>
      <w:r>
        <w:t xml:space="preserve"> </w:t>
      </w:r>
      <w:r>
        <w:t xml:space="preserve">price increase after 2034. Accordingly, this policy option is undermined by the same drawbacks</w:t>
      </w:r>
      <w:r>
        <w:t xml:space="preserve"> </w:t>
      </w:r>
      <w:r>
        <w:t xml:space="preserve">in terms of lack of continuity in market tightness across the studied horizon.</w:t>
      </w:r>
      <w:r>
        <w:t xml:space="preserve"> </w:t>
      </w:r>
      <w:r>
        <w:t xml:space="preserve">For PO2 and PO3, the MSR3 design allows for a monotonic and steady increase in the price</w:t>
      </w:r>
      <w:r>
        <w:t xml:space="preserve"> </w:t>
      </w:r>
      <w:r>
        <w:t xml:space="preserve">throughout the period up, indicative of a healthy supply-demand balance on the market. Only</w:t>
      </w:r>
      <w:r>
        <w:t xml:space="preserve"> </w:t>
      </w:r>
      <w:r>
        <w:t xml:space="preserve">a couple of years over 2030-2032 see a stagnation of the price and delay the overall steady</w:t>
      </w:r>
      <w:r>
        <w:t xml:space="preserve"> </w:t>
      </w:r>
      <w:r>
        <w:t xml:space="preserve">increase dynamic. Thus, the MSR3 design remains broadly in line with initial expectations</w:t>
      </w:r>
      <w:r>
        <w:t xml:space="preserve"> </w:t>
      </w:r>
      <w:r>
        <w:t xml:space="preserve">from the market in the PO2 and PO3 environment. More generally, as observed in the MSR3</w:t>
      </w:r>
      <w:r>
        <w:t xml:space="preserve"> </w:t>
      </w:r>
      <w:r>
        <w:t xml:space="preserve">measure before, the design used for PO2 and PO3 brings a form of stability to the EU ETS</w:t>
      </w:r>
      <w:r>
        <w:t xml:space="preserve"> </w:t>
      </w:r>
      <w:r>
        <w:t xml:space="preserve">price signal, with a progressively increasing price signal, providing a well-balanced</w:t>
      </w:r>
      <w:r>
        <w:t xml:space="preserve"> </w:t>
      </w:r>
      <w:r>
        <w:t xml:space="preserve">environment for actors to invest in decarbonisation activities while leaving them time to</w:t>
      </w:r>
      <w:r>
        <w:t xml:space="preserve"> </w:t>
      </w:r>
      <w:r>
        <w:t xml:space="preserve">undertake the necessary transformations (i.e. not exposing them to rapid price increases).</w:t>
      </w:r>
      <w:r>
        <w:t xml:space="preserve"> </w:t>
      </w:r>
      <w:r>
        <w:t xml:space="preserve">Figure 31: Policy options results – EUA indexed price evolution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The TNAC-to-emissions ratio is calculated as an approximate measurement of market</w:t>
      </w:r>
      <w:r>
        <w:t xml:space="preserve"> </w:t>
      </w:r>
      <w:r>
        <w:t xml:space="preserve">liquidity. In all measures, the ratio decreases from its high historical values to about 0.6 in 2027</w:t>
      </w:r>
      <w:r>
        <w:t xml:space="preserve"> </w:t>
      </w:r>
      <w:r>
        <w:t xml:space="preserve">with the TNAC technical correction. It then slightly decreases by 2039, after which the</w:t>
      </w:r>
      <w:r>
        <w:t xml:space="preserve"> </w:t>
      </w:r>
      <w:r>
        <w:t xml:space="preserve">different policy options start to diverge. Starting in 2027, the PO2 &amp; PO3 options include extra-</w:t>
      </w:r>
      <w:r>
        <w:t xml:space="preserve"> </w:t>
      </w:r>
      <w:r>
        <w:t xml:space="preserve">EU aviation one-way emissions, not included in PO1, explaining the slight translation between</w:t>
      </w:r>
      <w:r>
        <w:t xml:space="preserve"> </w:t>
      </w:r>
      <w:r>
        <w:t xml:space="preserve">their respective trajectories after 2027 (before other factors make them diverge further).</w:t>
      </w:r>
      <w:r>
        <w:t xml:space="preserve"> </w:t>
      </w:r>
      <w:r>
        <w:t xml:space="preserve">Likewise, the inclusion of hazardous waste and landfills emissions from 2031 in PO3, not</w:t>
      </w:r>
      <w:r>
        <w:t xml:space="preserve"> </w:t>
      </w:r>
      <w:r>
        <w:t xml:space="preserve">covered in PO2, creates the translation between their respective curves, otherwise comparable</w:t>
      </w:r>
      <w:r>
        <w:t xml:space="preserve"> </w:t>
      </w:r>
      <w:r>
        <w:t xml:space="preserve">in evolution.</w:t>
      </w:r>
      <w:r>
        <w:t xml:space="preserve"> </w:t>
      </w:r>
      <w:r>
        <w:t xml:space="preserve">In PO1, the decrease continues slow until 2036 to 0.29, a year after the first release from the</w:t>
      </w:r>
      <w:r>
        <w:t xml:space="preserve"> </w:t>
      </w:r>
      <w:r>
        <w:t xml:space="preserve">MSR takes place. After that, due to the continued annual releases, the ratio rises again and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reaches its maximum value in 2040 (0.68), exhibiting a u-shaped pattern. For PO2 and PO3,</w:t>
      </w:r>
      <w:r>
        <w:t xml:space="preserve"> </w:t>
      </w:r>
      <w:r>
        <w:t xml:space="preserve">the ratio starts to increase again in 2038, due to the first MSR releases, and then oscillates in a</w:t>
      </w:r>
      <w:r>
        <w:t xml:space="preserve"> </w:t>
      </w:r>
      <w:r>
        <w:t xml:space="preserve">narrow band by maintained by ongoing releases by the MSR, suggesting a steady state for this</w:t>
      </w:r>
      <w:r>
        <w:t xml:space="preserve"> </w:t>
      </w:r>
      <w:r>
        <w:t xml:space="preserve">indicator. The spread of the ratio for the 2027-2040 period is slightly lower for PO2 (0.28-0.59)</w:t>
      </w:r>
      <w:r>
        <w:t xml:space="preserve"> </w:t>
      </w:r>
      <w:r>
        <w:t xml:space="preserve">compared to PO3 (0.25-0.59). although both are within an acceptable range. The PO1 spread</w:t>
      </w:r>
      <w:r>
        <w:t xml:space="preserve"> </w:t>
      </w:r>
      <w:r>
        <w:t xml:space="preserve">is wider (0.29-0.68), and features values on the relatively high range in the last years of the</w:t>
      </w:r>
      <w:r>
        <w:t xml:space="preserve"> </w:t>
      </w:r>
      <w:r>
        <w:t xml:space="preserve">period (above 0.6).</w:t>
      </w:r>
      <w:r>
        <w:t xml:space="preserve"> </w:t>
      </w:r>
      <w:r>
        <w:t xml:space="preserve">Figure 32: Policy options results - TNAC-to-Emissions ratio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The following table provides a summary of the main results of the policy option analysis.</w:t>
      </w:r>
      <w:r>
        <w:br/>
      </w:r>
      <w:r>
        <w:t xml:space="preserve">Table 12: PO summary dashboard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When is LT &lt; TNAC &lt; UT ?</w:t>
      </w:r>
      <w:r>
        <w:t xml:space="preserve"> </w:t>
      </w:r>
      <w:r>
        <w:t xml:space="preserve">2027-2039</w:t>
      </w:r>
      <w:r>
        <w:t xml:space="preserve"> </w:t>
      </w:r>
      <w:r>
        <w:t xml:space="preserve">2027-2033</w:t>
      </w:r>
      <w:r>
        <w:t xml:space="preserve"> </w:t>
      </w:r>
      <w:r>
        <w:t xml:space="preserve">2027-2034</w:t>
      </w:r>
      <w:r>
        <w:t xml:space="preserve"> </w:t>
      </w:r>
      <w:r>
        <w:t xml:space="preserve">2027-2034</w:t>
      </w:r>
      <w:r>
        <w:t xml:space="preserve"> </w:t>
      </w:r>
      <w:r>
        <w:t xml:space="preserve">First year of release from MSR</w:t>
      </w:r>
      <w:r>
        <w:t xml:space="preserve"> </w:t>
      </w:r>
      <w:r>
        <w:t xml:space="preserve">2041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2036</w:t>
      </w:r>
      <w:r>
        <w:t xml:space="preserve"> </w:t>
      </w:r>
      <w:r>
        <w:t xml:space="preserve">Cumulative volume of release by</w:t>
      </w:r>
      <w:r>
        <w:t xml:space="preserve"> </w:t>
      </w:r>
      <w:r>
        <w:t xml:space="preserve">2040 (M EUAs)</w:t>
      </w:r>
      <w:r>
        <w:t xml:space="preserve"> </w:t>
      </w:r>
      <w:r>
        <w:t xml:space="preserve">0</w:t>
      </w:r>
      <w:r>
        <w:t xml:space="preserve"> </w:t>
      </w:r>
      <w:r>
        <w:t xml:space="preserve">461</w:t>
      </w:r>
      <w:r>
        <w:t xml:space="preserve"> </w:t>
      </w:r>
      <w:r>
        <w:t xml:space="preserve">282</w:t>
      </w:r>
      <w:r>
        <w:t xml:space="preserve"> </w:t>
      </w:r>
      <w:r>
        <w:t xml:space="preserve">282</w:t>
      </w:r>
      <w:r>
        <w:t xml:space="preserve"> </w:t>
      </w:r>
      <w:r>
        <w:t xml:space="preserve">Cumulative emissions over 2026-</w:t>
      </w:r>
      <w:r>
        <w:t xml:space="preserve"> </w:t>
      </w:r>
      <w:r>
        <w:t xml:space="preserve">2040 (MtCO2)</w:t>
      </w:r>
      <w:r>
        <w:t xml:space="preserve"> </w:t>
      </w:r>
      <w:r>
        <w:t xml:space="preserve">10,350</w:t>
      </w:r>
      <w:r>
        <w:t xml:space="preserve"> </w:t>
      </w:r>
      <w:r>
        <w:t xml:space="preserve">10,690</w:t>
      </w:r>
      <w:r>
        <w:t xml:space="preserve"> </w:t>
      </w:r>
      <w:r>
        <w:t xml:space="preserve">11,817</w:t>
      </w:r>
      <w:r>
        <w:t xml:space="preserve"> </w:t>
      </w:r>
      <w:r>
        <w:t xml:space="preserve">12,379</w:t>
      </w:r>
      <w:r>
        <w:t xml:space="preserve"> </w:t>
      </w:r>
      <w:r>
        <w:t xml:space="preserve">Cumulative emissions over 2026-</w:t>
      </w:r>
      <w:r>
        <w:t xml:space="preserve"> </w:t>
      </w:r>
      <w:r>
        <w:t xml:space="preserve">2040 (MtCO2) – excl. waste,</w:t>
      </w:r>
      <w:r>
        <w:t xml:space="preserve"> </w:t>
      </w:r>
      <w:r>
        <w:t xml:space="preserve">landfills and extra-EU aviation</w:t>
      </w:r>
      <w:r>
        <w:t xml:space="preserve"> </w:t>
      </w:r>
      <w:r>
        <w:t xml:space="preserve">for comparability</w:t>
      </w:r>
      <w:r>
        <w:t xml:space="preserve"> </w:t>
      </w:r>
      <w:r>
        <w:t xml:space="preserve">9,687</w:t>
      </w:r>
      <w:r>
        <w:t xml:space="preserve"> </w:t>
      </w:r>
      <w:r>
        <w:t xml:space="preserve">10,690</w:t>
      </w:r>
      <w:r>
        <w:t xml:space="preserve"> </w:t>
      </w:r>
      <w:r>
        <w:t xml:space="preserve">10,598</w:t>
      </w:r>
      <w:r>
        <w:t xml:space="preserve"> </w:t>
      </w:r>
      <w:r>
        <w:t xml:space="preserve">10,598</w:t>
      </w:r>
      <w:r>
        <w:t xml:space="preserve"> </w:t>
      </w:r>
      <w:r>
        <w:t xml:space="preserve">Stock of EUAs in the MSR in</w:t>
      </w:r>
      <w:r>
        <w:t xml:space="preserve"> </w:t>
      </w:r>
      <w:r>
        <w:t xml:space="preserve">2040 (M EUAs)</w:t>
      </w:r>
      <w:r>
        <w:t xml:space="preserve"> </w:t>
      </w:r>
      <w:r>
        <w:t xml:space="preserve">400</w:t>
      </w:r>
      <w:r>
        <w:t xml:space="preserve"> </w:t>
      </w:r>
      <w:r>
        <w:t xml:space="preserve">298</w:t>
      </w:r>
      <w:r>
        <w:t xml:space="preserve"> </w:t>
      </w:r>
      <w:r>
        <w:t xml:space="preserve">442</w:t>
      </w:r>
      <w:r>
        <w:t xml:space="preserve"> </w:t>
      </w:r>
      <w:r>
        <w:t xml:space="preserve">442</w:t>
      </w:r>
      <w:r>
        <w:t xml:space="preserve"> </w:t>
      </w:r>
      <w:r>
        <w:t xml:space="preserve">Stock of EUAs in the MSR in</w:t>
      </w:r>
      <w:r>
        <w:t xml:space="preserve"> </w:t>
      </w:r>
      <w:r>
        <w:t xml:space="preserve">2050 (M EUAs)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TNAC-to-Emission ratio spread</w:t>
      </w:r>
      <w:r>
        <w:t xml:space="preserve"> </w:t>
      </w:r>
      <w:r>
        <w:t xml:space="preserve">over 2027-2040</w:t>
      </w:r>
      <w:r>
        <w:t xml:space="preserve"> </w:t>
      </w:r>
      <w:r>
        <w:t xml:space="preserve">0.68-2.05</w:t>
      </w:r>
      <w:r>
        <w:t xml:space="preserve"> </w:t>
      </w:r>
      <w:r>
        <w:t xml:space="preserve">0.29-0.68</w:t>
      </w:r>
      <w:r>
        <w:t xml:space="preserve"> </w:t>
      </w:r>
      <w:r>
        <w:t xml:space="preserve">0.28-0.59</w:t>
      </w:r>
      <w:r>
        <w:t xml:space="preserve"> </w:t>
      </w:r>
      <w:r>
        <w:t xml:space="preserve">0.25-0.59</w:t>
      </w:r>
      <w:r>
        <w:t xml:space="preserve"> </w:t>
      </w:r>
      <w:r>
        <w:t xml:space="preserve">The liquidity indicators in the table above suggest that all policy options represent material</w:t>
      </w:r>
      <w:r>
        <w:t xml:space="preserve"> </w:t>
      </w:r>
      <w:r>
        <w:t xml:space="preserve">improvements compared to the baseline. Notably, PO2 and PO3 perform better on the TNAC-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to-Emission ratio, with a spread remaining within a narrower range of 0.25-0.59, closer to the</w:t>
      </w:r>
      <w:r>
        <w:t xml:space="preserve"> </w:t>
      </w:r>
      <w:r>
        <w:t xml:space="preserve">generally accepted range of 0.3 to 0.6 for a balanced market with sufficient liquidity, compared</w:t>
      </w:r>
      <w:r>
        <w:t xml:space="preserve"> </w:t>
      </w:r>
      <w:r>
        <w:t xml:space="preserve">to PO1’s broader spread of 0.29-0.68. Moreover, the price increase towards the end of the</w:t>
      </w:r>
      <w:r>
        <w:t xml:space="preserve"> </w:t>
      </w:r>
      <w:r>
        <w:t xml:space="preserve">assessment period is also more moderate and monotonic for PO2 and PO3 relative to PO1.</w:t>
      </w:r>
      <w:r>
        <w:t xml:space="preserve"> </w:t>
      </w:r>
      <w:r>
        <w:t xml:space="preserve">Similar to the measure-level analysis, PO2 &amp; PO3 offer a progressively increasing price signal</w:t>
      </w:r>
      <w:r>
        <w:t xml:space="preserve"> </w:t>
      </w:r>
      <w:r>
        <w:t xml:space="preserve">that emerges from a market environment with sufficient liquidity and incentivises regulated</w:t>
      </w:r>
      <w:r>
        <w:t xml:space="preserve"> </w:t>
      </w:r>
      <w:r>
        <w:t xml:space="preserve">entities to invest in decarbonisation. As for the environmental impact, cumulative emissions</w:t>
      </w:r>
      <w:r>
        <w:t xml:space="preserve"> </w:t>
      </w:r>
      <w:r>
        <w:t xml:space="preserve">excluding waste, landfills and extra-EU aviation shows that all policy options have similar</w:t>
      </w:r>
      <w:r>
        <w:t xml:space="preserve"> </w:t>
      </w:r>
      <w:r>
        <w:t xml:space="preserve">emissions reductions over the period, though slightly above the baseline. However, PO2 and</w:t>
      </w:r>
      <w:r>
        <w:t xml:space="preserve"> </w:t>
      </w:r>
      <w:r>
        <w:t xml:space="preserve">PO3 appear to deliver marginally lower cumulative emissions than PO1.</w:t>
      </w:r>
      <w:r>
        <w:br/>
      </w:r>
      <w:r>
        <w:t xml:space="preserve">On this basis, PO2 and PO3 under MSR3 are considered the preferred options, as they achieve</w:t>
      </w:r>
      <w:r>
        <w:t xml:space="preserve"> </w:t>
      </w:r>
      <w:r>
        <w:t xml:space="preserve">emissions reductions comparable to PO1 while providing stronger economic performance.84</w:t>
      </w:r>
      <w:r>
        <w:br/>
      </w:r>
      <w:r>
        <w:t xml:space="preserve">5.2. Price volatility analysis</w:t>
      </w:r>
      <w:r>
        <w:t xml:space="preserve"> </w:t>
      </w:r>
      <w:r>
        <w:t xml:space="preserve">Regarding price volatility, it is important to note that within-year price volatility cannot be</w:t>
      </w:r>
      <w:r>
        <w:t xml:space="preserve"> </w:t>
      </w:r>
      <w:r>
        <w:t xml:space="preserve">assessed quantitatively with the modelling approach employed in this analysis. Moreover, all</w:t>
      </w:r>
      <w:r>
        <w:t xml:space="preserve"> </w:t>
      </w:r>
      <w:r>
        <w:t xml:space="preserve">the policy options assessed share the same Article 29a release mechanism, whose objective is</w:t>
      </w:r>
      <w:r>
        <w:t xml:space="preserve"> </w:t>
      </w:r>
      <w:r>
        <w:t xml:space="preserve">to address high price movements, so cannot be distinguished in this regard. More generally,</w:t>
      </w:r>
      <w:r>
        <w:t xml:space="preserve"> </w:t>
      </w:r>
      <w:r>
        <w:t xml:space="preserve">high price volatility, whether within-year or inter-annual, tends to occur in markets</w:t>
      </w:r>
      <w:r>
        <w:t xml:space="preserve"> </w:t>
      </w:r>
      <w:r>
        <w:t xml:space="preserve">characterised by low liquidity. Nonetheless, the inter-annual variability of the price paths</w:t>
      </w:r>
      <w:r>
        <w:t xml:space="preserve"> </w:t>
      </w:r>
      <w:r>
        <w:t xml:space="preserve">shown reveals information about the comparative stability offered by the different policy</w:t>
      </w:r>
      <w:r>
        <w:t xml:space="preserve"> </w:t>
      </w:r>
      <w:r>
        <w:t xml:space="preserve">options. PO1 exhibits a notable price dip around 2032-2033, followed by a rapid and steep</w:t>
      </w:r>
      <w:r>
        <w:t xml:space="preserve"> </w:t>
      </w:r>
      <w:r>
        <w:t xml:space="preserve">increase through to 2040, which would prove challenging for regulated entities facing first</w:t>
      </w:r>
      <w:r>
        <w:t xml:space="preserve"> </w:t>
      </w:r>
      <w:r>
        <w:t xml:space="preserve">steady, then declining and then rapidly rising carbon costs with only little time to adjust their</w:t>
      </w:r>
      <w:r>
        <w:t xml:space="preserve"> </w:t>
      </w:r>
      <w:r>
        <w:t xml:space="preserve">decarbonisation strategies. In contrast, PO2 and PO3 demonstrate a more progressive and</w:t>
      </w:r>
      <w:r>
        <w:t xml:space="preserve"> </w:t>
      </w:r>
      <w:r>
        <w:t xml:space="preserve">monotonic price trajectory throughout the assessment period, offering a credible and steady</w:t>
      </w:r>
      <w:r>
        <w:t xml:space="preserve"> </w:t>
      </w:r>
      <w:r>
        <w:t xml:space="preserve">price signal that facilitates long-term investment planning.</w:t>
      </w:r>
      <w:r>
        <w:t xml:space="preserve"> </w:t>
      </w:r>
      <w:r>
        <w:t xml:space="preserve">5.3. Modelling limitations on integration of removals and sectoral scope coverage</w:t>
      </w:r>
      <w:r>
        <w:t xml:space="preserve"> </w:t>
      </w:r>
      <w:r>
        <w:t xml:space="preserve">The PO2 and PO3 policy options consider different approaches for the integration of removals</w:t>
      </w:r>
      <w:r>
        <w:t xml:space="preserve"> </w:t>
      </w:r>
      <w:r>
        <w:t xml:space="preserve">in the ETS, via a net cap or a gross cap. As explained in the methodological annex, given the</w:t>
      </w:r>
      <w:r>
        <w:t xml:space="preserve"> </w:t>
      </w:r>
      <w:r>
        <w:t xml:space="preserve">use of exogenous values for removals in the POLES-Enerdata model, the results obtained</w:t>
      </w:r>
      <w:r>
        <w:t xml:space="preserve"> </w:t>
      </w:r>
      <w:r>
        <w:t xml:space="preserve">above are identical in the two options. In practice, this is a simplification used for the modelling</w:t>
      </w:r>
      <w:r>
        <w:t xml:space="preserve"> </w:t>
      </w:r>
      <w:r>
        <w:t xml:space="preserve">analysis, which does not take into account some effects presented below, which are assumed</w:t>
      </w:r>
      <w:r>
        <w:t xml:space="preserve"> </w:t>
      </w:r>
      <w:r>
        <w:t xml:space="preserve">relatively limited by 2040 so that results are considered robust.</w:t>
      </w:r>
      <w:r>
        <w:t xml:space="preserve"> </w:t>
      </w:r>
      <w:r>
        <w:t xml:space="preserve">With time, the EU ETS will see its covered emissions decrease, along with a greater integration</w:t>
      </w:r>
      <w:r>
        <w:t xml:space="preserve"> </w:t>
      </w:r>
      <w:r>
        <w:t xml:space="preserve">of removal units. Regardless of the approach to removals integration, this means that the</w:t>
      </w:r>
      <w:r>
        <w:t xml:space="preserve"> </w:t>
      </w:r>
      <w:r>
        <w:t xml:space="preserve">volume of remaining emissions which corresponds to removal units will increase and become</w:t>
      </w:r>
      <w:r>
        <w:t xml:space="preserve"> </w:t>
      </w:r>
      <w:r>
        <w:t xml:space="preserve">the dominant part of ETS emissions. The difference then lies in the question of who bears the</w:t>
      </w:r>
      <w:r>
        <w:t xml:space="preserve"> </w:t>
      </w:r>
      <w:r>
        <w:t xml:space="preserve">risk that these removals will materialise and in the time dimension of pricing, as well as in the</w:t>
      </w:r>
      <w:r>
        <w:t xml:space="preserve"> </w:t>
      </w:r>
      <w:r>
        <w:t xml:space="preserve">interaction between the price of EUAs and the cost of removals.</w:t>
      </w:r>
      <w:r>
        <w:br/>
      </w:r>
      <w:r>
        <w:t xml:space="preserve">In PO2 and PO3, with direct integration of removals, the deployment of BECCS and DACCS</w:t>
      </w:r>
      <w:r>
        <w:t xml:space="preserve"> </w:t>
      </w:r>
      <w:r>
        <w:t xml:space="preserve">is directly incentivised by the EUA price. This is therefore a situation of an endogenous</w:t>
      </w:r>
      <w:r>
        <w:t xml:space="preserve"> </w:t>
      </w:r>
      <w:r>
        <w:t xml:space="preserve">development of removals, responding to the price signal generated by the EU ETS. It implies</w:t>
      </w:r>
      <w:r>
        <w:t xml:space="preserve"> </w:t>
      </w:r>
      <w:r>
        <w:t xml:space="preserve">that the abatement cost of the removals technologies is taken into account in the equilibrium</w:t>
      </w:r>
      <w:r>
        <w:t xml:space="preserve"> </w:t>
      </w:r>
      <w:r>
        <w:t xml:space="preserve">price formation, albeit under different cap levels. Consequently, the carbon price should reflect</w:t>
      </w:r>
    </w:p>
    <w:p>
      <w:pPr>
        <w:pStyle w:val="BodyText"/>
      </w:pPr>
      <w:r>
        <w:t xml:space="preserve">84 See also in Annex 3.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this development and progressively converge towards the marginal cost of removal</w:t>
      </w:r>
      <w:r>
        <w:t xml:space="preserve"> </w:t>
      </w:r>
      <w:r>
        <w:t xml:space="preserve">technologies unless the removals would be supported by contracts for difference. This</w:t>
      </w:r>
      <w:r>
        <w:t xml:space="preserve"> </w:t>
      </w:r>
      <w:r>
        <w:t xml:space="preserve">mechanism is not captured in the modelling developed in this study. The PO1 philosophy</w:t>
      </w:r>
      <w:r>
        <w:t xml:space="preserve"> </w:t>
      </w:r>
      <w:r>
        <w:t xml:space="preserve">envisages a different approach. In this scenario, the removal units are expected to be available</w:t>
      </w:r>
      <w:r>
        <w:t xml:space="preserve"> </w:t>
      </w:r>
      <w:r>
        <w:t xml:space="preserve">on the market with a set volume as determined by a public authority which procures and</w:t>
      </w:r>
      <w:r>
        <w:t xml:space="preserve"> </w:t>
      </w:r>
      <w:r>
        <w:t xml:space="preserve">auctions a predetermined volume of removal units, regardless of their abatement cost.</w:t>
      </w:r>
      <w:r>
        <w:t xml:space="preserve"> </w:t>
      </w:r>
      <w:r>
        <w:t xml:space="preserve">Consequently, it is the public authority, not the regulated entities, that face the price signal</w:t>
      </w:r>
      <w:r>
        <w:t xml:space="preserve"> </w:t>
      </w:r>
      <w:r>
        <w:t xml:space="preserve">emanating from the removals market and reflecting the marginal abatement costs for removals.</w:t>
      </w:r>
      <w:r>
        <w:t xml:space="preserve"> </w:t>
      </w:r>
      <w:r>
        <w:t xml:space="preserve">In addition to these differences in the approach to removals integration, the three policy options</w:t>
      </w:r>
      <w:r>
        <w:t xml:space="preserve"> </w:t>
      </w:r>
      <w:r>
        <w:t xml:space="preserve">differ in terms of sectoral scope coverage, with PO1 maintaining roughly the current scope,</w:t>
      </w:r>
      <w:r>
        <w:t xml:space="preserve"> </w:t>
      </w:r>
      <w:r>
        <w:t xml:space="preserve">while PO2 expands the scope to municipal waste incineration and PO3 also includes hazardous</w:t>
      </w:r>
      <w:r>
        <w:t xml:space="preserve"> </w:t>
      </w:r>
      <w:r>
        <w:t xml:space="preserve">waste incineration and landfills. In general, a larger ETS scope implies a larger supply of EUAs,</w:t>
      </w:r>
      <w:r>
        <w:t xml:space="preserve"> </w:t>
      </w:r>
      <w:r>
        <w:t xml:space="preserve">but also a stronger demand from the additional sector covered. The market is hence larger, but</w:t>
      </w:r>
      <w:r>
        <w:t xml:space="preserve"> </w:t>
      </w:r>
      <w:r>
        <w:t xml:space="preserve">differences in market tension and price formation depend on many factors, including also on</w:t>
      </w:r>
      <w:r>
        <w:t xml:space="preserve"> </w:t>
      </w:r>
      <w:r>
        <w:t xml:space="preserve">the ability of the additional sectors to deliver emission reductions in line with their respective</w:t>
      </w:r>
      <w:r>
        <w:t xml:space="preserve"> </w:t>
      </w:r>
      <w:r>
        <w:t xml:space="preserve">cap. Enlarging the coverage of the ETS also allows to access new decarbonisation potentials</w:t>
      </w:r>
      <w:r>
        <w:t xml:space="preserve"> </w:t>
      </w:r>
      <w:r>
        <w:t xml:space="preserve">and therefore increase the potential for economical optimisation by leveraging the easiest-to-</w:t>
      </w:r>
      <w:r>
        <w:t xml:space="preserve"> </w:t>
      </w:r>
      <w:r>
        <w:t xml:space="preserve">abate emissions first.</w:t>
      </w:r>
      <w:r>
        <w:t xml:space="preserve"> </w:t>
      </w:r>
      <w:r>
        <w:t xml:space="preserve">5.4. Adjustment of the official TNAC in 2025</w:t>
      </w:r>
      <w:r>
        <w:t xml:space="preserve"> </w:t>
      </w:r>
      <w:r>
        <w:t xml:space="preserve">The results for policy options PO1, PO2 and PO3 presented in Section 5.1 are based on a</w:t>
      </w:r>
      <w:r>
        <w:t xml:space="preserve"> </w:t>
      </w:r>
      <w:r>
        <w:t xml:space="preserve">modelled TNAC on the basis of the POLES-Enerdata model, derived from the cap and</w:t>
      </w:r>
      <w:r>
        <w:t xml:space="preserve"> </w:t>
      </w:r>
      <w:r>
        <w:t xml:space="preserve">projected future emissions reductions in line with a 90-85% target in 2040. According to the</w:t>
      </w:r>
      <w:r>
        <w:t xml:space="preserve"> </w:t>
      </w:r>
      <w:r>
        <w:t xml:space="preserve">POLES-Enerdata modelling, the 2025 TNAC would stand at 1,078 million allowances,</w:t>
      </w:r>
      <w:r>
        <w:t xml:space="preserve"> </w:t>
      </w:r>
      <w:r>
        <w:t xml:space="preserve">compared with the official 2025 TNAC of 1,023 million allowances published on 29 May</w:t>
      </w:r>
      <w:r>
        <w:t xml:space="preserve"> </w:t>
      </w:r>
      <w:r>
        <w:t xml:space="preserve">202685.</w:t>
      </w:r>
      <w:r>
        <w:t xml:space="preserve"> </w:t>
      </w:r>
      <w:r>
        <w:t xml:space="preserve">This gap of 55 million allowances is explained by the fact that the model simulation assumes</w:t>
      </w:r>
      <w:r>
        <w:t xml:space="preserve"> </w:t>
      </w:r>
      <w:r>
        <w:t xml:space="preserve">stronger emissions reductions than those observed in 2025. As a result, this difference affects</w:t>
      </w:r>
      <w:r>
        <w:t xml:space="preserve"> </w:t>
      </w:r>
      <w:r>
        <w:t xml:space="preserve">not only the future TNAC projections throughout the period but also the future operations of</w:t>
      </w:r>
      <w:r>
        <w:t xml:space="preserve"> </w:t>
      </w:r>
      <w:r>
        <w:t xml:space="preserve">the MSR and, consequently, the EUA price developments. This section provides a qualitative</w:t>
      </w:r>
      <w:r>
        <w:t xml:space="preserve"> </w:t>
      </w:r>
      <w:r>
        <w:t xml:space="preserve">assessment of the main implications for the policy option results when adjusting for the 2025</w:t>
      </w:r>
      <w:r>
        <w:t xml:space="preserve"> </w:t>
      </w:r>
      <w:r>
        <w:t xml:space="preserve">TNAC.</w:t>
      </w:r>
      <w:r>
        <w:t xml:space="preserve"> </w:t>
      </w:r>
      <w:r>
        <w:t xml:space="preserve">According to the modelled TNAC, the MSR absorbs 245 million intakes in 2025 and 96 million</w:t>
      </w:r>
      <w:r>
        <w:t xml:space="preserve"> </w:t>
      </w:r>
      <w:r>
        <w:t xml:space="preserve">in 2026, with no further intakes after 2027 as TNAC no longer stands between the upper</w:t>
      </w:r>
      <w:r>
        <w:t xml:space="preserve"> </w:t>
      </w:r>
      <w:r>
        <w:t xml:space="preserve">threshold and buffer. Adjusting to the official 2025 TNAC, the MSR operation results in lower</w:t>
      </w:r>
      <w:r>
        <w:t xml:space="preserve"> </w:t>
      </w:r>
      <w:r>
        <w:t xml:space="preserve">intakes, with a 190 million intake in 2025 and 58 million in 2026. For the same reason</w:t>
      </w:r>
      <w:r>
        <w:t xml:space="preserve"> </w:t>
      </w:r>
      <w:r>
        <w:t xml:space="preserve">explained for the model, no additional MSR intakes are expected to occur after 2027.</w:t>
      </w:r>
      <w:r>
        <w:t xml:space="preserve"> </w:t>
      </w:r>
      <w:r>
        <w:t xml:space="preserve">As a result, the MSR reserves using an adjusted TNAC would amount to 585 million</w:t>
      </w:r>
      <w:r>
        <w:t xml:space="preserve"> </w:t>
      </w:r>
      <w:r>
        <w:t xml:space="preserve">allowances by 2030 compared to 659 million in the model, a difference of 74 million</w:t>
      </w:r>
      <w:r>
        <w:t xml:space="preserve"> </w:t>
      </w:r>
      <w:r>
        <w:t xml:space="preserve">allowances. While this gap is not insignificant, it remains within acceptable boundaries and</w:t>
      </w:r>
      <w:r>
        <w:t xml:space="preserve"> </w:t>
      </w:r>
      <w:r>
        <w:t xml:space="preserve">will have only a limited effect on MSR releases in the future. Importantly, the size of the reserve</w:t>
      </w:r>
      <w:r>
        <w:t xml:space="preserve"> </w:t>
      </w:r>
      <w:r>
        <w:t xml:space="preserve">will remain sufficient to stabilise the market if supply tightens after 2030. The core trajectory</w:t>
      </w:r>
      <w:r>
        <w:t xml:space="preserve"> </w:t>
      </w:r>
      <w:r>
        <w:t xml:space="preserve">of MSR operations remains in line with expectation and the conclusions of the POLES-</w:t>
      </w:r>
      <w:r>
        <w:t xml:space="preserve"> </w:t>
      </w:r>
      <w:r>
        <w:t xml:space="preserve">Enerdata modelling.</w:t>
      </w:r>
    </w:p>
    <w:p>
      <w:pPr>
        <w:pStyle w:val="BodyText"/>
      </w:pPr>
      <w:r>
        <w:t xml:space="preserve">85 See the European Commission Publication of the TNAC Communication 2025.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Figure 33: MSR operations and reserve volume for calculated and official TNAC</w:t>
      </w:r>
      <w:r>
        <w:t xml:space="preserve"> </w:t>
      </w:r>
      <w:r>
        <w:t xml:space="preserve">Source: Enerdata calculations based on static MSR representation of PO2-MSR3+ with –4.0% configuration</w:t>
      </w:r>
      <w:r>
        <w:t xml:space="preserve"> </w:t>
      </w:r>
      <w:r>
        <w:t xml:space="preserve">5.5. Assessment of the timing of supply on MSR operations.</w:t>
      </w:r>
      <w:r>
        <w:br/>
      </w:r>
      <w:r>
        <w:t xml:space="preserve">This section assesses the impact of the use of the remaining free allocation buffer 2021-2030</w:t>
      </w:r>
      <w:r>
        <w:t xml:space="preserve"> </w:t>
      </w:r>
      <w:r>
        <w:t xml:space="preserve">on the supply and consequently on MSR operations until 2040. The Directive86 establishes a</w:t>
      </w:r>
      <w:r>
        <w:t xml:space="preserve"> </w:t>
      </w:r>
      <w:r>
        <w:t xml:space="preserve">buffer equal to 3% of the total quantity of allowances that would otherwise have been</w:t>
      </w:r>
      <w:r>
        <w:t xml:space="preserve"> </w:t>
      </w:r>
      <w:r>
        <w:t xml:space="preserve">auctioned, to be used where demand for free allocation before 2030 would trigger the</w:t>
      </w:r>
      <w:r>
        <w:t xml:space="preserve"> </w:t>
      </w:r>
      <w:r>
        <w:t xml:space="preserve">application of a uniform cross-sectoral correction factor. In the absence of such a trigger, the</w:t>
      </w:r>
      <w:r>
        <w:t xml:space="preserve"> </w:t>
      </w:r>
      <w:r>
        <w:t xml:space="preserve">allowances concerned would have been auctioned gradually in Phase V.</w:t>
      </w:r>
      <w:r>
        <w:t xml:space="preserve"> </w:t>
      </w:r>
      <w:r>
        <w:t xml:space="preserve">However, as the buffer will be fully used for free allocation to industry operators between 2028-</w:t>
      </w:r>
      <w:r>
        <w:t xml:space="preserve"> </w:t>
      </w:r>
      <w:r>
        <w:t xml:space="preserve">203087, this will result in a sooner and more concentrated allocation of allowances than would</w:t>
      </w:r>
      <w:r>
        <w:t xml:space="preserve"> </w:t>
      </w:r>
      <w:r>
        <w:t xml:space="preserve">otherwise have been in case of auctioning and will have an impact on the functioning of MSR</w:t>
      </w:r>
      <w:r>
        <w:t xml:space="preserve"> </w:t>
      </w:r>
      <w:r>
        <w:t xml:space="preserve">operations.</w:t>
      </w:r>
      <w:r>
        <w:br/>
      </w:r>
      <w:r>
        <w:t xml:space="preserve">The starting point is the results for policy options PO1, PO2 and PO3 presented in Section 5.1,</w:t>
      </w:r>
      <w:r>
        <w:t xml:space="preserve"> </w:t>
      </w:r>
      <w:r>
        <w:t xml:space="preserve">which are based on a modelled TNAC on the basis of the POLES-Enerdata model, derived</w:t>
      </w:r>
      <w:r>
        <w:t xml:space="preserve"> </w:t>
      </w:r>
      <w:r>
        <w:t xml:space="preserve">from the cap and projected future emissions reductions in line with a 90-85% target in 2040.88</w:t>
      </w:r>
      <w:r>
        <w:t xml:space="preserve"> </w:t>
      </w:r>
      <w:r>
        <w:t xml:space="preserve">The use of these free allowances by industry operators can be threefold: i) a part of these</w:t>
      </w:r>
      <w:r>
        <w:t xml:space="preserve"> </w:t>
      </w:r>
      <w:r>
        <w:t xml:space="preserve">allowances will be used by industry operators to surrender against (additional) emissions</w:t>
      </w:r>
      <w:r>
        <w:t xml:space="preserve"> </w:t>
      </w:r>
      <w:r>
        <w:t xml:space="preserve">during this period; ii) a part of these allowances will be monetised either to obtain funding for</w:t>
      </w:r>
      <w:r>
        <w:t xml:space="preserve"> </w:t>
      </w:r>
      <w:r>
        <w:t xml:space="preserve">investments in decarbonisation of industrial process, reducing future emissions and demand for</w:t>
      </w:r>
      <w:r>
        <w:t xml:space="preserve"> </w:t>
      </w:r>
      <w:r>
        <w:t xml:space="preserve">allowances or simply to raise capital for other costs; and iii) part of these allowances may be</w:t>
      </w:r>
      <w:r>
        <w:t xml:space="preserve"> </w:t>
      </w:r>
      <w:r>
        <w:t xml:space="preserve">banked by industry operators for future usage in the next decade.</w:t>
      </w:r>
      <w:r>
        <w:br/>
      </w:r>
      <w:r>
        <w:t xml:space="preserve">The effects of the full allocation of the 3% buffer to industry operators as free allowances in</w:t>
      </w:r>
      <w:r>
        <w:t xml:space="preserve"> </w:t>
      </w:r>
      <w:r>
        <w:t xml:space="preserve">the period up to 2030 may delay industry decarbonisation in the short term by reducing the</w:t>
      </w:r>
    </w:p>
    <w:p>
      <w:pPr>
        <w:pStyle w:val="BodyText"/>
      </w:pPr>
      <w:r>
        <w:t xml:space="preserve">86 Articles 10a (5a) and 10a (5b) of the ETS Directive</w:t>
      </w:r>
      <w:r>
        <w:br/>
      </w:r>
      <w:r>
        <w:t xml:space="preserve">87 Commission implementing regulation C(2026) 4372 final</w:t>
      </w:r>
      <w:r>
        <w:t xml:space="preserve"> </w:t>
      </w:r>
      <w:r>
        <w:t xml:space="preserve">88 Results may be similar to those observed under the S1 or S4 MSR sensitivities set out in the Appendix 1</w:t>
      </w:r>
      <w:r>
        <w:t xml:space="preserve"> </w:t>
      </w:r>
      <w:r>
        <w:t xml:space="preserve">below, as both present a shock regarding a lower emissions reduction than expected, whether occurring as a</w:t>
      </w:r>
      <w:r>
        <w:t xml:space="preserve"> </w:t>
      </w:r>
      <w:r>
        <w:t xml:space="preserve">one-off event or as a progressive trajectory, affecting MSR operations and ETS prices.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incentive to invest in emissions cuts. A higher TNAC and a weaker demand reduction may</w:t>
      </w:r>
      <w:r>
        <w:t xml:space="preserve"> </w:t>
      </w:r>
      <w:r>
        <w:t xml:space="preserve">result most likely in downward pressure on ETS prices in the short term in the period 2028-</w:t>
      </w:r>
      <w:r>
        <w:t xml:space="preserve"> </w:t>
      </w:r>
      <w:r>
        <w:t xml:space="preserve">2030 as compared to the scenario outlined in section 5.1. As regards the longer-term effects,</w:t>
      </w:r>
      <w:r>
        <w:t xml:space="preserve"> </w:t>
      </w:r>
      <w:r>
        <w:t xml:space="preserve">the use of the earlier free allowances by industry operators, may result in higher emissions and</w:t>
      </w:r>
      <w:r>
        <w:t xml:space="preserve"> </w:t>
      </w:r>
      <w:r>
        <w:t xml:space="preserve">higher TNAC over the period 2031-2040. Therefore, the downward pressure on ETS prices is</w:t>
      </w:r>
      <w:r>
        <w:t xml:space="preserve"> </w:t>
      </w:r>
      <w:r>
        <w:t xml:space="preserve">likely to be prolonged while MSR releases are expected to be delayed compared to the results</w:t>
      </w:r>
      <w:r>
        <w:t xml:space="preserve"> </w:t>
      </w:r>
      <w:r>
        <w:t xml:space="preserve">highlighted in section 5.1.</w:t>
      </w:r>
      <w:r>
        <w:t xml:space="preserve"> </w:t>
      </w:r>
      <w:r>
        <w:t xml:space="preserve">As part of this proposal and set out in Annex 9 of this Impact Assessment, 400 million</w:t>
      </w:r>
      <w:r>
        <w:t xml:space="preserve"> </w:t>
      </w:r>
      <w:r>
        <w:t xml:space="preserve">allowances will be supplied to the industry stakeholders starting ahead of 2030 to finance</w:t>
      </w:r>
      <w:r>
        <w:t xml:space="preserve"> </w:t>
      </w:r>
      <w:r>
        <w:t xml:space="preserve">industrial decarbonisation investments, known as the ‘investment booster’. These allowances</w:t>
      </w:r>
      <w:r>
        <w:t xml:space="preserve"> </w:t>
      </w:r>
      <w:r>
        <w:t xml:space="preserve">are to be allocated based on a fixed carbon premium to eligible projects within the Union on a</w:t>
      </w:r>
      <w:r>
        <w:t xml:space="preserve"> </w:t>
      </w:r>
      <w:r>
        <w:t xml:space="preserve">‘first in, first served’ basis. It is then expected that these investment-linked allowances will</w:t>
      </w:r>
      <w:r>
        <w:t xml:space="preserve"> </w:t>
      </w:r>
      <w:r>
        <w:t xml:space="preserve">scale up gradually in the early period 2030-2035, followed by a gradual phase out by 2040.</w:t>
      </w:r>
      <w:r>
        <w:t xml:space="preserve"> </w:t>
      </w:r>
      <w:r>
        <w:t xml:space="preserve">The introduction of the booster also introduces a significant volume of allowances that will</w:t>
      </w:r>
      <w:r>
        <w:t xml:space="preserve"> </w:t>
      </w:r>
      <w:r>
        <w:t xml:space="preserve">come to the market gradually in for a maximum period of 10 years subjective to project</w:t>
      </w:r>
      <w:r>
        <w:t xml:space="preserve"> </w:t>
      </w:r>
      <w:r>
        <w:t xml:space="preserve">implementation. Consequently, this additional volume will likely further affect the liquidity</w:t>
      </w:r>
      <w:r>
        <w:t xml:space="preserve"> </w:t>
      </w:r>
      <w:r>
        <w:t xml:space="preserve">and future ETS future prices.</w:t>
      </w:r>
      <w:r>
        <w:br/>
      </w:r>
      <w:r>
        <w:t xml:space="preserve">The above assessment demonstrates that the proposed changes to the MSR to adjust parameters</w:t>
      </w:r>
      <w:r>
        <w:t xml:space="preserve"> </w:t>
      </w:r>
      <w:r>
        <w:t xml:space="preserve">dynamically over time would still allow the MSR to deliver on its policy objectives: to address</w:t>
      </w:r>
      <w:r>
        <w:t xml:space="preserve"> </w:t>
      </w:r>
      <w:r>
        <w:t xml:space="preserve">risks of an increased surplus, remain resilient to supply shocks and take account of a shrinking</w:t>
      </w:r>
      <w:r>
        <w:t xml:space="preserve"> </w:t>
      </w:r>
      <w:r>
        <w:t xml:space="preserve">cap. This is because the effect of the increase in the TNAC combined with the changes in</w:t>
      </w:r>
      <w:r>
        <w:t xml:space="preserve"> </w:t>
      </w:r>
      <w:r>
        <w:t xml:space="preserve">thresholds would ensure that the market is balanced for a longer period, resulting in the TNAC</w:t>
      </w:r>
      <w:r>
        <w:t xml:space="preserve"> </w:t>
      </w:r>
      <w:r>
        <w:t xml:space="preserve">to reach the lower threshold at a later time and releases being delayed towards the late 2030s.</w:t>
      </w:r>
      <w:r>
        <w:t xml:space="preserve"> </w:t>
      </w:r>
      <w:r>
        <w:t xml:space="preserve">The dynamic thresholds would also ensure that any surplus in the market would be addressed</w:t>
      </w:r>
      <w:r>
        <w:t xml:space="preserve"> </w:t>
      </w:r>
      <w:r>
        <w:t xml:space="preserve">by the intake rates, followed by to the overall evolution of the shrinking market. Therefore, the</w:t>
      </w:r>
      <w:r>
        <w:t xml:space="preserve"> </w:t>
      </w:r>
      <w:r>
        <w:t xml:space="preserve">current calibration of parameters as outlined in section 5.1 remains appropriate.</w:t>
      </w:r>
      <w:r>
        <w:br/>
      </w:r>
      <w:r>
        <w:t xml:space="preserve">APPENDIX 1. MSR SENSITIVITY ANALYSIS ON SELECTED MEASURES</w:t>
      </w:r>
      <w:r>
        <w:t xml:space="preserve"> </w:t>
      </w:r>
      <w:r>
        <w:t xml:space="preserve">Measures MSR1 and MSR3 have been selected to be further tested with a sensitivity analysis.89</w:t>
      </w:r>
      <w:r>
        <w:t xml:space="preserve"> </w:t>
      </w:r>
      <w:r>
        <w:t xml:space="preserve">Indeed, the results presented above are derived from a single scenario run, which depends on</w:t>
      </w:r>
      <w:r>
        <w:t xml:space="preserve"> </w:t>
      </w:r>
      <w:r>
        <w:t xml:space="preserve">multiple assumptions. It is therefore important to verify that these designs still function in the</w:t>
      </w:r>
      <w:r>
        <w:t xml:space="preserve"> </w:t>
      </w:r>
      <w:r>
        <w:t xml:space="preserve">event of deviations from the base case. These deviations originate from uncertainties in the</w:t>
      </w:r>
      <w:r>
        <w:t xml:space="preserve"> </w:t>
      </w:r>
      <w:r>
        <w:t xml:space="preserve">diverse assumptions used: economic context, availability of decarbonisation technologies,</w:t>
      </w:r>
      <w:r>
        <w:t xml:space="preserve"> </w:t>
      </w:r>
      <w:r>
        <w:t xml:space="preserve">structural imbalances, etc.</w:t>
      </w:r>
      <w:r>
        <w:t xml:space="preserve"> </w:t>
      </w:r>
      <w:r>
        <w:t xml:space="preserve">In practice, the sensitivity analysis consists in adding a number of “shocks” in the system, run</w:t>
      </w:r>
      <w:r>
        <w:t xml:space="preserve"> </w:t>
      </w:r>
      <w:r>
        <w:t xml:space="preserve">the modelling, and observe the deviations in the results. The various shocks tested aim to</w:t>
      </w:r>
      <w:r>
        <w:t xml:space="preserve"> </w:t>
      </w:r>
      <w:r>
        <w:t xml:space="preserve">represent different types of deviation to the base run and are presented below. The shocks are</w:t>
      </w:r>
      <w:r>
        <w:t xml:space="preserve"> </w:t>
      </w:r>
      <w:r>
        <w:t xml:space="preserve">introduced in the model in the form of an exogenous net supply-demand balance, which</w:t>
      </w:r>
      <w:r>
        <w:t xml:space="preserve"> </w:t>
      </w:r>
      <w:r>
        <w:t xml:space="preserve">impacts the market operations through either an additional demand or an additional supply of</w:t>
      </w:r>
      <w:r>
        <w:t xml:space="preserve"> </w:t>
      </w:r>
      <w:r>
        <w:t xml:space="preserve">EUAs. This, in turn, impacts the TNAC trajectory, the overall supply-demand equilibrium and</w:t>
      </w:r>
      <w:r>
        <w:t xml:space="preserve"> </w:t>
      </w:r>
      <w:r>
        <w:t xml:space="preserve">therefore the price formation and the operations of the MSR.</w:t>
      </w:r>
      <w:r>
        <w:t xml:space="preserve"> </w:t>
      </w:r>
      <w:r>
        <w:t xml:space="preserve">Some of the shocks represent discrete events such as an economic crisis and are therefore</w:t>
      </w:r>
      <w:r>
        <w:t xml:space="preserve"> </w:t>
      </w:r>
      <w:r>
        <w:t xml:space="preserve">modelled as unanticipated shocks. This means that actors, over their modelled anticipation</w:t>
      </w:r>
    </w:p>
    <w:p>
      <w:pPr>
        <w:pStyle w:val="BodyText"/>
      </w:pPr>
      <w:r>
        <w:t xml:space="preserve">89 As per the analysis for the measures options, sensitivity scenarios are constructed with an adjusted ETS cap</w:t>
      </w:r>
      <w:r>
        <w:t xml:space="preserve"> </w:t>
      </w:r>
      <w:r>
        <w:t xml:space="preserve">trajectory meeting a 90% economy-wide emission reduction target in 2040 and featuring the inclusion of 50%</w:t>
      </w:r>
      <w:r>
        <w:t xml:space="preserve"> </w:t>
      </w:r>
      <w:r>
        <w:t xml:space="preserve">of the international extra-EEA aviation in the ETS scope in addition to the current scope.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horizon, do not adjust to the shock before it is introduced. On the other hand, some shocks</w:t>
      </w:r>
      <w:r>
        <w:t xml:space="preserve"> </w:t>
      </w:r>
      <w:r>
        <w:t xml:space="preserve">represent structural imbalances, happening progressively, and are therefore anticipated by</w:t>
      </w:r>
      <w:r>
        <w:t xml:space="preserve"> </w:t>
      </w:r>
      <w:r>
        <w:t xml:space="preserve">actors, within their modelled horizon.</w:t>
      </w:r>
      <w:r>
        <w:t xml:space="preserve"> </w:t>
      </w:r>
      <w:r>
        <w:t xml:space="preserve">A. Definition of the shocks</w:t>
      </w:r>
      <w:r>
        <w:t xml:space="preserve"> </w:t>
      </w:r>
      <w:r>
        <w:t xml:space="preserve">The first shock introduced in the model (S1) aims at representing a large economic crisis, which</w:t>
      </w:r>
      <w:r>
        <w:t xml:space="preserve"> </w:t>
      </w:r>
      <w:r>
        <w:t xml:space="preserve">would typically lead to a cyclical drop in EU ETS-covered emissions, and therefore to a relative</w:t>
      </w:r>
      <w:r>
        <w:t xml:space="preserve"> </w:t>
      </w:r>
      <w:r>
        <w:t xml:space="preserve">oversupply of EUAs. This type of shock is, by essence, unanticipated. The value used to model</w:t>
      </w:r>
      <w:r>
        <w:t xml:space="preserve"> </w:t>
      </w:r>
      <w:r>
        <w:t xml:space="preserve">this type of shock is inspired from two historical events, which had a similar magnitude of</w:t>
      </w:r>
      <w:r>
        <w:t xml:space="preserve"> </w:t>
      </w:r>
      <w:r>
        <w:t xml:space="preserve">impacts on the ETS-covered emissions: the 2009 crisis and the COVID pandemic. In both</w:t>
      </w:r>
      <w:r>
        <w:t xml:space="preserve"> </w:t>
      </w:r>
      <w:r>
        <w:t xml:space="preserve">events, emissions have dropped by around 10% year-on-year (in 2009 and 2020, respectively).</w:t>
      </w:r>
      <w:r>
        <w:t xml:space="preserve"> </w:t>
      </w:r>
      <w:r>
        <w:t xml:space="preserve">Then, as compared to a reference point, the recovery from the economic crisis happened over</w:t>
      </w:r>
      <w:r>
        <w:t xml:space="preserve"> </w:t>
      </w:r>
      <w:r>
        <w:t xml:space="preserve">a couple of years and was not necessarily complete: the long-term absolute values for emissions</w:t>
      </w:r>
      <w:r>
        <w:t xml:space="preserve"> </w:t>
      </w:r>
      <w:r>
        <w:t xml:space="preserve">remain below a reference case.</w:t>
      </w:r>
      <w:r>
        <w:t xml:space="preserve"> </w:t>
      </w:r>
      <w:r>
        <w:t xml:space="preserve">In the S1 shock, it is therefore assumed that a crisis happens in 2030 with a -10% impact on</w:t>
      </w:r>
      <w:r>
        <w:t xml:space="preserve"> </w:t>
      </w:r>
      <w:r>
        <w:t xml:space="preserve">emissions (using the MSR0 emissions as reference). In subsequent years, emissions are</w:t>
      </w:r>
      <w:r>
        <w:t xml:space="preserve"> </w:t>
      </w:r>
      <w:r>
        <w:t xml:space="preserve">lowered by 4% from MSR0 values in 2031 and 2% in 2032. Thereafter, it is assumed that the</w:t>
      </w:r>
      <w:r>
        <w:t xml:space="preserve"> </w:t>
      </w:r>
      <w:r>
        <w:t xml:space="preserve">difference in emissions with the reference case remains constant. The obtained net supply-</w:t>
      </w:r>
      <w:r>
        <w:t xml:space="preserve"> </w:t>
      </w:r>
      <w:r>
        <w:t xml:space="preserve">demand balance corresponding to S1 is illustrated in Figure 34 below.</w:t>
      </w:r>
      <w:r>
        <w:t xml:space="preserve"> </w:t>
      </w:r>
      <w:r>
        <w:t xml:space="preserve">Figure 34: S1 shock definition - Additional exogenous net supply-demand balance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The second shock introduced, S2, envisions an unexpected cyclical shock in the opposite</w:t>
      </w:r>
      <w:r>
        <w:t xml:space="preserve"> </w:t>
      </w:r>
      <w:r>
        <w:t xml:space="preserve">direction., i.e. a shock which creates a net demand of allowances, as compared to the base case.</w:t>
      </w:r>
      <w:r>
        <w:t xml:space="preserve"> </w:t>
      </w:r>
      <w:r>
        <w:t xml:space="preserve">This can, for instance, echo the 2022-2023 gas crisis where additional coal-fired power</w:t>
      </w:r>
      <w:r>
        <w:t xml:space="preserve"> </w:t>
      </w:r>
      <w:r>
        <w:t xml:space="preserve">generation was used, leading to higher emissions than initially expected. More generally, S2</w:t>
      </w:r>
      <w:r>
        <w:t xml:space="preserve"> </w:t>
      </w:r>
      <w:r>
        <w:t xml:space="preserve">can also represent a large-scale unavailability of decarbonized technologies (e.g. nuclear fleet</w:t>
      </w:r>
      <w:r>
        <w:t xml:space="preserve"> </w:t>
      </w:r>
      <w:r>
        <w:t xml:space="preserve">unplanned unavailability, decarbonisation technologies massive supply chain disruption, etc.).</w:t>
      </w:r>
      <w:r>
        <w:t xml:space="preserve"> </w:t>
      </w:r>
      <w:r>
        <w:t xml:space="preserve">Although the typical magnitude of such events is typically smaller, the envisioned shock</w:t>
      </w:r>
      <w:r>
        <w:t xml:space="preserve"> </w:t>
      </w:r>
      <w:r>
        <w:t xml:space="preserve">introduces the following deviation in emissions from the MSR0 base case: +8% in 2030, +2%</w:t>
      </w:r>
      <w:r>
        <w:t xml:space="preserve"> </w:t>
      </w:r>
      <w:r>
        <w:t xml:space="preserve">in 2031, and then back to normal from 2032 onwards. The corresponding net EUA demand</w:t>
      </w:r>
      <w:r>
        <w:t xml:space="preserve"> </w:t>
      </w:r>
      <w:r>
        <w:t xml:space="preserve">input exogenous to the model is presented in Figure 35.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Figure 35: S2 shock definition - Additional exogenous net supply-demand balance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The third shock introduced, S3, represents a case of late availability of carbon removal</w:t>
      </w:r>
      <w:r>
        <w:t xml:space="preserve"> </w:t>
      </w:r>
      <w:r>
        <w:t xml:space="preserve">technologies, namely BECCS and DACCS. It assumes that this delayed removals availability</w:t>
      </w:r>
      <w:r>
        <w:t xml:space="preserve"> </w:t>
      </w:r>
      <w:r>
        <w:t xml:space="preserve">would be reflected on the cap for gross emissions in the EU ETS scope, without assuming an</w:t>
      </w:r>
      <w:r>
        <w:t xml:space="preserve"> </w:t>
      </w:r>
      <w:r>
        <w:t xml:space="preserve">explicit integration of removals in the EU ETS scope. The additional net supply-demand</w:t>
      </w:r>
      <w:r>
        <w:t xml:space="preserve"> </w:t>
      </w:r>
      <w:r>
        <w:t xml:space="preserve">balance introduced in S3 therefore corresponds to a delay of four years in the development of</w:t>
      </w:r>
      <w:r>
        <w:t xml:space="preserve"> </w:t>
      </w:r>
      <w:r>
        <w:t xml:space="preserve">BECCS and DACCS, as compared to the MSR0 base case. It is illustrated in Figure 36.90 The</w:t>
      </w:r>
      <w:r>
        <w:t xml:space="preserve"> </w:t>
      </w:r>
      <w:r>
        <w:t xml:space="preserve">non-monotone trajectory corresponds exactly to a four-years delay in the availability of</w:t>
      </w:r>
      <w:r>
        <w:t xml:space="preserve"> </w:t>
      </w:r>
      <w:r>
        <w:t xml:space="preserve">removals and is therefore directly derived from the removal development pathways considered.</w:t>
      </w:r>
      <w:r>
        <w:t xml:space="preserve"> </w:t>
      </w:r>
      <w:r>
        <w:t xml:space="preserve">This shock is assumed anticipated by actors, as removal development projects are regularly</w:t>
      </w:r>
      <w:r>
        <w:t xml:space="preserve"> </w:t>
      </w:r>
      <w:r>
        <w:t xml:space="preserve">announced and publicized by their operators and developers.</w:t>
      </w:r>
    </w:p>
    <w:p>
      <w:pPr>
        <w:pStyle w:val="BodyText"/>
      </w:pPr>
      <w:r>
        <w:t xml:space="preserve">90 The curve profile is not monotone and represents the difference in removals due to the four-year delay</w:t>
      </w:r>
      <w:r>
        <w:t xml:space="preserve"> </w:t>
      </w:r>
      <w:r>
        <w:t xml:space="preserve">assumed here. For example, the value in 2030 corresponds to the difference between the baseline assumption</w:t>
      </w:r>
      <w:r>
        <w:t xml:space="preserve"> </w:t>
      </w:r>
      <w:r>
        <w:t xml:space="preserve">for removals development in the PRIMES scenario and that for 2026.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Figure 36: S3 shock definition - Additional net supply-demand balance</w:t>
      </w:r>
    </w:p>
    <w:p>
      <w:pPr>
        <w:pStyle w:val="BodyText"/>
      </w:pPr>
      <w:r>
        <w:t xml:space="preserve">The fourth and fifth shocks, S4 and S5, represent progressive structural imbalances, as</w:t>
      </w:r>
      <w:r>
        <w:t xml:space="preserve"> </w:t>
      </w:r>
      <w:r>
        <w:t xml:space="preserve">compared to the base case. S4 and S5 are symmetrical, with S4 corresponding to a positive</w:t>
      </w:r>
      <w:r>
        <w:t xml:space="preserve"> </w:t>
      </w:r>
      <w:r>
        <w:t xml:space="preserve">supply-demand balance and S5 to a negative supply-demand balance. Both these shocks are</w:t>
      </w:r>
      <w:r>
        <w:t xml:space="preserve"> </w:t>
      </w:r>
      <w:r>
        <w:t xml:space="preserve">anticipated by actors in the modelling. Shock S4 aims to represent any deviation from the base</w:t>
      </w:r>
      <w:r>
        <w:t xml:space="preserve"> </w:t>
      </w:r>
      <w:r>
        <w:t xml:space="preserve">scenario leading to a decreased demand of EUAs, such as an accelerated decarbonisation</w:t>
      </w:r>
      <w:r>
        <w:t xml:space="preserve"> </w:t>
      </w:r>
      <w:r>
        <w:t xml:space="preserve">through other policy instruments than the EU ETS, e.g. regulatory measures by Member states,</w:t>
      </w:r>
      <w:r>
        <w:t xml:space="preserve"> </w:t>
      </w:r>
      <w:r>
        <w:t xml:space="preserve">or thanks to cheaper decarbonisation technologies than expected. It could also represent a</w:t>
      </w:r>
      <w:r>
        <w:t xml:space="preserve"> </w:t>
      </w:r>
      <w:r>
        <w:t xml:space="preserve">slower economic growth, or a lower demand from the aviation and maritime sectors</w:t>
      </w:r>
      <w:r>
        <w:t xml:space="preserve"> </w:t>
      </w:r>
      <w:r>
        <w:t xml:space="preserve">(considered exogenously in the model), etc. Conversely, shock S5 represents deviations leading</w:t>
      </w:r>
      <w:r>
        <w:t xml:space="preserve"> </w:t>
      </w:r>
      <w:r>
        <w:t xml:space="preserve">to an increase demand of EUAs compared to the base case: slower decarbonisation (weaker</w:t>
      </w:r>
      <w:r>
        <w:t xml:space="preserve"> </w:t>
      </w:r>
      <w:r>
        <w:t xml:space="preserve">regulatory policies, more expensive decarbonisation technologies), higher economic growth,</w:t>
      </w:r>
      <w:r>
        <w:t xml:space="preserve"> </w:t>
      </w:r>
      <w:r>
        <w:t xml:space="preserve">higher emissions from aviation and maritime sectors, etc. The modelled net supply-demand</w:t>
      </w:r>
      <w:r>
        <w:t xml:space="preserve"> </w:t>
      </w:r>
      <w:r>
        <w:t xml:space="preserve">balances for S4 and S5 are illustrated in Figure 37 and are assumed to increase linearly from</w:t>
      </w:r>
      <w:r>
        <w:t xml:space="preserve"> </w:t>
      </w:r>
      <w:r>
        <w:t xml:space="preserve">2027 to 2040, representing a progressive and continued deviation.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Figure 37: S4 and S5 shock definition - Additional net supply-demand balance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B. Results from the shock sensitivity analysis</w:t>
      </w:r>
      <w:r>
        <w:t xml:space="preserve"> </w:t>
      </w:r>
      <w:r>
        <w:t xml:space="preserve">This section presents the main results from the analysis of the five shocks defined above. All</w:t>
      </w:r>
      <w:r>
        <w:t xml:space="preserve"> </w:t>
      </w:r>
      <w:r>
        <w:t xml:space="preserve">five shocks are designed as high-magnitude events, hence allowing to consider large deviations</w:t>
      </w:r>
      <w:r>
        <w:t xml:space="preserve"> </w:t>
      </w:r>
      <w:r>
        <w:t xml:space="preserve">from the base measure scenarios. It focuses first on the impacts of cyclical shocks S1 and S2.</w:t>
      </w:r>
      <w:r>
        <w:t xml:space="preserve"> </w:t>
      </w:r>
      <w:r>
        <w:t xml:space="preserve">Shocks of a more structural nature, S3 to S5, are then analysed, before concluding on the system</w:t>
      </w:r>
      <w:r>
        <w:t xml:space="preserve"> </w:t>
      </w:r>
      <w:r>
        <w:t xml:space="preserve">resilience induced by the two candidate measures.</w:t>
      </w:r>
      <w:r>
        <w:t xml:space="preserve"> </w:t>
      </w:r>
      <w:r>
        <w:t xml:space="preserve">C. Cyclical shocks</w:t>
      </w:r>
      <w:r>
        <w:t xml:space="preserve"> </w:t>
      </w:r>
      <w:r>
        <w:t xml:space="preserve">Both S1 and S2 shocks are designed to represent punctual events perturbating the EU ETS, as</w:t>
      </w:r>
      <w:r>
        <w:t xml:space="preserve"> </w:t>
      </w:r>
      <w:r>
        <w:t xml:space="preserve">compared to the base scenario. Their overall shapes are rather symmetrical, although it is</w:t>
      </w:r>
      <w:r>
        <w:t xml:space="preserve"> </w:t>
      </w:r>
      <w:r>
        <w:t xml:space="preserve">assumed that S1 brings a long-term deviation in the emission trajectory, which is not the case</w:t>
      </w:r>
      <w:r>
        <w:t xml:space="preserve"> </w:t>
      </w:r>
      <w:r>
        <w:t xml:space="preserve">in S2 (as presented above).</w:t>
      </w:r>
      <w:r>
        <w:t xml:space="preserve"> </w:t>
      </w:r>
      <w:r>
        <w:t xml:space="preserve">Figure 38 below shows the resulting TNAC trajectories, in the POLES-Enerdata model, when</w:t>
      </w:r>
      <w:r>
        <w:t xml:space="preserve"> </w:t>
      </w:r>
      <w:r>
        <w:t xml:space="preserve">applying the S1 and S2 shocks on measures MSR1 and MSR3. For both measures, introducing</w:t>
      </w:r>
      <w:r>
        <w:t xml:space="preserve"> </w:t>
      </w:r>
      <w:r>
        <w:t xml:space="preserve">shocks S1 and S2 has a substantial impact on the TNAC in the early 2030s. The date of the</w:t>
      </w:r>
      <w:r>
        <w:t xml:space="preserve"> </w:t>
      </w:r>
      <w:r>
        <w:t xml:space="preserve">first MSR release is consequently shifted by a few years forward or backward. Differences are</w:t>
      </w:r>
      <w:r>
        <w:t xml:space="preserve"> </w:t>
      </w:r>
      <w:r>
        <w:t xml:space="preserve">decreasing, yet remain, between the MSR1 original scenario and the shock sensitivities by</w:t>
      </w:r>
      <w:r>
        <w:t xml:space="preserve"> </w:t>
      </w:r>
      <w:r>
        <w:t xml:space="preserve">2040. In the case of MSR3, the TNAC seem to converge by around 2037 in the three model</w:t>
      </w:r>
      <w:r>
        <w:t xml:space="preserve"> </w:t>
      </w:r>
      <w:r>
        <w:t xml:space="preserve">runs.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Figure 38: MSR sensitivity analysis - S1 &amp; S2 - TNAC evolution for MSR1 (left) and MSR3 (right)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In both measures, the S1 shock leads to later releases by the MSR, and S2 leads to earlier</w:t>
      </w:r>
      <w:r>
        <w:t xml:space="preserve"> </w:t>
      </w:r>
      <w:r>
        <w:t xml:space="preserve">releases. The MSR indeed helps the market to stabilize in the presence of these punctual shocks,</w:t>
      </w:r>
      <w:r>
        <w:t xml:space="preserve"> </w:t>
      </w:r>
      <w:r>
        <w:t xml:space="preserve">in the intuitive direction. In the case of an economic crisis inducing lower emissions in S1,</w:t>
      </w:r>
      <w:r>
        <w:t xml:space="preserve"> </w:t>
      </w:r>
      <w:r>
        <w:t xml:space="preserve">releases by the MSR are postponed, as the market has higher liquidity. Symmetrically, in S2,</w:t>
      </w:r>
      <w:r>
        <w:t xml:space="preserve"> </w:t>
      </w:r>
      <w:r>
        <w:t xml:space="preserve">as the market gets tight quicker, the MSR releases earlier to ease market tension. The stock of</w:t>
      </w:r>
      <w:r>
        <w:t xml:space="preserve"> </w:t>
      </w:r>
      <w:r>
        <w:t xml:space="preserve">EUAs in the MSR is shown in Figure 39, from which one can also derive the MSR operations.</w:t>
      </w:r>
      <w:r>
        <w:t xml:space="preserve"> </w:t>
      </w:r>
      <w:r>
        <w:t xml:space="preserve">The cumulative releases by 2040 under the MSR1 configuration range from 258 million EUAs</w:t>
      </w:r>
      <w:r>
        <w:t xml:space="preserve"> </w:t>
      </w:r>
      <w:r>
        <w:t xml:space="preserve">in S1 to 470 million EUAs in S2 (as compared to 398 million EUAs in the base MSR1</w:t>
      </w:r>
      <w:r>
        <w:t xml:space="preserve"> </w:t>
      </w:r>
      <w:r>
        <w:t xml:space="preserve">scenario). In the case of MSR3, these range from 105 million EUAs in S1 to 309 million EUAs</w:t>
      </w:r>
      <w:r>
        <w:t xml:space="preserve"> </w:t>
      </w:r>
      <w:r>
        <w:t xml:space="preserve">in S2 (as compared to 255 million EUAs in the base MSR3 scenario).</w:t>
      </w:r>
      <w:r>
        <w:t xml:space="preserve"> </w:t>
      </w:r>
      <w:r>
        <w:t xml:space="preserve">Figure 39: MSR sensitivity analysis - S1 &amp; S2 – stock of EUAs in the reserve for MSR1 (left) and</w:t>
      </w:r>
      <w:r>
        <w:t xml:space="preserve"> </w:t>
      </w:r>
      <w:r>
        <w:t xml:space="preserve">MSR3 (right)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Figure 40 displays the indexed price evolutions with the S1 and S2 shocks, under MSR1 and</w:t>
      </w:r>
      <w:r>
        <w:t xml:space="preserve"> </w:t>
      </w:r>
      <w:r>
        <w:t xml:space="preserve">MSR3. As expected, introducing high magnitude punctual shocks to the system leads to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1 000</w:t>
      </w:r>
      <w:r>
        <w:t xml:space="preserve"> </w:t>
      </w:r>
      <w:r>
        <w:t xml:space="preserve">1 200</w:t>
      </w:r>
      <w:r>
        <w:t xml:space="preserve"> </w:t>
      </w:r>
      <w:r>
        <w:t xml:space="preserve">1 400</w:t>
      </w:r>
      <w:r>
        <w:t xml:space="preserve"> </w:t>
      </w:r>
      <w:r>
        <w:t xml:space="preserve">2024</w:t>
      </w:r>
      <w:r>
        <w:t xml:space="preserve"> </w:t>
      </w:r>
      <w:r>
        <w:t xml:space="preserve">2028</w:t>
      </w:r>
      <w:r>
        <w:t xml:space="preserve"> </w:t>
      </w:r>
      <w:r>
        <w:t xml:space="preserve">2032</w:t>
      </w:r>
      <w:r>
        <w:t xml:space="preserve"> </w:t>
      </w:r>
      <w:r>
        <w:t xml:space="preserve">2036</w:t>
      </w:r>
      <w:r>
        <w:t xml:space="preserve"> </w:t>
      </w:r>
      <w:r>
        <w:t xml:space="preserve">2040</w:t>
      </w:r>
      <w:r>
        <w:t xml:space="preserve"> </w:t>
      </w:r>
      <w:r>
        <w:t xml:space="preserve">MtCO2</w:t>
      </w:r>
      <w:r>
        <w:t xml:space="preserve"> </w:t>
      </w:r>
      <w:r>
        <w:t xml:space="preserve">UB</w:t>
      </w:r>
      <w:r>
        <w:t xml:space="preserve"> </w:t>
      </w:r>
      <w:r>
        <w:t xml:space="preserve">UT</w:t>
      </w:r>
      <w:r>
        <w:t xml:space="preserve"> </w:t>
      </w:r>
      <w:r>
        <w:t xml:space="preserve">LT</w:t>
      </w:r>
      <w:r>
        <w:t xml:space="preserve"> </w:t>
      </w:r>
      <w:r>
        <w:t xml:space="preserve">LB</w:t>
      </w:r>
      <w:r>
        <w:t xml:space="preserve"> </w:t>
      </w:r>
      <w:r>
        <w:t xml:space="preserve">MSR3</w:t>
      </w:r>
      <w:r>
        <w:t xml:space="preserve"> </w:t>
      </w:r>
      <w:r>
        <w:t xml:space="preserve">MSR3-S1</w:t>
      </w:r>
      <w:r>
        <w:t xml:space="preserve"> </w:t>
      </w:r>
      <w:r>
        <w:t xml:space="preserve">MSR3-S2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substantial impacts on the price trajectories. The price evolution is affected by different factors.</w:t>
      </w:r>
      <w:r>
        <w:t xml:space="preserve"> </w:t>
      </w:r>
      <w:r>
        <w:t xml:space="preserve">Intuitively, the punctual deviation in the EUA supply-demand balance at the time of the shock</w:t>
      </w:r>
      <w:r>
        <w:t xml:space="preserve"> </w:t>
      </w:r>
      <w:r>
        <w:t xml:space="preserve">shifts the price equilibrium on the market. In the case of S1, the effect is lasting over time, as</w:t>
      </w:r>
      <w:r>
        <w:t xml:space="preserve"> </w:t>
      </w:r>
      <w:r>
        <w:t xml:space="preserve">the exogenous supply-demand balance remains constant after 2032. In the case of S2, the long-</w:t>
      </w:r>
      <w:r>
        <w:t xml:space="preserve"> </w:t>
      </w:r>
      <w:r>
        <w:t xml:space="preserve">term impact is more limited but still exist.</w:t>
      </w:r>
      <w:r>
        <w:t xml:space="preserve"> </w:t>
      </w:r>
      <w:r>
        <w:t xml:space="preserve">Beyond that direct effect, there are dynamic effects which can further impact the price. First, a</w:t>
      </w:r>
      <w:r>
        <w:t xml:space="preserve"> </w:t>
      </w:r>
      <w:r>
        <w:t xml:space="preserve">change in the price at the time of the shock impacts the incentives for actors to reduce their</w:t>
      </w:r>
      <w:r>
        <w:t xml:space="preserve"> </w:t>
      </w:r>
      <w:r>
        <w:t xml:space="preserve">emissions. Hence, this leads to lower emission reductions for a period of time, which can in</w:t>
      </w:r>
      <w:r>
        <w:t xml:space="preserve"> </w:t>
      </w:r>
      <w:r>
        <w:t xml:space="preserve">turn affect the future demand of EUAs and could temporarily drive down their price. Second,</w:t>
      </w:r>
      <w:r>
        <w:t xml:space="preserve"> </w:t>
      </w:r>
      <w:r>
        <w:t xml:space="preserve">the actors are modelled as anticipating over a rolling time horizon of 8 years, which means that</w:t>
      </w:r>
      <w:r>
        <w:t xml:space="preserve"> </w:t>
      </w:r>
      <w:r>
        <w:t xml:space="preserve">they adjust to a possible future scarcity in the system. In S2, with the MSR starting to deplete</w:t>
      </w:r>
      <w:r>
        <w:t xml:space="preserve"> </w:t>
      </w:r>
      <w:r>
        <w:t xml:space="preserve">towards the end of the 2030s, a lower stock in the MSR could lead to an increased price, with</w:t>
      </w:r>
      <w:r>
        <w:t xml:space="preserve"> </w:t>
      </w:r>
      <w:r>
        <w:t xml:space="preserve">actors beginning to anticipate for future scarcity, and conversely for S1.</w:t>
      </w:r>
      <w:r>
        <w:t xml:space="preserve"> </w:t>
      </w:r>
      <w:r>
        <w:t xml:space="preserve">Figure 40: MSR sensitivity analysis - S1 &amp; S2 – EUA indexed price for MSR1 (left) and MSR3</w:t>
      </w:r>
      <w:r>
        <w:t xml:space="preserve"> </w:t>
      </w:r>
      <w:r>
        <w:t xml:space="preserve">(right)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For both MSR1 and MSR3, the S1 and S2 shocks lead to broadly similar shapes for the price</w:t>
      </w:r>
      <w:r>
        <w:t xml:space="preserve"> </w:t>
      </w:r>
      <w:r>
        <w:t xml:space="preserve">trajectories, as compared to the initial runs. In both cases, the S2 shock has lower impacts on</w:t>
      </w:r>
      <w:r>
        <w:t xml:space="preserve"> </w:t>
      </w:r>
      <w:r>
        <w:t xml:space="preserve">the price than S1, which is explained by a slightly lower magnitude of the punctual shock, as</w:t>
      </w:r>
      <w:r>
        <w:t xml:space="preserve"> </w:t>
      </w:r>
      <w:r>
        <w:t xml:space="preserve">well as no permanent effect. With MSR1, the S1 shock leads to a lower 2040 price than the</w:t>
      </w:r>
      <w:r>
        <w:t xml:space="preserve"> </w:t>
      </w:r>
      <w:r>
        <w:t xml:space="preserve">base MSR1 scenario, and the S2 shock to higher price. With MSR3, the long-term price impacts</w:t>
      </w:r>
      <w:r>
        <w:t xml:space="preserve"> </w:t>
      </w:r>
      <w:r>
        <w:t xml:space="preserve">in 2040 are lower in S1 and higher in S2, although up to 2037 the spread was much lower.91</w:t>
      </w:r>
    </w:p>
    <w:p>
      <w:pPr>
        <w:pStyle w:val="BodyText"/>
      </w:pPr>
      <w:r>
        <w:t xml:space="preserve">91 The increase in the price gap between 2037 and 2040 is due to the effect of the MSR, which will release for</w:t>
      </w:r>
      <w:r>
        <w:t xml:space="preserve"> </w:t>
      </w:r>
      <w:r>
        <w:t xml:space="preserve">the first time in S1 2037 (as shown in Figure 39, where the MSR reserve begins to decline in 2037).</w:t>
      </w:r>
      <w:r>
        <w:t xml:space="preserve"> </w:t>
      </w:r>
      <w:r>
        <w:t xml:space="preserve">Consequently, the increase in prices would slow down between 2037 and 2040 for MSR3-S1.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Figure 41: MSR sensitivity analysis - S1 &amp; S2 – EU ETS emissions for MSR1 (left) and MSR3</w:t>
      </w:r>
      <w:r>
        <w:t xml:space="preserve"> </w:t>
      </w:r>
      <w:r>
        <w:t xml:space="preserve">(right)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In terms of EU ETS-covered emissions, shown in Figure 41, the S1 and S2 shocks mostly lead</w:t>
      </w:r>
      <w:r>
        <w:t xml:space="preserve"> </w:t>
      </w:r>
      <w:r>
        <w:t xml:space="preserve">to a two-year divergence, with emissions quickly aligning again on the base trajectory. Minor</w:t>
      </w:r>
      <w:r>
        <w:t xml:space="preserve"> </w:t>
      </w:r>
      <w:r>
        <w:t xml:space="preserve">differences subsist in MSR1 with roughly 15 MtCO2 in 2040, while in MSR3 the differences</w:t>
      </w:r>
      <w:r>
        <w:t xml:space="preserve"> </w:t>
      </w:r>
      <w:r>
        <w:t xml:space="preserve">are almost inexistant.</w:t>
      </w:r>
      <w:r>
        <w:t xml:space="preserve"> </w:t>
      </w:r>
      <w:r>
        <w:t xml:space="preserve">D. Structural shocks</w:t>
      </w:r>
      <w:r>
        <w:t xml:space="preserve"> </w:t>
      </w:r>
      <w:r>
        <w:t xml:space="preserve">As opposed to the S1 and S2 shocks previously analysed, the S3 to S5 shocks are of a more</w:t>
      </w:r>
      <w:r>
        <w:t xml:space="preserve"> </w:t>
      </w:r>
      <w:r>
        <w:t xml:space="preserve">structural nature. They lead to progressive and increasing deviation from the base run, in terms</w:t>
      </w:r>
      <w:r>
        <w:t xml:space="preserve"> </w:t>
      </w:r>
      <w:r>
        <w:t xml:space="preserve">of exogenous supply-demand balance added to the POLES-Enerdata model, as explained</w:t>
      </w:r>
      <w:r>
        <w:t xml:space="preserve"> </w:t>
      </w:r>
      <w:r>
        <w:t xml:space="preserve">previously.</w:t>
      </w:r>
      <w:r>
        <w:br/>
      </w:r>
      <w:r>
        <w:t xml:space="preserve">The evolution of the TNAC trajectories, with the three shocks, under the MSR1 and MS3</w:t>
      </w:r>
      <w:r>
        <w:t xml:space="preserve"> </w:t>
      </w:r>
      <w:r>
        <w:t xml:space="preserve">configurations, are provided in Figure 42 below. For both MSR1 and MSR3, the trajectories</w:t>
      </w:r>
      <w:r>
        <w:t xml:space="preserve"> </w:t>
      </w:r>
      <w:r>
        <w:t xml:space="preserve">slightly deviate from the base case, although to a moderate degree, and tend to progressively</w:t>
      </w:r>
      <w:r>
        <w:t xml:space="preserve"> </w:t>
      </w:r>
      <w:r>
        <w:t xml:space="preserve">align with it by the end of the 2030s.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Figure 42: MSR sensitivity analysis – S3 to S5 - TNAC evolution for MSR1 (left) and MSR3 (right)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The MSR is adjusting well to the 3 shocks and supports market stability by releasing EUAs</w:t>
      </w:r>
      <w:r>
        <w:t xml:space="preserve"> </w:t>
      </w:r>
      <w:r>
        <w:t xml:space="preserve">earlier or later in the system (depending on the direction of the shock). These adjustments can</w:t>
      </w:r>
      <w:r>
        <w:t xml:space="preserve"> </w:t>
      </w:r>
      <w:r>
        <w:t xml:space="preserve">be observed by looking at the stock of EUAs in the MSR, presented in Figure 43. They lead to</w:t>
      </w:r>
      <w:r>
        <w:t xml:space="preserve"> </w:t>
      </w:r>
      <w:r>
        <w:t xml:space="preserve">different remaining stocks by 2040, ranging from 230 to 350 million EUAs in MSR1 and from</w:t>
      </w:r>
      <w:r>
        <w:t xml:space="preserve"> </w:t>
      </w:r>
      <w:r>
        <w:t xml:space="preserve">370 to 540 million EUAs in MSR3.</w:t>
      </w:r>
      <w:r>
        <w:t xml:space="preserve"> </w:t>
      </w:r>
      <w:r>
        <w:t xml:space="preserve">Figure 43: MSR sensitivity analysis - S3 to S5 – stock of EUAs in the MSR for MSR1 (left) and</w:t>
      </w:r>
      <w:r>
        <w:t xml:space="preserve"> </w:t>
      </w:r>
      <w:r>
        <w:t xml:space="preserve">MSR3 (right)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In terms of the EUA price, structural shocks S3 to S5 lead to substantial impacts, as compared</w:t>
      </w:r>
      <w:r>
        <w:t xml:space="preserve"> </w:t>
      </w:r>
      <w:r>
        <w:t xml:space="preserve">to the base MSR1 and MSR3 runs. The structural deviations in the supply-demand equilibrium</w:t>
      </w:r>
      <w:r>
        <w:t xml:space="preserve"> </w:t>
      </w:r>
      <w:r>
        <w:t xml:space="preserve">lead to significantly higher price trajectories for S3 and S5, and lower price trajectories for S4,</w:t>
      </w:r>
      <w:r>
        <w:t xml:space="preserve"> </w:t>
      </w:r>
      <w:r>
        <w:t xml:space="preserve">in both cases (as shown in Figure 44)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1 000</w:t>
      </w:r>
      <w:r>
        <w:t xml:space="preserve"> </w:t>
      </w:r>
      <w:r>
        <w:t xml:space="preserve">1 200</w:t>
      </w:r>
      <w:r>
        <w:t xml:space="preserve"> </w:t>
      </w:r>
      <w:r>
        <w:t xml:space="preserve">1 400</w:t>
      </w:r>
      <w:r>
        <w:t xml:space="preserve"> </w:t>
      </w:r>
      <w:r>
        <w:t xml:space="preserve">2024</w:t>
      </w:r>
      <w:r>
        <w:t xml:space="preserve"> </w:t>
      </w:r>
      <w:r>
        <w:t xml:space="preserve">2028</w:t>
      </w:r>
      <w:r>
        <w:t xml:space="preserve"> </w:t>
      </w:r>
      <w:r>
        <w:t xml:space="preserve">2032</w:t>
      </w:r>
      <w:r>
        <w:t xml:space="preserve"> </w:t>
      </w:r>
      <w:r>
        <w:t xml:space="preserve">2036</w:t>
      </w:r>
      <w:r>
        <w:t xml:space="preserve"> </w:t>
      </w:r>
      <w:r>
        <w:t xml:space="preserve">2040</w:t>
      </w:r>
      <w:r>
        <w:t xml:space="preserve"> </w:t>
      </w:r>
      <w:r>
        <w:t xml:space="preserve">MtCO2</w:t>
      </w:r>
      <w:r>
        <w:t xml:space="preserve"> </w:t>
      </w:r>
      <w:r>
        <w:t xml:space="preserve">UB</w:t>
      </w:r>
      <w:r>
        <w:t xml:space="preserve"> </w:t>
      </w:r>
      <w:r>
        <w:t xml:space="preserve">UT</w:t>
      </w:r>
      <w:r>
        <w:t xml:space="preserve"> </w:t>
      </w:r>
      <w:r>
        <w:t xml:space="preserve">LT</w:t>
      </w:r>
      <w:r>
        <w:t xml:space="preserve"> </w:t>
      </w:r>
      <w:r>
        <w:t xml:space="preserve">LB</w:t>
      </w:r>
      <w:r>
        <w:t xml:space="preserve"> </w:t>
      </w:r>
      <w:r>
        <w:t xml:space="preserve">MSR3</w:t>
      </w:r>
      <w:r>
        <w:t xml:space="preserve"> </w:t>
      </w:r>
      <w:r>
        <w:t xml:space="preserve">MSR3-S3</w:t>
      </w:r>
      <w:r>
        <w:t xml:space="preserve"> </w:t>
      </w:r>
      <w:r>
        <w:t xml:space="preserve">MSR3-S4</w:t>
      </w:r>
      <w:r>
        <w:t xml:space="preserve"> </w:t>
      </w:r>
      <w:r>
        <w:t xml:space="preserve">MSR3-S5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Figure 44: MSR sensitivity analysis – S3 to S5 – EUA indexed price for MSR1 (left) and MSR3</w:t>
      </w:r>
      <w:r>
        <w:t xml:space="preserve"> </w:t>
      </w:r>
      <w:r>
        <w:t xml:space="preserve">(right)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As shocks are implemented as an exogenous net demand for EUAs, i.e. inelastic to the price,</w:t>
      </w:r>
      <w:r>
        <w:t xml:space="preserve"> </w:t>
      </w:r>
      <w:r>
        <w:t xml:space="preserve">and with an important magnitude, it is expected that they induce significant variations to the</w:t>
      </w:r>
      <w:r>
        <w:t xml:space="preserve"> </w:t>
      </w:r>
      <w:r>
        <w:t xml:space="preserve">price trajectory. In the case of MSR1, the deviation between the base case and the shock</w:t>
      </w:r>
      <w:r>
        <w:t xml:space="preserve"> </w:t>
      </w:r>
      <w:r>
        <w:t xml:space="preserve">sensitivities increases progressively up to 2035, and then quickly increases. With the MSR3</w:t>
      </w:r>
      <w:r>
        <w:t xml:space="preserve"> </w:t>
      </w:r>
      <w:r>
        <w:t xml:space="preserve">design instead, the price deviations are more progressive over the whole period, with smoother</w:t>
      </w:r>
      <w:r>
        <w:t xml:space="preserve"> </w:t>
      </w:r>
      <w:r>
        <w:t xml:space="preserve">index curves by 2040.</w:t>
      </w:r>
      <w:r>
        <w:br/>
      </w:r>
      <w:r>
        <w:t xml:space="preserve">Figure 45: MSR sensitivity analysis – S3 to S5 – EU ETS emissions for MSR1 (left) and MSR3</w:t>
      </w:r>
      <w:r>
        <w:t xml:space="preserve"> </w:t>
      </w:r>
      <w:r>
        <w:t xml:space="preserve">(right)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Finally, the impacts of S3 to S5 shocks on EU ETS-covered emissions is relatively limited, as</w:t>
      </w:r>
      <w:r>
        <w:t xml:space="preserve"> </w:t>
      </w:r>
      <w:r>
        <w:t xml:space="preserve">illustrated in Figure 45. Under both MSR1 and MSR3, resulting emissions remain close to their</w:t>
      </w:r>
      <w:r>
        <w:t xml:space="preserve"> </w:t>
      </w:r>
      <w:r>
        <w:t xml:space="preserve">respective base runs, with a difference in cumulative emissions over 2025-2040 of less than</w:t>
      </w:r>
      <w:r>
        <w:t xml:space="preserve"> </w:t>
      </w:r>
      <w:r>
        <w:t xml:space="preserve">1%. By 2040, maximum differences in emissions are about 11 MtCO2 in MSR1 and 4 MtCO2</w:t>
      </w:r>
      <w:r>
        <w:t xml:space="preserve"> </w:t>
      </w:r>
      <w:r>
        <w:t xml:space="preserve">in MSR3.</w:t>
      </w:r>
    </w:p>
    <w:p>
      <w:pPr>
        <w:pStyle w:val="BodyText"/>
      </w:pPr>
      <w:r>
        <w:t xml:space="preserve">MtCo2</w:t>
      </w:r>
      <w:r>
        <w:t xml:space="preserve"> </w:t>
      </w:r>
      <w:r>
        <w:t xml:space="preserve">MtCo2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Resilience of candidate MSR measures to shocks</w:t>
      </w:r>
      <w:r>
        <w:t xml:space="preserve"> </w:t>
      </w:r>
      <w:r>
        <w:t xml:space="preserve">Both MSR1 and MSR3 designs enable the MSR to operate in the good direction when</w:t>
      </w:r>
      <w:r>
        <w:t xml:space="preserve"> </w:t>
      </w:r>
      <w:r>
        <w:t xml:space="preserve">presented with shocks, as shown above. To conclude on their respective performance in terms</w:t>
      </w:r>
      <w:r>
        <w:t xml:space="preserve"> </w:t>
      </w:r>
      <w:r>
        <w:t xml:space="preserve">of system resilience, a set of relevant indicators is examined below.</w:t>
      </w:r>
      <w:r>
        <w:t xml:space="preserve"> </w:t>
      </w:r>
      <w:r>
        <w:t xml:space="preserve">First, Figure 46 shows the maximal spread (over shocks S1 to S5) of the TNAC-to-emissions</w:t>
      </w:r>
      <w:r>
        <w:t xml:space="preserve"> </w:t>
      </w:r>
      <w:r>
        <w:t xml:space="preserve">ratio for both MSR1 and MSR3. Up to 2037, the two measures present similar spreads, with</w:t>
      </w:r>
      <w:r>
        <w:t xml:space="preserve"> </w:t>
      </w:r>
      <w:r>
        <w:t xml:space="preserve">values contained between 0.3 and 0.6, sign of a healthy surplus. In MSR1, the values then rise</w:t>
      </w:r>
      <w:r>
        <w:t xml:space="preserve"> </w:t>
      </w:r>
      <w:r>
        <w:t xml:space="preserve">quickly and get mostly out of this zone by 2040 (0.52-0.75), which shows some limits of this</w:t>
      </w:r>
      <w:r>
        <w:t xml:space="preserve"> </w:t>
      </w:r>
      <w:r>
        <w:t xml:space="preserve">measure already by 2040. On the other hand, MSR3 sees its ratio staying in the 0.3-0.6 zone,</w:t>
      </w:r>
      <w:r>
        <w:t xml:space="preserve"> </w:t>
      </w:r>
      <w:r>
        <w:t xml:space="preserve">with a narrowing spread at the end of the period, which shows higher resilience. This design</w:t>
      </w:r>
      <w:r>
        <w:t xml:space="preserve"> </w:t>
      </w:r>
      <w:r>
        <w:t xml:space="preserve">indeed manages to get the ratio to similar values in the presence of very different shocks.</w:t>
      </w:r>
      <w:r>
        <w:t xml:space="preserve"> </w:t>
      </w:r>
      <w:r>
        <w:t xml:space="preserve">Figure 46: MSR sensitivity analysis – TNAC-to-emissions ratio, maximum spread across S1-S5 –</w:t>
      </w:r>
      <w:r>
        <w:t xml:space="preserve"> </w:t>
      </w:r>
      <w:r>
        <w:t xml:space="preserve">MSR1 (left) and MSR3 (right)</w:t>
      </w:r>
    </w:p>
    <w:p>
      <w:pPr>
        <w:pStyle w:val="BodyText"/>
      </w:pPr>
      <w:r>
        <w:t xml:space="preserve">Source: Own visualisation derived from the POLES-Enerdata model</w:t>
      </w:r>
      <w:r>
        <w:t xml:space="preserve"> </w:t>
      </w:r>
      <w:r>
        <w:t xml:space="preserve">Regarding indexed prices over difference shock scenarios, while MSR1 satisfactorily manages</w:t>
      </w:r>
      <w:r>
        <w:t xml:space="preserve"> </w:t>
      </w:r>
      <w:r>
        <w:t xml:space="preserve">to maintain a relatively close price spread up to 2034, it fails to contain divergences in the price</w:t>
      </w:r>
      <w:r>
        <w:t xml:space="preserve"> </w:t>
      </w:r>
      <w:r>
        <w:t xml:space="preserve">trajectories obtained in different shock by 2040. The more elaborated design tested in MSR3</w:t>
      </w:r>
      <w:r>
        <w:t xml:space="preserve"> </w:t>
      </w:r>
      <w:r>
        <w:t xml:space="preserve">performs better, with smoother price trajectories and a smaller 2040 spread.</w:t>
      </w:r>
      <w:r>
        <w:t xml:space="preserve"> </w:t>
      </w:r>
      <w:r>
        <w:t xml:space="preserve">In addition to the TNAC-to-emission and price spreads discussed above, two additional items</w:t>
      </w:r>
      <w:r>
        <w:t xml:space="preserve"> </w:t>
      </w:r>
      <w:r>
        <w:t xml:space="preserve">are brought forward. First, the convergence of the TNAC back to the no-shock trajectory, a few</w:t>
      </w:r>
      <w:r>
        <w:t xml:space="preserve"> </w:t>
      </w:r>
      <w:r>
        <w:t xml:space="preserve">years after the shock is introduced, is a good indicator of the MSR’s ability to adjust to specific</w:t>
      </w:r>
      <w:r>
        <w:t xml:space="preserve"> </w:t>
      </w:r>
      <w:r>
        <w:t xml:space="preserve">contexts. This convergence is noticeable in the case of MSR1, although not entirely, and is</w:t>
      </w:r>
      <w:r>
        <w:t xml:space="preserve"> </w:t>
      </w:r>
      <w:r>
        <w:t xml:space="preserve">further observed in MSR3. Second, the convergence of emissions back to their original</w:t>
      </w:r>
      <w:r>
        <w:t xml:space="preserve"> </w:t>
      </w:r>
      <w:r>
        <w:t xml:space="preserve">trajectory is an interesting indicator to monitor. In that regard, both MSR1 and MSR3 lead to</w:t>
      </w:r>
      <w:r>
        <w:t xml:space="preserve"> </w:t>
      </w:r>
      <w:r>
        <w:t xml:space="preserve">satisfactory alignments in emissions in the presence of shocks.</w:t>
      </w:r>
      <w:r>
        <w:t xml:space="preserve"> </w:t>
      </w:r>
      <w:r>
        <w:t xml:space="preserve">The sensitivity analysis focuses on MSR1 and MSR3 as these measures demonstrate greater</w:t>
      </w:r>
      <w:r>
        <w:t xml:space="preserve"> </w:t>
      </w:r>
      <w:r>
        <w:t xml:space="preserve">viability regarding liquidity under baseline conditions.92 Testing shock scenarios serves to</w:t>
      </w:r>
      <w:r>
        <w:t xml:space="preserve"> </w:t>
      </w:r>
      <w:r>
        <w:t xml:space="preserve">assess the robustness of viable MSR designs rather than further diagnosing the structural</w:t>
      </w:r>
      <w:r>
        <w:t xml:space="preserve"> </w:t>
      </w:r>
      <w:r>
        <w:t xml:space="preserve">weaknesses already identified in MSR0+ (reserve depletion) and MSR2 (locked reserve</w:t>
      </w:r>
    </w:p>
    <w:p>
      <w:pPr>
        <w:pStyle w:val="BodyText"/>
      </w:pPr>
      <w:r>
        <w:t xml:space="preserve">92 “Baseline” in this section denotes the no-shock scenario for the respective measure (MSR1 and MSR3) and</w:t>
      </w:r>
      <w:r>
        <w:t xml:space="preserve"> </w:t>
      </w:r>
      <w:r>
        <w:t xml:space="preserve">is distinct from baseline references in the report.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dynamics). Five shock scenarios are examined (Appendix 1 for detailed descriptions). The</w:t>
      </w:r>
      <w:r>
        <w:t xml:space="preserve"> </w:t>
      </w:r>
      <w:r>
        <w:t xml:space="preserve">shocks are introduced in the model as exogenous adjustments to the net supply-demand</w:t>
      </w:r>
      <w:r>
        <w:t xml:space="preserve"> </w:t>
      </w:r>
      <w:r>
        <w:t xml:space="preserve">balance, impacting market operations through either additional demand or additional supply of</w:t>
      </w:r>
      <w:r>
        <w:t xml:space="preserve"> </w:t>
      </w:r>
      <w:r>
        <w:t xml:space="preserve">EUAs. S1 and S4 increase the net supply-demand balance, while S2, S3, and S5 decrease it.</w:t>
      </w:r>
      <w:r>
        <w:t xml:space="preserve"> </w:t>
      </w:r>
      <w:r>
        <w:t xml:space="preserve">Under shock profiles S1 and S2, both MSR1 and MSR3 exhibit the expected and directionally</w:t>
      </w:r>
      <w:r>
        <w:t xml:space="preserve"> </w:t>
      </w:r>
      <w:r>
        <w:t xml:space="preserve">appropriate liquidity responses as demonstrated by the evolution of TNAC in Figure 38 and</w:t>
      </w:r>
      <w:r>
        <w:t xml:space="preserve"> </w:t>
      </w:r>
      <w:r>
        <w:t xml:space="preserve">Figure 39. S1’s increased net supply-demand balance (loosening) elevates TNAC trajectories</w:t>
      </w:r>
      <w:r>
        <w:t xml:space="preserve"> </w:t>
      </w:r>
      <w:r>
        <w:t xml:space="preserve">in both measures and delays releases. MSR3 exhibits greater TNAC sensitivity. It is important</w:t>
      </w:r>
      <w:r>
        <w:t xml:space="preserve"> </w:t>
      </w:r>
      <w:r>
        <w:t xml:space="preserve">to note that despite the relatively large negative shock to the demand for EUAs under S1, no</w:t>
      </w:r>
      <w:r>
        <w:t xml:space="preserve"> </w:t>
      </w:r>
      <w:r>
        <w:t xml:space="preserve">intakes are triggered even with the dynamic and declining thresholds of MSR3.</w:t>
      </w:r>
      <w:r>
        <w:br/>
      </w:r>
      <w:r>
        <w:t xml:space="preserve">Conversely, S2’s tighter net supply-demand balance (tightening) accelerates TNAC decline,</w:t>
      </w:r>
      <w:r>
        <w:t xml:space="preserve"> </w:t>
      </w:r>
      <w:r>
        <w:t xml:space="preserve">triggering earlier releases in both measures that are cumulatively larger over the assessment</w:t>
      </w:r>
      <w:r>
        <w:t xml:space="preserve"> </w:t>
      </w:r>
      <w:r>
        <w:t xml:space="preserve">period. Reserve stocks respond accordingly: under S1, MSR3 preserves approximately 600</w:t>
      </w:r>
      <w:r>
        <w:t xml:space="preserve"> </w:t>
      </w:r>
      <w:r>
        <w:t xml:space="preserve">million EUAs by 2040 versus MSR1’s 450 million EUAs, while under S2 both measures</w:t>
      </w:r>
      <w:r>
        <w:t xml:space="preserve"> </w:t>
      </w:r>
      <w:r>
        <w:t xml:space="preserve">experience faster depletion though MSR3 retains a higher stock in 2040. The differential</w:t>
      </w:r>
      <w:r>
        <w:t xml:space="preserve"> </w:t>
      </w:r>
      <w:r>
        <w:t xml:space="preserve">reserve preservation reflects MSR3’s larger baseline stock and adaptive release calibration,</w:t>
      </w:r>
      <w:r>
        <w:t xml:space="preserve"> </w:t>
      </w:r>
      <w:r>
        <w:t xml:space="preserve">providing greater post-2040 intervention capacity across both demand scenarios.</w:t>
      </w:r>
      <w:r>
        <w:t xml:space="preserve"> </w:t>
      </w:r>
      <w:r>
        <w:t xml:space="preserve">S3, S4, and S5 produce more modest liquidity impacts than S1 and S2, with TNAC trajectories</w:t>
      </w:r>
      <w:r>
        <w:t xml:space="preserve"> </w:t>
      </w:r>
      <w:r>
        <w:t xml:space="preserve">remaining closely aligned to baseline conditions in both measures. As with S1 and S2, these</w:t>
      </w:r>
      <w:r>
        <w:t xml:space="preserve"> </w:t>
      </w:r>
      <w:r>
        <w:t xml:space="preserve">shock scenarios do not trigger intakes and release dates move forward or backward as expected</w:t>
      </w:r>
      <w:r>
        <w:t xml:space="preserve"> </w:t>
      </w:r>
      <w:r>
        <w:t xml:space="preserve">by a few years relative to the respective baselines. S4, which increases the net supply-demand</w:t>
      </w:r>
      <w:r>
        <w:t xml:space="preserve"> </w:t>
      </w:r>
      <w:r>
        <w:t xml:space="preserve">balance, exhibits the most pronounced effect on reserve dynamics. Under S4, both MSR1 and</w:t>
      </w:r>
      <w:r>
        <w:t xml:space="preserve"> </w:t>
      </w:r>
      <w:r>
        <w:t xml:space="preserve">MSR3 experience accelerated depletion from the mid-2030s, with MSR1 reserves declining to</w:t>
      </w:r>
      <w:r>
        <w:t xml:space="preserve"> </w:t>
      </w:r>
      <w:r>
        <w:t xml:space="preserve">approximately 250 million EUAs by 2040 compared to 300 million EUAs under baseline,</w:t>
      </w:r>
      <w:r>
        <w:t xml:space="preserve"> </w:t>
      </w:r>
      <w:r>
        <w:t xml:space="preserve">while MSR3 maintains approximately 370 million EUAs versus 460 million EUAs under</w:t>
      </w:r>
      <w:r>
        <w:t xml:space="preserve"> </w:t>
      </w:r>
      <w:r>
        <w:t xml:space="preserve">baseline. S3 and S5, which decrease the net supply-demand balance, produce marginally slower</w:t>
      </w:r>
      <w:r>
        <w:t xml:space="preserve"> </w:t>
      </w:r>
      <w:r>
        <w:t xml:space="preserve">reserve depletion. MSR stocks in 2040 are moderately above baseline in both measures. The</w:t>
      </w:r>
      <w:r>
        <w:t xml:space="preserve"> </w:t>
      </w:r>
      <w:r>
        <w:t xml:space="preserve">consistent TNAC evolution across S3-S5 scenarios despite varying shock directions reflects</w:t>
      </w:r>
      <w:r>
        <w:t xml:space="preserve"> </w:t>
      </w:r>
      <w:r>
        <w:t xml:space="preserve">the relatively smaller magnitude of these perturbations compared to S1 and S2. MSR3’s larger</w:t>
      </w:r>
      <w:r>
        <w:t xml:space="preserve"> </w:t>
      </w:r>
      <w:r>
        <w:t xml:space="preserve">baseline reserve provides sustained intervention capacity advantage across all three scenarios,</w:t>
      </w:r>
      <w:r>
        <w:t xml:space="preserve"> </w:t>
      </w:r>
      <w:r>
        <w:t xml:space="preserve">though the S4 combination demonstrates that sufficiently strong supply-side shocks can</w:t>
      </w:r>
      <w:r>
        <w:t xml:space="preserve"> </w:t>
      </w:r>
      <w:r>
        <w:t xml:space="preserve">materially compress this buffer.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ANNEX 9: INDUSTRIAL DECARBONISATION BANK</w:t>
      </w:r>
    </w:p>
    <w:p>
      <w:pPr>
        <w:pStyle w:val="BodyText"/>
      </w:pPr>
      <w:r>
        <w:t xml:space="preserve">LIST OF TABLES</w:t>
      </w:r>
      <w:r>
        <w:t xml:space="preserve"> </w:t>
      </w:r>
      <w:r>
        <w:t xml:space="preserve">Table 1:</w:t>
      </w:r>
      <w:r>
        <w:t xml:space="preserve"> </w:t>
      </w:r>
      <w:r>
        <w:t xml:space="preserve">Effectiveness of measures on allocation mechanism ………………………………….. 186</w:t>
      </w:r>
      <w:r>
        <w:t xml:space="preserve"> </w:t>
      </w:r>
      <w:r>
        <w:t xml:space="preserve">Table 2:</w:t>
      </w:r>
      <w:r>
        <w:t xml:space="preserve"> </w:t>
      </w:r>
      <w:r>
        <w:t xml:space="preserve">Effectiveness of measures on type of support ……………………………………………. 189</w:t>
      </w:r>
      <w:r>
        <w:t xml:space="preserve"> </w:t>
      </w:r>
      <w:r>
        <w:t xml:space="preserve">Table 3:</w:t>
      </w:r>
      <w:r>
        <w:t xml:space="preserve"> </w:t>
      </w:r>
      <w:r>
        <w:t xml:space="preserve">Effectiveness of measures on geographical balance …………………………………… 192</w:t>
      </w:r>
      <w:r>
        <w:t xml:space="preserve"> </w:t>
      </w:r>
      <w:r>
        <w:t xml:space="preserve">Table 4:</w:t>
      </w:r>
      <w:r>
        <w:t xml:space="preserve"> </w:t>
      </w:r>
      <w:r>
        <w:t xml:space="preserve">Efficiency of measures …………………………………………………………………………… 194</w:t>
      </w:r>
      <w:r>
        <w:t xml:space="preserve"> </w:t>
      </w:r>
      <w:r>
        <w:t xml:space="preserve">Table 5:</w:t>
      </w:r>
      <w:r>
        <w:t xml:space="preserve"> </w:t>
      </w:r>
      <w:r>
        <w:t xml:space="preserve">Coherence of measures on allocation mechanism ……………………………………… 198</w:t>
      </w:r>
      <w:r>
        <w:t xml:space="preserve"> </w:t>
      </w:r>
      <w:r>
        <w:t xml:space="preserve">Table 6:</w:t>
      </w:r>
      <w:r>
        <w:t xml:space="preserve"> </w:t>
      </w:r>
      <w:r>
        <w:t xml:space="preserve">Coherence of measures on the type of support ………………………………………….. 199</w:t>
      </w:r>
    </w:p>
    <w:p>
      <w:pPr>
        <w:pStyle w:val="BodyText"/>
      </w:pPr>
      <w:r>
        <w:t xml:space="preserve">LIST OF FIGURES</w:t>
      </w:r>
      <w:r>
        <w:t xml:space="preserve"> </w:t>
      </w:r>
      <w:r>
        <w:t xml:space="preserve">TOC</w:t>
      </w:r>
      <w:r>
        <w:t xml:space="preserve"> </w:t>
      </w:r>
      <w:r>
        <w:t xml:space="preserve">Figure title”</w:t>
      </w:r>
      <w:r>
        <w:t xml:space="preserve"> </w:t>
      </w:r>
      <w:r>
        <w:t xml:space="preserve">igure 1:MS auctioning revenues and reported usage (in billion</w:t>
      </w:r>
      <w:r>
        <w:t xml:space="preserve"> </w:t>
      </w:r>
      <w:r>
        <w:t xml:space="preserve">EUR)</w:t>
      </w:r>
      <w:r>
        <w:t xml:space="preserve"> </w:t>
      </w:r>
      <w:r>
        <w:t xml:space="preserve">156</w:t>
      </w:r>
      <w:r>
        <w:t xml:space="preserve"> </w:t>
      </w:r>
      <w:r>
        <w:t xml:space="preserve">Figure 2:</w:t>
      </w:r>
      <w:r>
        <w:t xml:space="preserve"> </w:t>
      </w:r>
      <w:r>
        <w:t xml:space="preserve">Problem definition ………………………………………………………………………………… 159</w:t>
      </w:r>
      <w:r>
        <w:t xml:space="preserve"> </w:t>
      </w:r>
      <w:r>
        <w:t xml:space="preserve">Figure 3:</w:t>
      </w:r>
      <w:r>
        <w:t xml:space="preserve"> </w:t>
      </w:r>
      <w:r>
        <w:t xml:space="preserve">Intervention logic ………………………………………………………………………………….. 163</w:t>
      </w:r>
      <w:r>
        <w:t xml:space="preserve"> </w:t>
      </w:r>
      <w:r>
        <w:t xml:space="preserve">Figure 4:</w:t>
      </w:r>
      <w:r>
        <w:t xml:space="preserve"> </w:t>
      </w:r>
      <w:r>
        <w:t xml:space="preserve">Proposed scopes of the IF and IDB………………………………………………………….. 165</w:t>
      </w:r>
      <w:r>
        <w:t xml:space="preserve"> </w:t>
      </w:r>
      <w:r>
        <w:t xml:space="preserve">Figure 5:</w:t>
      </w:r>
      <w:r>
        <w:t xml:space="preserve"> </w:t>
      </w:r>
      <w:r>
        <w:t xml:space="preserve">Overview of policy measures………………………………………………………………….. 165</w:t>
      </w:r>
      <w:r>
        <w:t xml:space="preserve"> </w:t>
      </w:r>
      <w:r>
        <w:t xml:space="preserve">Figure 6:</w:t>
      </w:r>
      <w:r>
        <w:t xml:space="preserve"> </w:t>
      </w:r>
      <w:r>
        <w:t xml:space="preserve">Overview of policy options …………………………………………………………………….. 166</w:t>
      </w:r>
      <w:r>
        <w:t xml:space="preserve"> </w:t>
      </w:r>
      <w:r>
        <w:t xml:space="preserve">Figure 7:</w:t>
      </w:r>
      <w:r>
        <w:t xml:space="preserve"> </w:t>
      </w:r>
      <w:r>
        <w:t xml:space="preserve">Abatement costs assumptions …………………………………………………………………. 179</w:t>
      </w:r>
      <w:r>
        <w:t xml:space="preserve"> </w:t>
      </w:r>
      <w:r>
        <w:t xml:space="preserve">Figure 8:</w:t>
      </w:r>
      <w:r>
        <w:t xml:space="preserve"> </w:t>
      </w:r>
      <w:r>
        <w:t xml:space="preserve">Modelled consecutive support logic for two consecutive funding rounds …….. 181</w:t>
      </w:r>
      <w:r>
        <w:t xml:space="preserve"> </w:t>
      </w:r>
      <w:r>
        <w:t xml:space="preserve">Figure 9:</w:t>
      </w:r>
      <w:r>
        <w:t xml:space="preserve"> </w:t>
      </w:r>
      <w:r>
        <w:t xml:space="preserve">llustration of impacts of the IDB funding rounds in 2030 and 2039 …………….. 183</w:t>
      </w:r>
    </w:p>
    <w:p>
      <w:pPr>
        <w:pStyle w:val="BodyText"/>
      </w:pPr>
      <w:r>
        <w:t xml:space="preserve">154</w:t>
      </w:r>
    </w:p>
    <w:p>
      <w:pPr>
        <w:pStyle w:val="Compact"/>
        <w:numPr>
          <w:ilvl w:val="0"/>
          <w:numId w:val="1012"/>
        </w:numPr>
      </w:pPr>
      <w:r>
        <w:t xml:space="preserve">INTRODUCTION</w:t>
      </w:r>
      <w:r>
        <w:t xml:space="preserve"> </w:t>
      </w:r>
      <w:r>
        <w:t xml:space="preserve">Abating industrial emissions in the EU represents important challenges. So far, progress has</w:t>
      </w:r>
      <w:r>
        <w:t xml:space="preserve"> </w:t>
      </w:r>
      <w:r>
        <w:t xml:space="preserve">been moderate (17% reduction in 2023 compared to 201593), through energy efficiency and</w:t>
      </w:r>
      <w:r>
        <w:t xml:space="preserve"> </w:t>
      </w:r>
      <w:r>
        <w:t xml:space="preserve">fuel switch and partly due to closure of industrial installations or reduction of the industrial</w:t>
      </w:r>
      <w:r>
        <w:t xml:space="preserve"> </w:t>
      </w:r>
      <w:r>
        <w:t xml:space="preserve">output. The EU ETS evaluation indicates that in many industrial sectors (e.g. steel, cement or</w:t>
      </w:r>
      <w:r>
        <w:t xml:space="preserve"> </w:t>
      </w:r>
      <w:r>
        <w:t xml:space="preserve">chemicals), the carbon price signal (together with regulatory framework) has not been strong</w:t>
      </w:r>
      <w:r>
        <w:t xml:space="preserve"> </w:t>
      </w:r>
      <w:r>
        <w:t xml:space="preserve">enough to drive the transformational change. Reaching the 2040 climate target and climate</w:t>
      </w:r>
      <w:r>
        <w:t xml:space="preserve"> </w:t>
      </w:r>
      <w:r>
        <w:t xml:space="preserve">neutrality in 2050 will require deep GHG emissions reductions of 70 to 85% by 2040</w:t>
      </w:r>
      <w:r>
        <w:t xml:space="preserve"> </w:t>
      </w:r>
      <w:r>
        <w:t xml:space="preserve">(compared to 2015) across all industrial sectors94. Achieving these reductions while expanding</w:t>
      </w:r>
      <w:r>
        <w:t xml:space="preserve"> </w:t>
      </w:r>
      <w:r>
        <w:t xml:space="preserve">and modernising the EU’s industrial base will demand significant capital investments</w:t>
      </w:r>
      <w:r>
        <w:t xml:space="preserve"> </w:t>
      </w:r>
      <w:r>
        <w:t xml:space="preserve">(CAPEX) in decarbonisation - see section ‘Investment needs and system costs’ in Annex 8.</w:t>
      </w:r>
      <w:r>
        <w:t xml:space="preserve"> </w:t>
      </w:r>
      <w:r>
        <w:t xml:space="preserve">These investments will also require even larger operational expenses (OPEX)95. Investments</w:t>
      </w:r>
      <w:r>
        <w:t xml:space="preserve"> </w:t>
      </w:r>
      <w:r>
        <w:t xml:space="preserve">in decarbonisation technologies are essential to enable decoupling of the industrial emissions</w:t>
      </w:r>
      <w:r>
        <w:t xml:space="preserve"> </w:t>
      </w:r>
      <w:r>
        <w:t xml:space="preserve">from the industrial output.</w:t>
      </w:r>
      <w:r>
        <w:t xml:space="preserve"> </w:t>
      </w:r>
      <w:r>
        <w:t xml:space="preserve">The carbon price signal from the EU Emissions Trading System (EU ETS) together with Free</w:t>
      </w:r>
      <w:r>
        <w:t xml:space="preserve"> </w:t>
      </w:r>
      <w:r>
        <w:t xml:space="preserve">Allowances phase-out and Carbon Border Adjustment Mechanism (CBAM) phase-in, already</w:t>
      </w:r>
      <w:r>
        <w:t xml:space="preserve"> </w:t>
      </w:r>
      <w:r>
        <w:t xml:space="preserve">provide strong incentives for industrial decarbonisation, while protecting against carbon</w:t>
      </w:r>
      <w:r>
        <w:t xml:space="preserve"> </w:t>
      </w:r>
      <w:r>
        <w:t xml:space="preserve">leakage. In addition, carbon pricing works hand-in-hand with regulatory measures such as</w:t>
      </w:r>
      <w:r>
        <w:t xml:space="preserve"> </w:t>
      </w:r>
      <w:r>
        <w:t xml:space="preserve">targets and requirements on energy efficiency, renewable energy or decarbonised mobility and</w:t>
      </w:r>
      <w:r>
        <w:t xml:space="preserve"> </w:t>
      </w:r>
      <w:r>
        <w:t xml:space="preserve">industry. However, many investments for decarbonisation, in particular in energy-intensive</w:t>
      </w:r>
      <w:r>
        <w:t xml:space="preserve"> </w:t>
      </w:r>
      <w:r>
        <w:t xml:space="preserve">industries (EIIs), today still lack a business case, at current and expected carbon prices and</w:t>
      </w:r>
      <w:r>
        <w:t xml:space="preserve"> </w:t>
      </w:r>
      <w:r>
        <w:t xml:space="preserve">regulatory measures still need time to be fully implemented and firmly influence investment</w:t>
      </w:r>
      <w:r>
        <w:t xml:space="preserve"> </w:t>
      </w:r>
      <w:r>
        <w:t xml:space="preserve">decisions. This is one of the central topics of the 2024 Draghi report. In reaction to growing</w:t>
      </w:r>
      <w:r>
        <w:t xml:space="preserve"> </w:t>
      </w:r>
      <w:r>
        <w:t xml:space="preserve">carbon price, industry can respond by reducing output especially if the demand for ‘green’</w:t>
      </w:r>
      <w:r>
        <w:t xml:space="preserve"> </w:t>
      </w:r>
      <w:r>
        <w:t xml:space="preserve">products is low or uncertain. Upcoming initiatives concerning lead markets and green premium</w:t>
      </w:r>
      <w:r>
        <w:t xml:space="preserve"> </w:t>
      </w:r>
      <w:r>
        <w:t xml:space="preserve">that they can offer will be alleviating this risk but in the short term the cost gap (‘green’ vs</w:t>
      </w:r>
      <w:r>
        <w:t xml:space="preserve"> </w:t>
      </w:r>
      <w:r>
        <w:t xml:space="preserve">fossil technologies) needs to be covered.</w:t>
      </w:r>
      <w:r>
        <w:br/>
      </w:r>
      <w:r>
        <w:t xml:space="preserve">In this context, the Innovation Fund (IF), whose first call for proposals was launched in 2020,</w:t>
      </w:r>
      <w:r>
        <w:t xml:space="preserve"> </w:t>
      </w:r>
      <w:r>
        <w:t xml:space="preserve">has established itself as the key EU instrument to support commercial demonstration/first-</w:t>
      </w:r>
      <w:r>
        <w:t xml:space="preserve"> </w:t>
      </w:r>
      <w:r>
        <w:t xml:space="preserve">of-a-kind (FOAK) deployment of innovative low-carbon technologies in energy-intensive</w:t>
      </w:r>
      <w:r>
        <w:t xml:space="preserve"> </w:t>
      </w:r>
      <w:r>
        <w:t xml:space="preserve">industries (EII), renewables, energy storage and mobility. It has also successfully tested support</w:t>
      </w:r>
      <w:r>
        <w:t xml:space="preserve"> </w:t>
      </w:r>
      <w:r>
        <w:t xml:space="preserve">mechanism for the roll-out of more mature decarbonisation technologies with auctions for</w:t>
      </w:r>
      <w:r>
        <w:t xml:space="preserve"> </w:t>
      </w:r>
      <w:r>
        <w:t xml:space="preserve">RFNBO hydrogen and decarbonised industrial process heat. With over 200 projects in the</w:t>
      </w:r>
      <w:r>
        <w:t xml:space="preserve"> </w:t>
      </w:r>
      <w:r>
        <w:t xml:space="preserve">portfolio, it has proved to play a crucial role in accelerating technological progress,</w:t>
      </w:r>
      <w:r>
        <w:t xml:space="preserve"> </w:t>
      </w:r>
      <w:r>
        <w:t xml:space="preserve">bankability and deployment of innovative climate solutions across the EU, particularly for</w:t>
      </w:r>
      <w:r>
        <w:t xml:space="preserve"> </w:t>
      </w:r>
      <w:r>
        <w:t xml:space="preserve">high-risk,</w:t>
      </w:r>
      <w:r>
        <w:t xml:space="preserve"> </w:t>
      </w:r>
      <w:r>
        <w:t xml:space="preserve">capital-intensive,</w:t>
      </w:r>
      <w:r>
        <w:t xml:space="preserve"> </w:t>
      </w:r>
      <w:r>
        <w:t xml:space="preserve">first-of-a-kind/early</w:t>
      </w:r>
      <w:r>
        <w:t xml:space="preserve"> </w:t>
      </w:r>
      <w:r>
        <w:t xml:space="preserve">commercialisation</w:t>
      </w:r>
      <w:r>
        <w:t xml:space="preserve"> </w:t>
      </w:r>
      <w:r>
        <w:t xml:space="preserve">industrial</w:t>
      </w:r>
      <w:r>
        <w:t xml:space="preserve"> </w:t>
      </w:r>
      <w:r>
        <w:t xml:space="preserve">decarbonisation projects that private instruments cannot support at comparable scale or risk</w:t>
      </w:r>
      <w:r>
        <w:t xml:space="preserve"> </w:t>
      </w:r>
      <w:r>
        <w:t xml:space="preserve">tolerance. At the same time, its continued oversubscription of call budgets (up to 20 times and</w:t>
      </w:r>
      <w:r>
        <w:t xml:space="preserve"> </w:t>
      </w:r>
      <w:r>
        <w:t xml:space="preserve">on average nearly 5 times for all calls for proposals) highlights the private sector’s interest in</w:t>
      </w:r>
      <w:r>
        <w:t xml:space="preserve"> </w:t>
      </w:r>
      <w:r>
        <w:t xml:space="preserve">investing in decarbonisation projects, provided a viable business case is enabled by subsidies</w:t>
      </w:r>
      <w:r>
        <w:t xml:space="preserve"> </w:t>
      </w:r>
      <w:r>
        <w:t xml:space="preserve">that complement regulatory and carbon pricing policies. In recent years, the IF has also</w:t>
      </w:r>
      <w:r>
        <w:t xml:space="preserve"> </w:t>
      </w:r>
      <w:r>
        <w:t xml:space="preserve">started to address more mature technologies via pilot and targeted auctions for renewable and</w:t>
      </w:r>
      <w:r>
        <w:t xml:space="preserve"> </w:t>
      </w:r>
      <w:r>
        <w:t xml:space="preserve">electrolytic low-carbon hydrogen and electrified and direct-renewable process heat. Going</w:t>
      </w:r>
    </w:p>
    <w:p>
      <w:pPr>
        <w:pStyle w:val="FirstParagraph"/>
      </w:pPr>
      <w:r>
        <w:t xml:space="preserve">93 Eurostat</w:t>
      </w:r>
      <w:r>
        <w:t xml:space="preserve"> </w:t>
      </w:r>
      <w:r>
        <w:t xml:space="preserve">94 Impact assessment accompanying the 2040 Climate Target proposal. SWD(2023) 63 final.</w:t>
      </w:r>
      <w:r>
        <w:br/>
      </w:r>
      <w:r>
        <w:t xml:space="preserve">95 Estimated at approximately EUR 300 billion annually, covering essential resources such as clean electricity,</w:t>
      </w:r>
      <w:r>
        <w:t xml:space="preserve"> </w:t>
      </w:r>
      <w:r>
        <w:t xml:space="preserve">and hydrogen in Impact assessment accompanying the 2040 Climate Target proposal. SWD(2023) 63 final.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forward there is a need to scale up this type of support in order to ensure a competitive selection</w:t>
      </w:r>
      <w:r>
        <w:t xml:space="preserve"> </w:t>
      </w:r>
      <w:r>
        <w:t xml:space="preserve">of projects for cost-effective support of decarbonisation technologies.</w:t>
      </w:r>
      <w:r>
        <w:br/>
      </w:r>
      <w:r>
        <w:t xml:space="preserve">As the EU ETS cap becomes more stringent, continued innovation support with broad sectoral</w:t>
      </w:r>
      <w:r>
        <w:t xml:space="preserve"> </w:t>
      </w:r>
      <w:r>
        <w:t xml:space="preserve">coverage and capacity to address both technical and scale-up risks remains essential to address</w:t>
      </w:r>
      <w:r>
        <w:t xml:space="preserve"> </w:t>
      </w:r>
      <w:r>
        <w:t xml:space="preserve">the emissions most difficult to abate and to further develop and diversify low-carbon solutions</w:t>
      </w:r>
      <w:r>
        <w:t xml:space="preserve"> </w:t>
      </w:r>
      <w:r>
        <w:t xml:space="preserve">across EU industry96. However, current IF resources are expected to be fully committed by</w:t>
      </w:r>
      <w:r>
        <w:t xml:space="preserve"> </w:t>
      </w:r>
      <w:r>
        <w:t xml:space="preserve">2028, resulting in a temporary ‘void’ (2028–2030) in support from EU ETS revenues to</w:t>
      </w:r>
      <w:r>
        <w:t xml:space="preserve"> </w:t>
      </w:r>
      <w:r>
        <w:t xml:space="preserve">industrial decarbonisation until the next programming period begins.</w:t>
      </w:r>
      <w:r>
        <w:br/>
      </w:r>
      <w:r>
        <w:t xml:space="preserve">In absence of the IF, there is no EU funding instrument that has the necessary resources to</w:t>
      </w:r>
      <w:r>
        <w:t xml:space="preserve"> </w:t>
      </w:r>
      <w:r>
        <w:t xml:space="preserve">provide the necessary volume and duration of subsidies to support innovation and, even more</w:t>
      </w:r>
      <w:r>
        <w:t xml:space="preserve"> </w:t>
      </w:r>
      <w:r>
        <w:t xml:space="preserve">so, for the broad deployment of industrial decarbonisation technologies. In part, this role could</w:t>
      </w:r>
      <w:r>
        <w:t xml:space="preserve"> </w:t>
      </w:r>
      <w:r>
        <w:t xml:space="preserve">be taken up by the future European Competitiveness Fund (ECF), proposed as part of the next</w:t>
      </w:r>
      <w:r>
        <w:t xml:space="preserve"> </w:t>
      </w:r>
      <w:r>
        <w:t xml:space="preserve">Multiannual Financial Framework. The ECF is proposed to allocate EUR 26.2 bn to support</w:t>
      </w:r>
      <w:r>
        <w:t xml:space="preserve"> </w:t>
      </w:r>
      <w:r>
        <w:t xml:space="preserve">for Clean Transition and Industrial Decarbonisation out of the total EUR 234 bn budget.</w:t>
      </w:r>
      <w:r>
        <w:t xml:space="preserve"> </w:t>
      </w:r>
      <w:r>
        <w:t xml:space="preserve">However, the ECF’s clean transition window is expected to have a broader scope than the</w:t>
      </w:r>
      <w:r>
        <w:t xml:space="preserve"> </w:t>
      </w:r>
      <w:r>
        <w:t xml:space="preserve">current IF and are still dependent on the outcome of the legislative process. State Aid could be</w:t>
      </w:r>
      <w:r>
        <w:t xml:space="preserve"> </w:t>
      </w:r>
      <w:r>
        <w:t xml:space="preserve">another source of funding, given streamlined requirements and procedures recently enacted in</w:t>
      </w:r>
      <w:r>
        <w:t xml:space="preserve"> </w:t>
      </w:r>
      <w:r>
        <w:t xml:space="preserve">the Clean Industrial Deal State aid Framework (CISAF)97. However, national approaches will</w:t>
      </w:r>
      <w:r>
        <w:t xml:space="preserve"> </w:t>
      </w:r>
      <w:r>
        <w:t xml:space="preserve">remain inherently fragmented, lacking the ability to exploit the economies of scale and efficient</w:t>
      </w:r>
      <w:r>
        <w:t xml:space="preserve"> </w:t>
      </w:r>
      <w:r>
        <w:t xml:space="preserve">allocation of resources the single EU market can provide, and will be limited by national fiscal</w:t>
      </w:r>
      <w:r>
        <w:t xml:space="preserve"> </w:t>
      </w:r>
      <w:r>
        <w:t xml:space="preserve">constraints.</w:t>
      </w:r>
      <w:r>
        <w:t xml:space="preserve"> </w:t>
      </w:r>
      <w:r>
        <w:t xml:space="preserve">Already in 2024, the Draghi report98 outlined very concrete recommendations as regards</w:t>
      </w:r>
      <w:r>
        <w:t xml:space="preserve"> </w:t>
      </w:r>
      <w:r>
        <w:t xml:space="preserve">industrial decarbonisation:</w:t>
      </w:r>
      <w:r>
        <w:br/>
      </w:r>
      <w:r>
        <w:t xml:space="preserve">(1) Reinforce relevant funding support for the decarbonisation of EIIs, starting by</w:t>
      </w:r>
      <w:r>
        <w:t xml:space="preserve"> </w:t>
      </w:r>
      <w:r>
        <w:t xml:space="preserve">earmarking ETS revenues.</w:t>
      </w:r>
      <w:r>
        <w:br/>
      </w:r>
      <w:r>
        <w:t xml:space="preserve">(2) Simplify, accelerate and harmonise subsidy allocation mechanisms. Adopt common</w:t>
      </w:r>
      <w:r>
        <w:t xml:space="preserve"> </w:t>
      </w:r>
      <w:r>
        <w:t xml:space="preserve">instruments across Member States, such as the European Hydrogen Bank and Carbon</w:t>
      </w:r>
      <w:r>
        <w:t xml:space="preserve"> </w:t>
      </w:r>
      <w:r>
        <w:t xml:space="preserve">Contracts for Difference.</w:t>
      </w:r>
      <w:r>
        <w:t xml:space="preserve"> </w:t>
      </w:r>
      <w:r>
        <w:t xml:space="preserve">This is why the Clean Industrial Deal (CID) Communication99 announced the Industrial</w:t>
      </w:r>
      <w:r>
        <w:t xml:space="preserve"> </w:t>
      </w:r>
      <w:r>
        <w:t xml:space="preserve">Decarbonisation Bank (‘IDB’) to address the scale-up and roll-out of more mature industrial</w:t>
      </w:r>
      <w:r>
        <w:t xml:space="preserve"> </w:t>
      </w:r>
      <w:r>
        <w:t xml:space="preserve">decarbonisation projects (notably in EIIs) across all Member States:</w:t>
      </w:r>
      <w:r>
        <w:br/>
      </w:r>
      <w:r>
        <w:t xml:space="preserve">The Commission will propose an Industrial Decarbonisation Bank aiming for EUR</w:t>
      </w:r>
      <w:r>
        <w:t xml:space="preserve"> </w:t>
      </w:r>
      <w:r>
        <w:t xml:space="preserve">100 billion in funding based on funds in the Innovation Fund, additional revenues</w:t>
      </w:r>
      <w:r>
        <w:t xml:space="preserve"> </w:t>
      </w:r>
      <w:r>
        <w:t xml:space="preserve">resulting from parts of the ETS as well as the revision of InvestEU (…). The Industrial</w:t>
      </w:r>
      <w:r>
        <w:t xml:space="preserve"> </w:t>
      </w:r>
      <w:r>
        <w:t xml:space="preserve">Decarbonisation Bank will maximise emission reductions. It will use ETS allowances</w:t>
      </w:r>
      <w:r>
        <w:t xml:space="preserve"> </w:t>
      </w:r>
      <w:r>
        <w:t xml:space="preserve">reserved for this purpose as part of the architecture of the EU ETS to support projects</w:t>
      </w:r>
    </w:p>
    <w:p>
      <w:pPr>
        <w:pStyle w:val="BodyText"/>
      </w:pPr>
      <w:r>
        <w:t xml:space="preserve">96 The IF evaluation report also recommends that a more focused support for innovative decarbonisation projects</w:t>
      </w:r>
      <w:r>
        <w:t xml:space="preserve"> </w:t>
      </w:r>
      <w:r>
        <w:t xml:space="preserve">could be achieved by application and evaluation process simplification, introduction of completion</w:t>
      </w:r>
      <w:r>
        <w:t xml:space="preserve"> </w:t>
      </w:r>
      <w:r>
        <w:t xml:space="preserve">bonds/penalties, award criteria revision, possibility to cover a larger share of the funding gap, support for</w:t>
      </w:r>
      <w:r>
        <w:t xml:space="preserve"> </w:t>
      </w:r>
      <w:r>
        <w:t xml:space="preserve">existing investments, targeted support for SMEs and start-ups.</w:t>
      </w:r>
      <w:r>
        <w:t xml:space="preserve"> </w:t>
      </w:r>
      <w:r>
        <w:t xml:space="preserve">97 Communication from the Commission – Framework for State Aid measures to support the Clean Industrial</w:t>
      </w:r>
      <w:r>
        <w:t xml:space="preserve"> </w:t>
      </w:r>
      <w:r>
        <w:t xml:space="preserve">Deal (Clean Industrial Deal State Aid Framework) (C/2025/3602)</w:t>
      </w:r>
      <w:r>
        <w:t xml:space="preserve"> </w:t>
      </w:r>
      <w:r>
        <w:t xml:space="preserve">98 European Commission, The Future of European Competitiveness: Part A: A competitiveness strategy for</w:t>
      </w:r>
      <w:r>
        <w:t xml:space="preserve"> </w:t>
      </w:r>
      <w:r>
        <w:t xml:space="preserve">Europe,2024,https://commission.europa.eu/document/download/97e481fd-2dc3-412d-be4c-</w:t>
      </w:r>
      <w:r>
        <w:t xml:space="preserve"> </w:t>
      </w:r>
      <w:r>
        <w:t xml:space="preserve">f152a8232961_en?filename=The%20future%20of%20European%20competitiveness%20_%20A%20comp</w:t>
      </w:r>
      <w:r>
        <w:t xml:space="preserve"> </w:t>
      </w:r>
      <w:r>
        <w:t xml:space="preserve">etitiveness%20strategy%20for%20Europe.pdf.</w:t>
      </w:r>
      <w:r>
        <w:br/>
      </w:r>
      <w:r>
        <w:t xml:space="preserve">99 Communication from the Commission – Clean Industrial Deal: A joint roadmap for competitiveness and</w:t>
      </w:r>
      <w:r>
        <w:t xml:space="preserve"> </w:t>
      </w:r>
      <w:r>
        <w:t xml:space="preserve">decarbonisation COM/2025/85 final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with carbon emission reduction as a metric to enable technology-neutral support</w:t>
      </w:r>
      <w:r>
        <w:t xml:space="preserve"> </w:t>
      </w:r>
      <w:r>
        <w:t xml:space="preserve">across industrial sectors, including through carbon contracts for difference. It will</w:t>
      </w:r>
      <w:r>
        <w:t xml:space="preserve"> </w:t>
      </w:r>
      <w:r>
        <w:t xml:space="preserve">be designed to ensure a competitive selection and a fair distribution of support across</w:t>
      </w:r>
      <w:r>
        <w:t xml:space="preserve"> </w:t>
      </w:r>
      <w:r>
        <w:t xml:space="preserve">Member States. It will complement the ETS price signal and help bridge the funding</w:t>
      </w:r>
      <w:r>
        <w:t xml:space="preserve"> </w:t>
      </w:r>
      <w:r>
        <w:t xml:space="preserve">gap in both capital and operational expenditures.</w:t>
      </w:r>
      <w:r>
        <w:t xml:space="preserve"> </w:t>
      </w:r>
      <w:r>
        <w:t xml:space="preserve">The proposal for the IDB in the CID makes a clear commitment to use a dedicated part of</w:t>
      </w:r>
      <w:r>
        <w:t xml:space="preserve"> </w:t>
      </w:r>
      <w:r>
        <w:t xml:space="preserve">EU ETS allowances to support the business case for clean industrial transformation of</w:t>
      </w:r>
      <w:r>
        <w:t xml:space="preserve"> </w:t>
      </w:r>
      <w:r>
        <w:t xml:space="preserve">the EII. This model has worked successfully for the IF as well.</w:t>
      </w:r>
      <w:r>
        <w:br/>
      </w:r>
      <w:r>
        <w:t xml:space="preserve">The endowment of the IDB proposed in the CID is EUR 100 bn. If IDB supported the industrial</w:t>
      </w:r>
      <w:r>
        <w:t xml:space="preserve"> </w:t>
      </w:r>
      <w:r>
        <w:t xml:space="preserve">decarbonisation projects at the intensity of between 50 to 100 EUR/tCO2 (on top of the EU</w:t>
      </w:r>
      <w:r>
        <w:t xml:space="preserve"> </w:t>
      </w:r>
      <w:r>
        <w:t xml:space="preserve">ETS price), over 10 years, it could address between 40% and 20% of the industrial emissions</w:t>
      </w:r>
      <w:r>
        <w:t xml:space="preserve"> </w:t>
      </w:r>
      <w:r>
        <w:t xml:space="preserve">in the EU (200Mt – 100Mt CO2). Beyond this very simple indication, the sections below</w:t>
      </w:r>
      <w:r>
        <w:t xml:space="preserve"> </w:t>
      </w:r>
      <w:r>
        <w:t xml:space="preserve">provide a dedicated analysis on expected impacts. Comparing the IDB budget to the total</w:t>
      </w:r>
      <w:r>
        <w:t xml:space="preserve"> </w:t>
      </w:r>
      <w:r>
        <w:t xml:space="preserve">investment needs in industry (EUR 30-50 bn/year) as well as their operational expenditure</w:t>
      </w:r>
      <w:r>
        <w:t xml:space="preserve"> </w:t>
      </w:r>
      <w:r>
        <w:t xml:space="preserve">(around EUR 300 bn/year), the IDB represents only a fraction of expenditure. This is justified</w:t>
      </w:r>
      <w:r>
        <w:t xml:space="preserve"> </w:t>
      </w:r>
      <w:r>
        <w:t xml:space="preserve">considering that it should only cover projects ‘funding gap’ and not the costs that can be</w:t>
      </w:r>
      <w:r>
        <w:t xml:space="preserve"> </w:t>
      </w:r>
      <w:r>
        <w:t xml:space="preserve">covered by the market revenues or private investors and that there will be other instruments</w:t>
      </w:r>
      <w:r>
        <w:t xml:space="preserve"> </w:t>
      </w:r>
      <w:r>
        <w:t xml:space="preserve">supporting the transition: ECF, State aid and Free Allocation.</w:t>
      </w:r>
      <w:r>
        <w:t xml:space="preserve"> </w:t>
      </w:r>
      <w:r>
        <w:t xml:space="preserve">Following the Clean Industrial Deal and meeting of the EU leaders in Alden Biesen on</w:t>
      </w:r>
      <w:r>
        <w:t xml:space="preserve"> </w:t>
      </w:r>
      <w:r>
        <w:t xml:space="preserve">deepening the single market, reducing economic dependencies and boosting competitiveness,</w:t>
      </w:r>
      <w:r>
        <w:t xml:space="preserve"> </w:t>
      </w:r>
      <w:r>
        <w:t xml:space="preserve">at the March European Council the ‘Investment Booster’ was announced100. The ‘Investment</w:t>
      </w:r>
      <w:r>
        <w:t xml:space="preserve"> </w:t>
      </w:r>
      <w:r>
        <w:t xml:space="preserve">Booster’ will be the first stage of the IDB. Starting ahead of 2030, 400 million ETS allowances</w:t>
      </w:r>
      <w:r>
        <w:t xml:space="preserve"> </w:t>
      </w:r>
      <w:r>
        <w:t xml:space="preserve">will finance industrial decarbonisation investments with focus on speed and solidarity. Speed</w:t>
      </w:r>
      <w:r>
        <w:t xml:space="preserve"> </w:t>
      </w:r>
      <w:r>
        <w:t xml:space="preserve">will be ensured as support will become available on a ‘first come, first served’ basis. Solidarity</w:t>
      </w:r>
      <w:r>
        <w:t xml:space="preserve"> </w:t>
      </w:r>
      <w:r>
        <w:t xml:space="preserve">will ensure guaranteed access to a share of this financial support for lower-income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The source of the endowment of the IDB (including the ‘Investment Booster’ phase) and the</w:t>
      </w:r>
      <w:r>
        <w:t xml:space="preserve"> </w:t>
      </w:r>
      <w:r>
        <w:t xml:space="preserve">continuation of the IF can build on the existing EU ETS distribution which assigns a fixed</w:t>
      </w:r>
      <w:r>
        <w:t xml:space="preserve"> </w:t>
      </w:r>
      <w:r>
        <w:t xml:space="preserve">volume of allowances from Member State auctioning and from Free Allocation (including from</w:t>
      </w:r>
      <w:r>
        <w:t xml:space="preserve"> </w:t>
      </w:r>
      <w:r>
        <w:t xml:space="preserve">the phase in of CBAM) or, alternatively, from a fixed share of the EU ETS cap which would</w:t>
      </w:r>
      <w:r>
        <w:t xml:space="preserve"> </w:t>
      </w:r>
      <w:r>
        <w:t xml:space="preserve">ensure a more balanced contribution. The sourcing based on a share of the EU ETS cap would</w:t>
      </w:r>
      <w:r>
        <w:t xml:space="preserve"> </w:t>
      </w:r>
      <w:r>
        <w:t xml:space="preserve">alleviate the dependency on the allowances from the CBAM phase-in and would allow a</w:t>
      </w:r>
      <w:r>
        <w:t xml:space="preserve"> </w:t>
      </w:r>
      <w:r>
        <w:t xml:space="preserve">stronger Member State component in the IDB set up. It is clear from the EU ETS use of</w:t>
      </w:r>
      <w:r>
        <w:t xml:space="preserve"> </w:t>
      </w:r>
      <w:r>
        <w:t xml:space="preserve">auctioning revenues reports that currently a very small101 share of the EU ETS revenues is used</w:t>
      </w:r>
      <w:r>
        <w:t xml:space="preserve"> </w:t>
      </w:r>
      <w:r>
        <w:t xml:space="preserve">to support decarbonisation of EIIs. The IDB could offer a structural solution for returning the</w:t>
      </w:r>
      <w:r>
        <w:t xml:space="preserve"> </w:t>
      </w:r>
      <w:r>
        <w:t xml:space="preserve">EU ETS revenues to the EII through investment support.</w:t>
      </w:r>
    </w:p>
    <w:p>
      <w:pPr>
        <w:pStyle w:val="BodyText"/>
      </w:pPr>
      <w:r>
        <w:t xml:space="preserve">100 https://ec.europa.eu/commission/presscorner/detail/en/statement_26_663</w:t>
      </w:r>
      <w:r>
        <w:br/>
      </w:r>
      <w:r>
        <w:t xml:space="preserve">101 EEA, see: https://www.eea.europa.eu/en/analysis/indicators/use-of-auctioning-revenues-generated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Figure 1:</w:t>
      </w:r>
      <w:r>
        <w:t xml:space="preserve"> </w:t>
      </w:r>
      <w:r>
        <w:t xml:space="preserve">MS auctioning revenues and reported usage (in billion EUR)</w:t>
      </w:r>
    </w:p>
    <w:p>
      <w:pPr>
        <w:pStyle w:val="BodyText"/>
      </w:pPr>
      <w:r>
        <w:t xml:space="preserve">Source: EEA</w:t>
      </w:r>
      <w:r>
        <w:t xml:space="preserve"> </w:t>
      </w:r>
      <w:r>
        <w:t xml:space="preserve">The IDB could use different allocation mechanisms (e.g. auctions, administratively set</w:t>
      </w:r>
      <w:r>
        <w:t xml:space="preserve"> </w:t>
      </w:r>
      <w:r>
        <w:t xml:space="preserve">schemes) to award support in different forms such as: Regular’ grants, Carbon fixed premia</w:t>
      </w:r>
      <w:r>
        <w:t xml:space="preserve"> </w:t>
      </w:r>
      <w:r>
        <w:t xml:space="preserve">(CFP), Carbon Contracts for Difference (CCfD), fixed or variable premium per unit of green</w:t>
      </w:r>
      <w:r>
        <w:t xml:space="preserve"> </w:t>
      </w:r>
      <w:r>
        <w:t xml:space="preserve">product credits or other types of support – see different options assessed in Section 3. With a</w:t>
      </w:r>
      <w:r>
        <w:t xml:space="preserve"> </w:t>
      </w:r>
      <w:r>
        <w:t xml:space="preserve">budget of EUR 100 billion in funding, the IDB could significantly contribute to reducing</w:t>
      </w:r>
      <w:r>
        <w:t xml:space="preserve"> </w:t>
      </w:r>
      <w:r>
        <w:t xml:space="preserve">industrial GHG emissions; leveraging private investment to modernise the EU industrial base</w:t>
      </w:r>
      <w:r>
        <w:t xml:space="preserve"> </w:t>
      </w:r>
      <w:r>
        <w:t xml:space="preserve">and creating jobs; and boosting industrial competitiveness, especially if combined with</w:t>
      </w:r>
      <w:r>
        <w:t xml:space="preserve"> </w:t>
      </w:r>
      <w:r>
        <w:t xml:space="preserve">stronger EU industrial policy – see impacts assessed in Section 3.4.</w:t>
      </w:r>
      <w:r>
        <w:br/>
      </w:r>
      <w:r>
        <w:t xml:space="preserve">Additionally, the CID Communication indicates that a support instrument for CBAM goods at</w:t>
      </w:r>
      <w:r>
        <w:t xml:space="preserve"> </w:t>
      </w:r>
      <w:r>
        <w:t xml:space="preserve">risk of carbon leakage, which can promote decarbonisation efforts and help maintain</w:t>
      </w:r>
      <w:r>
        <w:t xml:space="preserve"> </w:t>
      </w:r>
      <w:r>
        <w:t xml:space="preserve">competitiveness. In view of the increasing rate of the CBAM phase-in and the proportional</w:t>
      </w:r>
      <w:r>
        <w:t xml:space="preserve"> </w:t>
      </w:r>
      <w:r>
        <w:t xml:space="preserve">Free Allocation phaseout rate, a permanent solution for the period after 2030 is needed, which</w:t>
      </w:r>
      <w:r>
        <w:t xml:space="preserve"> </w:t>
      </w:r>
      <w:r>
        <w:t xml:space="preserve">can leverage CBAM resources assigned to the IDB, as well as benefit from the Fund’s</w:t>
      </w:r>
      <w:r>
        <w:t xml:space="preserve"> </w:t>
      </w:r>
      <w:r>
        <w:t xml:space="preserve">governance and allocation mechanisms and forms of support. The IDB’s support mechanisms</w:t>
      </w:r>
      <w:r>
        <w:t xml:space="preserve"> </w:t>
      </w:r>
      <w:r>
        <w:t xml:space="preserve">should be adequate for the CBAM sectors; a consolidated approach (in contrast to a</w:t>
      </w:r>
      <w:r>
        <w:t xml:space="preserve"> </w:t>
      </w:r>
      <w:r>
        <w:t xml:space="preserve">‘patchwork’ of fragmented and overlapping instruments) would increase the impact of public</w:t>
      </w:r>
      <w:r>
        <w:t xml:space="preserve"> </w:t>
      </w:r>
      <w:r>
        <w:t xml:space="preserve">spending and be more accessible for industry across EII sectors.</w:t>
      </w:r>
      <w:r>
        <w:br/>
      </w:r>
      <w:r>
        <w:t xml:space="preserve">With the IDB addressing the scale-up and roll-out in the EIIs as well as the specific needs of</w:t>
      </w:r>
      <w:r>
        <w:t xml:space="preserve"> </w:t>
      </w:r>
      <w:r>
        <w:t xml:space="preserve">the CBAM sectors, the IF would keep its key focus on addressing technical and scale-up risks</w:t>
      </w:r>
      <w:r>
        <w:t xml:space="preserve"> </w:t>
      </w:r>
      <w:r>
        <w:t xml:space="preserve">of innovative technologies to a broader sectoral coverage (EIIs but also renewables, energy</w:t>
      </w:r>
      <w:r>
        <w:t xml:space="preserve"> </w:t>
      </w:r>
      <w:r>
        <w:t xml:space="preserve">storage, clean tech-manufacturing, buildings, mobility). Both programmes would have distinct</w:t>
      </w:r>
      <w:r>
        <w:t xml:space="preserve"> </w:t>
      </w:r>
      <w:r>
        <w:t xml:space="preserve">scopes, minimising the risk of overlaps, preventing ‘forum shopping’ by the projects and</w:t>
      </w:r>
      <w:r>
        <w:t xml:space="preserve"> </w:t>
      </w:r>
      <w:r>
        <w:t xml:space="preserve">offering tailor-made solutions for all stages of the technology development, for all relevant</w:t>
      </w:r>
      <w:r>
        <w:t xml:space="preserve"> </w:t>
      </w:r>
      <w:r>
        <w:t xml:space="preserve">sectors. Importantly the entire investment journey from R&amp;I to industrial deployment of the</w:t>
      </w:r>
      <w:r>
        <w:t xml:space="preserve"> </w:t>
      </w:r>
      <w:r>
        <w:t xml:space="preserve">EIIs is also proposed be covered under the European Competitiveness Fund (ECF). The IDB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will be therefore placed within the governance of the future ECF to ensure that both funding</w:t>
      </w:r>
      <w:r>
        <w:t xml:space="preserve"> </w:t>
      </w:r>
      <w:r>
        <w:t xml:space="preserve">instruments are complementary and operate with synergies notably when ECF work</w:t>
      </w:r>
      <w:r>
        <w:t xml:space="preserve"> </w:t>
      </w:r>
      <w:r>
        <w:t xml:space="preserve">programmes are developed.</w:t>
      </w:r>
      <w:r>
        <w:br/>
      </w:r>
      <w:r>
        <w:t xml:space="preserve">Importantly, the rollout of the decarbonisation technologies in EIIs will lead to a significant</w:t>
      </w:r>
      <w:r>
        <w:t xml:space="preserve"> </w:t>
      </w:r>
      <w:r>
        <w:t xml:space="preserve">increase in electricity consumption and as a result an expansion of power generation capacities</w:t>
      </w:r>
      <w:r>
        <w:t xml:space="preserve"> </w:t>
      </w:r>
      <w:r>
        <w:t xml:space="preserve">and infrastructure will be needed as described in the modelling work underpinning the climate</w:t>
      </w:r>
      <w:r>
        <w:t xml:space="preserve"> </w:t>
      </w:r>
      <w:r>
        <w:t xml:space="preserve">neutrality scenarios. Power generation expansion and decarbonisation will also bring the</w:t>
      </w:r>
      <w:r>
        <w:t xml:space="preserve"> </w:t>
      </w:r>
      <w:r>
        <w:t xml:space="preserve">investment needs. Innovative clean power generation technologies could be supported under</w:t>
      </w:r>
      <w:r>
        <w:t xml:space="preserve"> </w:t>
      </w:r>
      <w:r>
        <w:t xml:space="preserve">the continuation of the Innovation Fund as well as ECF and clean power rollout could be</w:t>
      </w:r>
      <w:r>
        <w:t xml:space="preserve"> </w:t>
      </w:r>
      <w:r>
        <w:t xml:space="preserve">supported under the ECF, National and Regional Partnership Plans, Modernisation Fund as</w:t>
      </w:r>
      <w:r>
        <w:t xml:space="preserve"> </w:t>
      </w:r>
      <w:r>
        <w:t xml:space="preserve">well as State aid. The IDB, while focusing on the EIIs investment, should also ensure that</w:t>
      </w:r>
      <w:r>
        <w:t xml:space="preserve"> </w:t>
      </w:r>
      <w:r>
        <w:t xml:space="preserve">decarbonisation projects foster the broader energy system integration. As example of such</w:t>
      </w:r>
      <w:r>
        <w:t xml:space="preserve"> </w:t>
      </w:r>
      <w:r>
        <w:t xml:space="preserve">approach is the design of the IF auction for process heat decarbonisation that included the</w:t>
      </w:r>
      <w:r>
        <w:t xml:space="preserve"> </w:t>
      </w:r>
      <w:r>
        <w:t xml:space="preserve">electricity consumption requirements102.</w:t>
      </w:r>
      <w:r>
        <w:t xml:space="preserve"> </w:t>
      </w:r>
      <w:r>
        <w:t xml:space="preserve">As the EU advances on the climate neutrality pathway, technologies currently funded by the</w:t>
      </w:r>
      <w:r>
        <w:t xml:space="preserve"> </w:t>
      </w:r>
      <w:r>
        <w:t xml:space="preserve">IF will have to be deployed more widely and at even larger scale (e.g. e-fuels, CCS, green steel)</w:t>
      </w:r>
      <w:r>
        <w:t xml:space="preserve"> </w:t>
      </w:r>
      <w:r>
        <w:t xml:space="preserve">and with the technologies proven, public support could mostly address the commercial risks.</w:t>
      </w:r>
      <w:r>
        <w:t xml:space="preserve"> </w:t>
      </w:r>
      <w:r>
        <w:t xml:space="preserve">At the same time, the IF will be needed to ‘go the last mile’ of the decarbonisation effort with</w:t>
      </w:r>
      <w:r>
        <w:t xml:space="preserve"> </w:t>
      </w:r>
      <w:r>
        <w:t xml:space="preserve">technologies that are currently at low technology readiness levels (e.g. Direct Air Capture,</w:t>
      </w:r>
      <w:r>
        <w:t xml:space="preserve"> </w:t>
      </w:r>
      <w:r>
        <w:t xml:space="preserve">electric cement kilns, alternative materials to steel, cement or chemicals) and yet are essential</w:t>
      </w:r>
      <w:r>
        <w:t xml:space="preserve"> </w:t>
      </w:r>
      <w:r>
        <w:t xml:space="preserve">to achieve the EU’s net-zero objective. The IF could also bring alternative technologies to</w:t>
      </w:r>
      <w:r>
        <w:t xml:space="preserve"> </w:t>
      </w:r>
      <w:r>
        <w:t xml:space="preserve">those known today103 to maturity that could be more cost-efficient, better abate GHGs or</w:t>
      </w:r>
      <w:r>
        <w:t xml:space="preserve"> </w:t>
      </w:r>
      <w:r>
        <w:t xml:space="preserve">better diversify the technology portfolio to increase the resilience of the EU (e.g. in case</w:t>
      </w:r>
      <w:r>
        <w:t xml:space="preserve"> </w:t>
      </w:r>
      <w:r>
        <w:t xml:space="preserve">there is a scarcity of some essential components/raw materials necessary for them). Such</w:t>
      </w:r>
      <w:r>
        <w:t xml:space="preserve"> </w:t>
      </w:r>
      <w:r>
        <w:t xml:space="preserve">funding mechanism is essential for the EU to secure technological leadership and building</w:t>
      </w:r>
      <w:r>
        <w:t xml:space="preserve"> </w:t>
      </w:r>
      <w:r>
        <w:t xml:space="preserve">the basis for competitive advantage on the global markets. While the proposed ECF also</w:t>
      </w:r>
      <w:r>
        <w:t xml:space="preserve"> </w:t>
      </w:r>
      <w:r>
        <w:t xml:space="preserve">targets this stage of the technology development of the decarbonisation technologies, its</w:t>
      </w:r>
      <w:r>
        <w:t xml:space="preserve"> </w:t>
      </w:r>
      <w:r>
        <w:t xml:space="preserve">resources will be allocated across multiple sectors and policy objectives, in accordance with</w:t>
      </w:r>
      <w:r>
        <w:t xml:space="preserve"> </w:t>
      </w:r>
      <w:r>
        <w:t xml:space="preserve">work programmes, hence the IF that recycles EU ETS revenues back to ETS sectors and has a</w:t>
      </w:r>
      <w:r>
        <w:t xml:space="preserve"> </w:t>
      </w:r>
      <w:r>
        <w:t xml:space="preserve">dedicated focus on innovative decarbonisation projects should continue.</w:t>
      </w:r>
      <w:r>
        <w:br/>
      </w:r>
      <w:r>
        <w:t xml:space="preserve">The rational to continue the IF is also the clear conclusion from the IF Evaluation that is</w:t>
      </w:r>
      <w:r>
        <w:t xml:space="preserve"> </w:t>
      </w:r>
      <w:r>
        <w:t xml:space="preserve">attached to the ETS Directive revision proposal. The evaluation clearly states that the Fund’s</w:t>
      </w:r>
      <w:r>
        <w:t xml:space="preserve"> </w:t>
      </w:r>
      <w:r>
        <w:t xml:space="preserve">attractiveness stems from its unique position to bring innovative low-carbon technology to</w:t>
      </w:r>
      <w:r>
        <w:t xml:space="preserve"> </w:t>
      </w:r>
      <w:r>
        <w:t xml:space="preserve">commercial application (crossing the ‘valley of death’) and to overcome technical, commercial,</w:t>
      </w:r>
      <w:r>
        <w:t xml:space="preserve"> </w:t>
      </w:r>
      <w:r>
        <w:t xml:space="preserve">regulatory, and infrastructural risks. The Fund’s additionality demonstrated in the evaluation</w:t>
      </w:r>
      <w:r>
        <w:t xml:space="preserve"> </w:t>
      </w:r>
      <w:r>
        <w:t xml:space="preserve">report is very high.</w:t>
      </w:r>
      <w:r>
        <w:t xml:space="preserve"> </w:t>
      </w:r>
      <w:r>
        <w:t xml:space="preserve">While it is too early in the Fund’s implementation to draw the conclusion on the Fund’s</w:t>
      </w:r>
      <w:r>
        <w:t xml:space="preserve"> </w:t>
      </w:r>
      <w:r>
        <w:t xml:space="preserve">efficiency in reducing GHG emissions, the expected GHG emission avoidance is very large. In</w:t>
      </w:r>
      <w:r>
        <w:t xml:space="preserve"> </w:t>
      </w:r>
      <w:r>
        <w:t xml:space="preserve">addition, supported projects represent a diverse portfolio across sectors and technologies,</w:t>
      </w:r>
      <w:r>
        <w:t xml:space="preserve"> </w:t>
      </w:r>
      <w:r>
        <w:t xml:space="preserve">driving large-scale industrial decarbonisation and the deployment of key mitigation</w:t>
      </w:r>
      <w:r>
        <w:t xml:space="preserve"> </w:t>
      </w:r>
      <w:r>
        <w:t xml:space="preserve">technologies. The geographical balance of the IF portfolio is also constantly improving.</w:t>
      </w:r>
    </w:p>
    <w:p>
      <w:pPr>
        <w:pStyle w:val="BodyText"/>
      </w:pPr>
      <w:r>
        <w:t xml:space="preserve">102 See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heat</w:t>
      </w:r>
      <w:r>
        <w:t xml:space="preserve"> </w:t>
      </w:r>
      <w:r>
        <w:t xml:space="preserve">auction</w:t>
      </w:r>
      <w:r>
        <w:t xml:space="preserve"> </w:t>
      </w:r>
      <w:r>
        <w:t xml:space="preserve">here:</w:t>
      </w:r>
      <w:r>
        <w:br/>
      </w:r>
      <w:r>
        <w:t xml:space="preserve">https://climate.ec.europa.eu/document/download/b55d8315-2eef-4618-aa4c-</w:t>
      </w:r>
      <w:r>
        <w:t xml:space="preserve"> </w:t>
      </w:r>
      <w:r>
        <w:t xml:space="preserve">75f72abb4e95_en?filename=news_20251010_tc_heat_auction_en.pdf</w:t>
      </w:r>
      <w:r>
        <w:br/>
      </w:r>
      <w:r>
        <w:t xml:space="preserve">103 Further technologies may also emerge from current research work as indicated in the IEA reports, see:</w:t>
      </w:r>
      <w:r>
        <w:t xml:space="preserve"> </w:t>
      </w:r>
      <w:r>
        <w:t xml:space="preserve">https://www.iea.org/reports/clean-energy-innovation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Finally, the IF has demonstrated high external coherence with EU climate and industrial</w:t>
      </w:r>
      <w:r>
        <w:t xml:space="preserve"> </w:t>
      </w:r>
      <w:r>
        <w:t xml:space="preserve">policies. Its flexible design demonstrated a high degree of adaptability to future policy and</w:t>
      </w:r>
      <w:r>
        <w:t xml:space="preserve"> </w:t>
      </w:r>
      <w:r>
        <w:t xml:space="preserve">responsiveness to market realities, based on a lean and efficient governance model, allowing it</w:t>
      </w:r>
      <w:r>
        <w:t xml:space="preserve"> </w:t>
      </w:r>
      <w:r>
        <w:t xml:space="preserve">to remain highly relevant to evolving policy priorities and confirming its strategic role in</w:t>
      </w:r>
      <w:r>
        <w:t xml:space="preserve"> </w:t>
      </w:r>
      <w:r>
        <w:t xml:space="preserve">delivering EU decarbonisation objectives.</w:t>
      </w:r>
      <w:r>
        <w:t xml:space="preserve"> </w:t>
      </w:r>
      <w:r>
        <w:t xml:space="preserve">2. SCOPING</w:t>
      </w:r>
      <w:r>
        <w:t xml:space="preserve"> </w:t>
      </w:r>
      <w:r>
        <w:t xml:space="preserve">2.1. Problem definition</w:t>
      </w:r>
      <w:r>
        <w:t xml:space="preserve"> </w:t>
      </w:r>
      <w:r>
        <w:t xml:space="preserve">The structural problem is that existing carbon price signal and perception of its future</w:t>
      </w:r>
      <w:r>
        <w:t xml:space="preserve"> </w:t>
      </w:r>
      <w:r>
        <w:t xml:space="preserve">developments together with regulatory measures are not sufficient on their own to firmly</w:t>
      </w:r>
      <w:r>
        <w:t xml:space="preserve"> </w:t>
      </w:r>
      <w:r>
        <w:t xml:space="preserve">enable the business case for investments in decarbonisation technologies for industries. This is</w:t>
      </w:r>
      <w:r>
        <w:t xml:space="preserve"> </w:t>
      </w:r>
      <w:r>
        <w:t xml:space="preserve">for example illustrated in this Bruegel report104 which indicates clearly the lack of progress in</w:t>
      </w:r>
      <w:r>
        <w:t xml:space="preserve"> </w:t>
      </w:r>
      <w:r>
        <w:t xml:space="preserve">deployment of decarbonisation solutions in energy intensive industries (notably steel, cement,</w:t>
      </w:r>
      <w:r>
        <w:t xml:space="preserve"> </w:t>
      </w:r>
      <w:r>
        <w:t xml:space="preserve">chemicals). Industrial sectors continue to face significantly higher costs for producing low-</w:t>
      </w:r>
      <w:r>
        <w:t xml:space="preserve"> </w:t>
      </w:r>
      <w:r>
        <w:t xml:space="preserve">carbon products, often due to lack of economies of scale105. In the steel and cement sectors,</w:t>
      </w:r>
      <w:r>
        <w:t xml:space="preserve"> </w:t>
      </w:r>
      <w:r>
        <w:t xml:space="preserve">estimates suggest that procurement cost for low-carbon steel could range from around 33% in</w:t>
      </w:r>
      <w:r>
        <w:t xml:space="preserve"> </w:t>
      </w:r>
      <w:r>
        <w:t xml:space="preserve">a low-cost scenario to as much as 70% in a high-cost scenario, compared to conventional</w:t>
      </w:r>
      <w:r>
        <w:t xml:space="preserve"> </w:t>
      </w:r>
      <w:r>
        <w:t xml:space="preserve">technologies and considering current CO2 costs106. Public financing could help bridge this</w:t>
      </w:r>
      <w:r>
        <w:t xml:space="preserve"> </w:t>
      </w:r>
      <w:r>
        <w:t xml:space="preserve">gap and create solid business case for the green products but is currently not available at a</w:t>
      </w:r>
      <w:r>
        <w:t xml:space="preserve"> </w:t>
      </w:r>
      <w:r>
        <w:t xml:space="preserve">necessary scale, duration and effectiveness.</w:t>
      </w:r>
      <w:r>
        <w:br/>
      </w:r>
      <w:r>
        <w:t xml:space="preserve">Innovative decarbonisation technologies, which are at first- or second-of-a-kind stage, face</w:t>
      </w:r>
      <w:r>
        <w:t xml:space="preserve"> </w:t>
      </w:r>
      <w:r>
        <w:t xml:space="preserve">high technological and commercial risks, long investment cycles, infrastructure barriers and</w:t>
      </w:r>
      <w:r>
        <w:t xml:space="preserve"> </w:t>
      </w:r>
      <w:r>
        <w:t xml:space="preserve">require significant upfront capital investment. Decarbonisation technologies107 have a</w:t>
      </w:r>
      <w:r>
        <w:t xml:space="preserve"> </w:t>
      </w:r>
      <w:r>
        <w:t xml:space="preserve">funding gap throughout their operation or are perceived to have a funding gap at currently</w:t>
      </w:r>
      <w:r>
        <w:t xml:space="preserve"> </w:t>
      </w:r>
      <w:r>
        <w:t xml:space="preserve">anticipated carbon price levels and therefore will not attract sufficient private investment</w:t>
      </w:r>
      <w:r>
        <w:t xml:space="preserve"> </w:t>
      </w:r>
      <w:r>
        <w:t xml:space="preserve">enabling scale-up or roll out. There are several drivers of this problem, illustrated by the</w:t>
      </w:r>
      <w:r>
        <w:t xml:space="preserve"> </w:t>
      </w:r>
      <w:r>
        <w:t xml:space="preserve">figure below.</w:t>
      </w:r>
    </w:p>
    <w:p>
      <w:pPr>
        <w:pStyle w:val="BodyText"/>
      </w:pPr>
      <w:r>
        <w:t xml:space="preserve">104 Bruegel,</w:t>
      </w:r>
      <w:r>
        <w:t xml:space="preserve"> </w:t>
      </w:r>
      <w:r>
        <w:t xml:space="preserve">2025.</w:t>
      </w:r>
      <w:r>
        <w:t xml:space="preserve"> </w:t>
      </w:r>
      <w:r>
        <w:t xml:space="preserve">“Clean</w:t>
      </w:r>
      <w:r>
        <w:t xml:space="preserve"> </w:t>
      </w:r>
      <w:r>
        <w:t xml:space="preserve">industrial</w:t>
      </w:r>
      <w:r>
        <w:t xml:space="preserve"> </w:t>
      </w:r>
      <w:r>
        <w:t xml:space="preserve">transformation:</w:t>
      </w:r>
      <w:r>
        <w:t xml:space="preserve"> </w:t>
      </w:r>
      <w:r>
        <w:t xml:space="preserve">where</w:t>
      </w:r>
      <w:r>
        <w:t xml:space="preserve"> </w:t>
      </w:r>
      <w:r>
        <w:t xml:space="preserve">does</w:t>
      </w:r>
      <w:r>
        <w:t xml:space="preserve"> </w:t>
      </w:r>
      <w:r>
        <w:t xml:space="preserve">Europe</w:t>
      </w:r>
      <w:r>
        <w:t xml:space="preserve"> </w:t>
      </w:r>
      <w:r>
        <w:t xml:space="preserve">stand?”,</w:t>
      </w:r>
      <w:r>
        <w:t xml:space="preserve"> </w:t>
      </w:r>
      <w:r>
        <w:t xml:space="preserve">https://www.bruegel.org/sites/default/files/2026-04/clean-industrial-transformation%3A-where-does-</w:t>
      </w:r>
      <w:r>
        <w:t xml:space="preserve"> </w:t>
      </w:r>
      <w:r>
        <w:t xml:space="preserve">europe-stand%3F-10687.pdf</w:t>
      </w:r>
      <w:r>
        <w:br/>
      </w:r>
      <w:r>
        <w:t xml:space="preserve">105 Mission Possible Partnership (MPP), E3G and the Industrial Transition Accelerator (ITA) (2025). Building</w:t>
      </w:r>
      <w:r>
        <w:t xml:space="preserve"> </w:t>
      </w:r>
      <w:r>
        <w:t xml:space="preserve">the EU’s Clean Industrial Future: Unlocking Investment through Lead Markets.</w:t>
      </w:r>
      <w:r>
        <w:t xml:space="preserve"> </w:t>
      </w:r>
      <w:r>
        <w:t xml:space="preserve">106 VUB Brussels School of Governance (2024).Public procurement of steel and cement for construction,</w:t>
      </w:r>
      <w:r>
        <w:t xml:space="preserve"> </w:t>
      </w:r>
      <w:r>
        <w:t xml:space="preserve">assessing the potential of lead markets for green steel and cement in the EU.</w:t>
      </w:r>
      <w:r>
        <w:t xml:space="preserve"> </w:t>
      </w:r>
      <w:r>
        <w:t xml:space="preserve">107 Some projects have funding gap in early years that can be compensated by revenues in later years (that could</w:t>
      </w:r>
      <w:r>
        <w:t xml:space="preserve"> </w:t>
      </w:r>
      <w:r>
        <w:t xml:space="preserve">be addressed by loans or equity-taking).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Figure 2:</w:t>
      </w:r>
      <w:r>
        <w:t xml:space="preserve"> </w:t>
      </w:r>
      <w:r>
        <w:t xml:space="preserve">Problem definition</w:t>
      </w:r>
    </w:p>
    <w:p>
      <w:pPr>
        <w:pStyle w:val="BodyText"/>
      </w:pPr>
      <w:r>
        <w:t xml:space="preserve">As illustrated above, there are the two problem drivers which relate to the private sector:</w:t>
      </w:r>
      <w:r>
        <w:t xml:space="preserve"> </w:t>
      </w:r>
      <w:r>
        <w:t xml:space="preserve">1. Private investment in industrial decarbonisation is held back by a perceived regulatory</w:t>
      </w:r>
      <w:r>
        <w:t xml:space="preserve"> </w:t>
      </w:r>
      <w:r>
        <w:t xml:space="preserve">uncertainty in terms of post-2030 climate and energy framework, technology risks</w:t>
      </w:r>
      <w:r>
        <w:t xml:space="preserve"> </w:t>
      </w:r>
      <w:r>
        <w:t xml:space="preserve">and uncertain price outlooks for carbon price, energy vectors (notably electricity),</w:t>
      </w:r>
      <w:r>
        <w:t xml:space="preserve"> </w:t>
      </w:r>
      <w:r>
        <w:t xml:space="preserve">raw materials/feedstocks and, to lesser extent, equipment costs. This reluctance to</w:t>
      </w:r>
      <w:r>
        <w:t xml:space="preserve"> </w:t>
      </w:r>
      <w:r>
        <w:t xml:space="preserve">invest will delay and increase the costs (e.g. because of higher cost of equity or debt)</w:t>
      </w:r>
      <w:r>
        <w:t xml:space="preserve"> </w:t>
      </w:r>
      <w:r>
        <w:t xml:space="preserve">for the decarbonisation of EIIs, particularly if financing is left solely to the private</w:t>
      </w:r>
      <w:r>
        <w:t xml:space="preserve"> </w:t>
      </w:r>
      <w:r>
        <w:t xml:space="preserve">sector.</w:t>
      </w:r>
      <w:r>
        <w:t xml:space="preserve"> </w:t>
      </w:r>
      <w:r>
        <w:t xml:space="preserve">2. A number of market failures is still present (missing markets for risk</w:t>
      </w:r>
      <w:r>
        <w:t xml:space="preserve"> </w:t>
      </w:r>
      <w:r>
        <w:t xml:space="preserve">sharing/insurance, need for spillover effects, carbon price not fully internalising the</w:t>
      </w:r>
      <w:r>
        <w:t xml:space="preserve"> </w:t>
      </w:r>
      <w:r>
        <w:t xml:space="preserve">climate change damage, short-term nature of investments decisions). In addition,</w:t>
      </w:r>
      <w:r>
        <w:t xml:space="preserve"> </w:t>
      </w:r>
      <w:r>
        <w:t xml:space="preserve">European goods exported into global markets can be exposed to carbon leakage</w:t>
      </w:r>
      <w:r>
        <w:t xml:space="preserve"> </w:t>
      </w:r>
      <w:r>
        <w:t xml:space="preserve">pressure from producers in countries that do not face comparable carbon pricing.</w:t>
      </w:r>
      <w:r>
        <w:t xml:space="preserve"> </w:t>
      </w:r>
      <w:r>
        <w:t xml:space="preserve">Similarly, investments in decarbonized technologies may also happen elsewhere if</w:t>
      </w:r>
      <w:r>
        <w:t xml:space="preserve"> </w:t>
      </w:r>
      <w:r>
        <w:t xml:space="preserve">investment conditions and long-term outlooks are not positive and supportive in the</w:t>
      </w:r>
      <w:r>
        <w:t xml:space="preserve"> </w:t>
      </w:r>
      <w:r>
        <w:t xml:space="preserve">EU.</w:t>
      </w:r>
      <w:r>
        <w:br/>
      </w:r>
      <w:r>
        <w:t xml:space="preserve">Other problem drivers concern the public sector:</w:t>
      </w:r>
      <w:r>
        <w:t xml:space="preserve"> </w:t>
      </w:r>
      <w:r>
        <w:t xml:space="preserve">3. Public funding (EU, national) available is not commensurate with the EII</w:t>
      </w:r>
      <w:r>
        <w:t xml:space="preserve"> </w:t>
      </w:r>
      <w:r>
        <w:t xml:space="preserve">decarbonisation investment challenge in terms of volume (EUR) and duration</w:t>
      </w:r>
      <w:r>
        <w:t xml:space="preserve"> </w:t>
      </w:r>
      <w:r>
        <w:t xml:space="preserve">(years). Lack of such public funding undermines the private sector willingness to</w:t>
      </w:r>
      <w:r>
        <w:t xml:space="preserve"> </w:t>
      </w:r>
      <w:r>
        <w:t xml:space="preserve">commit their part of resources as private actors need to ensure the return on investment</w:t>
      </w:r>
      <w:r>
        <w:t xml:space="preserve"> </w:t>
      </w:r>
      <w:r>
        <w:t xml:space="preserve">over the entire project lifetime. Capital markets are not different from other markets in</w:t>
      </w:r>
      <w:r>
        <w:t xml:space="preserve"> </w:t>
      </w:r>
      <w:r>
        <w:t xml:space="preserve">terms of competition for resources: if there are other activities which are less risky/with</w:t>
      </w:r>
      <w:r>
        <w:t xml:space="preserve"> </w:t>
      </w:r>
      <w:r>
        <w:t xml:space="preserve">better return than industrial decarbonisation projects, the scarce resources will be</w:t>
      </w:r>
      <w:r>
        <w:t xml:space="preserve"> </w:t>
      </w:r>
      <w:r>
        <w:t xml:space="preserve">committed to those other activities. Public support is needed to de-risk private</w:t>
      </w:r>
      <w:r>
        <w:t xml:space="preserve"> </w:t>
      </w:r>
      <w:r>
        <w:t xml:space="preserve">investment and bring the risks/returns to the levels of other sectors that compete for</w:t>
      </w:r>
      <w:r>
        <w:t xml:space="preserve"> </w:t>
      </w:r>
      <w:r>
        <w:t xml:space="preserve">investments.</w:t>
      </w:r>
    </w:p>
    <w:p>
      <w:pPr>
        <w:pStyle w:val="BodyText"/>
      </w:pPr>
      <w:r>
        <w:t xml:space="preserve">161</w:t>
      </w:r>
    </w:p>
    <w:p>
      <w:pPr>
        <w:pStyle w:val="Compact"/>
        <w:numPr>
          <w:ilvl w:val="0"/>
          <w:numId w:val="1013"/>
        </w:numPr>
      </w:pPr>
      <w:r>
        <w:t xml:space="preserve">Public resources are scarce; there are many competing claims on them (e.g. defence) so</w:t>
      </w:r>
      <w:r>
        <w:t xml:space="preserve"> </w:t>
      </w:r>
      <w:r>
        <w:t xml:space="preserve">they should be used effectively (making sure the industrial decarbonisation projects</w:t>
      </w:r>
      <w:r>
        <w:t xml:space="preserve"> </w:t>
      </w:r>
      <w:r>
        <w:t xml:space="preserve">materialise and deliver GHG abatement).</w:t>
      </w:r>
    </w:p>
    <w:p>
      <w:pPr>
        <w:pStyle w:val="Compact"/>
        <w:numPr>
          <w:ilvl w:val="0"/>
          <w:numId w:val="1013"/>
        </w:numPr>
      </w:pPr>
      <w:r>
        <w:t xml:space="preserve">Public resources should be used in the most efficient manner (i.e. with the largest</w:t>
      </w:r>
      <w:r>
        <w:t xml:space="preserve"> </w:t>
      </w:r>
      <w:r>
        <w:t xml:space="preserve">abatement achieved per each EUR spent, notably through a high leverage effect of</w:t>
      </w:r>
      <w:r>
        <w:t xml:space="preserve"> </w:t>
      </w:r>
      <w:r>
        <w:t xml:space="preserve">private investment and smart risk-sharing). While State aid is a very efficient way of</w:t>
      </w:r>
      <w:r>
        <w:t xml:space="preserve"> </w:t>
      </w:r>
      <w:r>
        <w:t xml:space="preserve">supporting decarbonisation projects (thanks to a number of safeguards against</w:t>
      </w:r>
      <w:r>
        <w:t xml:space="preserve"> </w:t>
      </w:r>
      <w:r>
        <w:t xml:space="preserve">overcompensation), it does not bring the benefits of EU-level competition that the</w:t>
      </w:r>
      <w:r>
        <w:t xml:space="preserve"> </w:t>
      </w:r>
      <w:r>
        <w:t xml:space="preserve">EU-level instruments can bring (as also highlighted in the recommendation of Draghi</w:t>
      </w:r>
      <w:r>
        <w:t xml:space="preserve"> </w:t>
      </w:r>
      <w:r>
        <w:t xml:space="preserve">report) and does not provide support in all MS. The benefits of the EU-level competition</w:t>
      </w:r>
      <w:r>
        <w:t xml:space="preserve"> </w:t>
      </w:r>
      <w:r>
        <w:t xml:space="preserve">are clearly seen in the results of the IF so far, which has a very high leverage of the</w:t>
      </w:r>
      <w:r>
        <w:t xml:space="preserve"> </w:t>
      </w:r>
      <w:r>
        <w:t xml:space="preserve">private capital (4.5 multiplier effect) and abatement proportional to subsidies.</w:t>
      </w:r>
    </w:p>
    <w:p>
      <w:pPr>
        <w:pStyle w:val="Compact"/>
        <w:numPr>
          <w:ilvl w:val="0"/>
          <w:numId w:val="1013"/>
        </w:numPr>
      </w:pPr>
      <w:r>
        <w:t xml:space="preserve">National investment programmes are often rigid, complex and fragmented. With the</w:t>
      </w:r>
      <w:r>
        <w:t xml:space="preserve"> </w:t>
      </w:r>
      <w:r>
        <w:t xml:space="preserve">exception of IPCEI and RRF, national funding programmes do not fully exploit the</w:t>
      </w:r>
      <w:r>
        <w:t xml:space="preserve"> </w:t>
      </w:r>
      <w:r>
        <w:t xml:space="preserve">benefits of the EU single market (leading to subsidy races, a patchwork of</w:t>
      </w:r>
      <w:r>
        <w:t xml:space="preserve"> </w:t>
      </w:r>
      <w:r>
        <w:t xml:space="preserve">requirements to comply with, national not EU champions supported etc.). The IDB, by</w:t>
      </w:r>
      <w:r>
        <w:t xml:space="preserve"> </w:t>
      </w:r>
      <w:r>
        <w:t xml:space="preserve">working at a scale on the EU level, with streamlined procedures and opening ‘as a</w:t>
      </w:r>
      <w:r>
        <w:t xml:space="preserve"> </w:t>
      </w:r>
      <w:r>
        <w:t xml:space="preserve">service’ feature developed for the Innovation Fund to channel also State aid108, could</w:t>
      </w:r>
      <w:r>
        <w:t xml:space="preserve"> </w:t>
      </w:r>
      <w:r>
        <w:t xml:space="preserve">help to make the EU funding landscape less complex.</w:t>
      </w:r>
      <w:r>
        <w:t xml:space="preserve"> </w:t>
      </w:r>
      <w:r>
        <w:t xml:space="preserve">It is clear that EU-level public funding that reacts to such market failures cannot simply replace</w:t>
      </w:r>
      <w:r>
        <w:t xml:space="preserve"> </w:t>
      </w:r>
      <w:r>
        <w:t xml:space="preserve">the private sector. Instead, it can ‘catalyse’ the private investment, act as ‘seed’ funding and</w:t>
      </w:r>
      <w:r>
        <w:t xml:space="preserve"> </w:t>
      </w:r>
      <w:r>
        <w:t xml:space="preserve">mitigate some of those investment risks. To achieve the best outcome, public sector funding</w:t>
      </w:r>
      <w:r>
        <w:t xml:space="preserve"> </w:t>
      </w:r>
      <w:r>
        <w:t xml:space="preserve">needs to provide support in the most effective (i.e. will supported projects materialise and</w:t>
      </w:r>
      <w:r>
        <w:t xml:space="preserve"> </w:t>
      </w:r>
      <w:r>
        <w:t xml:space="preserve">achieve the expected GHG abatement) and efficient manner (i.e. achieving the best rate</w:t>
      </w:r>
      <w:r>
        <w:t xml:space="preserve"> </w:t>
      </w:r>
      <w:r>
        <w:t xml:space="preserve">of GHG abatement to spending) by leveraging the private investment. Considering that</w:t>
      </w:r>
      <w:r>
        <w:t xml:space="preserve"> </w:t>
      </w:r>
      <w:r>
        <w:t xml:space="preserve">private sector tolerance of higher risk is aligned with expected profits, there can be a potential</w:t>
      </w:r>
      <w:r>
        <w:t xml:space="preserve"> </w:t>
      </w:r>
      <w:r>
        <w:t xml:space="preserve">trade-off between effectiveness and efficiency. A very efficient scheme that maximises the</w:t>
      </w:r>
      <w:r>
        <w:t xml:space="preserve"> </w:t>
      </w:r>
      <w:r>
        <w:t xml:space="preserve">participation of public funding, will necessarily push more risks towards the private sector and</w:t>
      </w:r>
      <w:r>
        <w:t xml:space="preserve"> </w:t>
      </w:r>
      <w:r>
        <w:t xml:space="preserve">thus become less attractive for private sector. Even if public funding is secured by an efficient</w:t>
      </w:r>
      <w:r>
        <w:t xml:space="preserve"> </w:t>
      </w:r>
      <w:r>
        <w:t xml:space="preserve">project, if that project faces difficulties, i.e. unexpected cost increases, it might be abandoned</w:t>
      </w:r>
      <w:r>
        <w:t xml:space="preserve"> </w:t>
      </w:r>
      <w:r>
        <w:t xml:space="preserve">by private investors - putting at risk the effectiveness of support (the IF evaluation early</w:t>
      </w:r>
      <w:r>
        <w:t xml:space="preserve"> </w:t>
      </w:r>
      <w:r>
        <w:t xml:space="preserve">findings suggest that 7 % of IF projects have terminated prematurely due to adverse changes</w:t>
      </w:r>
      <w:r>
        <w:t xml:space="preserve"> </w:t>
      </w:r>
      <w:r>
        <w:t xml:space="preserve">in market fundamentals or corporate decisions that were not anticipated in the project proposals</w:t>
      </w:r>
      <w:r>
        <w:t xml:space="preserve"> </w:t>
      </w:r>
      <w:r>
        <w:t xml:space="preserve">and could not be detected during the evaluation process).</w:t>
      </w:r>
      <w:r>
        <w:t xml:space="preserve"> </w:t>
      </w:r>
      <w:r>
        <w:t xml:space="preserve">Consequently, a balance needs to be struck and different ways of boosting efficiency can be</w:t>
      </w:r>
      <w:r>
        <w:t xml:space="preserve"> </w:t>
      </w:r>
      <w:r>
        <w:t xml:space="preserve">explored, such as drawing on the benefits of the EU-level competition, adapting dynamically</w:t>
      </w:r>
      <w:r>
        <w:t xml:space="preserve"> </w:t>
      </w:r>
      <w:r>
        <w:t xml:space="preserve">to market conditions (e.g. by support in the form of variable premiums), safeguarding against</w:t>
      </w:r>
      <w:r>
        <w:t xml:space="preserve"> </w:t>
      </w:r>
      <w:r>
        <w:t xml:space="preserve">the overcompensation (e.g. upside sharing mechanisms via a CCfD scheme), and public</w:t>
      </w:r>
      <w:r>
        <w:t xml:space="preserve"> </w:t>
      </w:r>
      <w:r>
        <w:t xml:space="preserve">support taking the form of guarantees rather than grants to achieve the best possible leverage</w:t>
      </w:r>
    </w:p>
    <w:p>
      <w:pPr>
        <w:pStyle w:val="FirstParagraph"/>
      </w:pPr>
      <w:r>
        <w:t xml:space="preserve">108 Because of the limited budget available, the IF calls have been largely oversubscribed. Due to high</w:t>
      </w:r>
      <w:r>
        <w:t xml:space="preserve"> </w:t>
      </w:r>
      <w:r>
        <w:t xml:space="preserve">competition many projects do not obtain IF funding despite meeting the quality requirements in the IF</w:t>
      </w:r>
      <w:r>
        <w:t xml:space="preserve"> </w:t>
      </w:r>
      <w:r>
        <w:t xml:space="preserve">evaluation. To support those projects with alternative means, MS can set up national schemes to grant national</w:t>
      </w:r>
      <w:r>
        <w:t xml:space="preserve"> </w:t>
      </w:r>
      <w:r>
        <w:t xml:space="preserve">funding. In this way, the national authorities can use the IF selection process ‘as a service’. This reduces the</w:t>
      </w:r>
      <w:r>
        <w:t xml:space="preserve"> </w:t>
      </w:r>
      <w:r>
        <w:t xml:space="preserve">national checks to the minimum and maximise synergies between the IF and national funding possibilities.</w:t>
      </w:r>
      <w:r>
        <w:t xml:space="preserve"> </w:t>
      </w:r>
      <w:r>
        <w:t xml:space="preserve">The results of IF assessment are passed on to the national authorities and MS would remain responsible for</w:t>
      </w:r>
      <w:r>
        <w:t xml:space="preserve"> </w:t>
      </w:r>
      <w:r>
        <w:t xml:space="preserve">disbursing the national funding and for monitoring the project implementation. ‘As-a-service’ has been</w:t>
      </w:r>
      <w:r>
        <w:t xml:space="preserve"> </w:t>
      </w:r>
      <w:r>
        <w:t xml:space="preserve">operationalised for three IF auctions so far and new streamlined rules for it have been presented for ‘regular’</w:t>
      </w:r>
      <w:r>
        <w:t xml:space="preserve"> </w:t>
      </w:r>
      <w:r>
        <w:t xml:space="preserve">grants in the CISAF.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of private capital. In essence, the necessary remuneration for the private sector’s investment in</w:t>
      </w:r>
      <w:r>
        <w:t xml:space="preserve"> </w:t>
      </w:r>
      <w:r>
        <w:t xml:space="preserve">riskier projects needs to be ensured so that they can have a solid business case and materialise.</w:t>
      </w:r>
      <w:r>
        <w:t xml:space="preserve"> </w:t>
      </w:r>
      <w:r>
        <w:t xml:space="preserve">In absence of large (in terms of budget and duration) EU funding mechanism driven by the</w:t>
      </w:r>
      <w:r>
        <w:t xml:space="preserve"> </w:t>
      </w:r>
      <w:r>
        <w:t xml:space="preserve">public sector, private investments alone will not deliver the industrial decarbonisation at</w:t>
      </w:r>
      <w:r>
        <w:t xml:space="preserve"> </w:t>
      </w:r>
      <w:r>
        <w:t xml:space="preserve">the scale and within the time needed for achieving climate neutrality by 2050 and investments</w:t>
      </w:r>
      <w:r>
        <w:t xml:space="preserve"> </w:t>
      </w:r>
      <w:r>
        <w:t xml:space="preserve">will be fragmented amongst the Member States. Certain technologies will not be deployed with</w:t>
      </w:r>
      <w:r>
        <w:t xml:space="preserve"> </w:t>
      </w:r>
      <w:r>
        <w:t xml:space="preserve">a risk to resilience of the EU economy and its competitiveness. Lack of or delayed investments</w:t>
      </w:r>
      <w:r>
        <w:t xml:space="preserve"> </w:t>
      </w:r>
      <w:r>
        <w:t xml:space="preserve">in industrial decarbonisation will lead to industry falling behind competitors who adopt cleaner</w:t>
      </w:r>
      <w:r>
        <w:t xml:space="preserve"> </w:t>
      </w:r>
      <w:r>
        <w:t xml:space="preserve">technologies, potentially losing market share to more sustainable businesses, creating a</w:t>
      </w:r>
      <w:r>
        <w:t xml:space="preserve"> </w:t>
      </w:r>
      <w:r>
        <w:t xml:space="preserve">technological lag that can result in industries being less adaptable to future disruptions and</w:t>
      </w:r>
      <w:r>
        <w:t xml:space="preserve"> </w:t>
      </w:r>
      <w:r>
        <w:t xml:space="preserve">demands, lose out on opportunities for growth and leadership in emerging sectors and increase</w:t>
      </w:r>
      <w:r>
        <w:t xml:space="preserve"> </w:t>
      </w:r>
      <w:r>
        <w:t xml:space="preserve">emissions contributing significantly to climate change and the EU missing the net-zero target</w:t>
      </w:r>
      <w:r>
        <w:t xml:space="preserve"> </w:t>
      </w:r>
      <w:r>
        <w:t xml:space="preserve">as a result.</w:t>
      </w:r>
      <w:r>
        <w:t xml:space="preserve"> </w:t>
      </w:r>
      <w:r>
        <w:t xml:space="preserve">Affected stakeholders are all economic actors as they all consume products of industry (e.g. </w:t>
      </w:r>
      <w:r>
        <w:t xml:space="preserve"> </w:t>
      </w:r>
      <w:r>
        <w:t xml:space="preserve">fertilisers needed for agriculture are produced by chemical industry, services rely on electricity</w:t>
      </w:r>
      <w:r>
        <w:t xml:space="preserve"> </w:t>
      </w:r>
      <w:r>
        <w:t xml:space="preserve">that together with industry is in the EU ETS) and especially in the industry sector that will be</w:t>
      </w:r>
      <w:r>
        <w:t xml:space="preserve"> </w:t>
      </w:r>
      <w:r>
        <w:t xml:space="preserve">confronted with increasing carbon prices and growing pressure of the international</w:t>
      </w:r>
      <w:r>
        <w:t xml:space="preserve"> </w:t>
      </w:r>
      <w:r>
        <w:t xml:space="preserve">competition. Also, society as a whole is affected (as all society actors will consume products</w:t>
      </w:r>
      <w:r>
        <w:t xml:space="preserve"> </w:t>
      </w:r>
      <w:r>
        <w:t xml:space="preserve">of industry, some will work in the industry, some will have part of their pensions linked to</w:t>
      </w:r>
      <w:r>
        <w:t xml:space="preserve"> </w:t>
      </w:r>
      <w:r>
        <w:t xml:space="preserve">performance of industrial stocks and all will be affected by climate change).</w:t>
      </w:r>
      <w:r>
        <w:br/>
      </w:r>
      <w:r>
        <w:t xml:space="preserve">The action to address this problem is best to be taken on the EU level. The Draghi report</w:t>
      </w:r>
      <w:r>
        <w:t xml:space="preserve"> </w:t>
      </w:r>
      <w:r>
        <w:t xml:space="preserve">highlights that the differences in legislations between the EU and other countries aimed to</w:t>
      </w:r>
      <w:r>
        <w:t xml:space="preserve"> </w:t>
      </w:r>
      <w:r>
        <w:t xml:space="preserve">reduce greenhouse gas emissions create near-term investment needs for EU companies that</w:t>
      </w:r>
      <w:r>
        <w:t xml:space="preserve"> </w:t>
      </w:r>
      <w:r>
        <w:t xml:space="preserve">their competitors do not face. For example, the report states that for the four largest EIIs</w:t>
      </w:r>
      <w:r>
        <w:t xml:space="preserve"> </w:t>
      </w:r>
      <w:r>
        <w:t xml:space="preserve">(chemicals, basic metals, non-metallic minerals and paper), decarbonisation is projected to cost</w:t>
      </w:r>
      <w:r>
        <w:t xml:space="preserve"> </w:t>
      </w:r>
      <w:r>
        <w:t xml:space="preserve">EUR 500 billion overall over the next 15 years. In this critical situation, underinvestment by</w:t>
      </w:r>
      <w:r>
        <w:t xml:space="preserve"> </w:t>
      </w:r>
      <w:r>
        <w:t xml:space="preserve">the private sector remains a persistent challenge in the EU, affecting a broad spectrum of</w:t>
      </w:r>
      <w:r>
        <w:t xml:space="preserve"> </w:t>
      </w:r>
      <w:r>
        <w:t xml:space="preserve">investment types, including infrastructure, innovation, green and digital transitions, and</w:t>
      </w:r>
      <w:r>
        <w:t xml:space="preserve"> </w:t>
      </w:r>
      <w:r>
        <w:t xml:space="preserve">industrial capacity. Despite a high level of private savings, the investments into are lagging</w:t>
      </w:r>
      <w:r>
        <w:t xml:space="preserve"> </w:t>
      </w:r>
      <w:r>
        <w:t xml:space="preserve">behind109.</w:t>
      </w:r>
      <w:r>
        <w:t xml:space="preserve"> </w:t>
      </w:r>
      <w:r>
        <w:t xml:space="preserve">Fostering decarbonisation investments advancing EU competitiveness needs to be coordinated</w:t>
      </w:r>
      <w:r>
        <w:t xml:space="preserve"> </w:t>
      </w:r>
      <w:r>
        <w:t xml:space="preserve">at EU level to be truly effective. To decarbonise industry, the EU can develop a cohesive</w:t>
      </w:r>
      <w:r>
        <w:t xml:space="preserve"> </w:t>
      </w:r>
      <w:r>
        <w:t xml:space="preserve">internal market for net-zero technologies and low-carbon products, enabling economies of</w:t>
      </w:r>
      <w:r>
        <w:t xml:space="preserve"> </w:t>
      </w:r>
      <w:r>
        <w:t xml:space="preserve">scale, reducing costs and emissions, and fostering efficient deployment of new technologies</w:t>
      </w:r>
      <w:r>
        <w:t xml:space="preserve"> </w:t>
      </w:r>
      <w:r>
        <w:t xml:space="preserve">across the single market. Climate change is a trans-boundary problem, the solution to which</w:t>
      </w:r>
      <w:r>
        <w:t xml:space="preserve"> </w:t>
      </w:r>
      <w:r>
        <w:t xml:space="preserve">has important internal market dimensions, and EU action can effectively complement and</w:t>
      </w:r>
      <w:r>
        <w:t xml:space="preserve"> </w:t>
      </w:r>
      <w:r>
        <w:t xml:space="preserve">reinforce regional, national and local action. Pooling resources at the EU level can maximise</w:t>
      </w:r>
      <w:r>
        <w:t xml:space="preserve"> </w:t>
      </w:r>
      <w:r>
        <w:t xml:space="preserve">the impact and added value of investment on the ground, and lead to economies of scale in</w:t>
      </w:r>
      <w:r>
        <w:t xml:space="preserve"> </w:t>
      </w:r>
      <w:r>
        <w:t xml:space="preserve">organising competitive selections of the best projects, leading to more impactful investments,</w:t>
      </w:r>
      <w:r>
        <w:t xml:space="preserve"> </w:t>
      </w:r>
      <w:r>
        <w:t xml:space="preserve">reducing administrative costs, increasing efficiency by avoiding multiplication, fostering cross-</w:t>
      </w:r>
      <w:r>
        <w:t xml:space="preserve"> </w:t>
      </w:r>
      <w:r>
        <w:t xml:space="preserve">border investments, and therefore making public funding more cost-effective than if each</w:t>
      </w:r>
      <w:r>
        <w:t xml:space="preserve"> </w:t>
      </w:r>
      <w:r>
        <w:t xml:space="preserve">Member State acted independently.</w:t>
      </w:r>
      <w:r>
        <w:br/>
      </w:r>
      <w:r>
        <w:t xml:space="preserve">By creating a strong and predictable business case for decarbonisation technologies across the</w:t>
      </w:r>
      <w:r>
        <w:t xml:space="preserve"> </w:t>
      </w:r>
      <w:r>
        <w:t xml:space="preserve">single market, it strengthens the EU international competitiveness in industrial decarbonisation</w:t>
      </w:r>
    </w:p>
    <w:p>
      <w:pPr>
        <w:pStyle w:val="BodyText"/>
      </w:pPr>
      <w:r>
        <w:t xml:space="preserve">109 SWD/2025/555 final accompanying the proposal for a Regulation of the European Parliament and of the</w:t>
      </w:r>
      <w:r>
        <w:t xml:space="preserve"> </w:t>
      </w:r>
      <w:r>
        <w:t xml:space="preserve">Council on establishing the European Competitiveness Fund (’ECF’).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technologies, while supporting the preservation and transformation of energy-intensive</w:t>
      </w:r>
      <w:r>
        <w:t xml:space="preserve"> </w:t>
      </w:r>
      <w:r>
        <w:t xml:space="preserve">industries and their jobs within the EU.</w:t>
      </w:r>
      <w:r>
        <w:t xml:space="preserve"> </w:t>
      </w:r>
      <w:r>
        <w:t xml:space="preserve">An instrument designed and implemented at EU level can effectively avoid intra-EU</w:t>
      </w:r>
      <w:r>
        <w:t xml:space="preserve"> </w:t>
      </w:r>
      <w:r>
        <w:t xml:space="preserve">competition between national support schemes, which could otherwise lead to market</w:t>
      </w:r>
      <w:r>
        <w:t xml:space="preserve"> </w:t>
      </w:r>
      <w:r>
        <w:t xml:space="preserve">fragmentation and subsidy races. Differences in financial capacity, economic structure and</w:t>
      </w:r>
      <w:r>
        <w:t xml:space="preserve"> </w:t>
      </w:r>
      <w:r>
        <w:t xml:space="preserve">industrial profiles mean that some Member States are less able to finance large-scale</w:t>
      </w:r>
      <w:r>
        <w:t xml:space="preserve"> </w:t>
      </w:r>
      <w:r>
        <w:t xml:space="preserve">decarbonisation investments, so relying on national financing alone would risk widening</w:t>
      </w:r>
      <w:r>
        <w:t xml:space="preserve"> </w:t>
      </w:r>
      <w:r>
        <w:t xml:space="preserve">disparities. An EU-level IDB type instrument can help ensure a level-playing field between</w:t>
      </w:r>
      <w:r>
        <w:t xml:space="preserve"> </w:t>
      </w:r>
      <w:r>
        <w:t xml:space="preserve">market participants by channelling support towards the most cost-effective and efficient</w:t>
      </w:r>
      <w:r>
        <w:t xml:space="preserve"> </w:t>
      </w:r>
      <w:r>
        <w:t xml:space="preserve">decarbonisation solutions, irrespective of their location, and by enabling projects to reach scale</w:t>
      </w:r>
      <w:r>
        <w:t xml:space="preserve"> </w:t>
      </w:r>
      <w:r>
        <w:t xml:space="preserve">at EU level. This avoids proliferation of smaller, fragmented national schemes that could distort</w:t>
      </w:r>
      <w:r>
        <w:t xml:space="preserve"> </w:t>
      </w:r>
      <w:r>
        <w:t xml:space="preserve">competition, increase administrative complexity and ultimately lead to higher overall costs for</w:t>
      </w:r>
      <w:r>
        <w:t xml:space="preserve"> </w:t>
      </w:r>
      <w:r>
        <w:t xml:space="preserve">achieving climate objectives.</w:t>
      </w:r>
      <w:r>
        <w:br/>
      </w:r>
      <w:r>
        <w:t xml:space="preserve">Acting at EU level enhances the coherence of investment by aligning support with EU wide</w:t>
      </w:r>
      <w:r>
        <w:t xml:space="preserve"> </w:t>
      </w:r>
      <w:r>
        <w:t xml:space="preserve">strategic priorities such as climate neutrality, the accelerated roll-out of clean energy and</w:t>
      </w:r>
      <w:r>
        <w:t xml:space="preserve"> </w:t>
      </w:r>
      <w:r>
        <w:t xml:space="preserve">electrification, with completed interconnections and grids, as well as clean manufacturing,</w:t>
      </w:r>
      <w:r>
        <w:t xml:space="preserve"> </w:t>
      </w:r>
      <w:r>
        <w:t xml:space="preserve">competitiveness, energy security and high‑quality employment, while ensuring fair</w:t>
      </w:r>
      <w:r>
        <w:t xml:space="preserve"> </w:t>
      </w:r>
      <w:r>
        <w:t xml:space="preserve">competition for the best projects across Europe. It also supports high‑skilled industrial jobs,</w:t>
      </w:r>
      <w:r>
        <w:t xml:space="preserve"> </w:t>
      </w:r>
      <w:r>
        <w:t xml:space="preserve">facilitates knowledge transfer and delivers risk-reduction benefits that spill over to competitors</w:t>
      </w:r>
      <w:r>
        <w:t xml:space="preserve"> </w:t>
      </w:r>
      <w:r>
        <w:t xml:space="preserve">and society at large, therefore justifying an EU-level instrument.</w:t>
      </w:r>
      <w:r>
        <w:br/>
      </w:r>
      <w:r>
        <w:t xml:space="preserve">2.2. Objectives</w:t>
      </w:r>
      <w:r>
        <w:t xml:space="preserve"> </w:t>
      </w:r>
      <w:r>
        <w:t xml:space="preserve">In the medium term, the general objective of the IDB is to enable the investments in the</w:t>
      </w:r>
      <w:r>
        <w:t xml:space="preserve"> </w:t>
      </w:r>
      <w:r>
        <w:t xml:space="preserve">industrial decarbonisation projects, at the necessary scale consistent with longer term</w:t>
      </w:r>
      <w:r>
        <w:t xml:space="preserve"> </w:t>
      </w:r>
      <w:r>
        <w:t xml:space="preserve">(2040/2050) climate objectives. Enabling those investments will allow to decouple industrial</w:t>
      </w:r>
      <w:r>
        <w:t xml:space="preserve"> </w:t>
      </w:r>
      <w:r>
        <w:t xml:space="preserve">output from GHG emissions and decarbonize the EU economy while enhancing strategic</w:t>
      </w:r>
      <w:r>
        <w:t xml:space="preserve"> </w:t>
      </w:r>
      <w:r>
        <w:t xml:space="preserve">industrial capacities and thus competitiveness of the EU economy. Deployment of such</w:t>
      </w:r>
      <w:r>
        <w:t xml:space="preserve"> </w:t>
      </w:r>
      <w:r>
        <w:t xml:space="preserve">industrial decarbonisation projects, especially if coupled with effective EU industrial policy</w:t>
      </w:r>
      <w:r>
        <w:t xml:space="preserve"> </w:t>
      </w:r>
      <w:r>
        <w:t xml:space="preserve">such as lead markets requirements, can help boosting competitiveness of EU EII in the</w:t>
      </w:r>
      <w:r>
        <w:t xml:space="preserve"> </w:t>
      </w:r>
      <w:r>
        <w:t xml:space="preserve">transition to a net zero-economy.</w:t>
      </w:r>
      <w:r>
        <w:br/>
      </w:r>
      <w:r>
        <w:t xml:space="preserve">The specific objectives of this initiative for both private and public sector are as follows:</w:t>
      </w:r>
      <w:r>
        <w:t xml:space="preserve"> </w:t>
      </w:r>
      <w:r>
        <w:t xml:space="preserve">1. For private sector: creating the business case for private investment in the EU with</w:t>
      </w:r>
      <w:r>
        <w:t xml:space="preserve"> </w:t>
      </w:r>
      <w:r>
        <w:t xml:space="preserve">public support counterbalancing the market failures, regulatory uncertainties and</w:t>
      </w:r>
      <w:r>
        <w:t xml:space="preserve"> </w:t>
      </w:r>
      <w:r>
        <w:t xml:space="preserve">disadvantages compared to global competitors. This objective of creating the business</w:t>
      </w:r>
      <w:r>
        <w:t xml:space="preserve"> </w:t>
      </w:r>
      <w:r>
        <w:t xml:space="preserve">case is the central element of the Clean Industrial Deal and the IDB can deliver it. In</w:t>
      </w:r>
      <w:r>
        <w:t xml:space="preserve"> </w:t>
      </w:r>
      <w:r>
        <w:t xml:space="preserve">the longer-term perspective, the role of the IDB should diminish as industrial</w:t>
      </w:r>
      <w:r>
        <w:t xml:space="preserve"> </w:t>
      </w:r>
      <w:r>
        <w:t xml:space="preserve">decarbonisation technologies are increasingly deployed on market terms. In the long</w:t>
      </w:r>
      <w:r>
        <w:t xml:space="preserve"> </w:t>
      </w:r>
      <w:r>
        <w:t xml:space="preserve">term, all decarbonisation technologies should follow the footsteps of renewables in</w:t>
      </w:r>
      <w:r>
        <w:t xml:space="preserve"> </w:t>
      </w:r>
      <w:r>
        <w:t xml:space="preserve">power generation that after years of subsidies are now competitive with fossil fuels in</w:t>
      </w:r>
      <w:r>
        <w:t xml:space="preserve"> </w:t>
      </w:r>
      <w:r>
        <w:t xml:space="preserve">many regions without subsidies.</w:t>
      </w:r>
      <w:r>
        <w:t xml:space="preserve"> </w:t>
      </w:r>
      <w:r>
        <w:t xml:space="preserve">2. For the public sector: creating a public funding instrument with the following features:</w:t>
      </w:r>
      <w:r>
        <w:t xml:space="preserve"> </w:t>
      </w:r>
      <w:r>
        <w:t xml:space="preserve">a. with sufficient budget and duration that are commensurate with the</w:t>
      </w:r>
      <w:r>
        <w:t xml:space="preserve"> </w:t>
      </w:r>
      <w:r>
        <w:t xml:space="preserve">investment challenge and the funding gap that industrial decarbonisation</w:t>
      </w:r>
      <w:r>
        <w:t xml:space="preserve"> </w:t>
      </w:r>
      <w:r>
        <w:t xml:space="preserve">projects will still have. This instrument needs to be able to support the critical</w:t>
      </w:r>
      <w:r>
        <w:t xml:space="preserve"> </w:t>
      </w:r>
      <w:r>
        <w:t xml:space="preserve">mass rather than a handful of industrial decarbonisation projects in Europe.</w:t>
      </w:r>
      <w:r>
        <w:t xml:space="preserve"> </w:t>
      </w:r>
      <w:r>
        <w:t xml:space="preserve">b. operating in a simple and flexible way and thus attractive for supporting</w:t>
      </w:r>
      <w:r>
        <w:t xml:space="preserve"> </w:t>
      </w:r>
      <w:r>
        <w:t xml:space="preserve">projects in EII sectors, technologies and company sizes in all Member States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(because all industrial players need to decarbonise). Operating in a simple</w:t>
      </w:r>
      <w:r>
        <w:t xml:space="preserve"> </w:t>
      </w:r>
      <w:r>
        <w:t xml:space="preserve">manner, will also reduce the administrative burden for the Commission.</w:t>
      </w:r>
      <w:r>
        <w:t xml:space="preserve"> </w:t>
      </w:r>
      <w:r>
        <w:t xml:space="preserve">c. promoting the large-scale deployment of low emission technologies in industry</w:t>
      </w:r>
      <w:r>
        <w:t xml:space="preserve"> </w:t>
      </w:r>
      <w:r>
        <w:t xml:space="preserve">broadly speaking and including sectors producing CBAM goods exposed to</w:t>
      </w:r>
      <w:r>
        <w:t xml:space="preserve"> </w:t>
      </w:r>
      <w:r>
        <w:t xml:space="preserve">remaining risk of carbon leakage</w:t>
      </w:r>
      <w:r>
        <w:br/>
      </w:r>
      <w:r>
        <w:t xml:space="preserve">d. maximizing projects success rate considering the inherent trade-off with cost</w:t>
      </w:r>
      <w:r>
        <w:t xml:space="preserve"> </w:t>
      </w:r>
      <w:r>
        <w:t xml:space="preserve">efficiency as described above.</w:t>
      </w:r>
      <w:r>
        <w:t xml:space="preserve"> </w:t>
      </w:r>
      <w:r>
        <w:t xml:space="preserve">Achieving the general and specific objectives will contribute to a significant share of industrial</w:t>
      </w:r>
      <w:r>
        <w:t xml:space="preserve"> </w:t>
      </w:r>
      <w:r>
        <w:t xml:space="preserve">decarbonisation, while supporting the resilience of the EU industrial base. The deployment of</w:t>
      </w:r>
      <w:r>
        <w:t xml:space="preserve"> </w:t>
      </w:r>
      <w:r>
        <w:t xml:space="preserve">industrial decarbonisation projects will support the modernisation of the EU economy, reduce</w:t>
      </w:r>
      <w:r>
        <w:t xml:space="preserve"> </w:t>
      </w:r>
      <w:r>
        <w:t xml:space="preserve">dependencies and import costs of fossil fuels, build ‘new engines of growth’ with local</w:t>
      </w:r>
      <w:r>
        <w:t xml:space="preserve"> </w:t>
      </w:r>
      <w:r>
        <w:t xml:space="preserve">manufacturing of decarbonisation technologies and make the EU economy more resilient by</w:t>
      </w:r>
      <w:r>
        <w:t xml:space="preserve"> </w:t>
      </w:r>
      <w:r>
        <w:t xml:space="preserve">producing more ‘local industrial products and diminishing dependencies on third countries. If</w:t>
      </w:r>
      <w:r>
        <w:t xml:space="preserve"> </w:t>
      </w:r>
      <w:r>
        <w:t xml:space="preserve">this effort is paired with more ambitious industrial policy, the development of the internal</w:t>
      </w:r>
      <w:r>
        <w:t xml:space="preserve"> </w:t>
      </w:r>
      <w:r>
        <w:t xml:space="preserve">market for industrial decarbonisation technologies can also increase competitiveness of the EU</w:t>
      </w:r>
      <w:r>
        <w:t xml:space="preserve"> </w:t>
      </w:r>
      <w:r>
        <w:t xml:space="preserve">on global markets. The figure below illustrates the complete intervention logic.</w:t>
      </w:r>
      <w:r>
        <w:t xml:space="preserve"> </w:t>
      </w:r>
      <w:r>
        <w:t xml:space="preserve">Figure 3:</w:t>
      </w:r>
      <w:r>
        <w:t xml:space="preserve"> </w:t>
      </w:r>
      <w:r>
        <w:t xml:space="preserve">Intervention logic</w:t>
      </w:r>
    </w:p>
    <w:p>
      <w:pPr>
        <w:pStyle w:val="BodyText"/>
      </w:pPr>
      <w:r>
        <w:t xml:space="preserve">2.3. Baseline</w:t>
      </w:r>
      <w:r>
        <w:t xml:space="preserve"> </w:t>
      </w:r>
      <w:r>
        <w:t xml:space="preserve">There is a clear need to provide EU funding support to both innovative and more mature</w:t>
      </w:r>
      <w:r>
        <w:t xml:space="preserve"> </w:t>
      </w:r>
      <w:r>
        <w:t xml:space="preserve">decarbonisation technologies in the industrial sector. The Clean Industrial Deal announced the</w:t>
      </w:r>
      <w:r>
        <w:t xml:space="preserve"> </w:t>
      </w:r>
      <w:r>
        <w:t xml:space="preserve">IDB, aiming for EUR 100 billion in funding, so that a sizable impact can be made on</w:t>
      </w:r>
      <w:r>
        <w:t xml:space="preserve"> </w:t>
      </w:r>
      <w:r>
        <w:t xml:space="preserve">decarbonising the EU industry. The policy options assessed in this IA will look at possible</w:t>
      </w:r>
      <w:r>
        <w:t xml:space="preserve"> </w:t>
      </w:r>
      <w:r>
        <w:t xml:space="preserve">ways to allocate the support by the IDB, the different forms of support and the possibilities to</w:t>
      </w:r>
      <w:r>
        <w:t xml:space="preserve"> </w:t>
      </w:r>
      <w:r>
        <w:t xml:space="preserve">ensure geographical balance in providing this support.</w:t>
      </w:r>
      <w:r>
        <w:t xml:space="preserve"> </w:t>
      </w:r>
      <w:r>
        <w:t xml:space="preserve">The baseline assumes a continuation of the IF for the period 2031-40 using the existing IF</w:t>
      </w:r>
      <w:r>
        <w:t xml:space="preserve"> </w:t>
      </w:r>
      <w:r>
        <w:t xml:space="preserve">instruments (‘regular’ calls for proposals, auctions and financial instruments110) and providing</w:t>
      </w:r>
    </w:p>
    <w:p>
      <w:pPr>
        <w:pStyle w:val="BodyText"/>
      </w:pPr>
      <w:r>
        <w:t xml:space="preserve">110 IF can provide support via (1) ‘regular’ grants based on the evaluation of multiple award criteria and in form</w:t>
      </w:r>
      <w:r>
        <w:t xml:space="preserve"> </w:t>
      </w:r>
      <w:r>
        <w:t xml:space="preserve">of the lump sum payments linked to reaching project’s milestones as early as of Financial Close and (2)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existing IF types of support (‘classic grants’ with lump sum payments, fixed premium grants</w:t>
      </w:r>
      <w:r>
        <w:t xml:space="preserve"> </w:t>
      </w:r>
      <w:r>
        <w:t xml:space="preserve">linked to the low-carbon product output and loans) to a broad range of innovative</w:t>
      </w:r>
      <w:r>
        <w:t xml:space="preserve"> </w:t>
      </w:r>
      <w:r>
        <w:t xml:space="preserve">decarbonisation technologies (beyond the EIIs). The IF would mostly address technology and</w:t>
      </w:r>
      <w:r>
        <w:t xml:space="preserve"> </w:t>
      </w:r>
      <w:r>
        <w:t xml:space="preserve">scale-up risks. The IDB should thus focus on addressing the scale-up and roll-out of</w:t>
      </w:r>
      <w:r>
        <w:t xml:space="preserve"> </w:t>
      </w:r>
      <w:r>
        <w:t xml:space="preserve">decarbonisation technologies in the EIIs only and address market risks of such technologies.</w:t>
      </w:r>
      <w:r>
        <w:t xml:space="preserve"> </w:t>
      </w:r>
      <w:r>
        <w:t xml:space="preserve">The different scopes of the IDB and IF are proposed in the figure below.</w:t>
      </w:r>
      <w:r>
        <w:br/>
      </w:r>
      <w:r>
        <w:t xml:space="preserve">The continuation of the IF should also address the European Court of Auditors’</w:t>
      </w:r>
      <w:r>
        <w:t xml:space="preserve"> </w:t>
      </w:r>
      <w:r>
        <w:t xml:space="preserve">recommendation to simplify and improve project evaluation methodologies to ensure more</w:t>
      </w:r>
      <w:r>
        <w:t xml:space="preserve"> </w:t>
      </w:r>
      <w:r>
        <w:t xml:space="preserve">accurate evaluation of financial and technological maturity of projects, and GHG emission</w:t>
      </w:r>
      <w:r>
        <w:t xml:space="preserve"> </w:t>
      </w:r>
      <w:r>
        <w:t xml:space="preserve">reduction potential, as well as for increased flexibility on the project implementation timeline.</w:t>
      </w:r>
      <w:r>
        <w:br/>
      </w:r>
      <w:r>
        <w:t xml:space="preserve">The options analysed in this IA concern only the ways that the IDB resources can be used to</w:t>
      </w:r>
      <w:r>
        <w:t xml:space="preserve"> </w:t>
      </w:r>
      <w:r>
        <w:t xml:space="preserve">best serve the decarbonisation objective.</w:t>
      </w:r>
      <w:r>
        <w:br/>
      </w:r>
      <w:r>
        <w:t xml:space="preserve">Furthermore, as part of the next Multiannual Financial Framework, the European Commission</w:t>
      </w:r>
      <w:r>
        <w:t xml:space="preserve"> </w:t>
      </w:r>
      <w:r>
        <w:t xml:space="preserve">proposed a Regulation to establish the future European Competitiveness Fund (ECF), with</w:t>
      </w:r>
      <w:r>
        <w:t xml:space="preserve"> </w:t>
      </w:r>
      <w:r>
        <w:t xml:space="preserve">expected resources of EUR 234 billion to invest in strategic technologies and to benefit the</w:t>
      </w:r>
      <w:r>
        <w:t xml:space="preserve"> </w:t>
      </w:r>
      <w:r>
        <w:t xml:space="preserve">entire Single Market. The ECF focuses on four windows, including the Clean Transition and</w:t>
      </w:r>
      <w:r>
        <w:t xml:space="preserve"> </w:t>
      </w:r>
      <w:r>
        <w:t xml:space="preserve">Decarbonisation window (with proposed resources of EUR 26.2 billion for the period 2028-</w:t>
      </w:r>
      <w:r>
        <w:t xml:space="preserve"> </w:t>
      </w:r>
      <w:r>
        <w:t xml:space="preserve">2034). The scope of this window is however much broader, in terms of objectives (not only</w:t>
      </w:r>
      <w:r>
        <w:t xml:space="preserve"> </w:t>
      </w:r>
      <w:r>
        <w:t xml:space="preserve">decarbonisation but also other environmental objectives such as biodiversity and air, water and</w:t>
      </w:r>
      <w:r>
        <w:t xml:space="preserve"> </w:t>
      </w:r>
      <w:r>
        <w:t xml:space="preserve">soil pollution), in terms of covered sectors (mobility, buildings, industry, agriculture, power</w:t>
      </w:r>
      <w:r>
        <w:t xml:space="preserve"> </w:t>
      </w:r>
      <w:r>
        <w:t xml:space="preserve">generation), in terms of the kind of activities funded and the type of support (grants, loans and</w:t>
      </w:r>
      <w:r>
        <w:t xml:space="preserve"> </w:t>
      </w:r>
      <w:r>
        <w:t xml:space="preserve">others). Continuation of the InvestEU programme is proposed to play a key role in the ECF</w:t>
      </w:r>
      <w:r>
        <w:t xml:space="preserve"> </w:t>
      </w:r>
      <w:r>
        <w:t xml:space="preserve">delivery.</w:t>
      </w:r>
      <w:r>
        <w:br/>
      </w:r>
      <w:r>
        <w:t xml:space="preserve">In the operation of both ECF and the IDB, a delineation should be sought to avoid the overlaps</w:t>
      </w:r>
      <w:r>
        <w:t xml:space="preserve"> </w:t>
      </w:r>
      <w:r>
        <w:t xml:space="preserve">between the three programmes, ‘forum shopping’ by the projects and instead ensure that there</w:t>
      </w:r>
      <w:r>
        <w:t xml:space="preserve"> </w:t>
      </w:r>
      <w:r>
        <w:t xml:space="preserve">is EU funding support for all stages of the technology development in the EU. While the final</w:t>
      </w:r>
      <w:r>
        <w:t xml:space="preserve"> </w:t>
      </w:r>
      <w:r>
        <w:t xml:space="preserve">shape of the ECF will only be known at the end of the legislative process, complementarity</w:t>
      </w:r>
      <w:r>
        <w:t xml:space="preserve"> </w:t>
      </w:r>
      <w:r>
        <w:t xml:space="preserve">will be ensured by IDB being placed in the ECF governance framework and by designing</w:t>
      </w:r>
      <w:r>
        <w:t xml:space="preserve"> </w:t>
      </w:r>
      <w:r>
        <w:t xml:space="preserve">appropriate coordination mechanisms.</w:t>
      </w:r>
      <w:r>
        <w:t xml:space="preserve"> </w:t>
      </w:r>
      <w:r>
        <w:t xml:space="preserve">Likewise, State aid will continue to play a significant role in providing support for</w:t>
      </w:r>
      <w:r>
        <w:t xml:space="preserve"> </w:t>
      </w:r>
      <w:r>
        <w:t xml:space="preserve">decarbonisation technologies but in a fragmented manner and without the full benefits of the</w:t>
      </w:r>
      <w:r>
        <w:t xml:space="preserve"> </w:t>
      </w:r>
      <w:r>
        <w:t xml:space="preserve">EU-level competition. A promising way of bringing the benefits of the EU-level competition</w:t>
      </w:r>
      <w:r>
        <w:t xml:space="preserve"> </w:t>
      </w:r>
      <w:r>
        <w:t xml:space="preserve">to national State aid is deploying ‘as-a-service’ feature, which was developed for the IF and</w:t>
      </w:r>
      <w:r>
        <w:t xml:space="preserve"> </w:t>
      </w:r>
      <w:r>
        <w:t xml:space="preserve">should also be also enabled under the IDB.</w:t>
      </w:r>
    </w:p>
    <w:p>
      <w:pPr>
        <w:pStyle w:val="BodyText"/>
      </w:pPr>
      <w:r>
        <w:t xml:space="preserve">auctions based on the price-only competition and in the form of unit cost contribution as of Entry into</w:t>
      </w:r>
      <w:r>
        <w:t xml:space="preserve"> </w:t>
      </w:r>
      <w:r>
        <w:t xml:space="preserve">Operation and (3) financial instruments such as loans or guarantees.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Figure 4:</w:t>
      </w:r>
      <w:r>
        <w:t xml:space="preserve"> </w:t>
      </w:r>
      <w:r>
        <w:t xml:space="preserve">Proposed scopes of the IF and IDB</w:t>
      </w:r>
      <w:r>
        <w:t xml:space="preserve"> </w:t>
      </w:r>
      <w:r>
        <w:t xml:space="preserve">The policy options in terms of possible allocation mechanism and form of support will be</w:t>
      </w:r>
      <w:r>
        <w:t xml:space="preserve"> </w:t>
      </w:r>
      <w:r>
        <w:t xml:space="preserve">assessed against this baseline.</w:t>
      </w:r>
      <w:r>
        <w:t xml:space="preserve"> </w:t>
      </w:r>
      <w:r>
        <w:t xml:space="preserve">3. POLICY MEASURES</w:t>
      </w:r>
      <w:r>
        <w:t xml:space="preserve"> </w:t>
      </w:r>
      <w:r>
        <w:t xml:space="preserve">The figures below summarises the policy measures assessed that in turn are combined into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Figure 5:</w:t>
      </w:r>
      <w:r>
        <w:t xml:space="preserve"> </w:t>
      </w:r>
      <w:r>
        <w:t xml:space="preserve">Overview of policy measures</w:t>
      </w:r>
    </w:p>
    <w:p>
      <w:pPr>
        <w:pStyle w:val="BodyText"/>
      </w:pPr>
      <w:r>
        <w:t xml:space="preserve">Across the entire IA, three policy options have been developed for each area of actions that</w:t>
      </w:r>
      <w:r>
        <w:t xml:space="preserve"> </w:t>
      </w:r>
      <w:r>
        <w:t xml:space="preserve">combine specific policy measures into meaningful ‘packages’ fully addressing problem drivers</w:t>
      </w:r>
      <w:r>
        <w:t xml:space="preserve"> </w:t>
      </w:r>
      <w:r>
        <w:t xml:space="preserve">and related objectives. The options differ in the degree of change that they entail to the current</w:t>
      </w:r>
      <w:r>
        <w:t xml:space="preserve"> </w:t>
      </w:r>
      <w:r>
        <w:t xml:space="preserve">system. Policy option 1 Aligning ambition and improving incentives includes the measures that,</w:t>
      </w:r>
      <w:r>
        <w:t xml:space="preserve"> </w:t>
      </w:r>
      <w:r>
        <w:t xml:space="preserve">overall, lead to least change compared to policies in place in 2026. Policy option 2 Aligning</w:t>
      </w:r>
      <w:r>
        <w:t xml:space="preserve"> </w:t>
      </w:r>
      <w:r>
        <w:t xml:space="preserve">ambition and extending scope and corresponding incentives includes measures that introduce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moderate innovations or changes to the system. Policy option 3 Aligning ambition and</w:t>
      </w:r>
      <w:r>
        <w:t xml:space="preserve"> </w:t>
      </w:r>
      <w:r>
        <w:t xml:space="preserve">extending scope and incentives comprehensively alters most substantially how the system</w:t>
      </w:r>
      <w:r>
        <w:t xml:space="preserve"> </w:t>
      </w:r>
      <w:r>
        <w:t xml:space="preserve">works.</w:t>
      </w:r>
      <w:r>
        <w:t xml:space="preserve"> </w:t>
      </w:r>
      <w:r>
        <w:t xml:space="preserve">For simplicity and comparability, all policy options focus on the same ‘good’ - carbon</w:t>
      </w:r>
      <w:r>
        <w:t xml:space="preserve"> </w:t>
      </w:r>
      <w:r>
        <w:t xml:space="preserve">abatement be it as one of the award criteria in PO1 or through providing administratively fixed</w:t>
      </w:r>
      <w:r>
        <w:t xml:space="preserve"> </w:t>
      </w:r>
      <w:r>
        <w:t xml:space="preserve">premium for each unit of abatement (PO2) or by providing Carbon Contract for Difference to</w:t>
      </w:r>
      <w:r>
        <w:t xml:space="preserve"> </w:t>
      </w:r>
      <w:r>
        <w:t xml:space="preserve">mitigate the risks linked to carbon price changes.</w:t>
      </w:r>
      <w:r>
        <w:t xml:space="preserve"> </w:t>
      </w:r>
      <w:r>
        <w:t xml:space="preserve">Figure 6:</w:t>
      </w:r>
      <w:r>
        <w:t xml:space="preserve"> </w:t>
      </w:r>
      <w:r>
        <w:t xml:space="preserve">Overview of policy options</w:t>
      </w:r>
    </w:p>
    <w:p>
      <w:pPr>
        <w:pStyle w:val="BodyText"/>
      </w:pPr>
      <w:r>
        <w:t xml:space="preserve">3.1. Measures on how the support should be allocated</w:t>
      </w:r>
      <w:r>
        <w:br/>
      </w:r>
      <w:r>
        <w:t xml:space="preserve">There are a number of allocation mechanisms that can be deployed and in most of the cases</w:t>
      </w:r>
      <w:r>
        <w:t xml:space="preserve"> </w:t>
      </w:r>
      <w:r>
        <w:t xml:space="preserve">they can be chosen regardless of type of support to be allocated (see Section 5.2). The measures</w:t>
      </w:r>
      <w:r>
        <w:t xml:space="preserve"> </w:t>
      </w:r>
      <w:r>
        <w:t xml:space="preserve">selected below represent the most common type of mechanisms, reflecting the experience of</w:t>
      </w:r>
      <w:r>
        <w:t xml:space="preserve"> </w:t>
      </w:r>
      <w:r>
        <w:t xml:space="preserve">the IF and the Modernisation Fund as well as the national support schemes for the industrial</w:t>
      </w:r>
      <w:r>
        <w:t xml:space="preserve"> </w:t>
      </w:r>
      <w:r>
        <w:t xml:space="preserve">decarbonisation.</w:t>
      </w:r>
      <w:r>
        <w:t xml:space="preserve"> </w:t>
      </w:r>
      <w:r>
        <w:t xml:space="preserve">Measure AM.1</w:t>
      </w:r>
      <w:r>
        <w:t xml:space="preserve"> </w:t>
      </w:r>
      <w:r>
        <w:t xml:space="preserve">Multi-criteria call for proposals</w:t>
      </w:r>
      <w:r>
        <w:br/>
      </w:r>
      <w:r>
        <w:t xml:space="preserve">Measure AM.2</w:t>
      </w:r>
      <w:r>
        <w:t xml:space="preserve"> </w:t>
      </w:r>
      <w:r>
        <w:t xml:space="preserve">Auctions</w:t>
      </w:r>
      <w:r>
        <w:br/>
      </w:r>
      <w:r>
        <w:t xml:space="preserve">Measure AM.3</w:t>
      </w:r>
      <w:r>
        <w:t xml:space="preserve"> </w:t>
      </w:r>
      <w:r>
        <w:t xml:space="preserve">First-in, first served administrative schemes</w:t>
      </w:r>
      <w:r>
        <w:br/>
      </w:r>
      <w:r>
        <w:t xml:space="preserve">The following allocation mechanisms are not all mutually exclusive, e.g. auctions can be</w:t>
      </w:r>
      <w:r>
        <w:t xml:space="preserve"> </w:t>
      </w:r>
      <w:r>
        <w:t xml:space="preserve">implemented as multicriteria-auctions and shortlists designed by MS may be subject to</w:t>
      </w:r>
      <w:r>
        <w:t xml:space="preserve"> </w:t>
      </w:r>
      <w:r>
        <w:t xml:space="preserve">multicriteria assessments of the projects on the EU level.</w:t>
      </w:r>
      <w:r>
        <w:t xml:space="preserve"> </w:t>
      </w:r>
      <w:r>
        <w:t xml:space="preserve">3.1.1. Measure AM.1: Multi-criteria call for proposals</w:t>
      </w:r>
      <w:r>
        <w:t xml:space="preserve"> </w:t>
      </w:r>
      <w:r>
        <w:t xml:space="preserve">Example: IF current ‘regular’ calls for proposals</w:t>
      </w:r>
      <w:r>
        <w:t xml:space="preserve"> </w:t>
      </w:r>
      <w:r>
        <w:t xml:space="preserve">Multicriteria calls for proposals invite project developers across sectors to submit applications</w:t>
      </w:r>
      <w:r>
        <w:t xml:space="preserve"> </w:t>
      </w:r>
      <w:r>
        <w:t xml:space="preserve">against a defined number of award criteria. Each criterion will be scored by evaluators and</w:t>
      </w:r>
      <w:r>
        <w:t xml:space="preserve"> </w:t>
      </w:r>
      <w:r>
        <w:t xml:space="preserve">there is a possibility of weighting the criteria scores. On the EU-level, the Innovation Fund</w:t>
      </w:r>
      <w:r>
        <w:t xml:space="preserve"> </w:t>
      </w:r>
      <w:r>
        <w:t xml:space="preserve">grant mechanism is a leading reference: it has used calls that score proposals on five award</w:t>
      </w:r>
      <w:r>
        <w:t xml:space="preserve"> </w:t>
      </w:r>
      <w:r>
        <w:t xml:space="preserve">criteria i.e. GHG emission reduction, degree of innovation, project maturity, scalability, and</w:t>
      </w:r>
      <w:r>
        <w:t xml:space="preserve"> </w:t>
      </w:r>
      <w:r>
        <w:t xml:space="preserve">cost efficiency - alongside call specific sub-criteria. This allocation mechanism allows</w:t>
      </w:r>
      <w:r>
        <w:t xml:space="preserve"> </w:t>
      </w:r>
      <w:r>
        <w:t xml:space="preserve">selecting projects fulfilling a number of criteria and search for excellence across all of them.</w:t>
      </w:r>
      <w:r>
        <w:t xml:space="preserve"> </w:t>
      </w:r>
      <w:r>
        <w:t xml:space="preserve">Multicriteria calls provide a high level of precision of the project selection against tailored</w:t>
      </w:r>
      <w:r>
        <w:t xml:space="preserve"> </w:t>
      </w:r>
      <w:r>
        <w:t xml:space="preserve">objectives. They are flexible instruments that can accommodate complex, integrated projects.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They also allow qualitative factors to be recognised, e.g. resilience or innovativeness, in</w:t>
      </w:r>
      <w:r>
        <w:t xml:space="preserve"> </w:t>
      </w:r>
      <w:r>
        <w:t xml:space="preserve">addition to price.</w:t>
      </w:r>
      <w:r>
        <w:t xml:space="preserve"> </w:t>
      </w:r>
      <w:r>
        <w:t xml:space="preserve">Multicriteria calls are particularly suitable for ‘regular’ grants allowing to account for</w:t>
      </w:r>
      <w:r>
        <w:t xml:space="preserve"> </w:t>
      </w:r>
      <w:r>
        <w:t xml:space="preserve">various parameters beyond pure cost-efficiency. As such, multi-criteria award procedures are</w:t>
      </w:r>
      <w:r>
        <w:t xml:space="preserve"> </w:t>
      </w:r>
      <w:r>
        <w:t xml:space="preserve">focused on the quality and excellence of project proposals and imply an extensive project</w:t>
      </w:r>
      <w:r>
        <w:t xml:space="preserve"> </w:t>
      </w:r>
      <w:r>
        <w:t xml:space="preserve">proposal by the applicant, an external expert evaluation team to ensure a thorough and</w:t>
      </w:r>
      <w:r>
        <w:t xml:space="preserve"> </w:t>
      </w:r>
      <w:r>
        <w:t xml:space="preserve">independent evaluation and a strong role of the executive agency to ensure a project delivers</w:t>
      </w:r>
      <w:r>
        <w:t xml:space="preserve"> </w:t>
      </w:r>
      <w:r>
        <w:t xml:space="preserve">on all aspects that were assessed. While the application and evaluation processes are very</w:t>
      </w:r>
      <w:r>
        <w:t xml:space="preserve"> </w:t>
      </w:r>
      <w:r>
        <w:t xml:space="preserve">demanding, they do not guarantee that projects will be delivered. High level of competition</w:t>
      </w:r>
      <w:r>
        <w:t xml:space="preserve"> </w:t>
      </w:r>
      <w:r>
        <w:t xml:space="preserve">also elicits projects with very ambitious deliverables/high cost-efficiency that in the end may</w:t>
      </w:r>
      <w:r>
        <w:t xml:space="preserve"> </w:t>
      </w:r>
      <w:r>
        <w:t xml:space="preserve">not materialise. Certain attrition in the awarded projects portfolio can happen with the negative</w:t>
      </w:r>
      <w:r>
        <w:t xml:space="preserve"> </w:t>
      </w:r>
      <w:r>
        <w:t xml:space="preserve">impact on the overall effectiveness of the scheme.</w:t>
      </w:r>
      <w:r>
        <w:t xml:space="preserve"> </w:t>
      </w:r>
      <w:r>
        <w:t xml:space="preserve">3.1.2. Measure AM.2: Auctions</w:t>
      </w:r>
      <w:r>
        <w:br/>
      </w:r>
      <w:r>
        <w:t xml:space="preserve">Example: IF current auctions for hydrogen or heat</w:t>
      </w:r>
      <w:r>
        <w:t xml:space="preserve"> </w:t>
      </w:r>
      <w:r>
        <w:t xml:space="preserve">While auctions can include other award criteria (as in the above multicriteria approach), their</w:t>
      </w:r>
      <w:r>
        <w:t xml:space="preserve"> </w:t>
      </w:r>
      <w:r>
        <w:t xml:space="preserve">primary intent is to allocate support based on competition on price. Therefore, auction-</w:t>
      </w:r>
      <w:r>
        <w:t xml:space="preserve"> </w:t>
      </w:r>
      <w:r>
        <w:t xml:space="preserve">based support requires the definition of a specific, homogeneous auction good on standardised</w:t>
      </w:r>
      <w:r>
        <w:t xml:space="preserve"> </w:t>
      </w:r>
      <w:r>
        <w:t xml:space="preserve">terms as fixed premia or variable premia, possibly in relation to a market price (e.g. fixed</w:t>
      </w:r>
      <w:r>
        <w:t xml:space="preserve"> </w:t>
      </w:r>
      <w:r>
        <w:t xml:space="preserve">subsidy or variable subsidy on top of market price per one kWh renewable electricity</w:t>
      </w:r>
      <w:r>
        <w:t xml:space="preserve"> </w:t>
      </w:r>
      <w:r>
        <w:t xml:space="preserve">produced/one tonne of CO2 abated/one kg of RNFBO produced) so that bids can be ranked in</w:t>
      </w:r>
      <w:r>
        <w:t xml:space="preserve"> </w:t>
      </w:r>
      <w:r>
        <w:t xml:space="preserve">a form of a merit order (with the lowest bids winning).</w:t>
      </w:r>
      <w:r>
        <w:br/>
      </w:r>
      <w:r>
        <w:t xml:space="preserve">Auctions can be implemented on demand- or supply- side, as one-sided or double-sided</w:t>
      </w:r>
      <w:r>
        <w:t xml:space="preserve"> </w:t>
      </w:r>
      <w:r>
        <w:t xml:space="preserve">auctions111 and include a wide range of design choices. Design choices include bid</w:t>
      </w:r>
      <w:r>
        <w:t xml:space="preserve"> </w:t>
      </w:r>
      <w:r>
        <w:t xml:space="preserve">components, volume/budget caps, baskets/topics, eligibility criteria, monitoring, reporting and</w:t>
      </w:r>
      <w:r>
        <w:t xml:space="preserve"> </w:t>
      </w:r>
      <w:r>
        <w:t xml:space="preserve">verification arrangements and potential non-price criteria such as minimum greenhouse gas</w:t>
      </w:r>
      <w:r>
        <w:t xml:space="preserve"> </w:t>
      </w:r>
      <w:r>
        <w:t xml:space="preserve">improvement, sustainability or resilience criteria. All these elements constitute ‘auction design’</w:t>
      </w:r>
      <w:r>
        <w:t xml:space="preserve"> </w:t>
      </w:r>
      <w:r>
        <w:t xml:space="preserve">and are often presented as Terms and Conditions112. These Terms and Conditions need to be</w:t>
      </w:r>
      <w:r>
        <w:t xml:space="preserve"> </w:t>
      </w:r>
      <w:r>
        <w:t xml:space="preserve">determined and known at latest when the auction opens to guarantee a transparent bidding</w:t>
      </w:r>
      <w:r>
        <w:t xml:space="preserve"> </w:t>
      </w:r>
      <w:r>
        <w:t xml:space="preserve">process, with applicants having full knowledge on all their rights and obligations.</w:t>
      </w:r>
      <w:r>
        <w:br/>
      </w:r>
      <w:r>
        <w:t xml:space="preserve">Auctions are widely used in MS (e.g. for renewables in power generation) and at EU-level</w:t>
      </w:r>
      <w:r>
        <w:t xml:space="preserve"> </w:t>
      </w:r>
      <w:r>
        <w:t xml:space="preserve">they have been pioneered under the Innovation Fund. Auctions can be designed with very</w:t>
      </w:r>
      <w:r>
        <w:t xml:space="preserve"> </w:t>
      </w:r>
      <w:r>
        <w:t xml:space="preserve">broad objective (i.e. maximising GHG abatement) or to specifically cater to the needs of</w:t>
      </w:r>
      <w:r>
        <w:t xml:space="preserve"> </w:t>
      </w:r>
      <w:r>
        <w:t xml:space="preserve">individual sectors (i.e. subsidising a specific product output).</w:t>
      </w:r>
      <w:r>
        <w:t xml:space="preserve"> </w:t>
      </w:r>
      <w:r>
        <w:t xml:space="preserve">As auctions allow less of in-depth due diligence on the financial maturity, a recommendable</w:t>
      </w:r>
      <w:r>
        <w:t xml:space="preserve"> </w:t>
      </w:r>
      <w:r>
        <w:t xml:space="preserve">feature of auction-based support is that it is performance based: payments are only made upon</w:t>
      </w:r>
      <w:r>
        <w:t xml:space="preserve"> </w:t>
      </w:r>
      <w:r>
        <w:t xml:space="preserve">delivery of the auctioned good. For that reason, auctions are best suited for mature, ‘near</w:t>
      </w:r>
      <w:r>
        <w:t xml:space="preserve"> </w:t>
      </w:r>
      <w:r>
        <w:t xml:space="preserve">market’ industrial abatement options where the technical risk is limited (and is borne by the</w:t>
      </w:r>
      <w:r>
        <w:t xml:space="preserve"> </w:t>
      </w:r>
      <w:r>
        <w:t xml:space="preserve">applicant), but the market risk is still relatively high. A specific feature of auctions are ‘bid</w:t>
      </w:r>
      <w:r>
        <w:t xml:space="preserve"> </w:t>
      </w:r>
      <w:r>
        <w:t xml:space="preserve">bonds’ or ‘completion bonds’ (a penalty for the applicant in case the project does not sign a</w:t>
      </w:r>
      <w:r>
        <w:t xml:space="preserve"> </w:t>
      </w:r>
      <w:r>
        <w:t xml:space="preserve">grant agreement or is not implemented), to avoid speculative bidding.</w:t>
      </w:r>
    </w:p>
    <w:p>
      <w:pPr>
        <w:pStyle w:val="BodyText"/>
      </w:pPr>
      <w:r>
        <w:t xml:space="preserve">111 In one-sided auctions, awardees are either on the supply or on the demand side. Ensuring the offtake (or</w:t>
      </w:r>
      <w:r>
        <w:t xml:space="preserve"> </w:t>
      </w:r>
      <w:r>
        <w:t xml:space="preserve">respectively supply) of the defined good is left to auction participants. In double-sided auctions, both the</w:t>
      </w:r>
      <w:r>
        <w:t xml:space="preserve"> </w:t>
      </w:r>
      <w:r>
        <w:t xml:space="preserve">production and demand side participate in the competitive bidding procedure. Next to determining strike</w:t>
      </w:r>
      <w:r>
        <w:t xml:space="preserve"> </w:t>
      </w:r>
      <w:r>
        <w:t xml:space="preserve">prices, the double-sided auction also serves to make matches between supply and demand.</w:t>
      </w:r>
      <w:r>
        <w:t xml:space="preserve"> </w:t>
      </w:r>
      <w:r>
        <w:t xml:space="preserve">112 E.g. T&amp;Cs of the IF hydrogen auction or T&amp;Cs of the IF heat auction.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Auctions allow for competitive funding allocation and thus lead to high cost-efficiency. As</w:t>
      </w:r>
      <w:r>
        <w:t xml:space="preserve"> </w:t>
      </w:r>
      <w:r>
        <w:t xml:space="preserve">above, high level of competition elicits projects with very high cost-efficiency sometimes</w:t>
      </w:r>
      <w:r>
        <w:t xml:space="preserve"> </w:t>
      </w:r>
      <w:r>
        <w:t xml:space="preserve">linked to higher risk-taking that in the end may not materialise, especially if confronted with</w:t>
      </w:r>
      <w:r>
        <w:t xml:space="preserve"> </w:t>
      </w:r>
      <w:r>
        <w:t xml:space="preserve">less positive market developments. This is to the detriment of the effectiveness of the scheme.</w:t>
      </w:r>
      <w:r>
        <w:t xml:space="preserve"> </w:t>
      </w:r>
      <w:r>
        <w:t xml:space="preserve">Depending on its design, auctions can be administratively simple (one-sided, price-only) or</w:t>
      </w:r>
      <w:r>
        <w:t xml:space="preserve"> </w:t>
      </w:r>
      <w:r>
        <w:t xml:space="preserve">become complex instrument, such as when multi-criteria are implemented or double-sided</w:t>
      </w:r>
      <w:r>
        <w:t xml:space="preserve"> </w:t>
      </w:r>
      <w:r>
        <w:t xml:space="preserve">auctions are used. Auctions are best suited for awarding a premium linked to the unit of</w:t>
      </w:r>
      <w:r>
        <w:t xml:space="preserve"> </w:t>
      </w:r>
      <w:r>
        <w:t xml:space="preserve">production or GHG abatement.</w:t>
      </w:r>
      <w:r>
        <w:t xml:space="preserve"> </w:t>
      </w:r>
      <w:r>
        <w:t xml:space="preserve">3.1.3. Measure AM.3: ‘First-in, first served’ administrative schemes</w:t>
      </w:r>
      <w:r>
        <w:br/>
      </w:r>
      <w:r>
        <w:t xml:space="preserve">Example: tax credits under the US IRA programme linked to the output of green product</w:t>
      </w:r>
      <w:r>
        <w:t xml:space="preserve"> </w:t>
      </w:r>
      <w:r>
        <w:t xml:space="preserve">This type of allocation schemes offers a ‘first-come first-served’ funding window where all</w:t>
      </w:r>
      <w:r>
        <w:t xml:space="preserve"> </w:t>
      </w:r>
      <w:r>
        <w:t xml:space="preserve">eligible applicants receive support until funds run out. The instrument is often used for</w:t>
      </w:r>
      <w:r>
        <w:t xml:space="preserve"> </w:t>
      </w:r>
      <w:r>
        <w:t xml:space="preserve">standardised support measures (e.g. with fixed lump sum amounts or fixed premia linked to</w:t>
      </w:r>
      <w:r>
        <w:t xml:space="preserve"> </w:t>
      </w:r>
      <w:r>
        <w:t xml:space="preserve">the unit of production) where the policy goal is quick market uptake rather than maximising</w:t>
      </w:r>
      <w:r>
        <w:t xml:space="preserve"> </w:t>
      </w:r>
      <w:r>
        <w:t xml:space="preserve">cost-efficiency and price discovery (as in auctions) or excellence of the proposals in multiple</w:t>
      </w:r>
      <w:r>
        <w:t xml:space="preserve"> </w:t>
      </w:r>
      <w:r>
        <w:t xml:space="preserve">aspects (as in regular grants). Administrative schemes are well-suited to favour front-runners</w:t>
      </w:r>
      <w:r>
        <w:t xml:space="preserve"> </w:t>
      </w:r>
      <w:r>
        <w:t xml:space="preserve">because the limited budget is taken by those who are first to reach pre-defined milestone</w:t>
      </w:r>
      <w:r>
        <w:t xml:space="preserve"> </w:t>
      </w:r>
      <w:r>
        <w:t xml:space="preserve">(application, Final Investment Decision, Entry into Operation, etc.). On the other hand, late-</w:t>
      </w:r>
      <w:r>
        <w:t xml:space="preserve"> </w:t>
      </w:r>
      <w:r>
        <w:t xml:space="preserve">comers take the risks that funds run out.</w:t>
      </w:r>
      <w:r>
        <w:br/>
      </w:r>
      <w:r>
        <w:t xml:space="preserve">This measure can have many features similar to the auctions, in particular: (1) definition of a</w:t>
      </w:r>
      <w:r>
        <w:t xml:space="preserve"> </w:t>
      </w:r>
      <w:r>
        <w:t xml:space="preserve">homogeneous/standardised good, (2) establishment of Terms and Conditions, including</w:t>
      </w:r>
      <w:r>
        <w:t xml:space="preserve"> </w:t>
      </w:r>
      <w:r>
        <w:t xml:space="preserve">completion or bid bonds (3) performance-based payments (upon delivery of the good).</w:t>
      </w:r>
      <w:r>
        <w:t xml:space="preserve"> </w:t>
      </w:r>
      <w:r>
        <w:t xml:space="preserve">However, the fundamental difference with auctions is that the specific support amount is</w:t>
      </w:r>
      <w:r>
        <w:t xml:space="preserve"> </w:t>
      </w:r>
      <w:r>
        <w:t xml:space="preserve">administratively determined ex-ante (and not via competition on price). As such this measure</w:t>
      </w:r>
      <w:r>
        <w:t xml:space="preserve"> </w:t>
      </w:r>
      <w:r>
        <w:t xml:space="preserve">characteristic is similar to feed-in tariffs as used by Member States for renewable electricity in</w:t>
      </w:r>
      <w:r>
        <w:t xml:space="preserve"> </w:t>
      </w:r>
      <w:r>
        <w:t xml:space="preserve">the past113, or the tax incentives for a number of low carbon technologies (H2, CCUS) in the</w:t>
      </w:r>
      <w:r>
        <w:t xml:space="preserve"> </w:t>
      </w:r>
      <w:r>
        <w:t xml:space="preserve">US Inflation Reduction Act114. At the EU level some calls under the Connecting Europe</w:t>
      </w:r>
      <w:r>
        <w:t xml:space="preserve"> </w:t>
      </w:r>
      <w:r>
        <w:t xml:space="preserve">Facility were similar, e.g. calls for installation of EVs charging points, as they offered multiple</w:t>
      </w:r>
      <w:r>
        <w:t xml:space="preserve"> </w:t>
      </w:r>
      <w:r>
        <w:t xml:space="preserve">‘cut-off’ dates for the submission of proposals115 and a fixed amount of support per charging</w:t>
      </w:r>
      <w:r>
        <w:t xml:space="preserve"> </w:t>
      </w:r>
      <w:r>
        <w:t xml:space="preserve">point.</w:t>
      </w:r>
      <w:r>
        <w:t xml:space="preserve"> </w:t>
      </w:r>
      <w:r>
        <w:t xml:space="preserve">Consequently,</w:t>
      </w:r>
      <w:r>
        <w:t xml:space="preserve"> </w:t>
      </w:r>
      <w:r>
        <w:t xml:space="preserve">such</w:t>
      </w:r>
      <w:r>
        <w:t xml:space="preserve"> </w:t>
      </w:r>
      <w:r>
        <w:t xml:space="preserve">schemes</w:t>
      </w:r>
      <w:r>
        <w:t xml:space="preserve"> </w:t>
      </w:r>
      <w:r>
        <w:t xml:space="preserve">work</w:t>
      </w:r>
      <w:r>
        <w:t xml:space="preserve"> </w:t>
      </w:r>
      <w:r>
        <w:t xml:space="preserve">best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mature,</w:t>
      </w:r>
      <w:r>
        <w:t xml:space="preserve"> </w:t>
      </w:r>
      <w:r>
        <w:t xml:space="preserve">standardised</w:t>
      </w:r>
      <w:r>
        <w:t xml:space="preserve"> </w:t>
      </w:r>
      <w:r>
        <w:t xml:space="preserve">technologies/products for which the costs can be estimated relatively accurately ex ante, rather</w:t>
      </w:r>
      <w:r>
        <w:t xml:space="preserve"> </w:t>
      </w:r>
      <w:r>
        <w:t xml:space="preserve">than for more innovative projects. Such schemes provide limited precision of the project</w:t>
      </w:r>
      <w:r>
        <w:t xml:space="preserve"> </w:t>
      </w:r>
      <w:r>
        <w:t xml:space="preserve">selection against tailored objectives. Since the objective is to award funding quickly, authorities</w:t>
      </w:r>
      <w:r>
        <w:t xml:space="preserve"> </w:t>
      </w:r>
      <w:r>
        <w:t xml:space="preserve">typically apply a simple eligibility check and standardised grant once the project is delivered.</w:t>
      </w:r>
      <w:r>
        <w:t xml:space="preserve"> </w:t>
      </w:r>
      <w:r>
        <w:t xml:space="preserve">Such approach is assumed for the evaluation of this measure. If there are project drop-outs it is</w:t>
      </w:r>
      <w:r>
        <w:t xml:space="preserve"> </w:t>
      </w:r>
      <w:r>
        <w:t xml:space="preserve">easy to select a new project from the application queue. However, eligibility checks can also</w:t>
      </w:r>
      <w:r>
        <w:t xml:space="preserve"> </w:t>
      </w:r>
      <w:r>
        <w:t xml:space="preserve">be designed in more complex manners and demand detailed documentation. Guardrails for</w:t>
      </w:r>
      <w:r>
        <w:t xml:space="preserve"> </w:t>
      </w:r>
      <w:r>
        <w:t xml:space="preserve">such administrative schemes might be needed such as: ‘booking’ systems116, per</w:t>
      </w:r>
    </w:p>
    <w:p>
      <w:pPr>
        <w:pStyle w:val="BodyText"/>
      </w:pPr>
      <w:r>
        <w:t xml:space="preserve">113 The revision of State aid guidelines in 2014 implied a transition towards auction based support</w:t>
      </w:r>
      <w:r>
        <w:br/>
      </w:r>
      <w:r>
        <w:t xml:space="preserve">114 For example, the US IRA 45Q tax credit provides a tax credit of 85$/tonne for every tonne of CO2 captured</w:t>
      </w:r>
      <w:r>
        <w:t xml:space="preserve"> </w:t>
      </w:r>
      <w:r>
        <w:t xml:space="preserve">and permanently stored in geological formations</w:t>
      </w:r>
      <w:r>
        <w:t xml:space="preserve"> </w:t>
      </w:r>
      <w:r>
        <w:t xml:space="preserve">115 https://cinea.ec.europa.eu/funding-opportunities/calls-proposals/cef-transport-alternative-fuels-</w:t>
      </w:r>
      <w:r>
        <w:t xml:space="preserve"> </w:t>
      </w:r>
      <w:r>
        <w:t xml:space="preserve">infrastructure-facility-afif-call-proposal_en</w:t>
      </w:r>
      <w:r>
        <w:br/>
      </w:r>
      <w:r>
        <w:t xml:space="preserve">116 There needs to be the system that shows the ‘application queue’ of projects that are eligible and can claim the</w:t>
      </w:r>
      <w:r>
        <w:t xml:space="preserve"> </w:t>
      </w:r>
      <w:r>
        <w:t xml:space="preserve">support once they meet a pre-defined milestone. Once such an ‘application queue’ exhausts the budget,</w:t>
      </w:r>
      <w:r>
        <w:t xml:space="preserve"> </w:t>
      </w:r>
      <w:r>
        <w:t xml:space="preserve">projects are put on the reserve list. There could be still many changes to the ‘application queue’ but it is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applicant- caps, technology baskets and clear MRV (monitoring, reporting, verification)</w:t>
      </w:r>
      <w:r>
        <w:t xml:space="preserve"> </w:t>
      </w:r>
      <w:r>
        <w:t xml:space="preserve">requirements.</w:t>
      </w:r>
      <w:r>
        <w:t xml:space="preserve"> </w:t>
      </w:r>
      <w:r>
        <w:t xml:space="preserve">The administrative schemes may work with any form of support discussed in the Section 5.2.</w:t>
      </w:r>
      <w:r>
        <w:t xml:space="preserve"> </w:t>
      </w:r>
      <w:r>
        <w:t xml:space="preserve">They require very little administrative effort and with an effective ‘booking’ system can deliver</w:t>
      </w:r>
      <w:r>
        <w:t xml:space="preserve"> </w:t>
      </w:r>
      <w:r>
        <w:t xml:space="preserve">high level of effectiveness as it is very easy to replace the projects dropping out. Also, with an</w:t>
      </w:r>
      <w:r>
        <w:t xml:space="preserve"> </w:t>
      </w:r>
      <w:r>
        <w:t xml:space="preserve">administratively set amount of support it is easier to establish higher returns for private</w:t>
      </w:r>
      <w:r>
        <w:t xml:space="preserve"> </w:t>
      </w:r>
      <w:r>
        <w:t xml:space="preserve">investors, making projects more immune to adverse market conditions and thus increasing the</w:t>
      </w:r>
      <w:r>
        <w:t xml:space="preserve"> </w:t>
      </w:r>
      <w:r>
        <w:t xml:space="preserve">likelihood of projects to be delivered. As trade-off such schemes provide very limited</w:t>
      </w:r>
      <w:r>
        <w:t xml:space="preserve"> </w:t>
      </w:r>
      <w:r>
        <w:t xml:space="preserve">precision in project selection and have an implicit risk of overallocation of support. This risk</w:t>
      </w:r>
      <w:r>
        <w:t xml:space="preserve"> </w:t>
      </w:r>
      <w:r>
        <w:t xml:space="preserve">of overcompensation would be detrimental to the overall efficiency of the scheme, as less</w:t>
      </w:r>
      <w:r>
        <w:t xml:space="preserve"> </w:t>
      </w:r>
      <w:r>
        <w:t xml:space="preserve">efficient undertakings would be supported and this could increase the cost of the transition.</w:t>
      </w:r>
      <w:r>
        <w:t xml:space="preserve"> </w:t>
      </w:r>
      <w:r>
        <w:t xml:space="preserve">Such risks can be mitigated by the upside-sharding mechanisms/claw-backs.</w:t>
      </w:r>
      <w:r>
        <w:t xml:space="preserve"> </w:t>
      </w:r>
      <w:r>
        <w:t xml:space="preserve">3.1.4. Other measures</w:t>
      </w:r>
      <w:r>
        <w:t xml:space="preserve"> </w:t>
      </w:r>
      <w:r>
        <w:t xml:space="preserve">MS proposing a shortlist of projects</w:t>
      </w:r>
      <w:r>
        <w:t xml:space="preserve"> </w:t>
      </w:r>
      <w:r>
        <w:t xml:space="preserve">Beyond those main measures, there could be others, notably MS proposing a shortlist of</w:t>
      </w:r>
      <w:r>
        <w:t xml:space="preserve"> </w:t>
      </w:r>
      <w:r>
        <w:t xml:space="preserve">projects as is, for example, the case for the current Modernisation Fund</w:t>
      </w:r>
      <w:r>
        <w:t xml:space="preserve"> </w:t>
      </w:r>
      <w:r>
        <w:t xml:space="preserve">Under such a support allocation mechanism, MS create a pipeline of national projects and</w:t>
      </w:r>
      <w:r>
        <w:t xml:space="preserve"> </w:t>
      </w:r>
      <w:r>
        <w:t xml:space="preserve">submit them for approval and funding under a common EU facility. The EU Modernisation</w:t>
      </w:r>
      <w:r>
        <w:t xml:space="preserve"> </w:t>
      </w:r>
      <w:r>
        <w:t xml:space="preserve">Fund (MF) is an example. Like the IF, it uses EU ETS allowance revenues but focuses support</w:t>
      </w:r>
      <w:r>
        <w:t xml:space="preserve"> </w:t>
      </w:r>
      <w:r>
        <w:t xml:space="preserve">on lower income MS. It allows varied forms of support (i.e. grants, premiums, guarantees,</w:t>
      </w:r>
      <w:r>
        <w:t xml:space="preserve"> </w:t>
      </w:r>
      <w:r>
        <w:t xml:space="preserve">loans, capital injections) based on national investment proposals. Those proposals are reviewed</w:t>
      </w:r>
      <w:r>
        <w:t xml:space="preserve"> </w:t>
      </w:r>
      <w:r>
        <w:t xml:space="preserve">against MF priority areas as well as its legal requirements (notably eligibility and State aid</w:t>
      </w:r>
      <w:r>
        <w:t xml:space="preserve"> </w:t>
      </w:r>
      <w:r>
        <w:t xml:space="preserve">compliance) that are defined on the EU level.</w:t>
      </w:r>
      <w:r>
        <w:t xml:space="preserve"> </w:t>
      </w:r>
      <w:r>
        <w:t xml:space="preserve">This allocation mechanism relies on national planning through which MS can more easily</w:t>
      </w:r>
      <w:r>
        <w:t xml:space="preserve"> </w:t>
      </w:r>
      <w:r>
        <w:t xml:space="preserve">cluster investments with enabling infrastructure, related value chains and their national</w:t>
      </w:r>
      <w:r>
        <w:t xml:space="preserve"> </w:t>
      </w:r>
      <w:r>
        <w:t xml:space="preserve">industrial strategies. The ability to choose projects and instruments gives MS flexibility and</w:t>
      </w:r>
      <w:r>
        <w:t xml:space="preserve"> </w:t>
      </w:r>
      <w:r>
        <w:t xml:space="preserve">provides a high level of precision to select projects based on specific objectives on Member</w:t>
      </w:r>
      <w:r>
        <w:t xml:space="preserve"> </w:t>
      </w:r>
      <w:r>
        <w:t xml:space="preserve">State level. At the same time, the mechanism will not perform as well towards the EU-level</w:t>
      </w:r>
      <w:r>
        <w:t xml:space="preserve"> </w:t>
      </w:r>
      <w:r>
        <w:t xml:space="preserve">objectives. It is highly dependent on the selection criteria, which can favour cost-efficiency or</w:t>
      </w:r>
      <w:r>
        <w:t xml:space="preserve"> </w:t>
      </w:r>
      <w:r>
        <w:t xml:space="preserve">excellence across a number of criteria or alignment with other national objectives (e.g. is the</w:t>
      </w:r>
      <w:r>
        <w:t xml:space="preserve"> </w:t>
      </w:r>
      <w:r>
        <w:t xml:space="preserve">project relevant for the National Energy and Climate Plan) and whether these selection criteria</w:t>
      </w:r>
      <w:r>
        <w:t xml:space="preserve"> </w:t>
      </w:r>
      <w:r>
        <w:t xml:space="preserve">are developed on the EU or national level. If criteria are developed entirely on the national</w:t>
      </w:r>
      <w:r>
        <w:t xml:space="preserve"> </w:t>
      </w:r>
      <w:r>
        <w:t xml:space="preserve">level, there is a risk of misalignment with the EU-level objectives. In terms of coherence with</w:t>
      </w:r>
      <w:r>
        <w:t xml:space="preserve"> </w:t>
      </w:r>
      <w:r>
        <w:t xml:space="preserve">other EU funding programmes, it depends on the design chosen by the MS to identify the short-</w:t>
      </w:r>
      <w:r>
        <w:t xml:space="preserve"> </w:t>
      </w:r>
      <w:r>
        <w:t xml:space="preserve">list and there is potentially a risk of overlaps with EU funding programmes. As with the</w:t>
      </w:r>
      <w:r>
        <w:t xml:space="preserve"> </w:t>
      </w:r>
      <w:r>
        <w:t xml:space="preserve">administrative schemes, there is a risk of overcompensation, potentially detrimental to the</w:t>
      </w:r>
      <w:r>
        <w:t xml:space="preserve"> </w:t>
      </w:r>
      <w:r>
        <w:t xml:space="preserve">overall efficiency of the scheme. Such risks can be mitigated by the upside-sharding</w:t>
      </w:r>
      <w:r>
        <w:t xml:space="preserve"> </w:t>
      </w:r>
      <w:r>
        <w:t xml:space="preserve">mechanisms/claw-backs.</w:t>
      </w:r>
      <w:r>
        <w:t xml:space="preserve"> </w:t>
      </w:r>
      <w:r>
        <w:t xml:space="preserve">Shortlists curated by Member States may work with any form of support described in the</w:t>
      </w:r>
      <w:r>
        <w:t xml:space="preserve"> </w:t>
      </w:r>
      <w:r>
        <w:t xml:space="preserve">Section below, however the implementation of more complex forms of support such as CCfDs</w:t>
      </w:r>
      <w:r>
        <w:t xml:space="preserve"> </w:t>
      </w:r>
      <w:r>
        <w:t xml:space="preserve">is less likely due to fragmented MS markets and limited administrative capacity is smaller</w:t>
      </w:r>
      <w:r>
        <w:t xml:space="preserve"> </w:t>
      </w:r>
      <w:r>
        <w:t xml:space="preserve">countries.</w:t>
      </w:r>
    </w:p>
    <w:p>
      <w:pPr>
        <w:pStyle w:val="BodyText"/>
      </w:pPr>
      <w:r>
        <w:t xml:space="preserve">guaranteed that once project is part of the queue and reaches the pre-defined milestone, it will receive the</w:t>
      </w:r>
      <w:r>
        <w:t xml:space="preserve"> </w:t>
      </w:r>
      <w:r>
        <w:t xml:space="preserve">support. For project on the reserve list, they would only receive support if there are dropouts from the queue.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3.2. Measures on what form the support should take</w:t>
      </w:r>
      <w:r>
        <w:t xml:space="preserve"> </w:t>
      </w:r>
      <w:r>
        <w:t xml:space="preserve">There is a number of forms the public support can take and, in most of the cases, the form can</w:t>
      </w:r>
      <w:r>
        <w:t xml:space="preserve"> </w:t>
      </w:r>
      <w:r>
        <w:t xml:space="preserve">be chosen regardless of the allocation mechanism (see Section 5.1) but will be influenced by</w:t>
      </w:r>
      <w:r>
        <w:t xml:space="preserve"> </w:t>
      </w:r>
      <w:r>
        <w:t xml:space="preserve">the choice of technology/sector/product and whether they operate on a mature or on a nascent</w:t>
      </w:r>
      <w:r>
        <w:t xml:space="preserve"> </w:t>
      </w:r>
      <w:r>
        <w:t xml:space="preserve">market (with a reference price or not). The measures selected below are not an exhaustive list</w:t>
      </w:r>
      <w:r>
        <w:t xml:space="preserve"> </w:t>
      </w:r>
      <w:r>
        <w:t xml:space="preserve">but represent the most common types of support and are largely reflecting the experience with</w:t>
      </w:r>
      <w:r>
        <w:t xml:space="preserve"> </w:t>
      </w:r>
      <w:r>
        <w:t xml:space="preserve">the Innovation Fund.</w:t>
      </w:r>
      <w:r>
        <w:t xml:space="preserve"> </w:t>
      </w:r>
      <w:r>
        <w:t xml:space="preserve">Measure FSFS.1</w:t>
      </w:r>
      <w:r>
        <w:t xml:space="preserve"> </w:t>
      </w:r>
      <w:r>
        <w:t xml:space="preserve">Regular’ grants</w:t>
      </w:r>
      <w:r>
        <w:br/>
      </w:r>
      <w:r>
        <w:t xml:space="preserve">Measure FSFS.2</w:t>
      </w:r>
      <w:r>
        <w:t xml:space="preserve"> </w:t>
      </w:r>
      <w:r>
        <w:t xml:space="preserve">Carbon Fixed Premium (CFP)</w:t>
      </w:r>
      <w:r>
        <w:t xml:space="preserve"> </w:t>
      </w:r>
      <w:r>
        <w:t xml:space="preserve">Measure FSFS.3</w:t>
      </w:r>
      <w:r>
        <w:t xml:space="preserve"> </w:t>
      </w:r>
      <w:r>
        <w:t xml:space="preserve">Carbon Contracts for Difference (CCfD)</w:t>
      </w:r>
      <w:r>
        <w:t xml:space="preserve"> </w:t>
      </w:r>
      <w:r>
        <w:t xml:space="preserve">3.2.1. Measure FS.1: ‘Regular’ grants</w:t>
      </w:r>
      <w:r>
        <w:br/>
      </w:r>
      <w:r>
        <w:t xml:space="preserve">Example: IF ‘regular’ grants</w:t>
      </w:r>
      <w:r>
        <w:t xml:space="preserve"> </w:t>
      </w:r>
      <w:r>
        <w:t xml:space="preserve">‘Regular’ grants (also called ‘investment’ grants) provide upfront capital to cover part of the</w:t>
      </w:r>
      <w:r>
        <w:t xml:space="preserve"> </w:t>
      </w:r>
      <w:r>
        <w:t xml:space="preserve">cost of low-emission installations or infrastructure. Grants are non-repayable forms of</w:t>
      </w:r>
      <w:r>
        <w:t xml:space="preserve"> </w:t>
      </w:r>
      <w:r>
        <w:t xml:space="preserve">support. They are typically awarded through competitive, often multi-criteria calls for</w:t>
      </w:r>
      <w:r>
        <w:t xml:space="preserve"> </w:t>
      </w:r>
      <w:r>
        <w:t xml:space="preserve">proposals or administrative schemes and disbursed in the form of lump-sum payments upon</w:t>
      </w:r>
      <w:r>
        <w:t xml:space="preserve"> </w:t>
      </w:r>
      <w:r>
        <w:t xml:space="preserve">the reaching of pre-defined milestones. Grants are among the most widely used support tools</w:t>
      </w:r>
      <w:r>
        <w:t xml:space="preserve"> </w:t>
      </w:r>
      <w:r>
        <w:t xml:space="preserve">for industrial decarbonisation. At the EU level, the most well-known grant mechanism for</w:t>
      </w:r>
      <w:r>
        <w:t xml:space="preserve"> </w:t>
      </w:r>
      <w:r>
        <w:t xml:space="preserve">industrial decarbonisation projects are grants under the IF. These grants can address 60% of</w:t>
      </w:r>
      <w:r>
        <w:t xml:space="preserve"> </w:t>
      </w:r>
      <w:r>
        <w:t xml:space="preserve">the funding gap and are disbursed in lump-sums upon achievement of certain milestones and</w:t>
      </w:r>
      <w:r>
        <w:t xml:space="preserve"> </w:t>
      </w:r>
      <w:r>
        <w:t xml:space="preserve">at least 75% of GHG abatement claimed in the application. Grants can be also established to</w:t>
      </w:r>
      <w:r>
        <w:t xml:space="preserve"> </w:t>
      </w:r>
      <w:r>
        <w:t xml:space="preserve">cover a given share of CAPEX/all eligible costs and can have monitoring arrangements with</w:t>
      </w:r>
      <w:r>
        <w:t xml:space="preserve"> </w:t>
      </w:r>
      <w:r>
        <w:t xml:space="preserve">varying levels of strictness117.If grants are disbursed ahead the entry into operation and some</w:t>
      </w:r>
      <w:r>
        <w:t xml:space="preserve"> </w:t>
      </w:r>
      <w:r>
        <w:t xml:space="preserve">part of support is not retrieved in case technology does not work out, the grants can participate</w:t>
      </w:r>
      <w:r>
        <w:t xml:space="preserve"> </w:t>
      </w:r>
      <w:r>
        <w:t xml:space="preserve">in shouldering the technology risks.</w:t>
      </w:r>
      <w:r>
        <w:t xml:space="preserve"> </w:t>
      </w:r>
      <w:r>
        <w:t xml:space="preserve">‘Regular’ grants are a common instrument and are generally applicable for a wide range of</w:t>
      </w:r>
      <w:r>
        <w:t xml:space="preserve"> </w:t>
      </w:r>
      <w:r>
        <w:t xml:space="preserve">projects (simple and complex), technologies and sectors. ‘Regular’ grants are effective in</w:t>
      </w:r>
      <w:r>
        <w:t xml:space="preserve"> </w:t>
      </w:r>
      <w:r>
        <w:t xml:space="preserve">addressing the initial investment barrier, which makes them well suited for capital intensive</w:t>
      </w:r>
      <w:r>
        <w:t xml:space="preserve"> </w:t>
      </w:r>
      <w:r>
        <w:t xml:space="preserve">projects with high technology risk that need support in the early project phase (construction).</w:t>
      </w:r>
      <w:r>
        <w:t xml:space="preserve"> </w:t>
      </w:r>
      <w:r>
        <w:t xml:space="preserve">‘Regular’ grants, if covering a large share of the project’s funding gap, can make the project</w:t>
      </w:r>
      <w:r>
        <w:t xml:space="preserve"> </w:t>
      </w:r>
      <w:r>
        <w:t xml:space="preserve">bankable but do not shield it from adverse market conditions (e.g. grants are rarely indexed to</w:t>
      </w:r>
      <w:r>
        <w:t xml:space="preserve"> </w:t>
      </w:r>
      <w:r>
        <w:t xml:space="preserve">the inflation, do not cater to unforeseen changes in costs or revenues) or guard against</w:t>
      </w:r>
      <w:r>
        <w:t xml:space="preserve"> </w:t>
      </w:r>
      <w:r>
        <w:t xml:space="preserve">overcompensation. On the flip side, there is no budgetary risk for the administration as the</w:t>
      </w:r>
      <w:r>
        <w:t xml:space="preserve"> </w:t>
      </w:r>
      <w:r>
        <w:t xml:space="preserve">amount of support is fixed in advance.</w:t>
      </w:r>
      <w:r>
        <w:t xml:space="preserve"> </w:t>
      </w:r>
      <w:r>
        <w:t xml:space="preserve">3.2.2. Measure FS.2: Carbon Fixed Premium (CFP)</w:t>
      </w:r>
      <w:r>
        <w:t xml:space="preserve"> </w:t>
      </w:r>
      <w:r>
        <w:t xml:space="preserve">Example: IF heat auction</w:t>
      </w:r>
      <w:r>
        <w:t xml:space="preserve"> </w:t>
      </w:r>
      <w:r>
        <w:t xml:space="preserve">A Carbon Fixed Premium (CFP) provides a fixed payment per tonne of CO₂ avoided. As</w:t>
      </w:r>
      <w:r>
        <w:t xml:space="preserve"> </w:t>
      </w:r>
      <w:r>
        <w:t xml:space="preserve">opposed to CCfDs (see below), CFP schemes are not linked to the actual carbon market price.</w:t>
      </w:r>
    </w:p>
    <w:p>
      <w:pPr>
        <w:pStyle w:val="BodyText"/>
      </w:pPr>
      <w:r>
        <w:t xml:space="preserve">117 If not conditional to certain performance requirements, grants do not guarantee long-term viability or</w:t>
      </w:r>
      <w:r>
        <w:t xml:space="preserve"> </w:t>
      </w:r>
      <w:r>
        <w:t xml:space="preserve">operational performance and hence their effectiveness regarding GHG emission reduction is limited. If</w:t>
      </w:r>
      <w:r>
        <w:t xml:space="preserve"> </w:t>
      </w:r>
      <w:r>
        <w:t xml:space="preserve">performance requirements are included, their effectiveness can be improved, which comes with additional</w:t>
      </w:r>
      <w:r>
        <w:t xml:space="preserve"> </w:t>
      </w:r>
      <w:r>
        <w:t xml:space="preserve">complexity for MRV.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The IF auction for heat decarbonisation is a simplified118 CFP scheme. Unlike the ‘regular’</w:t>
      </w:r>
      <w:r>
        <w:t xml:space="preserve"> </w:t>
      </w:r>
      <w:r>
        <w:t xml:space="preserve">grants, a CFP provides support once a project is operational, so the technology risk remains</w:t>
      </w:r>
      <w:r>
        <w:t xml:space="preserve"> </w:t>
      </w:r>
      <w:r>
        <w:t xml:space="preserve">almost entirely with the project and there is no support during the capital-intensive</w:t>
      </w:r>
      <w:r>
        <w:t xml:space="preserve"> </w:t>
      </w:r>
      <w:r>
        <w:t xml:space="preserve">investment phase. As ‘regular’ grants, CFP can make the project bankable but will not ‘shield’</w:t>
      </w:r>
      <w:r>
        <w:t xml:space="preserve"> </w:t>
      </w:r>
      <w:r>
        <w:t xml:space="preserve">it from adverse market conditions (e.g. lower carbon price than anticipated at the time of the</w:t>
      </w:r>
      <w:r>
        <w:t xml:space="preserve"> </w:t>
      </w:r>
      <w:r>
        <w:t xml:space="preserve">application and – more importantly – changes in costs or revenues).</w:t>
      </w:r>
      <w:r>
        <w:t xml:space="preserve"> </w:t>
      </w:r>
      <w:r>
        <w:t xml:space="preserve">Consequently, CFPs are a relatively simple form of support with very limited budget risk as</w:t>
      </w:r>
      <w:r>
        <w:t xml:space="preserve"> </w:t>
      </w:r>
      <w:r>
        <w:t xml:space="preserve">amount of support per tonne of CO2 avoided of support is fixed in advance and payments</w:t>
      </w:r>
      <w:r>
        <w:t xml:space="preserve"> </w:t>
      </w:r>
      <w:r>
        <w:t xml:space="preserve">depend on the output volume (which can also be capped) but not on market/carbon prices. Their</w:t>
      </w:r>
      <w:r>
        <w:t xml:space="preserve"> </w:t>
      </w:r>
      <w:r>
        <w:t xml:space="preserve">simplicity enables fast deployment of market-ready decarbonisation technologies. The static</w:t>
      </w:r>
      <w:r>
        <w:t xml:space="preserve"> </w:t>
      </w:r>
      <w:r>
        <w:t xml:space="preserve">support level may lead to overcompensation or unforeseen cost gaps. CFPs are applicable</w:t>
      </w:r>
      <w:r>
        <w:t xml:space="preserve"> </w:t>
      </w:r>
      <w:r>
        <w:t xml:space="preserve">across sectors and technologies, but technology baskets are required to account for structural</w:t>
      </w:r>
      <w:r>
        <w:t xml:space="preserve"> </w:t>
      </w:r>
      <w:r>
        <w:t xml:space="preserve">cost differences.</w:t>
      </w:r>
      <w:r>
        <w:br/>
      </w:r>
      <w:r>
        <w:t xml:space="preserve">3.2.3. Measure FS.3: Carbon Contracts for Difference (CCfD)</w:t>
      </w:r>
      <w:r>
        <w:t xml:space="preserve"> </w:t>
      </w:r>
      <w:r>
        <w:t xml:space="preserve">Example: German CCfD scheme</w:t>
      </w:r>
      <w:r>
        <w:t xml:space="preserve"> </w:t>
      </w:r>
      <w:r>
        <w:t xml:space="preserve">Carbon Contracts for Difference (CCfDs) are a form of support that guarantees a fixed</w:t>
      </w:r>
      <w:r>
        <w:t xml:space="preserve"> </w:t>
      </w:r>
      <w:r>
        <w:t xml:space="preserve">carbon price for industrial decarbonisation projects. The instrument works by compensating</w:t>
      </w:r>
      <w:r>
        <w:t xml:space="preserve"> </w:t>
      </w:r>
      <w:r>
        <w:t xml:space="preserve">for differences between a reference carbon price (the EU ETS) and a project’s strike price,</w:t>
      </w:r>
      <w:r>
        <w:t xml:space="preserve"> </w:t>
      </w:r>
      <w:r>
        <w:t xml:space="preserve">aiming to level the cost difference between a conventional fossil-based production process</w:t>
      </w:r>
      <w:r>
        <w:t xml:space="preserve"> </w:t>
      </w:r>
      <w:r>
        <w:t xml:space="preserve">and the alternative decarbonised process. If the reference price falls below the strike price,</w:t>
      </w:r>
      <w:r>
        <w:t xml:space="preserve"> </w:t>
      </w:r>
      <w:r>
        <w:t xml:space="preserve">the administrative body pays the price difference to the project developer; if the reference price</w:t>
      </w:r>
      <w:r>
        <w:t xml:space="preserve"> </w:t>
      </w:r>
      <w:r>
        <w:t xml:space="preserve">exceeds the strike price, the project developer repays the surplus to the support giver. In the</w:t>
      </w:r>
      <w:r>
        <w:t xml:space="preserve"> </w:t>
      </w:r>
      <w:r>
        <w:t xml:space="preserve">case where the reference price falls below the strike price, the support paid to the project</w:t>
      </w:r>
      <w:r>
        <w:t xml:space="preserve"> </w:t>
      </w:r>
      <w:r>
        <w:t xml:space="preserve">developer is meant to offset the additional costs of low-emissions production processes.</w:t>
      </w:r>
      <w:r>
        <w:t xml:space="preserve"> </w:t>
      </w:r>
      <w:r>
        <w:t xml:space="preserve">Limitations and additional rules to modulate this basic principle may apply. It is possible to</w:t>
      </w:r>
      <w:r>
        <w:t xml:space="preserve"> </w:t>
      </w:r>
      <w:r>
        <w:t xml:space="preserve">provide indexation to other (than carbon), which would however, further increase complexity</w:t>
      </w:r>
      <w:r>
        <w:t xml:space="preserve"> </w:t>
      </w:r>
      <w:r>
        <w:t xml:space="preserve">of the scheme.</w:t>
      </w:r>
      <w:r>
        <w:t xml:space="preserve"> </w:t>
      </w:r>
      <w:r>
        <w:t xml:space="preserve">An example of application is the CCfD scheme in Germany under its program called</w:t>
      </w:r>
      <w:r>
        <w:t xml:space="preserve"> </w:t>
      </w:r>
      <w:r>
        <w:t xml:space="preserve">Klimaschutzverträge in the first round, now announced to continue under the name CO2-</w:t>
      </w:r>
      <w:r>
        <w:t xml:space="preserve"> </w:t>
      </w:r>
      <w:r>
        <w:t xml:space="preserve">Differenzverträge. The program offers 15-year contracts with payments linked to CO₂ and (to</w:t>
      </w:r>
      <w:r>
        <w:t xml:space="preserve"> </w:t>
      </w:r>
      <w:r>
        <w:t xml:space="preserve">a limited extent) energy prices to compensate companies from the additional capital and</w:t>
      </w:r>
      <w:r>
        <w:t xml:space="preserve"> </w:t>
      </w:r>
      <w:r>
        <w:t xml:space="preserve">operational costs of switching from fossil-based to climate-neutral technologies. Austria and</w:t>
      </w:r>
      <w:r>
        <w:t xml:space="preserve"> </w:t>
      </w:r>
      <w:r>
        <w:t xml:space="preserve">France have also implemented CCfDs which differ in design and more European countries,</w:t>
      </w:r>
      <w:r>
        <w:t xml:space="preserve"> </w:t>
      </w:r>
      <w:r>
        <w:t xml:space="preserve">e.g. Denmark and the Netherlands, have announced or are in the early stages of developing</w:t>
      </w:r>
      <w:r>
        <w:t xml:space="preserve"> </w:t>
      </w:r>
      <w:r>
        <w:t xml:space="preserve">CCfDs.</w:t>
      </w:r>
      <w:r>
        <w:t xml:space="preserve"> </w:t>
      </w:r>
      <w:r>
        <w:t xml:space="preserve">As CFPs, CCfDs provide support once a project is operational, so the technology risk</w:t>
      </w:r>
      <w:r>
        <w:t xml:space="preserve"> </w:t>
      </w:r>
      <w:r>
        <w:t xml:space="preserve">remains almost entirely with the project and there is no support during the capital-intensive</w:t>
      </w:r>
      <w:r>
        <w:t xml:space="preserve"> </w:t>
      </w:r>
      <w:r>
        <w:t xml:space="preserve">investment phase. Unlike CFPs, they not only make the project bankable but also ‘shield’ it</w:t>
      </w:r>
      <w:r>
        <w:t xml:space="preserve"> </w:t>
      </w:r>
      <w:r>
        <w:t xml:space="preserve">from adverse market conditions, i.e. unexpected carbon price developments and changes in</w:t>
      </w:r>
      <w:r>
        <w:t xml:space="preserve"> </w:t>
      </w:r>
      <w:r>
        <w:t xml:space="preserve">energy prices if indexation is implemented in the policy design119.</w:t>
      </w:r>
    </w:p>
    <w:p>
      <w:pPr>
        <w:pStyle w:val="BodyText"/>
      </w:pPr>
      <w:r>
        <w:t xml:space="preserve">118 Abatement is calculated with automatic formula that applies emission factors to amount of the electricity</w:t>
      </w:r>
      <w:r>
        <w:t xml:space="preserve"> </w:t>
      </w:r>
      <w:r>
        <w:t xml:space="preserve">produced (using ETS heat benchmark or emission factors of fossil fuels in case of proven decommissioning)</w:t>
      </w:r>
      <w:r>
        <w:t xml:space="preserve"> </w:t>
      </w:r>
      <w:r>
        <w:t xml:space="preserve">119 In the German CCfDs the indexation to electricity and hydrogen prices was foreseen for projects (and more</w:t>
      </w:r>
      <w:r>
        <w:t xml:space="preserve"> </w:t>
      </w:r>
      <w:r>
        <w:t xml:space="preserve">for the conventional reference) acknowledging that the costs of energy vectors cannot be fully passed through</w:t>
      </w:r>
      <w:r>
        <w:t xml:space="preserve"> </w:t>
      </w:r>
      <w:r>
        <w:t xml:space="preserve">to consumers. Pass-through is impossible considering that most of the projects compete on the global markets.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CCfDs can catalyse large and complex projects by bridging the carbon price gap and thus work</w:t>
      </w:r>
      <w:r>
        <w:t xml:space="preserve"> </w:t>
      </w:r>
      <w:r>
        <w:t xml:space="preserve">hand in hand with the ETS market. The instrument implies a high administrative complexity</w:t>
      </w:r>
      <w:r>
        <w:t xml:space="preserve"> </w:t>
      </w:r>
      <w:r>
        <w:t xml:space="preserve">for bidders and the administration. It is particularly suited for large-scale capital-intensive</w:t>
      </w:r>
      <w:r>
        <w:t xml:space="preserve"> </w:t>
      </w:r>
      <w:r>
        <w:t xml:space="preserve">projects in EIIs. CCfDs offer high design flexibility, making them suitable for both simple</w:t>
      </w:r>
      <w:r>
        <w:t xml:space="preserve"> </w:t>
      </w:r>
      <w:r>
        <w:t xml:space="preserve">and complex processes. Potential payback after carbon prices exceed strike prices may deter</w:t>
      </w:r>
      <w:r>
        <w:t xml:space="preserve"> </w:t>
      </w:r>
      <w:r>
        <w:t xml:space="preserve">bidders or impact the operational phase but are an important element reflecting shared risks.</w:t>
      </w:r>
      <w:r>
        <w:t xml:space="preserve"> </w:t>
      </w:r>
      <w:r>
        <w:t xml:space="preserve">Administrative bodies need to provide budgetary provisioning as there is uncertainty about</w:t>
      </w:r>
      <w:r>
        <w:t xml:space="preserve"> </w:t>
      </w:r>
      <w:r>
        <w:t xml:space="preserve">price developments and consequently payouts to the projects.</w:t>
      </w:r>
      <w:r>
        <w:br/>
      </w:r>
      <w:r>
        <w:t xml:space="preserve">3.2.4. Other measures</w:t>
      </w:r>
      <w:r>
        <w:t xml:space="preserve"> </w:t>
      </w:r>
      <w:r>
        <w:t xml:space="preserve">1. Fixed premium per unit of green product</w:t>
      </w:r>
      <w:r>
        <w:t xml:space="preserve"> </w:t>
      </w:r>
      <w:r>
        <w:t xml:space="preserve">Similar form of support to carbon fixed premium but, necessarily, more-technology specific is</w:t>
      </w:r>
      <w:r>
        <w:t xml:space="preserve"> </w:t>
      </w:r>
      <w:r>
        <w:t xml:space="preserve">a fixed premium per unit of green product. An example is IF hydrogen auction.</w:t>
      </w:r>
      <w:r>
        <w:t xml:space="preserve"> </w:t>
      </w:r>
      <w:r>
        <w:t xml:space="preserve">This mechanism provides a fixed premium for each unit of low-emission product produced</w:t>
      </w:r>
      <w:r>
        <w:t xml:space="preserve"> </w:t>
      </w:r>
      <w:r>
        <w:t xml:space="preserve">(e.g. tonne of steel or cement). The premium is independent from market prices of goods and</w:t>
      </w:r>
      <w:r>
        <w:t xml:space="preserve"> </w:t>
      </w:r>
      <w:r>
        <w:t xml:space="preserve">is typically paid per unit produced, much like the auctions under the Innovation Fund allocate</w:t>
      </w:r>
      <w:r>
        <w:t xml:space="preserve"> </w:t>
      </w:r>
      <w:r>
        <w:t xml:space="preserve">funds through a fixed-premium auction to support the production of renewable hydrogen. To</w:t>
      </w:r>
      <w:r>
        <w:t xml:space="preserve"> </w:t>
      </w:r>
      <w:r>
        <w:t xml:space="preserve">some extent also the US IRA tax credit support was supposed to amount to the fixed support</w:t>
      </w:r>
      <w:r>
        <w:t xml:space="preserve"> </w:t>
      </w:r>
      <w:r>
        <w:t xml:space="preserve">per unit of product (albeit delivered in the form of tax credits).</w:t>
      </w:r>
      <w:r>
        <w:t xml:space="preserve"> </w:t>
      </w:r>
      <w:r>
        <w:t xml:space="preserve">Similar to CFP, this form of support provides support once project is operational, so the</w:t>
      </w:r>
      <w:r>
        <w:t xml:space="preserve"> </w:t>
      </w:r>
      <w:r>
        <w:t xml:space="preserve">technology risk remains almost entirely with the project and there is no support during the</w:t>
      </w:r>
      <w:r>
        <w:t xml:space="preserve"> </w:t>
      </w:r>
      <w:r>
        <w:t xml:space="preserve">capital-intensive investment phase. Such support can make the project bankable but will not</w:t>
      </w:r>
      <w:r>
        <w:t xml:space="preserve"> </w:t>
      </w:r>
      <w:r>
        <w:t xml:space="preserve">shield it for adverse market conditions (e.g. higher production inputs costs than anticipated at</w:t>
      </w:r>
      <w:r>
        <w:t xml:space="preserve"> </w:t>
      </w:r>
      <w:r>
        <w:t xml:space="preserve">the time of the application or lower prices for the produced good).</w:t>
      </w:r>
      <w:r>
        <w:t xml:space="preserve"> </w:t>
      </w:r>
      <w:r>
        <w:t xml:space="preserve">Consequently, this is relatively simple form of support with very limited budget risk as amount</w:t>
      </w:r>
      <w:r>
        <w:t xml:space="preserve"> </w:t>
      </w:r>
      <w:r>
        <w:t xml:space="preserve">of support per unit of green product is fixed in advance and payments depend on the output</w:t>
      </w:r>
      <w:r>
        <w:t xml:space="preserve"> </w:t>
      </w:r>
      <w:r>
        <w:t xml:space="preserve">volume (which can also be capped) but not on market/carbon prices. This form of support is</w:t>
      </w:r>
      <w:r>
        <w:t xml:space="preserve"> </w:t>
      </w:r>
      <w:r>
        <w:t xml:space="preserve">well suited to close the funding gap through predictable support payments to more mature</w:t>
      </w:r>
      <w:r>
        <w:t xml:space="preserve"> </w:t>
      </w:r>
      <w:r>
        <w:t xml:space="preserve">technologies and thus for the scale-up of low-emission technologies and products. The</w:t>
      </w:r>
      <w:r>
        <w:t xml:space="preserve"> </w:t>
      </w:r>
      <w:r>
        <w:t xml:space="preserve">instrument can be applied in various sectors and for different technologies, in which a specific</w:t>
      </w:r>
      <w:r>
        <w:t xml:space="preserve"> </w:t>
      </w:r>
      <w:r>
        <w:t xml:space="preserve">homogeneous good eligible for funding can be identified. Due to a variety of green products,</w:t>
      </w:r>
      <w:r>
        <w:t xml:space="preserve"> </w:t>
      </w:r>
      <w:r>
        <w:t xml:space="preserve">a sector-specific approach will be required.</w:t>
      </w:r>
      <w:r>
        <w:t xml:space="preserve"> </w:t>
      </w:r>
      <w:r>
        <w:t xml:space="preserve">2. Variable premium for the unit of the green product</w:t>
      </w:r>
      <w:r>
        <w:t xml:space="preserve"> </w:t>
      </w:r>
      <w:r>
        <w:t xml:space="preserve">Just like CCfDs are introducing variable premium into the CFPs, there can be also variable</w:t>
      </w:r>
      <w:r>
        <w:t xml:space="preserve"> </w:t>
      </w:r>
      <w:r>
        <w:t xml:space="preserve">premium applied to support for the unit of the green product. An example would be national</w:t>
      </w:r>
      <w:r>
        <w:t xml:space="preserve"> </w:t>
      </w:r>
      <w:r>
        <w:t xml:space="preserve">electricity CfD schemes for wind offshore projects.</w:t>
      </w:r>
      <w:r>
        <w:t xml:space="preserve"> </w:t>
      </w:r>
      <w:r>
        <w:t xml:space="preserve">A variable premium adjusts the support level based on market conditions-specifically: the</w:t>
      </w:r>
      <w:r>
        <w:t xml:space="preserve"> </w:t>
      </w:r>
      <w:r>
        <w:t xml:space="preserve">difference between the cost of low-emission and conventional (end) product prices. A variable</w:t>
      </w:r>
      <w:r>
        <w:t xml:space="preserve"> </w:t>
      </w:r>
      <w:r>
        <w:t xml:space="preserve">premium requires a product-specific design, such as a reference product price for a traded</w:t>
      </w:r>
      <w:r>
        <w:t xml:space="preserve"> </w:t>
      </w:r>
      <w:r>
        <w:t xml:space="preserve">good, which consequently limits its applicability across different sectors. It could be</w:t>
      </w:r>
      <w:r>
        <w:t xml:space="preserve"> </w:t>
      </w:r>
      <w:r>
        <w:t xml:space="preserve">applicable for final goods (e.g. steel, cement, aluminium, fertilisers, glass) as well as</w:t>
      </w:r>
      <w:r>
        <w:t xml:space="preserve"> </w:t>
      </w:r>
      <w:r>
        <w:t xml:space="preserve">intermediate goods, such as heat. However, for heterogeneous final products or intermediate</w:t>
      </w:r>
      <w:r>
        <w:t xml:space="preserve"> </w:t>
      </w:r>
      <w:r>
        <w:t xml:space="preserve">products without evident reference prices (or price index) such type of support would not be</w:t>
      </w:r>
      <w:r>
        <w:t xml:space="preserve"> </w:t>
      </w:r>
      <w:r>
        <w:t xml:space="preserve">possible. This instrument is designed to ‘shield’ the projects from all revenue risks on the</w:t>
      </w:r>
      <w:r>
        <w:t xml:space="preserve"> </w:t>
      </w:r>
      <w:r>
        <w:t xml:space="preserve">nascent markets where there is high volatility of the green products. For more mature markets,</w:t>
      </w:r>
      <w:r>
        <w:t xml:space="preserve"> </w:t>
      </w:r>
      <w:r>
        <w:t xml:space="preserve">forms of support that leave more risks with market participants may be more justified. Finally,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for this type of support, administrative bodies can face uncertainty about final payouts to the</w:t>
      </w:r>
      <w:r>
        <w:t xml:space="preserve"> </w:t>
      </w:r>
      <w:r>
        <w:t xml:space="preserve">projects and needs to do provisioning (i.e. reserve the budget) accordingly.</w:t>
      </w:r>
      <w:r>
        <w:t xml:space="preserve"> </w:t>
      </w:r>
      <w:r>
        <w:t xml:space="preserve">3. Instruments other than grants</w:t>
      </w:r>
      <w:r>
        <w:t xml:space="preserve"> </w:t>
      </w:r>
      <w:r>
        <w:t xml:space="preserve">Beyond those main options, further support options designed to address very capital-intensive</w:t>
      </w:r>
      <w:r>
        <w:t xml:space="preserve"> </w:t>
      </w:r>
      <w:r>
        <w:t xml:space="preserve">investments and to strengthen the financing side of projects may be relevant, such as</w:t>
      </w:r>
      <w:r>
        <w:t xml:space="preserve"> </w:t>
      </w:r>
      <w:r>
        <w:t xml:space="preserve">guarantees, loans, and equity instruments. While such instruments alone cannot address</w:t>
      </w:r>
      <w:r>
        <w:t xml:space="preserve"> </w:t>
      </w:r>
      <w:r>
        <w:t xml:space="preserve">projects with significant funding gap, they could be combined with grant options to create a</w:t>
      </w:r>
      <w:r>
        <w:t xml:space="preserve"> </w:t>
      </w:r>
      <w:r>
        <w:t xml:space="preserve">more robust financial model.</w:t>
      </w:r>
      <w:r>
        <w:t xml:space="preserve"> </w:t>
      </w:r>
      <w:r>
        <w:t xml:space="preserve">3.A public guarantees for production of low-carbon product</w:t>
      </w:r>
      <w:r>
        <w:br/>
      </w:r>
      <w:r>
        <w:t xml:space="preserve">Example: performance guarantees for clean-tech manufacturing projects.</w:t>
      </w:r>
      <w:r>
        <w:t xml:space="preserve"> </w:t>
      </w:r>
      <w:r>
        <w:t xml:space="preserve">Public guarantees reduce lender risk, improve access to private capital and lower the cost of</w:t>
      </w:r>
      <w:r>
        <w:t xml:space="preserve"> </w:t>
      </w:r>
      <w:r>
        <w:t xml:space="preserve">capital. They can be a vital element to making projects bankable, but in contrast to operational</w:t>
      </w:r>
      <w:r>
        <w:t xml:space="preserve"> </w:t>
      </w:r>
      <w:r>
        <w:t xml:space="preserve">support their impact on GHG emission reduction is only indirect. Guarantees do not directly</w:t>
      </w:r>
      <w:r>
        <w:t xml:space="preserve"> </w:t>
      </w:r>
      <w:r>
        <w:t xml:space="preserve">close cost gaps to conventional production as they do not provide direct revenue support for</w:t>
      </w:r>
      <w:r>
        <w:t xml:space="preserve"> </w:t>
      </w:r>
      <w:r>
        <w:t xml:space="preserve">CAPEX and OPEX costs.</w:t>
      </w:r>
      <w:r>
        <w:br/>
      </w:r>
      <w:r>
        <w:t xml:space="preserve">3.B equity type of instrument and direct loans</w:t>
      </w:r>
      <w:r>
        <w:br/>
      </w:r>
      <w:r>
        <w:t xml:space="preserve">Example: loans and equity taking</w:t>
      </w:r>
      <w:r>
        <w:br/>
      </w:r>
      <w:r>
        <w:t xml:space="preserve">Equity-type instruments involve public investment in return for a share of project ownership</w:t>
      </w:r>
      <w:r>
        <w:t xml:space="preserve"> </w:t>
      </w:r>
      <w:r>
        <w:t xml:space="preserve">or future returns. Similar to public guarantees, equity-type instruments and direct loans can</w:t>
      </w:r>
      <w:r>
        <w:t xml:space="preserve"> </w:t>
      </w:r>
      <w:r>
        <w:t xml:space="preserve">improve access to private capital and lower the cost of capital. They can be a vital element to</w:t>
      </w:r>
      <w:r>
        <w:t xml:space="preserve"> </w:t>
      </w:r>
      <w:r>
        <w:t xml:space="preserve">make projects bankable by absorbing early-stage risk (in the case of equity), but in contrast to</w:t>
      </w:r>
      <w:r>
        <w:t xml:space="preserve"> </w:t>
      </w:r>
      <w:r>
        <w:t xml:space="preserve">operational support their impact on GHG emission reduction is only indirect. As public</w:t>
      </w:r>
      <w:r>
        <w:t xml:space="preserve"> </w:t>
      </w:r>
      <w:r>
        <w:t xml:space="preserve">guarantees, equity-type instruments and direct loans do not directly close cost gaps to</w:t>
      </w:r>
      <w:r>
        <w:t xml:space="preserve"> </w:t>
      </w:r>
      <w:r>
        <w:t xml:space="preserve">conventional production as they do not provide direct revenue support for CAPEX and OPEX.</w:t>
      </w:r>
      <w:r>
        <w:t xml:space="preserve"> </w:t>
      </w:r>
      <w:r>
        <w:t xml:space="preserve">Additional considerations</w:t>
      </w:r>
      <w:r>
        <w:t xml:space="preserve"> </w:t>
      </w:r>
      <w:r>
        <w:t xml:space="preserve">Monetisation of EU ETS allowances or payments in allowances:</w:t>
      </w:r>
      <w:r>
        <w:t xml:space="preserve"> </w:t>
      </w:r>
      <w:r>
        <w:t xml:space="preserve">Regardless of the option chosen from the menu of main options above, an overarching aspect</w:t>
      </w:r>
      <w:r>
        <w:t xml:space="preserve"> </w:t>
      </w:r>
      <w:r>
        <w:t xml:space="preserve">of providing funds to projects covered by the IDB concerns the monetisation of EU ETS</w:t>
      </w:r>
      <w:r>
        <w:t xml:space="preserve"> </w:t>
      </w:r>
      <w:r>
        <w:t xml:space="preserve">allowances. Normally, funding is provided in Euros, with their monetisation realised through</w:t>
      </w:r>
      <w:r>
        <w:t xml:space="preserve"> </w:t>
      </w:r>
      <w:r>
        <w:t xml:space="preserve">the auctioning of allowances on the EU ETS Common Auction Platform e.g. as currently done</w:t>
      </w:r>
      <w:r>
        <w:t xml:space="preserve"> </w:t>
      </w:r>
      <w:r>
        <w:t xml:space="preserve">under the IF. Most options discussed above use a performance metric linked to GHG</w:t>
      </w:r>
      <w:r>
        <w:t xml:space="preserve"> </w:t>
      </w:r>
      <w:r>
        <w:t xml:space="preserve">abatement. It would therefore be possible to bypass the intermediate step of first monetising</w:t>
      </w:r>
      <w:r>
        <w:t xml:space="preserve"> </w:t>
      </w:r>
      <w:r>
        <w:t xml:space="preserve">the EU ETS allowances but instead assigning such allowances directly to the successful</w:t>
      </w:r>
      <w:r>
        <w:t xml:space="preserve"> </w:t>
      </w:r>
      <w:r>
        <w:t xml:space="preserve">projects, with their monetisation being left to the project owner. Different implementation</w:t>
      </w:r>
      <w:r>
        <w:t xml:space="preserve"> </w:t>
      </w:r>
      <w:r>
        <w:t xml:space="preserve">options can be envisaged. Settlement of support directly in allowances is applied successfully</w:t>
      </w:r>
      <w:r>
        <w:t xml:space="preserve"> </w:t>
      </w:r>
      <w:r>
        <w:t xml:space="preserve">already in the support of sustainable aviation fuels120. Depending on the detailed design of the</w:t>
      </w:r>
      <w:r>
        <w:t xml:space="preserve"> </w:t>
      </w:r>
      <w:r>
        <w:t xml:space="preserve">support scheme in question, this example could also be followed under the IDB.</w:t>
      </w:r>
    </w:p>
    <w:p>
      <w:pPr>
        <w:pStyle w:val="BodyText"/>
      </w:pPr>
      <w:r>
        <w:t xml:space="preserve">120 Commission Delegated Regulation (EU) 2025/723 of 6 February 2025 supplementing Directive 2003/87/EC</w:t>
      </w:r>
      <w:r>
        <w:t xml:space="preserve"> </w:t>
      </w:r>
      <w:r>
        <w:t xml:space="preserve">of the European Parliament and of the Council by laying down detailed rules for the yearly calculation of</w:t>
      </w:r>
      <w:r>
        <w:t xml:space="preserve"> </w:t>
      </w:r>
      <w:r>
        <w:t xml:space="preserve">price differences between eligible aviation fuels and fossil kerosene and for the EU ETS allocation of</w:t>
      </w:r>
      <w:r>
        <w:t xml:space="preserve"> </w:t>
      </w:r>
      <w:r>
        <w:t xml:space="preserve">allowances for the use of eligible aviation fuel.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3.3. Measures on ensuring geographical balance in IDB</w:t>
      </w:r>
      <w:r>
        <w:br/>
      </w:r>
      <w:r>
        <w:t xml:space="preserve">In the design of the IDB, a balance needs to be struck between two partially conflicting</w:t>
      </w:r>
      <w:r>
        <w:t xml:space="preserve"> </w:t>
      </w:r>
      <w:r>
        <w:t xml:space="preserve">objectives: on the one hand to support the most cost-effective projects (because these are often</w:t>
      </w:r>
      <w:r>
        <w:t xml:space="preserve"> </w:t>
      </w:r>
      <w:r>
        <w:t xml:space="preserve">the least financially risky, and the most mature projects are in the best-suited locations) and on</w:t>
      </w:r>
      <w:r>
        <w:t xml:space="preserve"> </w:t>
      </w:r>
      <w:r>
        <w:t xml:space="preserve">the other hand, to help projects in all Member States to decarbonise, providing related spillover</w:t>
      </w:r>
      <w:r>
        <w:t xml:space="preserve"> </w:t>
      </w:r>
      <w:r>
        <w:t xml:space="preserve">effects (on employment, supply chains, knowledge-sharing) and maintaining political support</w:t>
      </w:r>
      <w:r>
        <w:t xml:space="preserve"> </w:t>
      </w:r>
      <w:r>
        <w:t xml:space="preserve">across Member States for industrial decarbonisation.</w:t>
      </w:r>
      <w:r>
        <w:br/>
      </w:r>
      <w:r>
        <w:t xml:space="preserve">The Clean Industrial Deal Communication indicates the importance of designing the IDB ‘to</w:t>
      </w:r>
      <w:r>
        <w:t xml:space="preserve"> </w:t>
      </w:r>
      <w:r>
        <w:t xml:space="preserve">ensure (…) a fair distribution of support across Member States’. Fair geographical</w:t>
      </w:r>
      <w:r>
        <w:t xml:space="preserve"> </w:t>
      </w:r>
      <w:r>
        <w:t xml:space="preserve">distribution (also called ‘geographical balance’) of funds is a key aspect for certain Member</w:t>
      </w:r>
      <w:r>
        <w:t xml:space="preserve"> </w:t>
      </w:r>
      <w:r>
        <w:t xml:space="preserve">States. Several measures of addressing the geographical balance are assessed below.</w:t>
      </w:r>
      <w:r>
        <w:t xml:space="preserve"> </w:t>
      </w:r>
      <w:r>
        <w:t xml:space="preserve">Measure GB.1</w:t>
      </w:r>
      <w:r>
        <w:t xml:space="preserve"> </w:t>
      </w:r>
      <w:r>
        <w:t xml:space="preserve">EU-level competition, no geographical balance measures</w:t>
      </w:r>
      <w:r>
        <w:t xml:space="preserve"> </w:t>
      </w:r>
      <w:r>
        <w:t xml:space="preserve">Measure GB.2</w:t>
      </w:r>
      <w:r>
        <w:t xml:space="preserve"> </w:t>
      </w:r>
      <w:r>
        <w:t xml:space="preserve">National allocations for MS in terms of overall IDB</w:t>
      </w:r>
      <w:r>
        <w:t xml:space="preserve"> </w:t>
      </w:r>
      <w:r>
        <w:t xml:space="preserve">spending</w:t>
      </w:r>
      <w:r>
        <w:t xml:space="preserve"> </w:t>
      </w:r>
      <w:r>
        <w:t xml:space="preserve">Measure GB.3</w:t>
      </w:r>
      <w:r>
        <w:t xml:space="preserve"> </w:t>
      </w:r>
      <w:r>
        <w:t xml:space="preserve">Combing EU-level competition with national allocations</w:t>
      </w:r>
      <w:r>
        <w:br/>
      </w:r>
      <w:r>
        <w:t xml:space="preserve">3.3.1. Measure GB.1: EU-level competition</w:t>
      </w:r>
      <w:r>
        <w:br/>
      </w:r>
      <w:r>
        <w:t xml:space="preserve">In this measure, IDB funding would be allocated based on pure excellence, i.e. for projects</w:t>
      </w:r>
      <w:r>
        <w:t xml:space="preserve"> </w:t>
      </w:r>
      <w:r>
        <w:t xml:space="preserve">that perform best on one or set of award criteria and based on the EU-level competition. This</w:t>
      </w:r>
      <w:r>
        <w:t xml:space="preserve"> </w:t>
      </w:r>
      <w:r>
        <w:t xml:space="preserve">is how the Innovation Fund has been operating albeit with some soft measures aiming for</w:t>
      </w:r>
      <w:r>
        <w:t xml:space="preserve"> </w:t>
      </w:r>
      <w:r>
        <w:t xml:space="preserve">more geographical balance (e.g. technical assistance provided to the National Contact Points).</w:t>
      </w:r>
      <w:r>
        <w:t xml:space="preserve"> </w:t>
      </w:r>
      <w:r>
        <w:t xml:space="preserve">It has to be recognised that performance of projects in the EU-level competition is partly linked</w:t>
      </w:r>
      <w:r>
        <w:t xml:space="preserve"> </w:t>
      </w:r>
      <w:r>
        <w:t xml:space="preserve">to their locations (i.e. considering infrastructure, economic/industrial structures, energy prices,</w:t>
      </w:r>
      <w:r>
        <w:t xml:space="preserve"> </w:t>
      </w:r>
      <w:r>
        <w:t xml:space="preserve">presence of ‘national champions’, supply and demand centres, knowledge and workforce,</w:t>
      </w:r>
      <w:r>
        <w:t xml:space="preserve"> </w:t>
      </w:r>
      <w:r>
        <w:t xml:space="preserve">innovation ecosystem, taxation etc) but performance is also driven by the project’s inherent</w:t>
      </w:r>
      <w:r>
        <w:t xml:space="preserve"> </w:t>
      </w:r>
      <w:r>
        <w:t xml:space="preserve">features regardless of the location, notably in terms of technology deployed.</w:t>
      </w:r>
      <w:r>
        <w:br/>
      </w:r>
      <w:r>
        <w:t xml:space="preserve">Benefits of the EU-level competition are clearly visible through observed cost-efficiencies of</w:t>
      </w:r>
      <w:r>
        <w:t xml:space="preserve"> </w:t>
      </w:r>
      <w:r>
        <w:t xml:space="preserve">deploying decarbonisation technologies, GHG abatement to be achieved and contributions to</w:t>
      </w:r>
      <w:r>
        <w:t xml:space="preserve"> </w:t>
      </w:r>
      <w:r>
        <w:t xml:space="preserve">achieving the EU climate and industrial policy objectives to be achieved by currently selected</w:t>
      </w:r>
      <w:r>
        <w:t xml:space="preserve"> </w:t>
      </w:r>
      <w:r>
        <w:t xml:space="preserve">IF portfolio. Such approach could be reconducted to the IDB, but it would imply that projects</w:t>
      </w:r>
      <w:r>
        <w:t xml:space="preserve"> </w:t>
      </w:r>
      <w:r>
        <w:t xml:space="preserve">in certain Member States can be less competitive, resulting in a geographical imbalance in</w:t>
      </w:r>
      <w:r>
        <w:t xml:space="preserve"> </w:t>
      </w:r>
      <w:r>
        <w:t xml:space="preserve">terms of funding distribution. Based on the experience of the IF, the imbalances are more</w:t>
      </w:r>
      <w:r>
        <w:t xml:space="preserve"> </w:t>
      </w:r>
      <w:r>
        <w:t xml:space="preserve">visible in certain sectors (e.g. if projects are dependent on electricity prices that are markedly</w:t>
      </w:r>
      <w:r>
        <w:t xml:space="preserve"> </w:t>
      </w:r>
      <w:r>
        <w:t xml:space="preserve">lower in certain countries) rather than across the economy, and geographical balance improves</w:t>
      </w:r>
      <w:r>
        <w:t xml:space="preserve"> </w:t>
      </w:r>
      <w:r>
        <w:t xml:space="preserve">over time as national project ecosystems develop (national administrations’ capacity to support</w:t>
      </w:r>
      <w:r>
        <w:t xml:space="preserve"> </w:t>
      </w:r>
      <w:r>
        <w:t xml:space="preserve">projects, availability of consultancies, projects communities). In the longer term the balance</w:t>
      </w:r>
      <w:r>
        <w:t xml:space="preserve"> </w:t>
      </w:r>
      <w:r>
        <w:t xml:space="preserve">might be improving without any dedicated measures. Nevertheless, in the short term dedicated</w:t>
      </w:r>
      <w:r>
        <w:t xml:space="preserve"> </w:t>
      </w:r>
      <w:r>
        <w:t xml:space="preserve">actions might be needed, considering the importance of the EU cohesion and that all Member</w:t>
      </w:r>
      <w:r>
        <w:t xml:space="preserve"> </w:t>
      </w:r>
      <w:r>
        <w:t xml:space="preserve">States need to participate in industrial decarbonisation, that subsidised projects have large</w:t>
      </w:r>
      <w:r>
        <w:t xml:space="preserve"> </w:t>
      </w:r>
      <w:r>
        <w:t xml:space="preserve">spillover effects and can kickstart the new clusters and centres of excellence.</w:t>
      </w:r>
      <w:r>
        <w:br/>
      </w:r>
      <w:r>
        <w:t xml:space="preserve">3.3.2. Measure GB.2: National allocations for MS in terms of overall IDB spending</w:t>
      </w:r>
      <w:r>
        <w:br/>
      </w:r>
      <w:r>
        <w:t xml:space="preserve">In this measure, support from the IDB would be allocated still based on competition and</w:t>
      </w:r>
      <w:r>
        <w:t xml:space="preserve"> </w:t>
      </w:r>
      <w:r>
        <w:t xml:space="preserve">funding would be awarded to projects that perform best on the award criteria, but projects</w:t>
      </w:r>
      <w:r>
        <w:t xml:space="preserve"> </w:t>
      </w:r>
      <w:r>
        <w:t xml:space="preserve">would be awarded within the limit of pre-established national allocations (i.e. shares of overall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IDB budget that are earmarked for spending on projects in a given Member State). Such</w:t>
      </w:r>
      <w:r>
        <w:t xml:space="preserve"> </w:t>
      </w:r>
      <w:r>
        <w:t xml:space="preserve">national allocations could be defined based on Member States’ contributions to the IDB (e.g. </w:t>
      </w:r>
      <w:r>
        <w:t xml:space="preserve"> </w:t>
      </w:r>
      <w:r>
        <w:t xml:space="preserve">in terms of EU ETS allowances contributed), industrial national GHG emissions to</w:t>
      </w:r>
      <w:r>
        <w:t xml:space="preserve"> </w:t>
      </w:r>
      <w:r>
        <w:t xml:space="preserve">abate/already abated, GDP or industrial value added. The allocations could be defined for</w:t>
      </w:r>
      <w:r>
        <w:t xml:space="preserve"> </w:t>
      </w:r>
      <w:r>
        <w:t xml:space="preserve">individual Member States or certain groups of Member States.</w:t>
      </w:r>
      <w:r>
        <w:br/>
      </w:r>
      <w:r>
        <w:t xml:space="preserve">Compared to measure GB.1, this measure would ensure that support granted by the IDB</w:t>
      </w:r>
      <w:r>
        <w:t xml:space="preserve"> </w:t>
      </w:r>
      <w:r>
        <w:t xml:space="preserve">achieves a geographical balance as defined upfront (and derived from metrics described</w:t>
      </w:r>
      <w:r>
        <w:t xml:space="preserve"> </w:t>
      </w:r>
      <w:r>
        <w:t xml:space="preserve">above such as MS contributions in terms of EU ETS allowances). In essence, projects located</w:t>
      </w:r>
      <w:r>
        <w:t xml:space="preserve"> </w:t>
      </w:r>
      <w:r>
        <w:t xml:space="preserve">in all MS can be supported and this is important knowing that all MS face the challenge of</w:t>
      </w:r>
      <w:r>
        <w:t xml:space="preserve"> </w:t>
      </w:r>
      <w:r>
        <w:t xml:space="preserve">industrial decarbonisation and funded projects also have important spillover effects on national</w:t>
      </w:r>
      <w:r>
        <w:t xml:space="preserve"> </w:t>
      </w:r>
      <w:r>
        <w:t xml:space="preserve">industrial structures.</w:t>
      </w:r>
      <w:r>
        <w:br/>
      </w:r>
      <w:r>
        <w:t xml:space="preserve">As an example, if national allocations were linked to industrial emissions yet to abate, it would</w:t>
      </w:r>
      <w:r>
        <w:t xml:space="preserve"> </w:t>
      </w:r>
      <w:r>
        <w:t xml:space="preserve">ensure that Member States with currently higher emissions, and thus greater needs for</w:t>
      </w:r>
      <w:r>
        <w:t xml:space="preserve"> </w:t>
      </w:r>
      <w:r>
        <w:t xml:space="preserve">deployment of decarbonisation technologies, receive proportionate support. As an alternative,</w:t>
      </w:r>
      <w:r>
        <w:t xml:space="preserve"> </w:t>
      </w:r>
      <w:r>
        <w:t xml:space="preserve">the sizes of national allocations could be linked to emissions abatement achieved, whereby</w:t>
      </w:r>
      <w:r>
        <w:t xml:space="preserve"> </w:t>
      </w:r>
      <w:r>
        <w:t xml:space="preserve">Member States would be incentivised to reduce their emissions to access greater financial</w:t>
      </w:r>
      <w:r>
        <w:t xml:space="preserve"> </w:t>
      </w:r>
      <w:r>
        <w:t xml:space="preserve">support. This would create a direct link between performance and funding.</w:t>
      </w:r>
      <w:r>
        <w:t xml:space="preserve"> </w:t>
      </w:r>
      <w:r>
        <w:t xml:space="preserve">Regardless of the specific method for defining national allocations, such an approach also has</w:t>
      </w:r>
      <w:r>
        <w:t xml:space="preserve"> </w:t>
      </w:r>
      <w:r>
        <w:t xml:space="preserve">inherent shortcomings as it does not fully enable the benefits of EU-level competition. EU-</w:t>
      </w:r>
      <w:r>
        <w:t xml:space="preserve"> </w:t>
      </w:r>
      <w:r>
        <w:t xml:space="preserve">level competition would be constrained by national allocations and disregard that certain MS</w:t>
      </w:r>
      <w:r>
        <w:t xml:space="preserve"> </w:t>
      </w:r>
      <w:r>
        <w:t xml:space="preserve">offer more favourable locations in terms of renewables endowment, labour cost, or better</w:t>
      </w:r>
      <w:r>
        <w:t xml:space="preserve"> </w:t>
      </w:r>
      <w:r>
        <w:t xml:space="preserve">proximity to industrial clusters. That would be partially missing opportunity for the EU as a</w:t>
      </w:r>
      <w:r>
        <w:t xml:space="preserve"> </w:t>
      </w:r>
      <w:r>
        <w:t xml:space="preserve">whole to pursue a ‘smart specialisation’ of countries or regions, which offers a possibility to</w:t>
      </w:r>
      <w:r>
        <w:t xml:space="preserve"> </w:t>
      </w:r>
      <w:r>
        <w:t xml:space="preserve">strategically use its strengths so that the EU can best compete on global markets. This approach</w:t>
      </w:r>
      <w:r>
        <w:t xml:space="preserve"> </w:t>
      </w:r>
      <w:r>
        <w:t xml:space="preserve">also poses a risk of IDB ‘compartmentalisation’, i.e. having IDB funding opportunities</w:t>
      </w:r>
      <w:r>
        <w:t xml:space="preserve"> </w:t>
      </w:r>
      <w:r>
        <w:t xml:space="preserve">fragmented into multiple national compartments which prevents economies of scale at EU</w:t>
      </w:r>
      <w:r>
        <w:t xml:space="preserve"> </w:t>
      </w:r>
      <w:r>
        <w:t xml:space="preserve">level. This would be especially problematic if the IDB would also feature sectoral/technology</w:t>
      </w:r>
      <w:r>
        <w:t xml:space="preserve"> </w:t>
      </w:r>
      <w:r>
        <w:t xml:space="preserve">or other compartments as the individual budget allocational would become small.</w:t>
      </w:r>
      <w:r>
        <w:t xml:space="preserve"> </w:t>
      </w:r>
      <w:r>
        <w:t xml:space="preserve">A variation of this approach is introducing a cap on an excessive number of projects from</w:t>
      </w:r>
      <w:r>
        <w:t xml:space="preserve"> </w:t>
      </w:r>
      <w:r>
        <w:t xml:space="preserve">a given MS. This would not achieve a geographical balance upfront but would help to achieve</w:t>
      </w:r>
      <w:r>
        <w:t xml:space="preserve"> </w:t>
      </w:r>
      <w:r>
        <w:t xml:space="preserve">a more balanced portfolio. The cap would only be triggered if a country starts to secure the</w:t>
      </w:r>
      <w:r>
        <w:t xml:space="preserve"> </w:t>
      </w:r>
      <w:r>
        <w:t xml:space="preserve">funding for a disproportionately large number of projects.</w:t>
      </w:r>
      <w:r>
        <w:br/>
      </w:r>
      <w:r>
        <w:t xml:space="preserve">3.3.3. Measure GB.3: Combing EU-level competition with national allocations</w:t>
      </w:r>
      <w:r>
        <w:t xml:space="preserve"> </w:t>
      </w:r>
      <w:r>
        <w:t xml:space="preserve">In this measure, a certain share of the IDB funding could be distributed to projects based on</w:t>
      </w:r>
      <w:r>
        <w:t xml:space="preserve"> </w:t>
      </w:r>
      <w:r>
        <w:t xml:space="preserve">pure excellence, i.e. through an EU-level competition (like in measure GB.1), while the rest of</w:t>
      </w:r>
      <w:r>
        <w:t xml:space="preserve"> </w:t>
      </w:r>
      <w:r>
        <w:t xml:space="preserve">the funding could be distributed also on the EU-level but respecting pre-defined national</w:t>
      </w:r>
      <w:r>
        <w:t xml:space="preserve"> </w:t>
      </w:r>
      <w:r>
        <w:t xml:space="preserve">allocations (like in measure GB.2). There could be different splits between the two approaches,</w:t>
      </w:r>
      <w:r>
        <w:t xml:space="preserve"> </w:t>
      </w:r>
      <w:r>
        <w:t xml:space="preserve">e.g. 50/50 or 70/30.</w:t>
      </w:r>
      <w:r>
        <w:t xml:space="preserve"> </w:t>
      </w:r>
      <w:r>
        <w:t xml:space="preserve">This measure would allow the EU to benefit from the advantages of both measures GB.1 and</w:t>
      </w:r>
      <w:r>
        <w:t xml:space="preserve"> </w:t>
      </w:r>
      <w:r>
        <w:t xml:space="preserve">GB.2. While the EU-level mechanism leads to the best cost-efficiency, economies of scale and</w:t>
      </w:r>
      <w:r>
        <w:t xml:space="preserve"> </w:t>
      </w:r>
      <w:r>
        <w:t xml:space="preserve">the optimal location of projects, national allocations allow a more balanced approach,</w:t>
      </w:r>
      <w:r>
        <w:t xml:space="preserve"> </w:t>
      </w:r>
      <w:r>
        <w:t xml:space="preserve">providing funding to projects in all MS and delivering the resulting spillover effects.</w:t>
      </w:r>
      <w:r>
        <w:br/>
      </w:r>
      <w:r>
        <w:t xml:space="preserve">3.3.4. Other measures</w:t>
      </w:r>
      <w:r>
        <w:br/>
      </w:r>
      <w:r>
        <w:t xml:space="preserve">In addition to those main measures, other initiatives could be considered to increase</w:t>
      </w:r>
      <w:r>
        <w:t xml:space="preserve"> </w:t>
      </w:r>
      <w:r>
        <w:t xml:space="preserve">geographical balance of projects to be supported by the IDB. Those initiatives can be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implemented from the beginning of the operation of the IDB or at a later stage during its</w:t>
      </w:r>
      <w:r>
        <w:t xml:space="preserve"> </w:t>
      </w:r>
      <w:r>
        <w:t xml:space="preserve">implementation when it is possible to take stock of the geo-balance as shaped by the early</w:t>
      </w:r>
      <w:r>
        <w:t xml:space="preserve"> </w:t>
      </w:r>
      <w:r>
        <w:t xml:space="preserve">funding rounds and adjust it - as needed. As for the main measures analysed above, additional</w:t>
      </w:r>
      <w:r>
        <w:t xml:space="preserve"> </w:t>
      </w:r>
      <w:r>
        <w:t xml:space="preserve">initiatives could aim at several funding rounds and the portfolio of instruments, or at a single</w:t>
      </w:r>
      <w:r>
        <w:t xml:space="preserve"> </w:t>
      </w:r>
      <w:r>
        <w:t xml:space="preserve">funding round.</w:t>
      </w:r>
      <w:r>
        <w:t xml:space="preserve"> </w:t>
      </w:r>
      <w:r>
        <w:t xml:space="preserve">‘Soft’ measures, as currently implemented under the Innovation Fund, could be explored: (1)</w:t>
      </w:r>
      <w:r>
        <w:t xml:space="preserve"> </w:t>
      </w:r>
      <w:r>
        <w:t xml:space="preserve">technical assistance for National Contact Points in Member States with low effective</w:t>
      </w:r>
      <w:r>
        <w:t xml:space="preserve"> </w:t>
      </w:r>
      <w:r>
        <w:t xml:space="preserve">participation aiming to increase the overall quality of the Innovation Fund applications, (2)</w:t>
      </w:r>
      <w:r>
        <w:t xml:space="preserve"> </w:t>
      </w:r>
      <w:r>
        <w:t xml:space="preserve">training sessions for Member States National Contact Points for outreach and communication,</w:t>
      </w:r>
      <w:r>
        <w:t xml:space="preserve"> </w:t>
      </w:r>
      <w:r>
        <w:t xml:space="preserve">(3) including geographical balance considerations in providing Project Development</w:t>
      </w:r>
      <w:r>
        <w:t xml:space="preserve"> </w:t>
      </w:r>
      <w:r>
        <w:t xml:space="preserve">Assistance, (4) bonus points/tie-breaker/similar mechanisms to favour applications from MS</w:t>
      </w:r>
      <w:r>
        <w:t xml:space="preserve"> </w:t>
      </w:r>
      <w:r>
        <w:t xml:space="preserve">which are lagging behind.</w:t>
      </w:r>
      <w:r>
        <w:t xml:space="preserve"> </w:t>
      </w:r>
      <w:r>
        <w:t xml:space="preserve">The ‘as-a-service’ feature developed for the IF (both auctions and ‘regular’ grants) if also</w:t>
      </w:r>
      <w:r>
        <w:t xml:space="preserve"> </w:t>
      </w:r>
      <w:r>
        <w:t xml:space="preserve">applied to the IDB could help to increase the geographical balance. In practice, it means for the</w:t>
      </w:r>
      <w:r>
        <w:t xml:space="preserve"> </w:t>
      </w:r>
      <w:r>
        <w:t xml:space="preserve">IF that Member States can complement any IF call for proposals with national funding schemes</w:t>
      </w:r>
      <w:r>
        <w:t xml:space="preserve"> </w:t>
      </w:r>
      <w:r>
        <w:t xml:space="preserve">which are dedicated only to projects located in their territory. This allows Member States to</w:t>
      </w:r>
      <w:r>
        <w:t xml:space="preserve"> </w:t>
      </w:r>
      <w:r>
        <w:t xml:space="preserve">benefit from the IF’s evaluation process to identify and support promising projects on their</w:t>
      </w:r>
      <w:r>
        <w:t xml:space="preserve"> </w:t>
      </w:r>
      <w:r>
        <w:t xml:space="preserve">territory that were not selected for funding. Participation of Member States is voluntary and</w:t>
      </w:r>
      <w:r>
        <w:t xml:space="preserve"> </w:t>
      </w:r>
      <w:r>
        <w:t xml:space="preserve">dependent on the availability of budget at national level. The support is considered State aid</w:t>
      </w:r>
      <w:r>
        <w:t xml:space="preserve"> </w:t>
      </w:r>
      <w:r>
        <w:t xml:space="preserve">and therefore has to be approved by the Commission. Thanks to close alignment between the</w:t>
      </w:r>
      <w:r>
        <w:t xml:space="preserve"> </w:t>
      </w:r>
      <w:r>
        <w:t xml:space="preserve">evaluation under the IF and State aid assessment, the approval of the Commission can be</w:t>
      </w:r>
      <w:r>
        <w:t xml:space="preserve"> </w:t>
      </w:r>
      <w:r>
        <w:t xml:space="preserve">streamlined and accelerated. Four MS have already opened an ‘as service’ schemes linked to</w:t>
      </w:r>
      <w:r>
        <w:t xml:space="preserve"> </w:t>
      </w:r>
      <w:r>
        <w:t xml:space="preserve">the Innovation Fund. A similar approach could be enabled under the IDB on the condition that</w:t>
      </w:r>
      <w:r>
        <w:t xml:space="preserve"> </w:t>
      </w:r>
      <w:r>
        <w:t xml:space="preserve">there is a close alignment of the IDB with the State aid requirements. This approach could be</w:t>
      </w:r>
      <w:r>
        <w:t xml:space="preserve"> </w:t>
      </w:r>
      <w:r>
        <w:t xml:space="preserve">also a way to implement the national allocations.</w:t>
      </w:r>
      <w:r>
        <w:t xml:space="preserve"> </w:t>
      </w:r>
      <w:r>
        <w:t xml:space="preserve">A ‘right of first use’ of the EU ETS allowances could also be explored. In practice, it would</w:t>
      </w:r>
      <w:r>
        <w:t xml:space="preserve"> </w:t>
      </w:r>
      <w:r>
        <w:t xml:space="preserve">mean that the IDB’s resources would reflect the contribution of Member States to the ETS and</w:t>
      </w:r>
      <w:r>
        <w:t xml:space="preserve"> </w:t>
      </w:r>
      <w:r>
        <w:t xml:space="preserve">would be reserved for a certain period (e.g. 3 years) for applicants under the IDB selection</w:t>
      </w:r>
      <w:r>
        <w:t xml:space="preserve"> </w:t>
      </w:r>
      <w:r>
        <w:t xml:space="preserve">process for the specific Member State. If fewer projects apply or are selected from that MS</w:t>
      </w:r>
      <w:r>
        <w:t xml:space="preserve"> </w:t>
      </w:r>
      <w:r>
        <w:t xml:space="preserve">under the IDB than expected, the remaining budget returns to MS and it would be allowed to</w:t>
      </w:r>
      <w:r>
        <w:t xml:space="preserve"> </w:t>
      </w:r>
      <w:r>
        <w:t xml:space="preserve">spend it under the general conditions for the use of EU ETS auction revenue set by the EU ETS</w:t>
      </w:r>
      <w:r>
        <w:t xml:space="preserve"> </w:t>
      </w:r>
      <w:r>
        <w:t xml:space="preserve">Directive. This approach could be also a way to implement the national allocations.</w:t>
      </w:r>
      <w:r>
        <w:t xml:space="preserve"> </w:t>
      </w:r>
      <w:r>
        <w:t xml:space="preserve">MS could also be involved in the provisioning (in case the type of support chosen is the</w:t>
      </w:r>
      <w:r>
        <w:t xml:space="preserve"> </w:t>
      </w:r>
      <w:r>
        <w:t xml:space="preserve">variable premium, e.g. CCfD). In practice, MS could create national or regional provisions or</w:t>
      </w:r>
      <w:r>
        <w:t xml:space="preserve"> </w:t>
      </w:r>
      <w:r>
        <w:t xml:space="preserve">guarantee schemes that complement the EU mechanism, sharing the risk of adverse market</w:t>
      </w:r>
      <w:r>
        <w:t xml:space="preserve"> </w:t>
      </w:r>
      <w:r>
        <w:t xml:space="preserve">conditions that would require higher payments for schemes that work with variable premium.</w:t>
      </w:r>
      <w:r>
        <w:br/>
      </w:r>
      <w:r>
        <w:t xml:space="preserve">This approach can increase the total amount of funding given a smaller part of the EU funding</w:t>
      </w:r>
      <w:r>
        <w:t xml:space="preserve"> </w:t>
      </w:r>
      <w:r>
        <w:t xml:space="preserve">would need to be mobilised for the provisioning. Managing risk-sharing in a joint manner</w:t>
      </w:r>
      <w:r>
        <w:t xml:space="preserve"> </w:t>
      </w:r>
      <w:r>
        <w:t xml:space="preserve">would require a clear legal framework and governance and coordination mechanisms.</w:t>
      </w:r>
      <w:r>
        <w:br/>
      </w:r>
      <w:r>
        <w:t xml:space="preserve">MS could be involved in the governance of the IDB, participating in setting the priorities</w:t>
      </w:r>
      <w:r>
        <w:t xml:space="preserve"> </w:t>
      </w:r>
      <w:r>
        <w:t xml:space="preserve">that the IDB can serve and defining the funding instruments, as seen in existing successful</w:t>
      </w:r>
      <w:r>
        <w:t xml:space="preserve"> </w:t>
      </w:r>
      <w:r>
        <w:t xml:space="preserve">method developed under the IF Expert Group.</w:t>
      </w:r>
      <w:r>
        <w:t xml:space="preserve"> </w:t>
      </w:r>
      <w:r>
        <w:t xml:space="preserve">3.4. Assessment of the measures</w:t>
      </w:r>
      <w:r>
        <w:t xml:space="preserve"> </w:t>
      </w:r>
      <w:r>
        <w:t xml:space="preserve">3.4.1. Expected impacts</w:t>
      </w:r>
      <w:r>
        <w:t xml:space="preserve"> </w:t>
      </w:r>
      <w:r>
        <w:t xml:space="preserve">Assessment of impacts (in terms of abatement to be achieved and private investment mobilised)</w:t>
      </w:r>
      <w:r>
        <w:t xml:space="preserve"> </w:t>
      </w:r>
      <w:r>
        <w:t xml:space="preserve">is limited to assessment of the Baseline only since Baseline already defines the size of the IDB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(EUR 100 bn) and the policy options concern the ways IDB budget would be spent that would</w:t>
      </w:r>
      <w:r>
        <w:t xml:space="preserve"> </w:t>
      </w:r>
      <w:r>
        <w:t xml:space="preserve">have negligible impacts on the overall impacts especially taking into account the trade-off</w:t>
      </w:r>
      <w:r>
        <w:t xml:space="preserve"> </w:t>
      </w:r>
      <w:r>
        <w:t xml:space="preserve">between cost-efficiency (for very competitive calls for proposals) and effectiveness (for</w:t>
      </w:r>
      <w:r>
        <w:t xml:space="preserve"> </w:t>
      </w:r>
      <w:r>
        <w:t xml:space="preserve">schemes that allow more robust financial model) – see also Annex 3 on summary of costs and</w:t>
      </w:r>
      <w:r>
        <w:t xml:space="preserve"> </w:t>
      </w:r>
      <w:r>
        <w:t xml:space="preserve">benefits for the whole initiative.</w:t>
      </w:r>
      <w:r>
        <w:t xml:space="preserve"> </w:t>
      </w:r>
      <w:r>
        <w:t xml:space="preserve">The baseline assumes a continuation of the current Innovation Fund with for the period</w:t>
      </w:r>
      <w:r>
        <w:t xml:space="preserve"> </w:t>
      </w:r>
      <w:r>
        <w:t xml:space="preserve">2031-40, with the same instruments (‘regular’ grants and auctions) and the type of support</w:t>
      </w:r>
      <w:r>
        <w:t xml:space="preserve"> </w:t>
      </w:r>
      <w:r>
        <w:t xml:space="preserve">currently provided (lump sum payments or fixed premium for the unit of low-carbon</w:t>
      </w:r>
      <w:r>
        <w:t xml:space="preserve"> </w:t>
      </w:r>
      <w:r>
        <w:t xml:space="preserve">product/GHG abatement). In the past years, IF has been testing the support for scale-up/roll-</w:t>
      </w:r>
      <w:r>
        <w:t xml:space="preserve"> </w:t>
      </w:r>
      <w:r>
        <w:t xml:space="preserve">out more mature technologies (i.e. going beyond the first-of-a-kind (FOAK) type of projects)</w:t>
      </w:r>
      <w:r>
        <w:t xml:space="preserve"> </w:t>
      </w:r>
      <w:r>
        <w:t xml:space="preserve">by deploying auctions, awarding a fixed premium once projects enter into operation. While the</w:t>
      </w:r>
      <w:r>
        <w:t xml:space="preserve"> </w:t>
      </w:r>
      <w:r>
        <w:t xml:space="preserve">IF has been clearly successful in deploying auctions for specific technologies (attracting</w:t>
      </w:r>
      <w:r>
        <w:t xml:space="preserve"> </w:t>
      </w:r>
      <w:r>
        <w:t xml:space="preserve">impressive numbers of bidders and clearing at very low prices), it clearly lacks the ‘firepower’</w:t>
      </w:r>
      <w:r>
        <w:t xml:space="preserve"> </w:t>
      </w:r>
      <w:r>
        <w:t xml:space="preserve">to offer scale-up/roll-out support to all industrial sectors – at the necessary scale.</w:t>
      </w:r>
      <w:r>
        <w:t xml:space="preserve"> </w:t>
      </w:r>
      <w:r>
        <w:t xml:space="preserve">Given foreseen budget amounts, the IF cannot be a solution for both innovative and more</w:t>
      </w:r>
      <w:r>
        <w:t xml:space="preserve"> </w:t>
      </w:r>
      <w:r>
        <w:t xml:space="preserve">mature industrial decarbonisation technologies. It would remain effective but at a small</w:t>
      </w:r>
      <w:r>
        <w:t xml:space="preserve"> </w:t>
      </w:r>
      <w:r>
        <w:t xml:space="preserve">scale, limiting its impact on emission reductions and providing limited chances for the EU to</w:t>
      </w:r>
      <w:r>
        <w:t xml:space="preserve"> </w:t>
      </w:r>
      <w:r>
        <w:t xml:space="preserve">secure technology leadership. Likewise, creating the IDB for mature technologies only and</w:t>
      </w:r>
      <w:r>
        <w:t xml:space="preserve"> </w:t>
      </w:r>
      <w:r>
        <w:t xml:space="preserve">without a complementary innovation and FOAK support pillar would risk focusing on</w:t>
      </w:r>
      <w:r>
        <w:t xml:space="preserve"> </w:t>
      </w:r>
      <w:r>
        <w:t xml:space="preserve">mature technologies only, neglecting the early, high technology risk projects that are needed to</w:t>
      </w:r>
      <w:r>
        <w:t xml:space="preserve"> </w:t>
      </w:r>
      <w:r>
        <w:t xml:space="preserve">close remaining gaps in the decarbonisation portfolio and/or increase cost efficiency of</w:t>
      </w:r>
      <w:r>
        <w:t xml:space="preserve"> </w:t>
      </w:r>
      <w:r>
        <w:t xml:space="preserve">decarbonisation in the longer term. Support for FOAK type of projects and scale-up/rollout of</w:t>
      </w:r>
      <w:r>
        <w:t xml:space="preserve"> </w:t>
      </w:r>
      <w:r>
        <w:t xml:space="preserve">more mature technologies are necessary and complementary.</w:t>
      </w:r>
      <w:r>
        <w:t xml:space="preserve"> </w:t>
      </w:r>
      <w:r>
        <w:t xml:space="preserve">The impact of the IF portfolio of projects awarded so far was analysed in the IF evaluation</w:t>
      </w:r>
      <w:r>
        <w:t xml:space="preserve"> </w:t>
      </w:r>
      <w:r>
        <w:t xml:space="preserve">report that is attached of the ETS Directive revision proposal and provides indication on the</w:t>
      </w:r>
      <w:r>
        <w:t xml:space="preserve"> </w:t>
      </w:r>
      <w:r>
        <w:t xml:space="preserve">impact of the IF programme as a whole as well as of IDB.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Box: Impact of the IF</w:t>
      </w:r>
      <w:r>
        <w:t xml:space="preserve"> </w:t>
      </w:r>
      <w:r>
        <w:t xml:space="preserve">For the IDB and continuation of the IF, the current IF multipliers could also be applied to</w:t>
      </w:r>
      <w:r>
        <w:t xml:space="preserve"> </w:t>
      </w:r>
      <w:r>
        <w:t xml:space="preserve">estimate the likely impact on GHG abatement and the impact on private investments, but that</w:t>
      </w:r>
      <w:r>
        <w:t xml:space="preserve"> </w:t>
      </w:r>
      <w:r>
        <w:t xml:space="preserve">would require that IDB follows the same method of competitive calls for proposals on the</w:t>
      </w:r>
      <w:r>
        <w:t xml:space="preserve"> </w:t>
      </w:r>
      <w:r>
        <w:t xml:space="preserve">EU level (no geographical or sectoral allocations) and sizing the support like the IF does (i.e. </w:t>
      </w:r>
      <w:r>
        <w:t xml:space="preserve"> </w:t>
      </w:r>
      <w:r>
        <w:t xml:space="preserve">relevant cost methodology that is a simplified funding gap approach and allowing 60%</w:t>
      </w:r>
      <w:r>
        <w:t xml:space="preserve"> </w:t>
      </w:r>
      <w:r>
        <w:t xml:space="preserve">coverage of this funding gap which requires projects to find additional private investment or</w:t>
      </w:r>
      <w:r>
        <w:t xml:space="preserve"> </w:t>
      </w:r>
      <w:r>
        <w:t xml:space="preserve">other public support). It has to be stressed that the IF supports innovative technologies at the</w:t>
      </w:r>
      <w:r>
        <w:t xml:space="preserve"> </w:t>
      </w:r>
      <w:r>
        <w:t xml:space="preserve">beginning of the diffusion phase. These aim at learning and scaling effects, and consequently</w:t>
      </w:r>
      <w:r>
        <w:t xml:space="preserve"> </w:t>
      </w:r>
      <w:r>
        <w:t xml:space="preserve">project developers often invest their own resources or take corporate loans.</w:t>
      </w:r>
      <w:r>
        <w:t xml:space="preserve"> </w:t>
      </w:r>
      <w:r>
        <w:t xml:space="preserve">In order to maximise the attractiveness and effectiveness of the IDB support, this current</w:t>
      </w:r>
      <w:r>
        <w:t xml:space="preserve"> </w:t>
      </w:r>
      <w:r>
        <w:t xml:space="preserve">approach of the IF could be revised making the IDB support to be awarded through</w:t>
      </w:r>
      <w:r>
        <w:t xml:space="preserve"> </w:t>
      </w:r>
      <w:r>
        <w:t xml:space="preserve">administrative scheme and administratively fixed premium, allowing more robust financial</w:t>
      </w:r>
      <w:r>
        <w:t xml:space="preserve"> </w:t>
      </w:r>
      <w:r>
        <w:t xml:space="preserve">model with higher returns for the investors and providing the final piece of the projects</w:t>
      </w:r>
      <w:r>
        <w:t xml:space="preserve"> </w:t>
      </w:r>
      <w:r>
        <w:t xml:space="preserve">financial model so that after the IDB support the Final Investment Decision of the project can</w:t>
      </w:r>
      <w:r>
        <w:t xml:space="preserve"> </w:t>
      </w:r>
      <w:r>
        <w:t xml:space="preserve">be taken.</w:t>
      </w:r>
      <w:r>
        <w:t xml:space="preserve"> </w:t>
      </w:r>
      <w:r>
        <w:t xml:space="preserve">On the other hand, the IDB would likely have even bigger impact in terms of GHG abatement</w:t>
      </w:r>
      <w:r>
        <w:t xml:space="preserve"> </w:t>
      </w:r>
      <w:r>
        <w:t xml:space="preserve">and leverage, given that it would be operating in the context of higher EU ETS prices, a more</w:t>
      </w:r>
      <w:r>
        <w:t xml:space="preserve"> </w:t>
      </w:r>
      <w:r>
        <w:t xml:space="preserve">established regulatory framework and more mature decarbonisation technologies. The IDB</w:t>
      </w:r>
      <w:r>
        <w:t xml:space="preserve"> </w:t>
      </w:r>
      <w:r>
        <w:t xml:space="preserve">may deliver increased leverage and operate with even lower support levels by focusing on the</w:t>
      </w:r>
      <w:r>
        <w:t xml:space="preserve"> </w:t>
      </w:r>
      <w:r>
        <w:t xml:space="preserve">scale-up/roll-out of decarbonisation technologies and uniquely addressing the commercial</w:t>
      </w:r>
      <w:r>
        <w:t xml:space="preserve"> </w:t>
      </w:r>
      <w:r>
        <w:t xml:space="preserve">risks. However, there are many uncertainties on the horizon, no least in terms of carbon and</w:t>
      </w:r>
      <w:r>
        <w:t xml:space="preserve"> </w:t>
      </w:r>
      <w:r>
        <w:t xml:space="preserve">The IF evaluation report indicates that the current impacts of the IF grants awarded in the period</w:t>
      </w:r>
      <w:r>
        <w:t xml:space="preserve"> </w:t>
      </w:r>
      <w:r>
        <w:t xml:space="preserve">2020-25 (EUR 12.7 bn that covers 2020-2024 calls for proposals, including auctions) bring the</w:t>
      </w:r>
      <w:r>
        <w:t xml:space="preserve"> </w:t>
      </w:r>
      <w:r>
        <w:t xml:space="preserve">GHG abatement of 871Mt (over the first 10 years of projects’ operation) with an average</w:t>
      </w:r>
      <w:r>
        <w:t xml:space="preserve"> </w:t>
      </w:r>
      <w:r>
        <w:t xml:space="preserve">(potential) funding efficiency of EUR 13/tonne of CO2. The Fund has leveraged around EUR</w:t>
      </w:r>
      <w:r>
        <w:t xml:space="preserve"> </w:t>
      </w:r>
      <w:r>
        <w:t xml:space="preserve">45.2 billion in total investments against EUR 11.08 billion in grants (a leverage ratio of about</w:t>
      </w:r>
      <w:r>
        <w:t xml:space="preserve"> </w:t>
      </w:r>
      <w:r>
        <w:t xml:space="preserve">1:4), with private financing accounting for most of the additional resources mobilised. The</w:t>
      </w:r>
      <w:r>
        <w:t xml:space="preserve"> </w:t>
      </w:r>
      <w:r>
        <w:t xml:space="preserve">Fund also demonstrates the capacity to mobilise investments beyond direct project investments</w:t>
      </w:r>
      <w:r>
        <w:t xml:space="preserve"> </w:t>
      </w:r>
      <w:r>
        <w:t xml:space="preserve">(in the supply chain, offtakers, logistics and transport), generating an additional EUR 4.33 of</w:t>
      </w:r>
      <w:r>
        <w:t xml:space="preserve"> </w:t>
      </w:r>
      <w:r>
        <w:t xml:space="preserve">indirect investment in the EU per euro budget spent – corresponding to approximately EUR 49</w:t>
      </w:r>
      <w:r>
        <w:t xml:space="preserve"> </w:t>
      </w:r>
      <w:r>
        <w:t xml:space="preserve">billion over the programme period analysed.</w:t>
      </w:r>
      <w:r>
        <w:t xml:space="preserve"> </w:t>
      </w:r>
      <w:r>
        <w:t xml:space="preserve">The IF has also many spillover effects. Other projects can replicate the technologies that are</w:t>
      </w:r>
      <w:r>
        <w:t xml:space="preserve"> </w:t>
      </w:r>
      <w:r>
        <w:t xml:space="preserve">demonstrated by the IF. For the purpose of the IF evaluation, the potential spillovers were</w:t>
      </w:r>
      <w:r>
        <w:t xml:space="preserve"> </w:t>
      </w:r>
      <w:r>
        <w:t xml:space="preserve">assessed with a survey. In this survey beneficiaries reported that their projects are expected to</w:t>
      </w:r>
      <w:r>
        <w:t xml:space="preserve"> </w:t>
      </w:r>
      <w:r>
        <w:t xml:space="preserve">trigger innovations and open new markets, with wider sectoral diffusion extending emission</w:t>
      </w:r>
      <w:r>
        <w:t xml:space="preserve"> </w:t>
      </w:r>
      <w:r>
        <w:t xml:space="preserve">reductions beyond the projects themselves. Certainly, further replication of the decarbonisation</w:t>
      </w:r>
      <w:r>
        <w:t xml:space="preserve"> </w:t>
      </w:r>
      <w:r>
        <w:t xml:space="preserve">technologies has positive impacts on growth and job creation in many value chains. Survey</w:t>
      </w:r>
      <w:r>
        <w:t xml:space="preserve"> </w:t>
      </w:r>
      <w:r>
        <w:t xml:space="preserve">respondents stressed that, conversely, stopping the Fund would significantly constrain</w:t>
      </w:r>
      <w:r>
        <w:t xml:space="preserve"> </w:t>
      </w:r>
      <w:r>
        <w:t xml:space="preserve">technology deployment, reduce EU competitiveness, and risk industrial relocation.</w:t>
      </w:r>
      <w:r>
        <w:br/>
      </w:r>
      <w:r>
        <w:t xml:space="preserve">Assuming the same multipliers apply to the entire IF budget (EUR 40 bn), the fund is expected</w:t>
      </w:r>
      <w:r>
        <w:t xml:space="preserve"> </w:t>
      </w:r>
      <w:r>
        <w:t xml:space="preserve">to deliver very large abatement, leverage of private investment and spillover effects. The impact</w:t>
      </w:r>
      <w:r>
        <w:t xml:space="preserve"> </w:t>
      </w:r>
      <w:r>
        <w:t xml:space="preserve">of the IF could potentially be further enhanced by simplifying its procedures, expanding its</w:t>
      </w:r>
      <w:r>
        <w:t xml:space="preserve"> </w:t>
      </w:r>
      <w:r>
        <w:t xml:space="preserve">administrative capacity, honing the fund’s focus on innovation only and enabling more</w:t>
      </w:r>
      <w:r>
        <w:t xml:space="preserve"> </w:t>
      </w:r>
      <w:r>
        <w:t xml:space="preserve">flexibility in its financial design.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energy prices in the EU, costs of feedstocks and raw materials, costs of the technologies that</w:t>
      </w:r>
      <w:r>
        <w:t xml:space="preserve"> </w:t>
      </w:r>
      <w:r>
        <w:t xml:space="preserve">cover ‘the last mile’ of the net zero pathway in EIIs and other trends that could lead to additional</w:t>
      </w:r>
      <w:r>
        <w:t xml:space="preserve"> </w:t>
      </w:r>
      <w:r>
        <w:t xml:space="preserve">cost increases.</w:t>
      </w:r>
      <w:r>
        <w:br/>
      </w:r>
      <w:r>
        <w:t xml:space="preserve">Considering all the uncertainties and the fact that there is no clear preferred policy option that</w:t>
      </w:r>
      <w:r>
        <w:t xml:space="preserve"> </w:t>
      </w:r>
      <w:r>
        <w:t xml:space="preserve">emerges from the analysis, in order to assess the impact of the IDB, a bespoke methodology</w:t>
      </w:r>
      <w:r>
        <w:t xml:space="preserve"> </w:t>
      </w:r>
      <w:r>
        <w:t xml:space="preserve">was applied. A bottom-up, techno-economic model was developed allowing to follow a</w:t>
      </w:r>
      <w:r>
        <w:t xml:space="preserve"> </w:t>
      </w:r>
      <w:r>
        <w:t xml:space="preserve">technology- and Member State-specific approach. For simplicity, the model simulates</w:t>
      </w:r>
      <w:r>
        <w:t xml:space="preserve"> </w:t>
      </w:r>
      <w:r>
        <w:t xml:space="preserve">successive funding rounds under the IDB that reflect auction logic (i.e. ranking and awarding</w:t>
      </w:r>
      <w:r>
        <w:t xml:space="preserve"> </w:t>
      </w:r>
      <w:r>
        <w:t xml:space="preserve">the bids representing the lowest abatement costs) and thus derives a ‘merit order’ in terms of</w:t>
      </w:r>
      <w:r>
        <w:t xml:space="preserve"> </w:t>
      </w:r>
      <w:r>
        <w:t xml:space="preserve">GHG abatement costs across all relevant industrial sectors and Member States.</w:t>
      </w:r>
      <w:r>
        <w:br/>
      </w:r>
      <w:r>
        <w:t xml:space="preserve">3.4.1.1.</w:t>
      </w:r>
      <w:r>
        <w:t xml:space="preserve"> </w:t>
      </w:r>
      <w:r>
        <w:t xml:space="preserve">Methodology</w:t>
      </w:r>
      <w:r>
        <w:t xml:space="preserve"> </w:t>
      </w:r>
      <w:r>
        <w:t xml:space="preserve">As the first step, the model calculates GHG emission abatement costs for a wide range of</w:t>
      </w:r>
      <w:r>
        <w:t xml:space="preserve"> </w:t>
      </w:r>
      <w:r>
        <w:t xml:space="preserve">energy-intensive industrial processes in each Member State on an annual basis until 2040. Each</w:t>
      </w:r>
      <w:r>
        <w:t xml:space="preserve"> </w:t>
      </w:r>
      <w:r>
        <w:t xml:space="preserve">energy-intensive process considered in the model is representative of a specific industrial sector</w:t>
      </w:r>
      <w:r>
        <w:t xml:space="preserve"> </w:t>
      </w:r>
      <w:r>
        <w:t xml:space="preserve">and reflects the current production capacity of that sector in the respective Member State. This</w:t>
      </w:r>
      <w:r>
        <w:t xml:space="preserve"> </w:t>
      </w:r>
      <w:r>
        <w:t xml:space="preserve">approach ensures comprehensive coverage of all major industrial sectors relevant for industrial</w:t>
      </w:r>
      <w:r>
        <w:t xml:space="preserve"> </w:t>
      </w:r>
      <w:r>
        <w:t xml:space="preserve">decarbonisation. Figure below illustrates the assumptions on abatement costs in selected MS.</w:t>
      </w:r>
      <w:r>
        <w:t xml:space="preserve"> </w:t>
      </w:r>
      <w:r>
        <w:t xml:space="preserve">Figure 7:</w:t>
      </w:r>
      <w:r>
        <w:t xml:space="preserve"> </w:t>
      </w:r>
      <w:r>
        <w:t xml:space="preserve">Abatement costs assumptions</w:t>
      </w:r>
    </w:p>
    <w:p>
      <w:pPr>
        <w:pStyle w:val="BodyText"/>
      </w:pPr>
      <w:r>
        <w:t xml:space="preserve">Source: Fraunhofer</w:t>
      </w:r>
      <w:r>
        <w:t xml:space="preserve"> </w:t>
      </w:r>
      <w:r>
        <w:t xml:space="preserve">GHG emission abatement costs are defined as the discounted121 total cost per tonne of CO₂</w:t>
      </w:r>
      <w:r>
        <w:t xml:space="preserve"> </w:t>
      </w:r>
      <w:r>
        <w:t xml:space="preserve">avoided when switching from a conventional fossil-based technology to a low-emission</w:t>
      </w:r>
      <w:r>
        <w:t xml:space="preserve"> </w:t>
      </w:r>
      <w:r>
        <w:t xml:space="preserve">alternative. Discount factors play a significant roles in decreasing the future revenues and costs</w:t>
      </w:r>
      <w:r>
        <w:t xml:space="preserve"> </w:t>
      </w:r>
      <w:r>
        <w:t xml:space="preserve">of the project, for projects with a funding gap typically increasing this funding gap. In economic</w:t>
      </w:r>
      <w:r>
        <w:t xml:space="preserve"> </w:t>
      </w:r>
      <w:r>
        <w:t xml:space="preserve">terms, this cost corresponds to the level of subsidy a project would need to request per tonne</w:t>
      </w:r>
      <w:r>
        <w:t xml:space="preserve"> </w:t>
      </w:r>
      <w:r>
        <w:t xml:space="preserve">of CO₂ avoided, i.e. a carbon fixed premium (CfP), to achieve cost parity with the fossil</w:t>
      </w:r>
      <w:r>
        <w:t xml:space="preserve"> </w:t>
      </w:r>
      <w:r>
        <w:t xml:space="preserve">reference technology over a defined support period. A support duration of ten years is assumed.</w:t>
      </w:r>
      <w:r>
        <w:t xml:space="preserve"> </w:t>
      </w:r>
      <w:r>
        <w:t xml:space="preserve">Accordingly, the model incorporates projected developments of the EU ETS and energy prices</w:t>
      </w:r>
      <w:r>
        <w:t xml:space="preserve"> </w:t>
      </w:r>
      <w:r>
        <w:t xml:space="preserve">with perfect foresight over the full support period. The model outcome provides the cost gap</w:t>
      </w:r>
      <w:r>
        <w:t xml:space="preserve"> </w:t>
      </w:r>
      <w:r>
        <w:t xml:space="preserve">of an investment in clean technology compared to the fossil conventional technology. Discount</w:t>
      </w:r>
    </w:p>
    <w:p>
      <w:pPr>
        <w:pStyle w:val="BodyText"/>
      </w:pPr>
      <w:r>
        <w:t xml:space="preserve">121 Discounting is performed with the use of WACC (weighted average cost of capital) that was calculated by</w:t>
      </w:r>
      <w:r>
        <w:t xml:space="preserve"> </w:t>
      </w:r>
      <w:r>
        <w:t xml:space="preserve">Fraunhofer with the use of IF Relevant Costs methodology and gives differentiated results across MS.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rate assumptions clearly influence cost-efficiency of the scheme, in most cases increasing the</w:t>
      </w:r>
      <w:r>
        <w:t xml:space="preserve"> </w:t>
      </w:r>
      <w:r>
        <w:t xml:space="preserve">funding gap this, however, reflects the economic realities of decarbonisation projects needing</w:t>
      </w:r>
      <w:r>
        <w:t xml:space="preserve"> </w:t>
      </w:r>
      <w:r>
        <w:t xml:space="preserve">either loans or equity to support their investments which increases the overall costs of the</w:t>
      </w:r>
      <w:r>
        <w:t xml:space="preserve"> </w:t>
      </w:r>
      <w:r>
        <w:t xml:space="preserve">projects and thus the need of the support. Discount rate assumptions reflect optimistic</w:t>
      </w:r>
      <w:r>
        <w:t xml:space="preserve"> </w:t>
      </w:r>
      <w:r>
        <w:t xml:space="preserve">assessment of investors on the risk profile of the IDB supported projects, which is justified by</w:t>
      </w:r>
      <w:r>
        <w:t xml:space="preserve"> </w:t>
      </w:r>
      <w:r>
        <w:t xml:space="preserve">the design of the IDB modelled (a non-repayable subsidy, perfectly sized to the funding needs</w:t>
      </w:r>
      <w:r>
        <w:t xml:space="preserve"> </w:t>
      </w:r>
      <w:r>
        <w:t xml:space="preserve">and guaranteed over 10-year period).</w:t>
      </w:r>
      <w:r>
        <w:t xml:space="preserve"> </w:t>
      </w:r>
      <w:r>
        <w:t xml:space="preserve">With the design of the IDB modelled as non-repayable subsidy, perfectly sized to the funding</w:t>
      </w:r>
      <w:r>
        <w:t xml:space="preserve"> </w:t>
      </w:r>
      <w:r>
        <w:t xml:space="preserve">needs and guaranteed over 10-year period combined with moderate assumptions on WACC,</w:t>
      </w:r>
      <w:r>
        <w:t xml:space="preserve"> </w:t>
      </w:r>
      <w:r>
        <w:t xml:space="preserve">the economic actors’ perfect foresight, this approach assumes maximum efficiency in the</w:t>
      </w:r>
      <w:r>
        <w:t xml:space="preserve"> </w:t>
      </w:r>
      <w:r>
        <w:t xml:space="preserve">allocation mechanism of public support without transaction costs and results should be</w:t>
      </w:r>
      <w:r>
        <w:t xml:space="preserve"> </w:t>
      </w:r>
      <w:r>
        <w:t xml:space="preserve">interpreted as an optimistic scenario.</w:t>
      </w:r>
      <w:r>
        <w:br/>
      </w:r>
      <w:r>
        <w:t xml:space="preserve">The model assumes that the IDB subsidy fully covers the additional costs of the</w:t>
      </w:r>
      <w:r>
        <w:t xml:space="preserve"> </w:t>
      </w:r>
      <w:r>
        <w:t xml:space="preserve">decarbonisation project (during the support duration) and does not account for potential</w:t>
      </w:r>
      <w:r>
        <w:t xml:space="preserve"> </w:t>
      </w:r>
      <w:r>
        <w:t xml:space="preserve">additional revenues form green lead markets. There is also no assumption on possible upside</w:t>
      </w:r>
      <w:r>
        <w:t xml:space="preserve"> </w:t>
      </w:r>
      <w:r>
        <w:t xml:space="preserve">sharing mechanism that could be attached to the support (e.g. in case project realises very high</w:t>
      </w:r>
      <w:r>
        <w:t xml:space="preserve"> </w:t>
      </w:r>
      <w:r>
        <w:t xml:space="preserve">profit it would be shared with the public authority that operates the IDB). In this simulation</w:t>
      </w:r>
      <w:r>
        <w:t xml:space="preserve"> </w:t>
      </w:r>
      <w:r>
        <w:t xml:space="preserve">and amongst the policy measures analysed in this Impact Assessment there are no fundamental</w:t>
      </w:r>
      <w:r>
        <w:t xml:space="preserve"> </w:t>
      </w:r>
      <w:r>
        <w:t xml:space="preserve">differences in the risk distributions between the public and private actors. Different models</w:t>
      </w:r>
      <w:r>
        <w:t xml:space="preserve"> </w:t>
      </w:r>
      <w:r>
        <w:t xml:space="preserve">could be envisaged but it would require different sets of instruments to be analysed (e.g. loans,</w:t>
      </w:r>
      <w:r>
        <w:t xml:space="preserve"> </w:t>
      </w:r>
      <w:r>
        <w:t xml:space="preserve">guarantees, equity stakes, contract for difference for the green products) and on more granular</w:t>
      </w:r>
      <w:r>
        <w:t xml:space="preserve"> </w:t>
      </w:r>
      <w:r>
        <w:t xml:space="preserve">level (e.g. remuneration and seniority of the debt, remuneration of equity, fixed premium</w:t>
      </w:r>
      <w:r>
        <w:t xml:space="preserve"> </w:t>
      </w:r>
      <w:r>
        <w:t xml:space="preserve">addressing only a part of the funding gap etc).</w:t>
      </w:r>
      <w:r>
        <w:br/>
      </w:r>
      <w:r>
        <w:t xml:space="preserve">Economic input parameters are taken from the impact assessment of the EU 2040 climate target</w:t>
      </w:r>
      <w:r>
        <w:t xml:space="preserve"> </w:t>
      </w:r>
      <w:r>
        <w:t xml:space="preserve">modelling, while technology-specific assumptions are based on literature review as well as</w:t>
      </w:r>
      <w:r>
        <w:t xml:space="preserve"> </w:t>
      </w:r>
      <w:r>
        <w:t xml:space="preserve">internal data and expertise from Fraunhofer ISI and for simplicity do not feature the learning</w:t>
      </w:r>
      <w:r>
        <w:t xml:space="preserve"> </w:t>
      </w:r>
      <w:r>
        <w:t xml:space="preserve">effect (i.e. the reduction of technology costs over time).</w:t>
      </w:r>
      <w:r>
        <w:br/>
      </w:r>
      <w:r>
        <w:t xml:space="preserve">In practical terms, the model first computes the levelised cost of production (LCOP) for both</w:t>
      </w:r>
      <w:r>
        <w:t xml:space="preserve"> </w:t>
      </w:r>
      <w:r>
        <w:t xml:space="preserve">the conventional fossil and the most advanced low-emission alternative for each relevant EII</w:t>
      </w:r>
      <w:r>
        <w:t xml:space="preserve"> </w:t>
      </w:r>
      <w:r>
        <w:t xml:space="preserve">sector per Member State. Based on the cost difference and the associated GHG abatement</w:t>
      </w:r>
      <w:r>
        <w:t xml:space="preserve"> </w:t>
      </w:r>
      <w:r>
        <w:t xml:space="preserve">achieved by the low-emission technology, the GHG emission abatement costs are calculated</w:t>
      </w:r>
      <w:r>
        <w:t xml:space="preserve"> </w:t>
      </w:r>
      <w:r>
        <w:t xml:space="preserve">as follows:</w:t>
      </w:r>
      <w:r>
        <w:br/>
      </w:r>
      <w:r>
        <w:t xml:space="preserve">GHG emission abatement cost</w:t>
      </w:r>
      <w:r>
        <w:t xml:space="preserve"> </w:t>
      </w:r>
      <w:r>
        <w:t xml:space="preserve">=</w:t>
      </w:r>
      <w:r>
        <w:t xml:space="preserve"> </w:t>
      </w:r>
      <w:r>
        <w:t xml:space="preserve">LCOPClean −LCOPConventional</w:t>
      </w:r>
      <w:r>
        <w:t xml:space="preserve"> </w:t>
      </w:r>
      <w:r>
        <w:t xml:space="preserve">GHG emission intensityConventional −GHG emission intensityClean</w:t>
      </w:r>
    </w:p>
    <w:p>
      <w:pPr>
        <w:pStyle w:val="BodyText"/>
      </w:pPr>
      <w:r>
        <w:t xml:space="preserve">To estimate a realistic pipeline of potential projects applying for the IDB support in each</w:t>
      </w:r>
      <w:r>
        <w:t xml:space="preserve"> </w:t>
      </w:r>
      <w:r>
        <w:t xml:space="preserve">funding round, the model builds on data from installations registered under the EU ETS. These</w:t>
      </w:r>
      <w:r>
        <w:t xml:space="preserve"> </w:t>
      </w:r>
      <w:r>
        <w:t xml:space="preserve">data provide detailed overview of existing industrial installations by activity and Member State</w:t>
      </w:r>
      <w:r>
        <w:t xml:space="preserve"> </w:t>
      </w:r>
      <w:r>
        <w:t xml:space="preserve">that are expected to undergo transformation. Based on the technical lifetime of conventional</w:t>
      </w:r>
      <w:r>
        <w:t xml:space="preserve"> </w:t>
      </w:r>
      <w:r>
        <w:t xml:space="preserve">plants, an annual replacement rate is calculated and assumed as the pipeline of projects</w:t>
      </w:r>
      <w:r>
        <w:t xml:space="preserve"> </w:t>
      </w:r>
      <w:r>
        <w:t xml:space="preserve">potentially willing to invest in low-emission technologies.</w:t>
      </w:r>
      <w:r>
        <w:br/>
      </w:r>
      <w:r>
        <w:t xml:space="preserve">For each simulated funding round under the IDB, the resulting project pipeline is combined</w:t>
      </w:r>
      <w:r>
        <w:t xml:space="preserve"> </w:t>
      </w:r>
      <w:r>
        <w:t xml:space="preserve">with the GHG emission abatement costs to establish a merit order curve. Projects with</w:t>
      </w:r>
      <w:r>
        <w:t xml:space="preserve"> </w:t>
      </w:r>
      <w:r>
        <w:t xml:space="preserve">abatement costs below the considered average EU ETS price are assumed to proceed with</w:t>
      </w:r>
      <w:r>
        <w:t xml:space="preserve"> </w:t>
      </w:r>
      <w:r>
        <w:t xml:space="preserve">transformation without IDB support (i.e. assuming no windfall profits). The average EU ETS</w:t>
      </w:r>
      <w:r>
        <w:t xml:space="preserve"> </w:t>
      </w:r>
      <w:r>
        <w:t xml:space="preserve">price reflects the price projections over a period of 10 years. For example, projects switching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to a low-carbon technology in 2030, have to reflect the EU ETS price developments of ten</w:t>
      </w:r>
      <w:r>
        <w:t xml:space="preserve"> </w:t>
      </w:r>
      <w:r>
        <w:t xml:space="preserve">years - consequently until 2039 - in their calculation of the cost gap of their business case.</w:t>
      </w:r>
      <w:r>
        <w:t xml:space="preserve"> </w:t>
      </w:r>
      <w:r>
        <w:t xml:space="preserve">Projects requiring additional support are awarded in the IDB auction until the budget is</w:t>
      </w:r>
      <w:r>
        <w:t xml:space="preserve"> </w:t>
      </w:r>
      <w:r>
        <w:t xml:space="preserve">exhausted. Thereby, the requested support per tonne of CO2eq abated is considered as the</w:t>
      </w:r>
      <w:r>
        <w:t xml:space="preserve"> </w:t>
      </w:r>
      <w:r>
        <w:t xml:space="preserve">difference between abatement costs and EU ETS price, as follows:</w:t>
      </w:r>
      <w:r>
        <w:br/>
      </w:r>
      <w:r>
        <w:t xml:space="preserve">Requested specific support = GHG emission abatement cost −ETS price</w:t>
      </w:r>
      <w:r>
        <w:t xml:space="preserve"> </w:t>
      </w:r>
      <w:r>
        <w:t xml:space="preserve">To simulate the operation of the IDB over time, it is assumed that EUR 10 billion of support</w:t>
      </w:r>
      <w:r>
        <w:t xml:space="preserve"> </w:t>
      </w:r>
      <w:r>
        <w:t xml:space="preserve">are allocated in ten consecutive support rounds (first round in 2030 until last round in 2039).</w:t>
      </w:r>
      <w:r>
        <w:t xml:space="preserve"> </w:t>
      </w:r>
      <w:r>
        <w:t xml:space="preserve">Projects that do not receive support remain in the pipeline and are considered again in</w:t>
      </w:r>
      <w:r>
        <w:t xml:space="preserve"> </w:t>
      </w:r>
      <w:r>
        <w:t xml:space="preserve">subsequent auction rounds. Unused budget is shifted to the following auction. Each year, new</w:t>
      </w:r>
      <w:r>
        <w:t xml:space="preserve"> </w:t>
      </w:r>
      <w:r>
        <w:t xml:space="preserve">projects enter the pipeline, the merit order curve is recalculated, and the selection process is</w:t>
      </w:r>
      <w:r>
        <w:t xml:space="preserve"> </w:t>
      </w:r>
      <w:r>
        <w:t xml:space="preserve">repeated. Figure below visualises this approach.</w:t>
      </w:r>
      <w:r>
        <w:t xml:space="preserve"> </w:t>
      </w:r>
      <w:r>
        <w:t xml:space="preserve">Figure 8:</w:t>
      </w:r>
      <w:r>
        <w:t xml:space="preserve"> </w:t>
      </w:r>
      <w:r>
        <w:t xml:space="preserve">Modelled consecutive support logic for two consecutive funding rounds</w:t>
      </w:r>
    </w:p>
    <w:p>
      <w:pPr>
        <w:pStyle w:val="BodyText"/>
      </w:pPr>
      <w:r>
        <w:t xml:space="preserve">Source: Fraunhofer</w:t>
      </w:r>
      <w:r>
        <w:t xml:space="preserve"> </w:t>
      </w:r>
      <w:r>
        <w:t xml:space="preserve">To evaluate the support cost efficiency, the weighted average support per tonne GHG emission</w:t>
      </w:r>
      <w:r>
        <w:t xml:space="preserve"> </w:t>
      </w:r>
      <w:r>
        <w:t xml:space="preserve">abated of each funding round is calculated as follows:</w:t>
      </w:r>
      <w:r>
        <w:t xml:space="preserve"> </w:t>
      </w:r>
      <w:r>
        <w:t xml:space="preserve">Weighted average support need [</w:t>
      </w:r>
      <w:r>
        <w:t xml:space="preserve"> </w:t>
      </w:r>
      <w:r>
        <w:t xml:space="preserve">EUR</w:t>
      </w:r>
      <w:r>
        <w:t xml:space="preserve"> </w:t>
      </w:r>
      <w:r>
        <w:t xml:space="preserve">tCO2] =</w:t>
      </w:r>
      <w:r>
        <w:t xml:space="preserve"> </w:t>
      </w:r>
      <w:r>
        <w:t xml:space="preserve">IDB support</w:t>
      </w:r>
      <w:r>
        <w:t xml:space="preserve"> </w:t>
      </w:r>
      <w:r>
        <w:t xml:space="preserve">[EUR]</w:t>
      </w:r>
      <w:r>
        <w:t xml:space="preserve"> </w:t>
      </w:r>
      <w:r>
        <w:t xml:space="preserve">Total emission reduction [tCO2]</w:t>
      </w:r>
      <w:r>
        <w:t xml:space="preserve"> </w:t>
      </w:r>
      <w:r>
        <w:t xml:space="preserve">This figure provides the average amount of support for a ton of additional emission reduction,</w:t>
      </w:r>
      <w:r>
        <w:t xml:space="preserve"> </w:t>
      </w:r>
      <w:r>
        <w:t xml:space="preserve">considering the different support volumes of each awarded sector and Member State in the</w:t>
      </w:r>
      <w:r>
        <w:t xml:space="preserve"> </w:t>
      </w:r>
      <w:r>
        <w:t xml:space="preserve">particular funding round.</w:t>
      </w:r>
      <w:r>
        <w:t xml:space="preserve"> </w:t>
      </w:r>
      <w:r>
        <w:t xml:space="preserve">In addition to the IDB impact on GHG emissions reduction, the model enables the</w:t>
      </w:r>
      <w:r>
        <w:t xml:space="preserve"> </w:t>
      </w:r>
      <w:r>
        <w:t xml:space="preserve">quantification of the direct leverage effect of public support on private investment. This</w:t>
      </w:r>
      <w:r>
        <w:t xml:space="preserve"> </w:t>
      </w:r>
      <w:r>
        <w:t xml:space="preserve">factor is calculated as follows:</w:t>
      </w:r>
      <w:r>
        <w:t xml:space="preserve"> </w:t>
      </w:r>
      <w:r>
        <w:t xml:space="preserve">Direct leverage effect =</w:t>
      </w:r>
      <w:r>
        <w:t xml:space="preserve"> </w:t>
      </w:r>
      <w:r>
        <w:t xml:space="preserve">IDB support</w:t>
      </w:r>
      <w:r>
        <w:t xml:space="preserve"> </w:t>
      </w:r>
      <w:r>
        <w:t xml:space="preserve">Private investment expenditures</w:t>
      </w:r>
      <w:r>
        <w:t xml:space="preserve"> </w:t>
      </w:r>
      <w:r>
        <w:t xml:space="preserve">The IDB support covers the total cost gap including CAPEX and OPEX, while the private</w:t>
      </w:r>
      <w:r>
        <w:t xml:space="preserve"> </w:t>
      </w:r>
      <w:r>
        <w:t xml:space="preserve">investment expenditures only represent the CAPEX for the low-emission technology. For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technologies with a high share of OPEX in total expenditures (OPEX-intensive technologies),</w:t>
      </w:r>
      <w:r>
        <w:t xml:space="preserve"> </w:t>
      </w:r>
      <w:r>
        <w:t xml:space="preserve">typically in EII, the leverage effect tends to be smaller compared to CAPEX-intensive</w:t>
      </w:r>
      <w:r>
        <w:t xml:space="preserve"> </w:t>
      </w:r>
      <w:r>
        <w:t xml:space="preserve">technologies such as renewable energy plants.</w:t>
      </w:r>
      <w:r>
        <w:br/>
      </w:r>
      <w:r>
        <w:t xml:space="preserve">Besides the direct leverage effect, indirect leverage effects of the support are to be expected.</w:t>
      </w:r>
      <w:r>
        <w:t xml:space="preserve"> </w:t>
      </w:r>
      <w:r>
        <w:t xml:space="preserve">However, the model does not allow quantifying them. To do so, further analysis on system-</w:t>
      </w:r>
      <w:r>
        <w:t xml:space="preserve"> </w:t>
      </w:r>
      <w:r>
        <w:t xml:space="preserve">and macro level would be required. Consequently, indirect leverage effects can only be derived</w:t>
      </w:r>
      <w:r>
        <w:t xml:space="preserve"> </w:t>
      </w:r>
      <w:r>
        <w:t xml:space="preserve">qualitatively: As the switch to low-carbon technologies in most cases is linked to a fuel switch</w:t>
      </w:r>
      <w:r>
        <w:t xml:space="preserve"> </w:t>
      </w:r>
      <w:r>
        <w:t xml:space="preserve">from fossil to electricity, indirect leverage effects of IDB support are related to investments in</w:t>
      </w:r>
      <w:r>
        <w:t xml:space="preserve"> </w:t>
      </w:r>
      <w:r>
        <w:t xml:space="preserve">the renewable energy system, i.e. renewable power generation, storage and infrastructure but</w:t>
      </w:r>
      <w:r>
        <w:t xml:space="preserve"> </w:t>
      </w:r>
      <w:r>
        <w:t xml:space="preserve">also in establishing a hydrogen economy including electrolysers as well as CO2 infrastructure.</w:t>
      </w:r>
      <w:r>
        <w:br/>
      </w:r>
      <w:r>
        <w:t xml:space="preserve">3.4.1.2.</w:t>
      </w:r>
      <w:r>
        <w:t xml:space="preserve"> </w:t>
      </w:r>
      <w:r>
        <w:t xml:space="preserve">Expected GHG abatement</w:t>
      </w:r>
      <w:r>
        <w:t xml:space="preserve"> </w:t>
      </w:r>
      <w:r>
        <w:t xml:space="preserve">The model results indicate cumulative GHG emission abatement of 1,630 Mt CO2 over a</w:t>
      </w:r>
      <w:r>
        <w:t xml:space="preserve"> </w:t>
      </w:r>
      <w:r>
        <w:t xml:space="preserve">ten-year period, based on a total budget of EUR 100 bn allocated across ten funding rounds</w:t>
      </w:r>
      <w:r>
        <w:t xml:space="preserve"> </w:t>
      </w:r>
      <w:r>
        <w:t xml:space="preserve">with EUR 10 bn funding volume in each annual round. Over the assumed support period of ten</w:t>
      </w:r>
      <w:r>
        <w:t xml:space="preserve"> </w:t>
      </w:r>
      <w:r>
        <w:t xml:space="preserve">years, the resulting weighted average awarded support amounts to EUR 60/t CO2 abated.</w:t>
      </w:r>
      <w:r>
        <w:br/>
      </w:r>
      <w:r>
        <w:t xml:space="preserve">This support is modelled to bridge the remaining cost gap - covering both CAPEX and OPEX</w:t>
      </w:r>
      <w:r>
        <w:t xml:space="preserve"> </w:t>
      </w:r>
      <w:r>
        <w:t xml:space="preserve">- of the low-emission technologies deployed in funded projects, compared to the incumbent</w:t>
      </w:r>
      <w:r>
        <w:t xml:space="preserve"> </w:t>
      </w:r>
      <w:r>
        <w:t xml:space="preserve">fossil-based technologies, after accounting for the average EU ETS price stemming from the</w:t>
      </w:r>
      <w:r>
        <w:t xml:space="preserve"> </w:t>
      </w:r>
      <w:r>
        <w:t xml:space="preserve">scenarios underpinning the 2040 climate target.</w:t>
      </w:r>
      <w:r>
        <w:br/>
      </w:r>
      <w:r>
        <w:t xml:space="preserve">The model simulates an auction and thus a merit order curve is established for each funding</w:t>
      </w:r>
      <w:r>
        <w:t xml:space="preserve"> </w:t>
      </w:r>
      <w:r>
        <w:t xml:space="preserve">round that illustrates the remaining (after the effect of the EU ETS price) cost gap of the project</w:t>
      </w:r>
      <w:r>
        <w:t xml:space="preserve"> </w:t>
      </w:r>
      <w:r>
        <w:t xml:space="preserve">pipeline. Each data point of the merit order curve represents a specific combination of industrial</w:t>
      </w:r>
      <w:r>
        <w:t xml:space="preserve"> </w:t>
      </w:r>
      <w:r>
        <w:t xml:space="preserve">sector and Member State. Figure below presents the results of the first modelled auction round</w:t>
      </w:r>
      <w:r>
        <w:t xml:space="preserve"> </w:t>
      </w:r>
      <w:r>
        <w:t xml:space="preserve">in 2030 and, for comparison, of the final round in 2039. The y-axis represents the GHG</w:t>
      </w:r>
      <w:r>
        <w:t xml:space="preserve"> </w:t>
      </w:r>
      <w:r>
        <w:t xml:space="preserve">emission abatement costs, while the x-axis shows the cumulative cost gap of the project</w:t>
      </w:r>
      <w:r>
        <w:t xml:space="preserve"> </w:t>
      </w:r>
      <w:r>
        <w:t xml:space="preserve">pipeline in the respective funding round. Applying the logic of an auction, the annual IDB</w:t>
      </w:r>
      <w:r>
        <w:t xml:space="preserve"> </w:t>
      </w:r>
      <w:r>
        <w:t xml:space="preserve">budget of EUR 10 bn is allocated to the projects with the lowest GHG emissions abatement</w:t>
      </w:r>
      <w:r>
        <w:t xml:space="preserve"> </w:t>
      </w:r>
      <w:r>
        <w:t xml:space="preserve">costs. Projects that are not awarded support in a given funding round remain in the project</w:t>
      </w:r>
      <w:r>
        <w:t xml:space="preserve"> </w:t>
      </w:r>
      <w:r>
        <w:t xml:space="preserve">pipeline and are carried forward to subsequent rounds. As a result, the merit order curve</w:t>
      </w:r>
      <w:r>
        <w:t xml:space="preserve"> </w:t>
      </w:r>
      <w:r>
        <w:t xml:space="preserve">expands over time, reflecting the growing pool of projects competing for support in each</w:t>
      </w:r>
      <w:r>
        <w:t xml:space="preserve"> </w:t>
      </w:r>
      <w:r>
        <w:t xml:space="preserve">successive auction.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Figure 9:</w:t>
      </w:r>
      <w:r>
        <w:t xml:space="preserve"> </w:t>
      </w:r>
      <w:r>
        <w:t xml:space="preserve">Illustration of impacts of the IDB funding rounds in 2030 and 2039</w:t>
      </w:r>
    </w:p>
    <w:p>
      <w:pPr>
        <w:pStyle w:val="BodyText"/>
      </w:pPr>
      <w:r>
        <w:t xml:space="preserve">Source: Fraunhofer</w:t>
      </w:r>
      <w:r>
        <w:t xml:space="preserve"> </w:t>
      </w:r>
      <w:r>
        <w:t xml:space="preserve">Projects that reach cost parity with the conventional fossil-based technology solely through the</w:t>
      </w:r>
      <w:r>
        <w:t xml:space="preserve"> </w:t>
      </w:r>
      <w:r>
        <w:t xml:space="preserve">EU ETS price development do not face any remaining cost gap in the respective year. These</w:t>
      </w:r>
      <w:r>
        <w:t xml:space="preserve"> </w:t>
      </w:r>
      <w:r>
        <w:t xml:space="preserve">projects are therefore located below the orange horizontal line, which indicates the average EU</w:t>
      </w:r>
      <w:r>
        <w:t xml:space="preserve"> </w:t>
      </w:r>
      <w:r>
        <w:t xml:space="preserve">ETS price applicable in the respective funding period. These projects are assumed to invest in</w:t>
      </w:r>
      <w:r>
        <w:t xml:space="preserve"> </w:t>
      </w:r>
      <w:r>
        <w:t xml:space="preserve">low-emission technologies solely motivated by the EU ETS price.</w:t>
      </w:r>
      <w:r>
        <w:t xml:space="preserve"> </w:t>
      </w:r>
      <w:r>
        <w:t xml:space="preserve">The black vertical line represents the budget constraint of the IDB funding round, set at EUR</w:t>
      </w:r>
      <w:r>
        <w:t xml:space="preserve"> </w:t>
      </w:r>
      <w:r>
        <w:t xml:space="preserve">10 billion in every year. The auction clearing price emerges at the point where the merit order</w:t>
      </w:r>
      <w:r>
        <w:t xml:space="preserve"> </w:t>
      </w:r>
      <w:r>
        <w:t xml:space="preserve">curve intersects with the available budget. The difference between the clearing price and the</w:t>
      </w:r>
      <w:r>
        <w:t xml:space="preserve"> </w:t>
      </w:r>
      <w:r>
        <w:t xml:space="preserve">EU ETS price reflects the level of support provided through the IDB for the last awarded</w:t>
      </w:r>
      <w:r>
        <w:t xml:space="preserve"> </w:t>
      </w:r>
      <w:r>
        <w:t xml:space="preserve">project. The green area depicts the total IDB funding volume of the respective auction round.</w:t>
      </w:r>
      <w:r>
        <w:br/>
      </w:r>
      <w:r>
        <w:t xml:space="preserve">Comparing results in 2030 and 2039, it can be observed that as the EU ETS price increases it</w:t>
      </w:r>
      <w:r>
        <w:t xml:space="preserve"> </w:t>
      </w:r>
      <w:r>
        <w:t xml:space="preserve">has an increasingly transformative effect on its own and the IDB support progressively</w:t>
      </w:r>
      <w:r>
        <w:t xml:space="preserve"> </w:t>
      </w:r>
      <w:r>
        <w:t xml:space="preserve">addresses more and more expensive decarbonisation options. While the IDB impact is sizeable,</w:t>
      </w:r>
      <w:r>
        <w:t xml:space="preserve"> </w:t>
      </w:r>
      <w:r>
        <w:t xml:space="preserve">the potential for decarbonisation also grows with each successive round as only share of the</w:t>
      </w:r>
      <w:r>
        <w:t xml:space="preserve"> </w:t>
      </w:r>
      <w:r>
        <w:t xml:space="preserve">projects can receive the funding.</w:t>
      </w:r>
      <w:r>
        <w:t xml:space="preserve"> </w:t>
      </w:r>
      <w:r>
        <w:t xml:space="preserve">When evaluating the model results with regard to Member States and sectors, the results</w:t>
      </w:r>
      <w:r>
        <w:t xml:space="preserve"> </w:t>
      </w:r>
      <w:r>
        <w:t xml:space="preserve">suggest a significant share of IDB budget would be allocated to a limited number of industrial</w:t>
      </w:r>
      <w:r>
        <w:t xml:space="preserve"> </w:t>
      </w:r>
      <w:r>
        <w:t xml:space="preserve">sectors and Member States under a competitive bidding approach. In this context, the industrial</w:t>
      </w:r>
      <w:r>
        <w:t xml:space="preserve"> </w:t>
      </w:r>
      <w:r>
        <w:t xml:space="preserve">sector, and more specifically the underlying production processes, prove to be more relevant</w:t>
      </w:r>
      <w:r>
        <w:t xml:space="preserve"> </w:t>
      </w:r>
      <w:r>
        <w:t xml:space="preserve">for support allocation than differences in national energy price levels alone. Firstly, efficient</w:t>
      </w:r>
      <w:r>
        <w:t xml:space="preserve"> </w:t>
      </w:r>
      <w:r>
        <w:t xml:space="preserve">electrification technologies in medium temperature processes (i.e. below 200°C), such as those</w:t>
      </w:r>
      <w:r>
        <w:t xml:space="preserve"> </w:t>
      </w:r>
      <w:r>
        <w:t xml:space="preserve">commonly found in the paper industry, do not require public support in most MS when EU</w:t>
      </w:r>
      <w:r>
        <w:t xml:space="preserve"> </w:t>
      </w:r>
      <w:r>
        <w:t xml:space="preserve">ETS prices are at levels assumed in the impact assessment for the 2040 climate target.</w:t>
      </w:r>
      <w:r>
        <w:br/>
      </w:r>
      <w:r>
        <w:t xml:space="preserve">Most of the support is allocated to process heat electrification in medium temperature levels in</w:t>
      </w:r>
      <w:r>
        <w:t xml:space="preserve"> </w:t>
      </w:r>
      <w:r>
        <w:t xml:space="preserve">MS with higher electricity cost and high temperature electrification in Member States with low</w:t>
      </w:r>
      <w:r>
        <w:t xml:space="preserve"> </w:t>
      </w:r>
      <w:r>
        <w:t xml:space="preserve">electricity cost. Additionally, the application of direct reduction of primary steel, using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hydrogen is supported in the model. Carbon capture and Storage (CCS) in cement &amp; lime is</w:t>
      </w:r>
      <w:r>
        <w:t xml:space="preserve"> </w:t>
      </w:r>
      <w:r>
        <w:t xml:space="preserve">another sector supported by the IDB.</w:t>
      </w:r>
      <w:r>
        <w:t xml:space="preserve"> </w:t>
      </w:r>
      <w:r>
        <w:t xml:space="preserve">In contrast, processes characterised by substantially higher cost gaps, such as the production of</w:t>
      </w:r>
      <w:r>
        <w:t xml:space="preserve"> </w:t>
      </w:r>
      <w:r>
        <w:t xml:space="preserve">synthetic hydrocarbons for the chemical industry or synthetic fuels for maritime and aviation,</w:t>
      </w:r>
      <w:r>
        <w:t xml:space="preserve"> </w:t>
      </w:r>
      <w:r>
        <w:t xml:space="preserve">are not awarded support in the purely technology-neutral auction simulation. An approach that</w:t>
      </w:r>
      <w:r>
        <w:t xml:space="preserve"> </w:t>
      </w:r>
      <w:r>
        <w:t xml:space="preserve">prioritises projects with the lowest cost gaps inherently favours projects with smaller abatement</w:t>
      </w:r>
      <w:r>
        <w:t xml:space="preserve"> </w:t>
      </w:r>
      <w:r>
        <w:t xml:space="preserve">cost, leaving higher cost but strategically relevant technologies unsupported unless budget</w:t>
      </w:r>
      <w:r>
        <w:t xml:space="preserve"> </w:t>
      </w:r>
      <w:r>
        <w:t xml:space="preserve">earmarking for specific sectors is introduced.</w:t>
      </w:r>
      <w:r>
        <w:t xml:space="preserve"> </w:t>
      </w:r>
      <w:r>
        <w:t xml:space="preserve">At the same time, differences in energy prices across Member States also affect abatement</w:t>
      </w:r>
      <w:r>
        <w:t xml:space="preserve"> </w:t>
      </w:r>
      <w:r>
        <w:t xml:space="preserve">costs and remaining cost gaps. While in some Member States the EU ETS price proved to be</w:t>
      </w:r>
      <w:r>
        <w:t xml:space="preserve"> </w:t>
      </w:r>
      <w:r>
        <w:t xml:space="preserve">sufficient to close cost gaps in certain industrial sectors, this is not the case in others. This</w:t>
      </w:r>
      <w:r>
        <w:t xml:space="preserve"> </w:t>
      </w:r>
      <w:r>
        <w:t xml:space="preserve">becomes particularly evident for processes such as primary steel production, electric steam</w:t>
      </w:r>
      <w:r>
        <w:t xml:space="preserve"> </w:t>
      </w:r>
      <w:r>
        <w:t xml:space="preserve">cracking, and glass manufacturing.</w:t>
      </w:r>
      <w:r>
        <w:t xml:space="preserve"> </w:t>
      </w:r>
      <w:r>
        <w:t xml:space="preserve">Overall, Member States with comparatively low electricity prices would emerge as the most</w:t>
      </w:r>
      <w:r>
        <w:t xml:space="preserve"> </w:t>
      </w:r>
      <w:r>
        <w:t xml:space="preserve">competitive. Geographical balancing could counteract these distributional effects. In turn, any</w:t>
      </w:r>
      <w:r>
        <w:t xml:space="preserve"> </w:t>
      </w:r>
      <w:r>
        <w:t xml:space="preserve">geographical or sectoral steering of support under the IDB would therefore reduce allocative</w:t>
      </w:r>
      <w:r>
        <w:t xml:space="preserve"> </w:t>
      </w:r>
      <w:r>
        <w:t xml:space="preserve">efficiency in this static modelling framework, and, as a consequence, lower the amount of GHG</w:t>
      </w:r>
      <w:r>
        <w:t xml:space="preserve"> </w:t>
      </w:r>
      <w:r>
        <w:t xml:space="preserve">emission abatement achieved per euro of public support. It should be noted, however, that this</w:t>
      </w:r>
      <w:r>
        <w:t xml:space="preserve"> </w:t>
      </w:r>
      <w:r>
        <w:t xml:space="preserve">assessment does not capture potential regional or sectoral learning effects, possibility of future</w:t>
      </w:r>
      <w:r>
        <w:t xml:space="preserve"> </w:t>
      </w:r>
      <w:r>
        <w:t xml:space="preserve">electricity prices evolution and technology diffusion over time122.</w:t>
      </w:r>
      <w:r>
        <w:t xml:space="preserve"> </w:t>
      </w:r>
      <w:r>
        <w:t xml:space="preserve">3.4.1.3.</w:t>
      </w:r>
      <w:r>
        <w:t xml:space="preserve"> </w:t>
      </w:r>
      <w:r>
        <w:t xml:space="preserve">Direct leverage effect</w:t>
      </w:r>
      <w:r>
        <w:br/>
      </w:r>
      <w:r>
        <w:t xml:space="preserve">For the analysed Member States and technologies, the direct investment leverage effect varies</w:t>
      </w:r>
      <w:r>
        <w:t xml:space="preserve"> </w:t>
      </w:r>
      <w:r>
        <w:t xml:space="preserve">between 5% and 75%, depending on the sector and technology considered. Across all modelled</w:t>
      </w:r>
      <w:r>
        <w:t xml:space="preserve"> </w:t>
      </w:r>
      <w:r>
        <w:t xml:space="preserve">supported projects, the weighted average direct investment leverage amounts to 45%.</w:t>
      </w:r>
      <w:r>
        <w:t xml:space="preserve"> </w:t>
      </w:r>
      <w:r>
        <w:t xml:space="preserve">The production of energy-intensive basic materials generally requires substantial upfront</w:t>
      </w:r>
      <w:r>
        <w:t xml:space="preserve"> </w:t>
      </w:r>
      <w:r>
        <w:t xml:space="preserve">investments (CAPEX) in production plants with long technical lifetimes, typically ranging</w:t>
      </w:r>
      <w:r>
        <w:t xml:space="preserve"> </w:t>
      </w:r>
      <w:r>
        <w:t xml:space="preserve">from 15 to 25 years. At the same time, operating costs, particularly energy-related OPEX,</w:t>
      </w:r>
      <w:r>
        <w:t xml:space="preserve"> </w:t>
      </w:r>
      <w:r>
        <w:t xml:space="preserve">account for a dominant share of total production costs. This trend becomes even more</w:t>
      </w:r>
      <w:r>
        <w:t xml:space="preserve"> </w:t>
      </w:r>
      <w:r>
        <w:t xml:space="preserve">pronounced for low-emission technologies.</w:t>
      </w:r>
      <w:r>
        <w:t xml:space="preserve"> </w:t>
      </w:r>
      <w:r>
        <w:t xml:space="preserve">Energy-related OPEX, in particular for electricity, hydrogen, and related infrastructure costs</w:t>
      </w:r>
      <w:r>
        <w:t xml:space="preserve"> </w:t>
      </w:r>
      <w:r>
        <w:t xml:space="preserve">are not reflected in the direct leverage effect. Nevertheless, the IDB support creates stable</w:t>
      </w:r>
      <w:r>
        <w:t xml:space="preserve"> </w:t>
      </w:r>
      <w:r>
        <w:t xml:space="preserve">demand signals for such energy-related investments beyond the boundaries of EII. As a result,</w:t>
      </w:r>
      <w:r>
        <w:t xml:space="preserve"> </w:t>
      </w:r>
      <w:r>
        <w:t xml:space="preserve">an additional indirect investment leverage effect can be expected on system and macro level.</w:t>
      </w:r>
      <w:r>
        <w:t xml:space="preserve"> </w:t>
      </w:r>
      <w:r>
        <w:t xml:space="preserve">However, this indirect effect cannot be quantified within the scope of the applied model.</w:t>
      </w:r>
      <w:r>
        <w:t xml:space="preserve"> </w:t>
      </w:r>
      <w:r>
        <w:t xml:space="preserve">3.4.1.4.</w:t>
      </w:r>
      <w:r>
        <w:t xml:space="preserve"> </w:t>
      </w:r>
      <w:r>
        <w:t xml:space="preserve">Limitations</w:t>
      </w:r>
      <w:r>
        <w:br/>
      </w:r>
      <w:r>
        <w:t xml:space="preserve">The model applies a generic approach to depict a broad range of emission reduction</w:t>
      </w:r>
      <w:r>
        <w:t xml:space="preserve"> </w:t>
      </w:r>
      <w:r>
        <w:t xml:space="preserve">technologies and many countries. This comes at the expense of level of detail. The results do</w:t>
      </w:r>
      <w:r>
        <w:t xml:space="preserve"> </w:t>
      </w:r>
      <w:r>
        <w:t xml:space="preserve">not include sensitivity analyses for EU ETS and energy prices. As EU ETS and energy cost</w:t>
      </w:r>
      <w:r>
        <w:t xml:space="preserve"> </w:t>
      </w:r>
      <w:r>
        <w:t xml:space="preserve">dominate the LCOP, they have a significant impact on the overall results. Next, the model</w:t>
      </w:r>
      <w:r>
        <w:t xml:space="preserve"> </w:t>
      </w:r>
      <w:r>
        <w:t xml:space="preserve">assumes perfect foresight, perfect economic efficiency and no transaction costs. Variation from</w:t>
      </w:r>
      <w:r>
        <w:t xml:space="preserve"> </w:t>
      </w:r>
      <w:r>
        <w:t xml:space="preserve">these assumptions would reduce the impact of the available budget. The model does not reflect</w:t>
      </w:r>
    </w:p>
    <w:p>
      <w:pPr>
        <w:pStyle w:val="BodyText"/>
      </w:pPr>
      <w:r>
        <w:t xml:space="preserve">122 Technology diffusion was not assumed because of relatively short time span considered in the assessment.</w:t>
      </w:r>
      <w:r>
        <w:t xml:space="preserve"> </w:t>
      </w:r>
      <w:r>
        <w:t xml:space="preserve">The technology diffusion impacts would come once a larger cohort of projects funded by the IDB come into</w:t>
      </w:r>
      <w:r>
        <w:t xml:space="preserve"> </w:t>
      </w:r>
      <w:r>
        <w:t xml:space="preserve">operation and with an inevitable time-lag of at least few years between the launch of the instrument and</w:t>
      </w:r>
      <w:r>
        <w:t xml:space="preserve"> </w:t>
      </w:r>
      <w:r>
        <w:t xml:space="preserve">projects becoming operational.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any effect of support on the EU ETS prices, which are anticipated but whose estimation would</w:t>
      </w:r>
      <w:r>
        <w:t xml:space="preserve"> </w:t>
      </w:r>
      <w:r>
        <w:t xml:space="preserve">require full energy system modelling. Lastly, it is assumed that investments in production</w:t>
      </w:r>
      <w:r>
        <w:t xml:space="preserve"> </w:t>
      </w:r>
      <w:r>
        <w:t xml:space="preserve">capacities are done in the MS where currently conventional production is deployed. Relocation</w:t>
      </w:r>
      <w:r>
        <w:t xml:space="preserve"> </w:t>
      </w:r>
      <w:r>
        <w:t xml:space="preserve">within the EU in relation to the most favourable production factors and outside the EU would</w:t>
      </w:r>
      <w:r>
        <w:t xml:space="preserve"> </w:t>
      </w:r>
      <w:r>
        <w:t xml:space="preserve">significantly change the pipeline of projects requiring support and would potentially impact the</w:t>
      </w:r>
      <w:r>
        <w:t xml:space="preserve"> </w:t>
      </w:r>
      <w:r>
        <w:t xml:space="preserve">model results. The model reflects this aspect only partially by triggering investments at the</w:t>
      </w:r>
      <w:r>
        <w:t xml:space="preserve"> </w:t>
      </w:r>
      <w:r>
        <w:t xml:space="preserve">most economic location first.</w:t>
      </w:r>
      <w:r>
        <w:br/>
      </w:r>
      <w:r>
        <w:t xml:space="preserve">3.4.1.5.</w:t>
      </w:r>
      <w:r>
        <w:t xml:space="preserve"> </w:t>
      </w:r>
      <w:r>
        <w:t xml:space="preserve">Limited differences in impacts across the policy options</w:t>
      </w:r>
      <w:r>
        <w:t xml:space="preserve"> </w:t>
      </w:r>
      <w:r>
        <w:t xml:space="preserve">The differences between the IDB options on allocation mechanism, form of support or</w:t>
      </w:r>
      <w:r>
        <w:t xml:space="preserve"> </w:t>
      </w:r>
      <w:r>
        <w:t xml:space="preserve">geographical balance are too subtle to have sizeable impacts on GHG abatement or size of</w:t>
      </w:r>
      <w:r>
        <w:t xml:space="preserve"> </w:t>
      </w:r>
      <w:r>
        <w:t xml:space="preserve">private investment, so only a qualitative assessment is proposed below. Certain options are</w:t>
      </w:r>
      <w:r>
        <w:t xml:space="preserve"> </w:t>
      </w:r>
      <w:r>
        <w:t xml:space="preserve">expected to be more efficient (auctions, variable premia – see Section 3.4.2) so they could be</w:t>
      </w:r>
      <w:r>
        <w:t xml:space="preserve"> </w:t>
      </w:r>
      <w:r>
        <w:t xml:space="preserve">expected to have larger positive impact on GHG abatement, greater leverage of private</w:t>
      </w:r>
      <w:r>
        <w:t xml:space="preserve"> </w:t>
      </w:r>
      <w:r>
        <w:t xml:space="preserve">investments and larger spillover effects. But this is very much dependent on the specific</w:t>
      </w:r>
      <w:r>
        <w:t xml:space="preserve"> </w:t>
      </w:r>
      <w:r>
        <w:t xml:space="preserve">design and circumstances (notably the level of competition). For example, in the operation of</w:t>
      </w:r>
      <w:r>
        <w:t xml:space="preserve"> </w:t>
      </w:r>
      <w:r>
        <w:t xml:space="preserve">the Innovation Fund, it appeared that for RFNBO hydrogen production, the amount of subsidy</w:t>
      </w:r>
      <w:r>
        <w:t xml:space="preserve"> </w:t>
      </w:r>
      <w:r>
        <w:t xml:space="preserve">requested via the ‘regular’ grants of the IF is as low as in the auctions (even though economic</w:t>
      </w:r>
      <w:r>
        <w:t xml:space="preserve"> </w:t>
      </w:r>
      <w:r>
        <w:t xml:space="preserve">theory finds the auction to be a the most efficient instrument). Certainly, the high level of</w:t>
      </w:r>
      <w:r>
        <w:t xml:space="preserve"> </w:t>
      </w:r>
      <w:r>
        <w:t xml:space="preserve">competition in the IF ‘regular’ grants and the fact that they cover only 60% of the relevant costs</w:t>
      </w:r>
      <w:r>
        <w:t xml:space="preserve"> </w:t>
      </w:r>
      <w:r>
        <w:t xml:space="preserve">(i.e. simplified funding gap) has helped to increase the efficiency. Also, the desired efficiency</w:t>
      </w:r>
      <w:r>
        <w:t xml:space="preserve"> </w:t>
      </w:r>
      <w:r>
        <w:t xml:space="preserve">of the tools must be weighed against the risk of portfolio attrition (i.e. projects dropping out to</w:t>
      </w:r>
      <w:r>
        <w:t xml:space="preserve"> </w:t>
      </w:r>
      <w:r>
        <w:t xml:space="preserve">the detriment of the overall efficiency.</w:t>
      </w:r>
      <w:r>
        <w:t xml:space="preserve"> </w:t>
      </w:r>
      <w:r>
        <w:t xml:space="preserve">Establishment of the IDB will bring advantages for many sectors. All actors across the EU</w:t>
      </w:r>
      <w:r>
        <w:t xml:space="preserve"> </w:t>
      </w:r>
      <w:r>
        <w:t xml:space="preserve">economy will benefit from the continuation of the IF and establishment of the IDB since</w:t>
      </w:r>
      <w:r>
        <w:t xml:space="preserve"> </w:t>
      </w:r>
      <w:r>
        <w:t xml:space="preserve">all actors consume industrial products. In particular, actors in the industry sector will be</w:t>
      </w:r>
      <w:r>
        <w:t xml:space="preserve"> </w:t>
      </w:r>
      <w:r>
        <w:t xml:space="preserve">confronted with increasing carbon prices unless decarbonisation solutions can be deployed at</w:t>
      </w:r>
      <w:r>
        <w:t xml:space="preserve"> </w:t>
      </w:r>
      <w:r>
        <w:t xml:space="preserve">a scale. Finally, society - as a whole - will draw benefits from industrial decarbonisation</w:t>
      </w:r>
      <w:r>
        <w:t xml:space="preserve"> </w:t>
      </w:r>
      <w:r>
        <w:t xml:space="preserve">supported by the two instruments as the entire society consumes industrial products, a part of</w:t>
      </w:r>
      <w:r>
        <w:t xml:space="preserve"> </w:t>
      </w:r>
      <w:r>
        <w:t xml:space="preserve">society works in the industrial sector, some have part of their pensions linked to the</w:t>
      </w:r>
      <w:r>
        <w:t xml:space="preserve"> </w:t>
      </w:r>
      <w:r>
        <w:t xml:space="preserve">performance of industrial stocks and all will benefit from climate change mitigation.</w:t>
      </w:r>
      <w:r>
        <w:br/>
      </w:r>
      <w:r>
        <w:t xml:space="preserve">Though the EU is a front-runner in climate ambition, this does not guarantee that it will be</w:t>
      </w:r>
      <w:r>
        <w:t xml:space="preserve"> </w:t>
      </w:r>
      <w:r>
        <w:t xml:space="preserve">competitive at the global stage in deploying decarbonisation solutions and securing a strong</w:t>
      </w:r>
      <w:r>
        <w:t xml:space="preserve"> </w:t>
      </w:r>
      <w:r>
        <w:t xml:space="preserve">position in producing such solutions for the global markets. Building on the EU’s competitive</w:t>
      </w:r>
      <w:r>
        <w:t xml:space="preserve"> </w:t>
      </w:r>
      <w:r>
        <w:t xml:space="preserve">advantage starts with establishing a business case and requires additional industrial policy</w:t>
      </w:r>
      <w:r>
        <w:t xml:space="preserve"> </w:t>
      </w:r>
      <w:r>
        <w:t xml:space="preserve">measures to avoid building dependencies and promoting EU-made solutions. This goes beyond</w:t>
      </w:r>
      <w:r>
        <w:t xml:space="preserve"> </w:t>
      </w:r>
      <w:r>
        <w:t xml:space="preserve">the remit of the IDB and will be partly addressed by the Industrial Accelerator Act (IAA). The</w:t>
      </w:r>
      <w:r>
        <w:t xml:space="preserve"> </w:t>
      </w:r>
      <w:r>
        <w:t xml:space="preserve">IDB can apply the Union origin requirements of IAA, similar to the IF hydrogen auctions that</w:t>
      </w:r>
      <w:r>
        <w:t xml:space="preserve"> </w:t>
      </w:r>
      <w:r>
        <w:t xml:space="preserve">applied the resilience requirements put forward by Net Zero Industry Act.</w:t>
      </w:r>
      <w:r>
        <w:t xml:space="preserve"> </w:t>
      </w:r>
      <w:r>
        <w:t xml:space="preserve">3.4.2. How do the policy measures and options compare?</w:t>
      </w:r>
      <w:r>
        <w:t xml:space="preserve"> </w:t>
      </w:r>
      <w:r>
        <w:t xml:space="preserve">The assessment is based on a system of rating, focussing on effectiveness, efficiency and</w:t>
      </w:r>
      <w:r>
        <w:t xml:space="preserve"> </w:t>
      </w:r>
      <w:r>
        <w:t xml:space="preserve">coherence:</w:t>
      </w:r>
      <w:r>
        <w:br/>
      </w:r>
      <w:r>
        <w:t xml:space="preserve">- (negative): the policy option/measure has a negative effect</w:t>
      </w:r>
      <w:r>
        <w:t xml:space="preserve"> </w:t>
      </w:r>
      <w:r>
        <w:t xml:space="preserve">= (neutral): the policy option/measure has no significant effect</w:t>
      </w:r>
      <w:r>
        <w:t xml:space="preserve"> </w:t>
      </w:r>
      <w:r>
        <w:t xml:space="preserve">+ (low positive): the policy option/measure has a modest positive effect</w:t>
      </w:r>
      <w:r>
        <w:t xml:space="preserve"> </w:t>
      </w:r>
      <w:r>
        <w:t xml:space="preserve">++ (moderate positive): the policy option/measure has a significant positive effect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+++ (high positive): the policy option/measure strongly advances effectiveness, efficiency or</w:t>
      </w:r>
      <w:r>
        <w:t xml:space="preserve"> </w:t>
      </w:r>
      <w:r>
        <w:t xml:space="preserve">coherence.</w:t>
      </w:r>
      <w:r>
        <w:t xml:space="preserve"> </w:t>
      </w:r>
      <w:r>
        <w:t xml:space="preserve">First of all, measures are assessed in detail and then policy options combining measures are</w:t>
      </w:r>
      <w:r>
        <w:t xml:space="preserve"> </w:t>
      </w:r>
      <w:r>
        <w:t xml:space="preserve">assessed in the synthetic manner.</w:t>
      </w:r>
      <w:r>
        <w:t xml:space="preserve"> </w:t>
      </w:r>
      <w:r>
        <w:t xml:space="preserve">3.4.2.1.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In the tables below policy measures are compered in terms of their effectiveness, i.e. likelihood</w:t>
      </w:r>
      <w:r>
        <w:t xml:space="preserve"> </w:t>
      </w:r>
      <w:r>
        <w:t xml:space="preserve">of achieving the objectives. To be noted that in most of the cases the effectiveness or efficiency</w:t>
      </w:r>
      <w:r>
        <w:t xml:space="preserve"> </w:t>
      </w:r>
      <w:r>
        <w:t xml:space="preserve">would be defined by combination of allocation mechanism with the form and size of support</w:t>
      </w:r>
      <w:r>
        <w:t xml:space="preserve"> </w:t>
      </w:r>
      <w:r>
        <w:t xml:space="preserve">and would depend on much more granular features of the support mechanism (e.g. penalties</w:t>
      </w:r>
      <w:r>
        <w:t xml:space="preserve"> </w:t>
      </w:r>
      <w:r>
        <w:t xml:space="preserve">for non-delivery, milestones upon which support is disbursed, level of due diligence applied to</w:t>
      </w:r>
      <w:r>
        <w:t xml:space="preserve"> </w:t>
      </w:r>
      <w:r>
        <w:t xml:space="preserve">financial model at the stage of evaluation, etc.).</w:t>
      </w:r>
      <w:r>
        <w:t xml:space="preserve"> </w:t>
      </w:r>
      <w:r>
        <w:t xml:space="preserve">All main policy measures (that are later combined into Policy Options) are assessed and for</w:t>
      </w:r>
      <w:r>
        <w:t xml:space="preserve"> </w:t>
      </w:r>
      <w:r>
        <w:t xml:space="preserve">allocation mechanism and form of support also one additional measure for more</w:t>
      </w:r>
      <w:r>
        <w:t xml:space="preserve"> </w:t>
      </w:r>
      <w:r>
        <w:t xml:space="preserve">comprehensive overview.</w:t>
      </w:r>
      <w:r>
        <w:br/>
      </w:r>
      <w:r>
        <w:t xml:space="preserve">Table 1:</w:t>
      </w:r>
      <w:r>
        <w:t xml:space="preserve"> </w:t>
      </w:r>
      <w:r>
        <w:t xml:space="preserve">Effectiveness of measures on allocation mechanism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AM.1:</w:t>
      </w:r>
      <w:r>
        <w:t xml:space="preserve"> </w:t>
      </w:r>
      <w:r>
        <w:t xml:space="preserve">multi-criteria call</w:t>
      </w:r>
      <w:r>
        <w:t xml:space="preserve"> </w:t>
      </w:r>
      <w:r>
        <w:t xml:space="preserve">for proposals</w:t>
      </w:r>
      <w:r>
        <w:t xml:space="preserve"> </w:t>
      </w:r>
      <w:r>
        <w:t xml:space="preserve">Measure</w:t>
      </w:r>
      <w:r>
        <w:t xml:space="preserve"> </w:t>
      </w:r>
      <w:r>
        <w:t xml:space="preserve">AM.2:</w:t>
      </w:r>
      <w:r>
        <w:br/>
      </w:r>
      <w:r>
        <w:t xml:space="preserve">auctions</w:t>
      </w:r>
      <w:r>
        <w:t xml:space="preserve"> </w:t>
      </w:r>
      <w:r>
        <w:t xml:space="preserve">Measure</w:t>
      </w:r>
      <w:r>
        <w:t xml:space="preserve"> </w:t>
      </w:r>
      <w:r>
        <w:t xml:space="preserve">AM.3:</w:t>
      </w:r>
      <w:r>
        <w:br/>
      </w:r>
      <w:r>
        <w:t xml:space="preserve">administrative</w:t>
      </w:r>
      <w:r>
        <w:t xml:space="preserve"> </w:t>
      </w:r>
      <w:r>
        <w:t xml:space="preserve">schemes</w:t>
      </w:r>
      <w:r>
        <w:t xml:space="preserve"> </w:t>
      </w:r>
      <w:r>
        <w:t xml:space="preserve">MS</w:t>
      </w:r>
      <w:r>
        <w:t xml:space="preserve"> </w:t>
      </w:r>
      <w:r>
        <w:t xml:space="preserve">propose</w:t>
      </w:r>
      <w:r>
        <w:t xml:space="preserve"> </w:t>
      </w:r>
      <w:r>
        <w:t xml:space="preserve">a</w:t>
      </w:r>
      <w:r>
        <w:t xml:space="preserve"> </w:t>
      </w:r>
      <w:r>
        <w:t xml:space="preserve">shortlist</w:t>
      </w:r>
      <w:r>
        <w:t xml:space="preserve"> </w:t>
      </w:r>
      <w:r>
        <w:t xml:space="preserve">SO1:</w:t>
      </w:r>
      <w:r>
        <w:t xml:space="preserve"> </w:t>
      </w:r>
      <w:r>
        <w:t xml:space="preserve">creating the</w:t>
      </w:r>
      <w:r>
        <w:t xml:space="preserve"> </w:t>
      </w:r>
      <w:r>
        <w:t xml:space="preserve">business</w:t>
      </w:r>
      <w:r>
        <w:t xml:space="preserve"> </w:t>
      </w:r>
      <w:r>
        <w:t xml:space="preserve">case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investment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Depending on</w:t>
      </w:r>
      <w:r>
        <w:t xml:space="preserve"> </w:t>
      </w:r>
      <w:r>
        <w:t xml:space="preserve">specific design</w:t>
      </w:r>
      <w:r>
        <w:t xml:space="preserve"> </w:t>
      </w:r>
      <w:r>
        <w:t xml:space="preserve">(e.g. how large</w:t>
      </w:r>
      <w:r>
        <w:t xml:space="preserve"> </w:t>
      </w:r>
      <w:r>
        <w:t xml:space="preserve">share of the</w:t>
      </w:r>
      <w:r>
        <w:t xml:space="preserve"> </w:t>
      </w:r>
      <w:r>
        <w:t xml:space="preserve">funding gap is</w:t>
      </w:r>
      <w:r>
        <w:t xml:space="preserve"> </w:t>
      </w:r>
      <w:r>
        <w:t xml:space="preserve">covered) but in</w:t>
      </w:r>
      <w:r>
        <w:t xml:space="preserve"> </w:t>
      </w:r>
      <w:r>
        <w:t xml:space="preserve">essence, sufficient</w:t>
      </w:r>
      <w:r>
        <w:t xml:space="preserve"> </w:t>
      </w:r>
      <w:r>
        <w:t xml:space="preserve">to create business</w:t>
      </w:r>
      <w:r>
        <w:t xml:space="preserve"> </w:t>
      </w:r>
      <w:r>
        <w:t xml:space="preserve">case.</w:t>
      </w:r>
      <w:r>
        <w:t xml:space="preserve"> </w:t>
      </w:r>
      <w:r>
        <w:t xml:space="preserve">Depending on</w:t>
      </w:r>
      <w:r>
        <w:t xml:space="preserve"> </w:t>
      </w:r>
      <w:r>
        <w:t xml:space="preserve">specific design</w:t>
      </w:r>
      <w:r>
        <w:t xml:space="preserve"> </w:t>
      </w:r>
      <w:r>
        <w:t xml:space="preserve">(e.g. presence of</w:t>
      </w:r>
      <w:r>
        <w:t xml:space="preserve"> </w:t>
      </w:r>
      <w:r>
        <w:t xml:space="preserve">completion bond)</w:t>
      </w:r>
      <w:r>
        <w:t xml:space="preserve"> </w:t>
      </w:r>
      <w:r>
        <w:t xml:space="preserve">but in essence,</w:t>
      </w:r>
      <w:r>
        <w:t xml:space="preserve"> </w:t>
      </w:r>
      <w:r>
        <w:t xml:space="preserve">sufficient to create</w:t>
      </w:r>
      <w:r>
        <w:t xml:space="preserve"> </w:t>
      </w:r>
      <w:r>
        <w:t xml:space="preserve">business case.</w:t>
      </w:r>
      <w:r>
        <w:br/>
      </w:r>
      <w:r>
        <w:t xml:space="preserve">There are risks for</w:t>
      </w:r>
      <w:r>
        <w:t xml:space="preserve"> </w:t>
      </w:r>
      <w:r>
        <w:t xml:space="preserve">the administrative</w:t>
      </w:r>
      <w:r>
        <w:t xml:space="preserve"> </w:t>
      </w:r>
      <w:r>
        <w:t xml:space="preserve">body of non-</w:t>
      </w:r>
      <w:r>
        <w:t xml:space="preserve"> </w:t>
      </w:r>
      <w:r>
        <w:t xml:space="preserve">delivery if penalty</w:t>
      </w:r>
      <w:r>
        <w:t xml:space="preserve"> </w:t>
      </w:r>
      <w:r>
        <w:t xml:space="preserve">regimes and</w:t>
      </w:r>
      <w:r>
        <w:t xml:space="preserve"> </w:t>
      </w:r>
      <w:r>
        <w:t xml:space="preserve">prequalification</w:t>
      </w:r>
      <w:r>
        <w:t xml:space="preserve"> </w:t>
      </w:r>
      <w:r>
        <w:t xml:space="preserve">criteria are weak.</w:t>
      </w:r>
      <w:r>
        <w:t xml:space="preserve"> </w:t>
      </w:r>
      <w:r>
        <w:t xml:space="preserve">Strategic bidding</w:t>
      </w:r>
      <w:r>
        <w:t xml:space="preserve"> </w:t>
      </w:r>
      <w:r>
        <w:t xml:space="preserve">by large players</w:t>
      </w:r>
      <w:r>
        <w:t xml:space="preserve"> </w:t>
      </w:r>
      <w:r>
        <w:t xml:space="preserve">that may crowd out</w:t>
      </w:r>
      <w:r>
        <w:t xml:space="preserve"> </w:t>
      </w:r>
      <w:r>
        <w:t xml:space="preserve">smaller actors can</w:t>
      </w:r>
      <w:r>
        <w:t xml:space="preserve"> </w:t>
      </w:r>
      <w:r>
        <w:t xml:space="preserve">also happen.</w:t>
      </w:r>
      <w:r>
        <w:br/>
      </w:r>
      <w:r>
        <w:t xml:space="preserve">Conversely if</w:t>
      </w:r>
      <w:r>
        <w:t xml:space="preserve"> </w:t>
      </w:r>
      <w:r>
        <w:t xml:space="preserve">prequalification</w:t>
      </w:r>
      <w:r>
        <w:t xml:space="preserve"> </w:t>
      </w:r>
      <w:r>
        <w:t xml:space="preserve">and penalties are</w:t>
      </w:r>
      <w:r>
        <w:t xml:space="preserve"> </w:t>
      </w:r>
      <w:r>
        <w:t xml:space="preserve">too strict,</w:t>
      </w:r>
      <w:r>
        <w:t xml:space="preserve"> </w:t>
      </w:r>
      <w:r>
        <w:t xml:space="preserve">underbidding may</w:t>
      </w:r>
      <w:r>
        <w:t xml:space="preserve"> </w:t>
      </w:r>
      <w:r>
        <w:t xml:space="preserve">occur.</w:t>
      </w:r>
      <w:r>
        <w:t xml:space="preserve"> </w:t>
      </w:r>
      <w:r>
        <w:t xml:space="preserve">Depending on</w:t>
      </w:r>
      <w:r>
        <w:t xml:space="preserve"> </w:t>
      </w:r>
      <w:r>
        <w:t xml:space="preserve">specific design</w:t>
      </w:r>
      <w:r>
        <w:t xml:space="preserve"> </w:t>
      </w:r>
      <w:r>
        <w:t xml:space="preserve">(e.g. how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process is</w:t>
      </w:r>
      <w:r>
        <w:t xml:space="preserve"> </w:t>
      </w:r>
      <w:r>
        <w:t xml:space="preserve">managed and at</w:t>
      </w:r>
      <w:r>
        <w:t xml:space="preserve"> </w:t>
      </w:r>
      <w:r>
        <w:t xml:space="preserve">what stage (pre-</w:t>
      </w:r>
      <w:r>
        <w:t xml:space="preserve"> </w:t>
      </w:r>
      <w:r>
        <w:t xml:space="preserve">FID) projects are</w:t>
      </w:r>
      <w:r>
        <w:t xml:space="preserve"> </w:t>
      </w:r>
      <w:r>
        <w:t xml:space="preserve">sought) but in</w:t>
      </w:r>
      <w:r>
        <w:t xml:space="preserve"> </w:t>
      </w:r>
      <w:r>
        <w:t xml:space="preserve">essence, sufficient</w:t>
      </w:r>
      <w:r>
        <w:t xml:space="preserve"> </w:t>
      </w:r>
      <w:r>
        <w:t xml:space="preserve">to create business</w:t>
      </w:r>
      <w:r>
        <w:t xml:space="preserve"> </w:t>
      </w:r>
      <w:r>
        <w:t xml:space="preserve">case and even</w:t>
      </w:r>
      <w:r>
        <w:t xml:space="preserve"> </w:t>
      </w:r>
      <w:r>
        <w:t xml:space="preserve">allow the higher</w:t>
      </w:r>
      <w:r>
        <w:t xml:space="preserve"> </w:t>
      </w:r>
      <w:r>
        <w:t xml:space="preserve">return on</w:t>
      </w:r>
      <w:r>
        <w:t xml:space="preserve"> </w:t>
      </w:r>
      <w:r>
        <w:t xml:space="preserve">investment</w:t>
      </w:r>
      <w:r>
        <w:t xml:space="preserve"> </w:t>
      </w:r>
      <w:r>
        <w:t xml:space="preserve">depending on</w:t>
      </w:r>
      <w:r>
        <w:t xml:space="preserve"> </w:t>
      </w:r>
      <w:r>
        <w:t xml:space="preserve">level of</w:t>
      </w:r>
      <w:r>
        <w:t xml:space="preserve"> </w:t>
      </w:r>
      <w:r>
        <w:t xml:space="preserve">compensation</w:t>
      </w:r>
      <w:r>
        <w:t xml:space="preserve"> </w:t>
      </w:r>
      <w:r>
        <w:t xml:space="preserve">fixed.</w:t>
      </w:r>
      <w:r>
        <w:t xml:space="preserve"> </w:t>
      </w:r>
      <w:r>
        <w:t xml:space="preserve">A clear and simple</w:t>
      </w:r>
      <w:r>
        <w:t xml:space="preserve"> </w:t>
      </w:r>
      <w:r>
        <w:t xml:space="preserve">mechanism so</w:t>
      </w:r>
      <w:r>
        <w:t xml:space="preserve"> </w:t>
      </w:r>
      <w:r>
        <w:t xml:space="preserve">very easy to</w:t>
      </w:r>
      <w:r>
        <w:t xml:space="preserve"> </w:t>
      </w:r>
      <w:r>
        <w:t xml:space="preserve">communicate and</w:t>
      </w:r>
      <w:r>
        <w:t xml:space="preserve"> </w:t>
      </w:r>
      <w:r>
        <w:t xml:space="preserve">integrate corporate</w:t>
      </w:r>
      <w:r>
        <w:t xml:space="preserve"> </w:t>
      </w:r>
      <w:r>
        <w:t xml:space="preserve">in planning and</w:t>
      </w:r>
      <w:r>
        <w:t xml:space="preserve"> </w:t>
      </w:r>
      <w:r>
        <w:t xml:space="preserve">decision making.</w:t>
      </w:r>
      <w:r>
        <w:t xml:space="preserve"> </w:t>
      </w:r>
      <w:r>
        <w:t xml:space="preserve">Depending on</w:t>
      </w:r>
      <w:r>
        <w:t xml:space="preserve"> </w:t>
      </w:r>
      <w:r>
        <w:t xml:space="preserve">specific design</w:t>
      </w:r>
      <w:r>
        <w:t xml:space="preserve"> </w:t>
      </w:r>
      <w:r>
        <w:t xml:space="preserve">(e.g. how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process is</w:t>
      </w:r>
      <w:r>
        <w:t xml:space="preserve"> </w:t>
      </w:r>
      <w:r>
        <w:t xml:space="preserve">managed and</w:t>
      </w:r>
      <w:r>
        <w:t xml:space="preserve"> </w:t>
      </w:r>
      <w:r>
        <w:t xml:space="preserve">what selection</w:t>
      </w:r>
      <w:r>
        <w:t xml:space="preserve"> </w:t>
      </w:r>
      <w:r>
        <w:t xml:space="preserve">criteria are applied</w:t>
      </w:r>
      <w:r>
        <w:t xml:space="preserve"> </w:t>
      </w:r>
      <w:r>
        <w:t xml:space="preserve">by MS) but in</w:t>
      </w:r>
      <w:r>
        <w:t xml:space="preserve"> </w:t>
      </w:r>
      <w:r>
        <w:t xml:space="preserve">essence, sufficient</w:t>
      </w:r>
      <w:r>
        <w:t xml:space="preserve"> </w:t>
      </w:r>
      <w:r>
        <w:t xml:space="preserve">to create business</w:t>
      </w:r>
      <w:r>
        <w:t xml:space="preserve"> </w:t>
      </w:r>
      <w:r>
        <w:t xml:space="preserve">case.</w:t>
      </w:r>
      <w:r>
        <w:t xml:space="preserve"> </w:t>
      </w:r>
      <w:r>
        <w:t xml:space="preserve">There is a risk of</w:t>
      </w:r>
      <w:r>
        <w:t xml:space="preserve"> </w:t>
      </w:r>
      <w:r>
        <w:t xml:space="preserve">lengthy decision-</w:t>
      </w:r>
      <w:r>
        <w:t xml:space="preserve"> </w:t>
      </w:r>
      <w:r>
        <w:t xml:space="preserve">making which</w:t>
      </w:r>
      <w:r>
        <w:t xml:space="preserve"> </w:t>
      </w:r>
      <w:r>
        <w:t xml:space="preserve">makes</w:t>
      </w:r>
      <w:r>
        <w:t xml:space="preserve"> </w:t>
      </w:r>
      <w:r>
        <w:t xml:space="preserve">establishing</w:t>
      </w:r>
      <w:r>
        <w:t xml:space="preserve"> </w:t>
      </w:r>
      <w:r>
        <w:t xml:space="preserve">business case</w:t>
      </w:r>
      <w:r>
        <w:t xml:space="preserve"> </w:t>
      </w:r>
      <w:r>
        <w:t xml:space="preserve">more difficult.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SO2: create</w:t>
      </w:r>
      <w:r>
        <w:t xml:space="preserve"> </w:t>
      </w:r>
      <w:r>
        <w:t xml:space="preserve">an</w:t>
      </w:r>
      <w:r>
        <w:t xml:space="preserve"> </w:t>
      </w:r>
      <w:r>
        <w:t xml:space="preserve">instrument</w:t>
      </w:r>
      <w:r>
        <w:t xml:space="preserve"> </w:t>
      </w:r>
      <w:r>
        <w:t xml:space="preserve">with</w:t>
      </w:r>
      <w:r>
        <w:t xml:space="preserve"> </w:t>
      </w:r>
      <w:r>
        <w:t xml:space="preserve">sufficient</w:t>
      </w:r>
      <w:r>
        <w:t xml:space="preserve"> </w:t>
      </w:r>
      <w:r>
        <w:t xml:space="preserve">budget and</w:t>
      </w:r>
      <w:r>
        <w:t xml:space="preserve"> </w:t>
      </w:r>
      <w:r>
        <w:t xml:space="preserve">duration</w:t>
      </w:r>
    </w:p>
    <w:p>
      <w:pPr>
        <w:pStyle w:val="BodyText"/>
      </w:pPr>
      <w:r>
        <w:t xml:space="preserve">The choice of measure does not have an impact on achievement of this objective</w:t>
      </w:r>
      <w:r>
        <w:t xml:space="preserve"> </w:t>
      </w:r>
      <w:r>
        <w:t xml:space="preserve">SO3: create</w:t>
      </w:r>
      <w:r>
        <w:t xml:space="preserve"> </w:t>
      </w:r>
      <w:r>
        <w:t xml:space="preserve">an</w:t>
      </w:r>
      <w:r>
        <w:t xml:space="preserve"> </w:t>
      </w:r>
      <w:r>
        <w:t xml:space="preserve">instrument</w:t>
      </w:r>
      <w:r>
        <w:t xml:space="preserve"> </w:t>
      </w:r>
      <w:r>
        <w:t xml:space="preserve">operating in</w:t>
      </w:r>
      <w:r>
        <w:t xml:space="preserve"> </w:t>
      </w:r>
      <w:r>
        <w:t xml:space="preserve">simple and</w:t>
      </w:r>
      <w:r>
        <w:t xml:space="preserve"> </w:t>
      </w:r>
      <w:r>
        <w:t xml:space="preserve">flexible way</w:t>
      </w:r>
      <w:r>
        <w:t xml:space="preserve"> </w:t>
      </w:r>
      <w:r>
        <w:t xml:space="preserve">and thus</w:t>
      </w:r>
      <w:r>
        <w:t xml:space="preserve"> </w:t>
      </w:r>
      <w:r>
        <w:t xml:space="preserve">suitable for</w:t>
      </w:r>
      <w:r>
        <w:t xml:space="preserve"> </w:t>
      </w:r>
      <w:r>
        <w:t xml:space="preserve">addressing</w:t>
      </w:r>
      <w:r>
        <w:t xml:space="preserve"> </w:t>
      </w:r>
      <w:r>
        <w:t xml:space="preserve">all sectors in</w:t>
      </w:r>
      <w:r>
        <w:t xml:space="preserve"> </w:t>
      </w:r>
      <w:r>
        <w:t xml:space="preserve">all countries</w:t>
      </w:r>
    </w:p>
    <w:p>
      <w:pPr>
        <w:pStyle w:val="Compact"/>
        <w:numPr>
          <w:ilvl w:val="0"/>
          <w:numId w:val="1014"/>
        </w:numPr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The design</w:t>
      </w:r>
      <w:r>
        <w:t xml:space="preserve"> </w:t>
      </w:r>
      <w:r>
        <w:t xml:space="preserve">complexity of</w:t>
      </w:r>
      <w:r>
        <w:t xml:space="preserve"> </w:t>
      </w:r>
      <w:r>
        <w:t xml:space="preserve">multicriteria calls</w:t>
      </w:r>
      <w:r>
        <w:t xml:space="preserve"> </w:t>
      </w:r>
      <w:r>
        <w:t xml:space="preserve">is generally high,</w:t>
      </w:r>
      <w:r>
        <w:t xml:space="preserve"> </w:t>
      </w:r>
      <w:r>
        <w:t xml:space="preserve">as the criteria need</w:t>
      </w:r>
      <w:r>
        <w:t xml:space="preserve"> </w:t>
      </w:r>
      <w:r>
        <w:t xml:space="preserve">to be clearly</w:t>
      </w:r>
      <w:r>
        <w:t xml:space="preserve"> </w:t>
      </w:r>
      <w:r>
        <w:t xml:space="preserve">defined and</w:t>
      </w:r>
      <w:r>
        <w:t xml:space="preserve"> </w:t>
      </w:r>
      <w:r>
        <w:t xml:space="preserve">operationalised.</w:t>
      </w:r>
      <w:r>
        <w:t xml:space="preserve"> </w:t>
      </w:r>
      <w:r>
        <w:t xml:space="preserve">Processes for</w:t>
      </w:r>
      <w:r>
        <w:t xml:space="preserve"> </w:t>
      </w:r>
      <w:r>
        <w:t xml:space="preserve">potential multi-</w:t>
      </w:r>
      <w:r>
        <w:t xml:space="preserve"> </w:t>
      </w:r>
      <w:r>
        <w:t xml:space="preserve">stage application</w:t>
      </w:r>
      <w:r>
        <w:t xml:space="preserve"> </w:t>
      </w:r>
      <w:r>
        <w:t xml:space="preserve">procedures need to</w:t>
      </w:r>
      <w:r>
        <w:t xml:space="preserve"> </w:t>
      </w:r>
      <w:r>
        <w:t xml:space="preserve">be defined and</w:t>
      </w:r>
      <w:r>
        <w:t xml:space="preserve"> </w:t>
      </w:r>
      <w:r>
        <w:t xml:space="preserve">implemented.</w:t>
      </w:r>
      <w:r>
        <w:br/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is high</w:t>
      </w:r>
      <w:r>
        <w:t xml:space="preserve"> </w:t>
      </w:r>
      <w:r>
        <w:t xml:space="preserve">for both</w:t>
      </w:r>
      <w:r>
        <w:t xml:space="preserve"> </w:t>
      </w:r>
      <w:r>
        <w:t xml:space="preserve">applicants and</w:t>
      </w:r>
      <w:r>
        <w:t xml:space="preserve"> </w:t>
      </w:r>
      <w:r>
        <w:t xml:space="preserve">authorities.</w:t>
      </w:r>
      <w:r>
        <w:t xml:space="preserve"> </w:t>
      </w:r>
      <w:r>
        <w:t xml:space="preserve">Applicants must</w:t>
      </w:r>
      <w:r>
        <w:t xml:space="preserve"> </w:t>
      </w:r>
      <w:r>
        <w:t xml:space="preserve">provide substantial</w:t>
      </w:r>
      <w:r>
        <w:t xml:space="preserve"> </w:t>
      </w:r>
      <w:r>
        <w:t xml:space="preserve">documentation,</w:t>
      </w:r>
      <w:r>
        <w:t xml:space="preserve"> </w:t>
      </w:r>
      <w:r>
        <w:t xml:space="preserve">align project</w:t>
      </w:r>
      <w:r>
        <w:t xml:space="preserve"> </w:t>
      </w:r>
      <w:r>
        <w:t xml:space="preserve">details across a</w:t>
      </w:r>
      <w:r>
        <w:t xml:space="preserve"> </w:t>
      </w:r>
      <w:r>
        <w:t xml:space="preserve">variety of</w:t>
      </w:r>
      <w:r>
        <w:t xml:space="preserve"> </w:t>
      </w:r>
      <w:r>
        <w:t xml:space="preserve">document types,</w:t>
      </w:r>
      <w:r>
        <w:t xml:space="preserve"> </w:t>
      </w:r>
      <w:r>
        <w:t xml:space="preserve">and provide robust</w:t>
      </w:r>
      <w:r>
        <w:t xml:space="preserve"> </w:t>
      </w:r>
      <w:r>
        <w:t xml:space="preserve">contractual</w:t>
      </w:r>
      <w:r>
        <w:t xml:space="preserve"> </w:t>
      </w:r>
      <w:r>
        <w:t xml:space="preserve">evidence from</w:t>
      </w:r>
      <w:r>
        <w:t xml:space="preserve"> </w:t>
      </w:r>
      <w:r>
        <w:t xml:space="preserve">project partners123.</w:t>
      </w:r>
      <w:r>
        <w:br/>
      </w:r>
      <w:r>
        <w:t xml:space="preserve">Authorities must</w:t>
      </w:r>
      <w:r>
        <w:t xml:space="preserve"> </w:t>
      </w:r>
      <w:r>
        <w:t xml:space="preserve">run multistage</w:t>
      </w:r>
      <w:r>
        <w:t xml:space="preserve"> </w:t>
      </w:r>
      <w:r>
        <w:t xml:space="preserve">evaluations, due</w:t>
      </w:r>
      <w:r>
        <w:t xml:space="preserve"> </w:t>
      </w:r>
      <w:r>
        <w:t xml:space="preserve">diligence, grant</w:t>
      </w:r>
      <w:r>
        <w:t xml:space="preserve"> </w:t>
      </w:r>
      <w:r>
        <w:t xml:space="preserve">agreement</w:t>
      </w:r>
      <w:r>
        <w:t xml:space="preserve"> </w:t>
      </w:r>
      <w:r>
        <w:t xml:space="preserve">negotiations, and</w:t>
      </w:r>
      <w:r>
        <w:t xml:space="preserve"> </w:t>
      </w:r>
      <w:r>
        <w:t xml:space="preserve">long-term</w:t>
      </w:r>
      <w:r>
        <w:t xml:space="preserve"> </w:t>
      </w:r>
      <w:r>
        <w:t xml:space="preserve">monitoring against</w:t>
      </w:r>
      <w:r>
        <w:t xml:space="preserve"> </w:t>
      </w:r>
      <w:r>
        <w:t xml:space="preserve">The design</w:t>
      </w:r>
      <w:r>
        <w:t xml:space="preserve"> </w:t>
      </w:r>
      <w:r>
        <w:t xml:space="preserve">complexity of</w:t>
      </w:r>
      <w:r>
        <w:t xml:space="preserve"> </w:t>
      </w:r>
      <w:r>
        <w:t xml:space="preserve">auctions depends</w:t>
      </w:r>
      <w:r>
        <w:t xml:space="preserve"> </w:t>
      </w:r>
      <w:r>
        <w:t xml:space="preserve">on the range of</w:t>
      </w:r>
      <w:r>
        <w:t xml:space="preserve"> </w:t>
      </w:r>
      <w:r>
        <w:t xml:space="preserve">objectives.</w:t>
      </w:r>
      <w:r>
        <w:br/>
      </w:r>
      <w:r>
        <w:t xml:space="preserve">Auctions tend to</w:t>
      </w:r>
      <w:r>
        <w:t xml:space="preserve"> </w:t>
      </w:r>
      <w:r>
        <w:t xml:space="preserve">use bid prices as</w:t>
      </w:r>
      <w:r>
        <w:t xml:space="preserve"> </w:t>
      </w:r>
      <w:r>
        <w:t xml:space="preserve">the main selection</w:t>
      </w:r>
      <w:r>
        <w:t xml:space="preserve"> </w:t>
      </w:r>
      <w:r>
        <w:t xml:space="preserve">criterion, which</w:t>
      </w:r>
      <w:r>
        <w:t xml:space="preserve"> </w:t>
      </w:r>
      <w:r>
        <w:t xml:space="preserve">simplifies the</w:t>
      </w:r>
      <w:r>
        <w:t xml:space="preserve"> </w:t>
      </w:r>
      <w:r>
        <w:t xml:space="preserve">allocation</w:t>
      </w:r>
      <w:r>
        <w:t xml:space="preserve"> </w:t>
      </w:r>
      <w:r>
        <w:t xml:space="preserve">mechanism.</w:t>
      </w:r>
      <w:r>
        <w:br/>
      </w:r>
      <w:r>
        <w:t xml:space="preserve">Auction can be</w:t>
      </w:r>
      <w:r>
        <w:t xml:space="preserve"> </w:t>
      </w:r>
      <w:r>
        <w:t xml:space="preserve">implemented as</w:t>
      </w:r>
      <w:r>
        <w:t xml:space="preserve"> </w:t>
      </w:r>
      <w:r>
        <w:t xml:space="preserve">multicriteria</w:t>
      </w:r>
      <w:r>
        <w:t xml:space="preserve"> </w:t>
      </w:r>
      <w:r>
        <w:t xml:space="preserve">auctions to pursue</w:t>
      </w:r>
      <w:r>
        <w:t xml:space="preserve"> </w:t>
      </w:r>
      <w:r>
        <w:t xml:space="preserve">further goals</w:t>
      </w:r>
      <w:r>
        <w:t xml:space="preserve"> </w:t>
      </w:r>
      <w:r>
        <w:t xml:space="preserve">beyond cost-</w:t>
      </w:r>
      <w:r>
        <w:t xml:space="preserve"> </w:t>
      </w:r>
      <w:r>
        <w:t xml:space="preserve">effectiveness and</w:t>
      </w:r>
      <w:r>
        <w:t xml:space="preserve"> </w:t>
      </w:r>
      <w:r>
        <w:t xml:space="preserve">price discovery.</w:t>
      </w:r>
      <w:r>
        <w:t xml:space="preserve"> </w:t>
      </w:r>
      <w:r>
        <w:t xml:space="preserve">This increases</w:t>
      </w:r>
      <w:r>
        <w:t xml:space="preserve"> </w:t>
      </w:r>
      <w:r>
        <w:t xml:space="preserve">complexity.</w:t>
      </w:r>
      <w:r>
        <w:t xml:space="preserve"> </w:t>
      </w:r>
      <w:r>
        <w:t xml:space="preserve">The exact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is strongly</w:t>
      </w:r>
      <w:r>
        <w:t xml:space="preserve"> </w:t>
      </w:r>
      <w:r>
        <w:t xml:space="preserve">linked to the</w:t>
      </w:r>
      <w:r>
        <w:t xml:space="preserve"> </w:t>
      </w:r>
      <w:r>
        <w:t xml:space="preserve">auction model, e.g. </w:t>
      </w:r>
      <w:r>
        <w:t xml:space="preserve"> </w:t>
      </w:r>
      <w:r>
        <w:t xml:space="preserve">potential clawback</w:t>
      </w:r>
      <w:r>
        <w:t xml:space="preserve"> </w:t>
      </w:r>
      <w:r>
        <w:t xml:space="preserve">or payback</w:t>
      </w:r>
      <w:r>
        <w:t xml:space="preserve"> </w:t>
      </w:r>
      <w:r>
        <w:t xml:space="preserve">features. One-sided</w:t>
      </w:r>
      <w:r>
        <w:t xml:space="preserve"> </w:t>
      </w:r>
      <w:r>
        <w:t xml:space="preserve">auctions are less</w:t>
      </w:r>
      <w:r>
        <w:t xml:space="preserve"> </w:t>
      </w:r>
      <w:r>
        <w:t xml:space="preserve">complex than</w:t>
      </w:r>
      <w:r>
        <w:t xml:space="preserve"> </w:t>
      </w:r>
      <w:r>
        <w:t xml:space="preserve">double-sided</w:t>
      </w:r>
      <w:r>
        <w:t xml:space="preserve"> </w:t>
      </w:r>
      <w:r>
        <w:t xml:space="preserve">auctions (that need</w:t>
      </w:r>
      <w:r>
        <w:t xml:space="preserve"> </w:t>
      </w:r>
      <w:r>
        <w:t xml:space="preserve">an 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body involved that</w:t>
      </w:r>
      <w:r>
        <w:t xml:space="preserve"> </w:t>
      </w:r>
      <w:r>
        <w:t xml:space="preserve">acts as a bridge</w:t>
      </w:r>
      <w:r>
        <w:t xml:space="preserve"> </w:t>
      </w:r>
      <w:r>
        <w:t xml:space="preserve">between end-users</w:t>
      </w:r>
      <w:r>
        <w:t xml:space="preserve"> </w:t>
      </w:r>
      <w:r>
        <w:t xml:space="preserve">This measure is</w:t>
      </w:r>
      <w:r>
        <w:t xml:space="preserve"> </w:t>
      </w:r>
      <w:r>
        <w:t xml:space="preserve">fast to deploy</w:t>
      </w:r>
      <w:r>
        <w:t xml:space="preserve"> </w:t>
      </w:r>
      <w:r>
        <w:t xml:space="preserve">with low design</w:t>
      </w:r>
      <w:r>
        <w:t xml:space="preserve"> </w:t>
      </w:r>
      <w:r>
        <w:t xml:space="preserve">complexity,</w:t>
      </w:r>
      <w:r>
        <w:t xml:space="preserve"> </w:t>
      </w:r>
      <w:r>
        <w:t xml:space="preserve">minimal barriers</w:t>
      </w:r>
      <w:r>
        <w:t xml:space="preserve"> </w:t>
      </w:r>
      <w:r>
        <w:t xml:space="preserve">to entry, making</w:t>
      </w:r>
      <w:r>
        <w:t xml:space="preserve"> </w:t>
      </w:r>
      <w:r>
        <w:t xml:space="preserve">support</w:t>
      </w:r>
      <w:r>
        <w:t xml:space="preserve"> </w:t>
      </w:r>
      <w:r>
        <w:t xml:space="preserve">disbursement</w:t>
      </w:r>
      <w:r>
        <w:t xml:space="preserve"> </w:t>
      </w:r>
      <w:r>
        <w:t xml:space="preserve">quite predictable</w:t>
      </w:r>
      <w:r>
        <w:t xml:space="preserve"> </w:t>
      </w:r>
      <w:r>
        <w:t xml:space="preserve">for applicants.</w:t>
      </w:r>
      <w:r>
        <w:t xml:space="preserve"> </w:t>
      </w:r>
      <w:r>
        <w:t xml:space="preserve">It can be effective</w:t>
      </w:r>
      <w:r>
        <w:t xml:space="preserve"> </w:t>
      </w:r>
      <w:r>
        <w:t xml:space="preserve">in kickstarting</w:t>
      </w:r>
      <w:r>
        <w:t xml:space="preserve"> </w:t>
      </w:r>
      <w:r>
        <w:t xml:space="preserve">supply for</w:t>
      </w:r>
      <w:r>
        <w:t xml:space="preserve"> </w:t>
      </w:r>
      <w:r>
        <w:t xml:space="preserve">standardised low-</w:t>
      </w:r>
      <w:r>
        <w:t xml:space="preserve"> </w:t>
      </w:r>
      <w:r>
        <w:t xml:space="preserve">emission</w:t>
      </w:r>
      <w:r>
        <w:t xml:space="preserve"> </w:t>
      </w:r>
      <w:r>
        <w:t xml:space="preserve">technologies or</w:t>
      </w:r>
      <w:r>
        <w:t xml:space="preserve"> </w:t>
      </w:r>
      <w:r>
        <w:t xml:space="preserve">products.</w:t>
      </w:r>
      <w:r>
        <w:br/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of this</w:t>
      </w:r>
      <w:r>
        <w:t xml:space="preserve"> </w:t>
      </w:r>
      <w:r>
        <w:t xml:space="preserve">mechanism is low.</w:t>
      </w:r>
      <w:r>
        <w:br/>
      </w:r>
      <w:r>
        <w:t xml:space="preserve">All sectors can be</w:t>
      </w:r>
      <w:r>
        <w:t xml:space="preserve"> </w:t>
      </w:r>
      <w:r>
        <w:t xml:space="preserve">addressed in one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scheme, but level</w:t>
      </w:r>
      <w:r>
        <w:t xml:space="preserve"> </w:t>
      </w:r>
      <w:r>
        <w:t xml:space="preserve">of support should</w:t>
      </w:r>
      <w:r>
        <w:t xml:space="preserve"> </w:t>
      </w:r>
      <w:r>
        <w:t xml:space="preserve">be differentiated</w:t>
      </w:r>
      <w:r>
        <w:t xml:space="preserve"> </w:t>
      </w:r>
      <w:r>
        <w:t xml:space="preserve">or there is a risk of</w:t>
      </w:r>
      <w:r>
        <w:t xml:space="preserve"> </w:t>
      </w:r>
      <w:r>
        <w:t xml:space="preserve">windfall projects.</w:t>
      </w:r>
      <w:r>
        <w:t xml:space="preserve"> </w:t>
      </w:r>
      <w:r>
        <w:t xml:space="preserve">The design</w:t>
      </w:r>
      <w:r>
        <w:t xml:space="preserve"> </w:t>
      </w:r>
      <w:r>
        <w:t xml:space="preserve">complexity of</w:t>
      </w:r>
      <w:r>
        <w:t xml:space="preserve"> </w:t>
      </w:r>
      <w:r>
        <w:t xml:space="preserve">such an allocation</w:t>
      </w:r>
      <w:r>
        <w:t xml:space="preserve"> </w:t>
      </w:r>
      <w:r>
        <w:t xml:space="preserve">mechanism is</w:t>
      </w:r>
      <w:r>
        <w:t xml:space="preserve"> </w:t>
      </w:r>
      <w:r>
        <w:t xml:space="preserve">lower on EU level</w:t>
      </w:r>
      <w:r>
        <w:t xml:space="preserve"> </w:t>
      </w:r>
      <w:r>
        <w:t xml:space="preserve">compared to a</w:t>
      </w:r>
      <w:r>
        <w:t xml:space="preserve"> </w:t>
      </w:r>
      <w:r>
        <w:t xml:space="preserve">centrally managed</w:t>
      </w:r>
      <w:r>
        <w:t xml:space="preserve"> </w:t>
      </w:r>
      <w:r>
        <w:t xml:space="preserve">mechanism, but</w:t>
      </w:r>
      <w:r>
        <w:t xml:space="preserve"> </w:t>
      </w:r>
      <w:r>
        <w:t xml:space="preserve">higher on Member</w:t>
      </w:r>
      <w:r>
        <w:t xml:space="preserve"> </w:t>
      </w:r>
      <w:r>
        <w:t xml:space="preserve">State level – and</w:t>
      </w:r>
      <w:r>
        <w:t xml:space="preserve"> </w:t>
      </w:r>
      <w:r>
        <w:t xml:space="preserve">multiplied with</w:t>
      </w:r>
      <w:r>
        <w:t xml:space="preserve"> </w:t>
      </w:r>
      <w:r>
        <w:t xml:space="preserve">the number of</w:t>
      </w:r>
      <w:r>
        <w:t xml:space="preserve"> </w:t>
      </w:r>
      <w:r>
        <w:t xml:space="preserve">different designs</w:t>
      </w:r>
      <w:r>
        <w:t xml:space="preserve"> </w:t>
      </w:r>
      <w:r>
        <w:t xml:space="preserve">applied in each</w:t>
      </w:r>
      <w:r>
        <w:t xml:space="preserve"> </w:t>
      </w:r>
      <w:r>
        <w:t xml:space="preserve">Member State.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is</w:t>
      </w:r>
      <w:r>
        <w:t xml:space="preserve"> </w:t>
      </w:r>
      <w:r>
        <w:t xml:space="preserve">distributed and</w:t>
      </w:r>
      <w:r>
        <w:t xml:space="preserve"> </w:t>
      </w:r>
      <w:r>
        <w:t xml:space="preserve">significant at</w:t>
      </w:r>
      <w:r>
        <w:t xml:space="preserve"> </w:t>
      </w:r>
      <w:r>
        <w:t xml:space="preserve">national level. MS</w:t>
      </w:r>
      <w:r>
        <w:t xml:space="preserve"> </w:t>
      </w:r>
      <w:r>
        <w:t xml:space="preserve">must coordinate</w:t>
      </w:r>
      <w:r>
        <w:t xml:space="preserve"> </w:t>
      </w:r>
      <w:r>
        <w:t xml:space="preserve">project selection,</w:t>
      </w:r>
      <w:r>
        <w:t xml:space="preserve"> </w:t>
      </w:r>
      <w:r>
        <w:t xml:space="preserve">concrete</w:t>
      </w:r>
      <w:r>
        <w:t xml:space="preserve"> </w:t>
      </w:r>
      <w:r>
        <w:t xml:space="preserve">instrument design,</w:t>
      </w:r>
      <w:r>
        <w:t xml:space="preserve"> </w:t>
      </w:r>
      <w:r>
        <w:t xml:space="preserve">stateaid</w:t>
      </w:r>
      <w:r>
        <w:t xml:space="preserve"> </w:t>
      </w:r>
      <w:r>
        <w:t xml:space="preserve">compliance, with</w:t>
      </w:r>
      <w:r>
        <w:t xml:space="preserve"> </w:t>
      </w:r>
      <w:r>
        <w:t xml:space="preserve">the EUlevel</w:t>
      </w:r>
      <w:r>
        <w:t xml:space="preserve"> </w:t>
      </w:r>
      <w:r>
        <w:t xml:space="preserve">governance and</w:t>
      </w:r>
      <w:r>
        <w:t xml:space="preserve"> </w:t>
      </w:r>
      <w:r>
        <w:t xml:space="preserve">disbursement</w:t>
      </w:r>
      <w:r>
        <w:t xml:space="preserve"> </w:t>
      </w:r>
      <w:r>
        <w:t xml:space="preserve">processes.</w:t>
      </w:r>
      <w:r>
        <w:t xml:space="preserve"> </w:t>
      </w:r>
      <w:r>
        <w:t xml:space="preserve">There is potential</w:t>
      </w:r>
      <w:r>
        <w:t xml:space="preserve"> </w:t>
      </w:r>
      <w:r>
        <w:t xml:space="preserve">for excessive</w:t>
      </w:r>
      <w:r>
        <w:t xml:space="preserve"> </w:t>
      </w:r>
      <w:r>
        <w:t xml:space="preserve">heterogeneity and</w:t>
      </w:r>
      <w:r>
        <w:t xml:space="preserve"> </w:t>
      </w:r>
      <w:r>
        <w:t xml:space="preserve">fragmentation of</w:t>
      </w:r>
      <w:r>
        <w:t xml:space="preserve"> </w:t>
      </w:r>
      <w:r>
        <w:t xml:space="preserve">project pipeline</w:t>
      </w:r>
      <w:r>
        <w:t xml:space="preserve"> </w:t>
      </w:r>
      <w:r>
        <w:t xml:space="preserve">because selection</w:t>
      </w:r>
      <w:r>
        <w:t xml:space="preserve"> </w:t>
      </w:r>
      <w:r>
        <w:t xml:space="preserve">criteria, standards</w:t>
      </w:r>
      <w:r>
        <w:t xml:space="preserve"> </w:t>
      </w:r>
      <w:r>
        <w:t xml:space="preserve">and risk</w:t>
      </w:r>
    </w:p>
    <w:p>
      <w:pPr>
        <w:pStyle w:val="FirstParagraph"/>
      </w:pPr>
      <w:r>
        <w:t xml:space="preserve">123 Additional challenge is often assessing credibility of the statement made by applicants (e.g. regarding stated</w:t>
      </w:r>
      <w:r>
        <w:t xml:space="preserve"> </w:t>
      </w:r>
      <w:r>
        <w:t xml:space="preserve">counterfactuals).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milestones and</w:t>
      </w:r>
      <w:r>
        <w:t xml:space="preserve"> </w:t>
      </w:r>
      <w:r>
        <w:t xml:space="preserve">verified</w:t>
      </w:r>
      <w:r>
        <w:t xml:space="preserve"> </w:t>
      </w:r>
      <w:r>
        <w:t xml:space="preserve">abatement.</w:t>
      </w:r>
      <w:r>
        <w:t xml:space="preserve"> </w:t>
      </w:r>
      <w:r>
        <w:t xml:space="preserve">All sectors can be</w:t>
      </w:r>
      <w:r>
        <w:t xml:space="preserve"> </w:t>
      </w:r>
      <w:r>
        <w:t xml:space="preserve">addressed in one</w:t>
      </w:r>
      <w:r>
        <w:t xml:space="preserve"> </w:t>
      </w:r>
      <w:r>
        <w:t xml:space="preserve">call for proposals</w:t>
      </w:r>
      <w:r>
        <w:t xml:space="preserve"> </w:t>
      </w:r>
      <w:r>
        <w:t xml:space="preserve">but depending on</w:t>
      </w:r>
      <w:r>
        <w:t xml:space="preserve"> </w:t>
      </w:r>
      <w:r>
        <w:t xml:space="preserve">call design, some</w:t>
      </w:r>
      <w:r>
        <w:t xml:space="preserve"> </w:t>
      </w:r>
      <w:r>
        <w:t xml:space="preserve">sectors of types of</w:t>
      </w:r>
      <w:r>
        <w:t xml:space="preserve"> </w:t>
      </w:r>
      <w:r>
        <w:t xml:space="preserve">projects can be</w:t>
      </w:r>
      <w:r>
        <w:t xml:space="preserve"> </w:t>
      </w:r>
      <w:r>
        <w:t xml:space="preserve">favoured.</w:t>
      </w:r>
    </w:p>
    <w:p>
      <w:pPr>
        <w:pStyle w:val="BodyText"/>
      </w:pPr>
      <w:r>
        <w:t xml:space="preserve">and the auctioning</w:t>
      </w:r>
      <w:r>
        <w:t xml:space="preserve"> </w:t>
      </w:r>
      <w:r>
        <w:t xml:space="preserve">authorities).</w:t>
      </w:r>
      <w:r>
        <w:t xml:space="preserve"> </w:t>
      </w:r>
      <w:r>
        <w:t xml:space="preserve">Standardised</w:t>
      </w:r>
      <w:r>
        <w:t xml:space="preserve"> </w:t>
      </w:r>
      <w:r>
        <w:t xml:space="preserve">documentation and</w:t>
      </w:r>
      <w:r>
        <w:t xml:space="preserve"> </w:t>
      </w:r>
      <w:r>
        <w:t xml:space="preserve">auction terms and</w:t>
      </w:r>
      <w:r>
        <w:t xml:space="preserve"> </w:t>
      </w:r>
      <w:r>
        <w:t xml:space="preserve">conditions keep</w:t>
      </w:r>
      <w:r>
        <w:t xml:space="preserve"> </w:t>
      </w:r>
      <w:r>
        <w:t xml:space="preserve">transaction costs</w:t>
      </w:r>
      <w:r>
        <w:t xml:space="preserve"> </w:t>
      </w:r>
      <w:r>
        <w:t xml:space="preserve">for the auctioneer</w:t>
      </w:r>
      <w:r>
        <w:t xml:space="preserve"> </w:t>
      </w:r>
      <w:r>
        <w:t xml:space="preserve">lower than in</w:t>
      </w:r>
      <w:r>
        <w:t xml:space="preserve"> </w:t>
      </w:r>
      <w:r>
        <w:t xml:space="preserve">multi-criteria calls</w:t>
      </w:r>
      <w:r>
        <w:t xml:space="preserve"> </w:t>
      </w:r>
      <w:r>
        <w:t xml:space="preserve">for proposals.</w:t>
      </w:r>
      <w:r>
        <w:br/>
      </w:r>
      <w:r>
        <w:t xml:space="preserve">Addressing all</w:t>
      </w:r>
      <w:r>
        <w:t xml:space="preserve"> </w:t>
      </w:r>
      <w:r>
        <w:t xml:space="preserve">sectors in one call</w:t>
      </w:r>
      <w:r>
        <w:t xml:space="preserve"> </w:t>
      </w:r>
      <w:r>
        <w:t xml:space="preserve">is challenging since</w:t>
      </w:r>
      <w:r>
        <w:t xml:space="preserve"> </w:t>
      </w:r>
      <w:r>
        <w:t xml:space="preserve">there is need for a</w:t>
      </w:r>
      <w:r>
        <w:t xml:space="preserve"> </w:t>
      </w:r>
      <w:r>
        <w:t xml:space="preserve">homogenous</w:t>
      </w:r>
      <w:r>
        <w:t xml:space="preserve"> </w:t>
      </w:r>
      <w:r>
        <w:t xml:space="preserve">auction good. This</w:t>
      </w:r>
      <w:r>
        <w:t xml:space="preserve"> </w:t>
      </w:r>
      <w:r>
        <w:t xml:space="preserve">can be addressed</w:t>
      </w:r>
      <w:r>
        <w:t xml:space="preserve"> </w:t>
      </w:r>
      <w:r>
        <w:t xml:space="preserve">by auction baskets</w:t>
      </w:r>
      <w:r>
        <w:t xml:space="preserve"> </w:t>
      </w:r>
      <w:r>
        <w:t xml:space="preserve">or other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elements.</w:t>
      </w:r>
      <w:r>
        <w:t xml:space="preserve"> </w:t>
      </w:r>
      <w:r>
        <w:t xml:space="preserve">management can</w:t>
      </w:r>
      <w:r>
        <w:t xml:space="preserve"> </w:t>
      </w:r>
      <w:r>
        <w:t xml:space="preserve">vary by MS.</w:t>
      </w:r>
      <w:r>
        <w:br/>
      </w:r>
      <w:r>
        <w:t xml:space="preserve">All sectors can be</w:t>
      </w:r>
      <w:r>
        <w:t xml:space="preserve"> </w:t>
      </w:r>
      <w:r>
        <w:t xml:space="preserve">addressed in one</w:t>
      </w:r>
      <w:r>
        <w:t xml:space="preserve"> </w:t>
      </w:r>
      <w:r>
        <w:t xml:space="preserve">national shortlist</w:t>
      </w:r>
      <w:r>
        <w:t xml:space="preserve"> </w:t>
      </w:r>
      <w:r>
        <w:t xml:space="preserve">but there is no</w:t>
      </w:r>
      <w:r>
        <w:t xml:space="preserve"> </w:t>
      </w:r>
      <w:r>
        <w:t xml:space="preserve">control over the</w:t>
      </w:r>
      <w:r>
        <w:t xml:space="preserve"> </w:t>
      </w:r>
      <w:r>
        <w:t xml:space="preserve">choice of projects</w:t>
      </w:r>
      <w:r>
        <w:t xml:space="preserve"> </w:t>
      </w:r>
      <w:r>
        <w:t xml:space="preserve">or criteria set on</w:t>
      </w:r>
      <w:r>
        <w:t xml:space="preserve"> </w:t>
      </w:r>
      <w:r>
        <w:t xml:space="preserve">the national level.</w:t>
      </w:r>
      <w:r>
        <w:t xml:space="preserve"> </w:t>
      </w:r>
      <w:r>
        <w:t xml:space="preserve">SO4: create</w:t>
      </w:r>
      <w:r>
        <w:t xml:space="preserve"> </w:t>
      </w:r>
      <w:r>
        <w:t xml:space="preserve">an</w:t>
      </w:r>
      <w:r>
        <w:t xml:space="preserve"> </w:t>
      </w:r>
      <w:r>
        <w:t xml:space="preserve">instrument</w:t>
      </w:r>
      <w:r>
        <w:t xml:space="preserve"> </w:t>
      </w:r>
      <w:r>
        <w:t xml:space="preserve">that</w:t>
      </w:r>
      <w:r>
        <w:t xml:space="preserve"> </w:t>
      </w:r>
      <w:r>
        <w:t xml:space="preserve">supports</w:t>
      </w:r>
      <w:r>
        <w:t xml:space="preserve"> </w:t>
      </w:r>
      <w:r>
        <w:t xml:space="preserve">sectors</w:t>
      </w:r>
      <w:r>
        <w:t xml:space="preserve"> </w:t>
      </w:r>
      <w:r>
        <w:t xml:space="preserve">producing</w:t>
      </w:r>
      <w:r>
        <w:t xml:space="preserve"> </w:t>
      </w:r>
      <w:r>
        <w:t xml:space="preserve">CBAM</w:t>
      </w:r>
      <w:r>
        <w:t xml:space="preserve"> </w:t>
      </w:r>
      <w:r>
        <w:t xml:space="preserve">goods</w:t>
      </w:r>
    </w:p>
    <w:p>
      <w:pPr>
        <w:pStyle w:val="BodyText"/>
      </w:pPr>
      <w:r>
        <w:t xml:space="preserve">The choice of measure does not have an impact on achievement of this objective, it</w:t>
      </w:r>
      <w:r>
        <w:t xml:space="preserve"> </w:t>
      </w:r>
      <w:r>
        <w:t xml:space="preserve">is the call design that has the impact.</w:t>
      </w:r>
      <w:r>
        <w:t xml:space="preserve"> </w:t>
      </w:r>
      <w:r>
        <w:t xml:space="preserve">SO5: create</w:t>
      </w:r>
      <w:r>
        <w:t xml:space="preserve"> </w:t>
      </w:r>
      <w:r>
        <w:t xml:space="preserve">an</w:t>
      </w:r>
      <w:r>
        <w:t xml:space="preserve"> </w:t>
      </w:r>
      <w:r>
        <w:t xml:space="preserve">instrument</w:t>
      </w:r>
      <w:r>
        <w:t xml:space="preserve"> </w:t>
      </w:r>
      <w:r>
        <w:t xml:space="preserve">that</w:t>
      </w:r>
      <w:r>
        <w:t xml:space="preserve"> </w:t>
      </w:r>
      <w:r>
        <w:t xml:space="preserve">maximises</w:t>
      </w:r>
      <w:r>
        <w:t xml:space="preserve"> </w:t>
      </w:r>
      <w:r>
        <w:t xml:space="preserve">success rate</w:t>
      </w:r>
      <w:r>
        <w:t xml:space="preserve"> </w:t>
      </w:r>
      <w:r>
        <w:t xml:space="preserve">of the</w:t>
      </w:r>
      <w:r>
        <w:t xml:space="preserve"> </w:t>
      </w:r>
      <w:r>
        <w:t xml:space="preserve">projects.</w:t>
      </w:r>
    </w:p>
    <w:p>
      <w:pPr>
        <w:pStyle w:val="Compact"/>
        <w:numPr>
          <w:ilvl w:val="0"/>
          <w:numId w:val="1015"/>
        </w:numPr>
      </w:pPr>
      <w:r>
        <w:t xml:space="preserve">++</w:t>
      </w:r>
    </w:p>
    <w:p>
      <w:pPr>
        <w:pStyle w:val="Compact"/>
        <w:numPr>
          <w:ilvl w:val="0"/>
          <w:numId w:val="1015"/>
        </w:numPr>
      </w:pPr>
      <w:r>
        <w:t xml:space="preserve">Risk of high</w:t>
      </w:r>
      <w:r>
        <w:t xml:space="preserve"> </w:t>
      </w:r>
      <w:r>
        <w:t xml:space="preserve">dropout</w:t>
      </w:r>
      <w:r>
        <w:br/>
      </w:r>
      <w:r>
        <w:t xml:space="preserve">rate/project</w:t>
      </w:r>
      <w:r>
        <w:t xml:space="preserve"> </w:t>
      </w:r>
      <w:r>
        <w:t xml:space="preserve">dropouts (i.e. </w:t>
      </w:r>
      <w:r>
        <w:t xml:space="preserve"> </w:t>
      </w:r>
      <w:r>
        <w:t xml:space="preserve">projects not</w:t>
      </w:r>
      <w:r>
        <w:t xml:space="preserve"> </w:t>
      </w:r>
      <w:r>
        <w:t xml:space="preserve">materialising</w:t>
      </w:r>
      <w:r>
        <w:t xml:space="preserve"> </w:t>
      </w:r>
      <w:r>
        <w:t xml:space="preserve">confronted with</w:t>
      </w:r>
      <w:r>
        <w:t xml:space="preserve"> </w:t>
      </w:r>
      <w:r>
        <w:t xml:space="preserve">costs increases or</w:t>
      </w:r>
      <w:r>
        <w:t xml:space="preserve"> </w:t>
      </w:r>
      <w:r>
        <w:t xml:space="preserve">other unforeseen</w:t>
      </w:r>
      <w:r>
        <w:t xml:space="preserve"> </w:t>
      </w:r>
      <w:r>
        <w:t xml:space="preserve">difficulties)</w:t>
      </w:r>
      <w:r>
        <w:t xml:space="preserve"> </w:t>
      </w:r>
      <w:r>
        <w:t xml:space="preserve">especially if call</w:t>
      </w:r>
      <w:r>
        <w:t xml:space="preserve"> </w:t>
      </w:r>
      <w:r>
        <w:t xml:space="preserve">design does not</w:t>
      </w:r>
      <w:r>
        <w:t xml:space="preserve"> </w:t>
      </w:r>
      <w:r>
        <w:t xml:space="preserve">allow some</w:t>
      </w:r>
      <w:r>
        <w:t xml:space="preserve"> </w:t>
      </w:r>
      <w:r>
        <w:t xml:space="preserve">flexibilities in cost</w:t>
      </w:r>
      <w:r>
        <w:t xml:space="preserve"> </w:t>
      </w:r>
      <w:r>
        <w:t xml:space="preserve">calculation,</w:t>
      </w:r>
      <w:r>
        <w:t xml:space="preserve"> </w:t>
      </w:r>
      <w:r>
        <w:t xml:space="preserve">funding gap</w:t>
      </w:r>
      <w:r>
        <w:t xml:space="preserve"> </w:t>
      </w:r>
      <w:r>
        <w:t xml:space="preserve">coverage etc.</w:t>
      </w:r>
      <w:r>
        <w:t xml:space="preserve"> </w:t>
      </w:r>
      <w:r>
        <w:t xml:space="preserve">Risk of highest</w:t>
      </w:r>
      <w:r>
        <w:t xml:space="preserve"> </w:t>
      </w:r>
      <w:r>
        <w:t xml:space="preserve">dropout rate due to</w:t>
      </w:r>
      <w:r>
        <w:t xml:space="preserve"> </w:t>
      </w:r>
      <w:r>
        <w:t xml:space="preserve">competitive nature</w:t>
      </w:r>
      <w:r>
        <w:t xml:space="preserve"> </w:t>
      </w:r>
      <w:r>
        <w:t xml:space="preserve">of auctions that</w:t>
      </w:r>
      <w:r>
        <w:t xml:space="preserve"> </w:t>
      </w:r>
      <w:r>
        <w:t xml:space="preserve">reward risk-taking</w:t>
      </w:r>
      <w:r>
        <w:t xml:space="preserve"> </w:t>
      </w:r>
      <w:r>
        <w:t xml:space="preserve">by the bidders can</w:t>
      </w:r>
      <w:r>
        <w:t xml:space="preserve"> </w:t>
      </w:r>
      <w:r>
        <w:t xml:space="preserve">be moderated by</w:t>
      </w:r>
      <w:r>
        <w:t xml:space="preserve"> </w:t>
      </w:r>
      <w:r>
        <w:t xml:space="preserve">specific features as</w:t>
      </w:r>
      <w:r>
        <w:t xml:space="preserve"> </w:t>
      </w:r>
      <w:r>
        <w:t xml:space="preserve">completion bonds</w:t>
      </w:r>
      <w:r>
        <w:t xml:space="preserve"> </w:t>
      </w:r>
      <w:r>
        <w:t xml:space="preserve">and elements of</w:t>
      </w:r>
      <w:r>
        <w:t xml:space="preserve"> </w:t>
      </w:r>
      <w:r>
        <w:t xml:space="preserve">due diligence as</w:t>
      </w:r>
      <w:r>
        <w:t xml:space="preserve"> </w:t>
      </w:r>
      <w:r>
        <w:t xml:space="preserve">part of</w:t>
      </w:r>
      <w:r>
        <w:t xml:space="preserve"> </w:t>
      </w:r>
      <w:r>
        <w:t xml:space="preserve">qualifications.</w:t>
      </w:r>
      <w:r>
        <w:t xml:space="preserve"> </w:t>
      </w:r>
      <w:r>
        <w:t xml:space="preserve">Reserve list is</w:t>
      </w:r>
      <w:r>
        <w:t xml:space="preserve"> </w:t>
      </w:r>
      <w:r>
        <w:t xml:space="preserve">usually limited so it</w:t>
      </w:r>
      <w:r>
        <w:t xml:space="preserve"> </w:t>
      </w:r>
      <w:r>
        <w:t xml:space="preserve">is difficult to</w:t>
      </w:r>
      <w:r>
        <w:t xml:space="preserve"> </w:t>
      </w:r>
      <w:r>
        <w:t xml:space="preserve">It is assumed that</w:t>
      </w:r>
      <w:r>
        <w:t xml:space="preserve"> </w:t>
      </w:r>
      <w:r>
        <w:t xml:space="preserve">authorities would</w:t>
      </w:r>
      <w:r>
        <w:t xml:space="preserve"> </w:t>
      </w:r>
      <w:r>
        <w:t xml:space="preserve">apply a simple</w:t>
      </w:r>
      <w:r>
        <w:t xml:space="preserve"> </w:t>
      </w:r>
      <w:r>
        <w:t xml:space="preserve">eligibility check</w:t>
      </w:r>
      <w:r>
        <w:t xml:space="preserve"> </w:t>
      </w:r>
      <w:r>
        <w:t xml:space="preserve">and provide a</w:t>
      </w:r>
      <w:r>
        <w:t xml:space="preserve"> </w:t>
      </w:r>
      <w:r>
        <w:t xml:space="preserve">standardised grant</w:t>
      </w:r>
      <w:r>
        <w:t xml:space="preserve"> </w:t>
      </w:r>
      <w:r>
        <w:t xml:space="preserve">once the project is</w:t>
      </w:r>
      <w:r>
        <w:t xml:space="preserve"> </w:t>
      </w:r>
      <w:r>
        <w:t xml:space="preserve">delivered. If there</w:t>
      </w:r>
      <w:r>
        <w:t xml:space="preserve"> </w:t>
      </w:r>
      <w:r>
        <w:t xml:space="preserve">are project drop-</w:t>
      </w:r>
      <w:r>
        <w:t xml:space="preserve"> </w:t>
      </w:r>
      <w:r>
        <w:t xml:space="preserve">outs it is easy to</w:t>
      </w:r>
      <w:r>
        <w:t xml:space="preserve"> </w:t>
      </w:r>
      <w:r>
        <w:t xml:space="preserve">select a new</w:t>
      </w:r>
      <w:r>
        <w:t xml:space="preserve"> </w:t>
      </w:r>
      <w:r>
        <w:t xml:space="preserve">project from the</w:t>
      </w:r>
      <w:r>
        <w:t xml:space="preserve"> </w:t>
      </w:r>
      <w:r>
        <w:t xml:space="preserve">application queue.</w:t>
      </w:r>
      <w:r>
        <w:t xml:space="preserve"> </w:t>
      </w:r>
      <w:r>
        <w:t xml:space="preserve">Consequently,</w:t>
      </w:r>
      <w:r>
        <w:t xml:space="preserve"> </w:t>
      </w:r>
      <w:r>
        <w:t xml:space="preserve">while there is a</w:t>
      </w:r>
      <w:r>
        <w:t xml:space="preserve"> </w:t>
      </w:r>
      <w:r>
        <w:t xml:space="preserve">high risk of</w:t>
      </w:r>
      <w:r>
        <w:t xml:space="preserve"> </w:t>
      </w:r>
      <w:r>
        <w:t xml:space="preserve">dropout rate, an</w:t>
      </w:r>
      <w:r>
        <w:t xml:space="preserve"> </w:t>
      </w:r>
      <w:r>
        <w:t xml:space="preserve">Risk of high</w:t>
      </w:r>
      <w:r>
        <w:t xml:space="preserve"> </w:t>
      </w:r>
      <w:r>
        <w:t xml:space="preserve">dropout rate if</w:t>
      </w:r>
      <w:r>
        <w:t xml:space="preserve"> </w:t>
      </w:r>
      <w:r>
        <w:t xml:space="preserve">projects are not</w:t>
      </w:r>
      <w:r>
        <w:t xml:space="preserve"> </w:t>
      </w:r>
      <w:r>
        <w:t xml:space="preserve">duly vetted in</w:t>
      </w:r>
      <w:r>
        <w:t xml:space="preserve"> </w:t>
      </w:r>
      <w:r>
        <w:t xml:space="preserve">terms of financial</w:t>
      </w:r>
      <w:r>
        <w:t xml:space="preserve"> </w:t>
      </w:r>
      <w:r>
        <w:t xml:space="preserve">maturity and if 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process is longer</w:t>
      </w:r>
      <w:r>
        <w:t xml:space="preserve"> </w:t>
      </w:r>
      <w:r>
        <w:t xml:space="preserve">due to interactions</w:t>
      </w:r>
      <w:r>
        <w:t xml:space="preserve"> </w:t>
      </w:r>
      <w:r>
        <w:t xml:space="preserve">between MS and</w:t>
      </w:r>
      <w:r>
        <w:t xml:space="preserve"> </w:t>
      </w:r>
      <w:r>
        <w:t xml:space="preserve">the EC.</w:t>
      </w:r>
    </w:p>
    <w:p>
      <w:pPr>
        <w:pStyle w:val="FirstParagraph"/>
      </w:pPr>
      <w:r>
        <w:t xml:space="preserve">190</w:t>
      </w:r>
    </w:p>
    <w:p>
      <w:pPr>
        <w:pStyle w:val="BodyText"/>
      </w:pPr>
      <w:r>
        <w:t xml:space="preserve">Reserve list is</w:t>
      </w:r>
      <w:r>
        <w:t xml:space="preserve"> </w:t>
      </w:r>
      <w:r>
        <w:t xml:space="preserve">usually limited so</w:t>
      </w:r>
      <w:r>
        <w:t xml:space="preserve"> </w:t>
      </w:r>
      <w:r>
        <w:t xml:space="preserve">it is difficult to</w:t>
      </w:r>
      <w:r>
        <w:t xml:space="preserve"> </w:t>
      </w:r>
      <w:r>
        <w:t xml:space="preserve">replace dropouts</w:t>
      </w:r>
      <w:r>
        <w:t xml:space="preserve"> </w:t>
      </w:r>
      <w:r>
        <w:t xml:space="preserve">by the new</w:t>
      </w:r>
      <w:r>
        <w:t xml:space="preserve"> </w:t>
      </w:r>
      <w:r>
        <w:t xml:space="preserve">projects.</w:t>
      </w:r>
    </w:p>
    <w:p>
      <w:pPr>
        <w:pStyle w:val="BodyText"/>
      </w:pPr>
      <w:r>
        <w:t xml:space="preserve">replace dropouts by</w:t>
      </w:r>
      <w:r>
        <w:t xml:space="preserve"> </w:t>
      </w:r>
      <w:r>
        <w:t xml:space="preserve">the new projects.</w:t>
      </w:r>
    </w:p>
    <w:p>
      <w:pPr>
        <w:pStyle w:val="BodyText"/>
      </w:pPr>
      <w:r>
        <w:t xml:space="preserve">administration can</w:t>
      </w:r>
      <w:r>
        <w:t xml:space="preserve"> </w:t>
      </w:r>
      <w:r>
        <w:t xml:space="preserve">operate a very</w:t>
      </w:r>
      <w:r>
        <w:t xml:space="preserve"> </w:t>
      </w:r>
      <w:r>
        <w:t xml:space="preserve">long reserve list at</w:t>
      </w:r>
      <w:r>
        <w:t xml:space="preserve"> </w:t>
      </w:r>
      <w:r>
        <w:t xml:space="preserve">a very low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that will enable to</w:t>
      </w:r>
      <w:r>
        <w:t xml:space="preserve"> </w:t>
      </w:r>
      <w:r>
        <w:t xml:space="preserve">replace the</w:t>
      </w:r>
      <w:r>
        <w:t xml:space="preserve"> </w:t>
      </w:r>
      <w:r>
        <w:t xml:space="preserve">dropouts</w:t>
      </w:r>
      <w:r>
        <w:t xml:space="preserve"> </w:t>
      </w:r>
      <w:r>
        <w:t xml:space="preserve">seamlessly.</w:t>
      </w:r>
    </w:p>
    <w:p>
      <w:pPr>
        <w:pStyle w:val="BodyText"/>
      </w:pPr>
      <w:r>
        <w:t xml:space="preserve">Table 2:</w:t>
      </w:r>
      <w:r>
        <w:t xml:space="preserve"> </w:t>
      </w:r>
      <w:r>
        <w:t xml:space="preserve">Effectiveness of measures on type of support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(likelihood of</w:t>
      </w:r>
      <w:r>
        <w:t xml:space="preserve"> </w:t>
      </w:r>
      <w:r>
        <w:t xml:space="preserve">achieving the</w:t>
      </w:r>
      <w:r>
        <w:t xml:space="preserve"> </w:t>
      </w:r>
      <w:r>
        <w:t xml:space="preserve">objectives)</w:t>
      </w:r>
      <w:r>
        <w:t xml:space="preserve"> </w:t>
      </w:r>
      <w:r>
        <w:t xml:space="preserve">Measure FS.1:</w:t>
      </w:r>
      <w:r>
        <w:br/>
      </w:r>
      <w:r>
        <w:t xml:space="preserve">Regular grants</w:t>
      </w:r>
      <w:r>
        <w:t xml:space="preserve"> </w:t>
      </w:r>
      <w:r>
        <w:t xml:space="preserve">Measure FS.2:</w:t>
      </w:r>
      <w:r>
        <w:br/>
      </w:r>
      <w:r>
        <w:t xml:space="preserve">CFPs</w:t>
      </w:r>
      <w:r>
        <w:t xml:space="preserve"> </w:t>
      </w:r>
      <w:r>
        <w:t xml:space="preserve">Measure FS.3:</w:t>
      </w:r>
      <w:r>
        <w:br/>
      </w:r>
      <w:r>
        <w:t xml:space="preserve">CCfDs</w:t>
      </w:r>
      <w:r>
        <w:t xml:space="preserve"> </w:t>
      </w:r>
      <w:r>
        <w:t xml:space="preserve">Fixed premium</w:t>
      </w:r>
      <w:r>
        <w:t xml:space="preserve"> </w:t>
      </w:r>
      <w:r>
        <w:t xml:space="preserve">per unit of</w:t>
      </w:r>
      <w:r>
        <w:t xml:space="preserve"> </w:t>
      </w:r>
      <w:r>
        <w:t xml:space="preserve">decarbonised</w:t>
      </w:r>
      <w:r>
        <w:t xml:space="preserve"> </w:t>
      </w:r>
      <w:r>
        <w:t xml:space="preserve">product</w:t>
      </w:r>
      <w:r>
        <w:t xml:space="preserve"> </w:t>
      </w:r>
      <w:r>
        <w:t xml:space="preserve">SO1:</w:t>
      </w:r>
      <w:r>
        <w:t xml:space="preserve"> </w:t>
      </w:r>
      <w:r>
        <w:t xml:space="preserve">creating the</w:t>
      </w:r>
      <w:r>
        <w:t xml:space="preserve"> </w:t>
      </w:r>
      <w:r>
        <w:t xml:space="preserve">business case</w:t>
      </w:r>
      <w:r>
        <w:t xml:space="preserve"> </w:t>
      </w:r>
      <w:r>
        <w:t xml:space="preserve">for private</w:t>
      </w:r>
      <w:r>
        <w:t xml:space="preserve"> </w:t>
      </w:r>
      <w:r>
        <w:t xml:space="preserve">investment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Sufficient to</w:t>
      </w:r>
      <w:r>
        <w:t xml:space="preserve"> </w:t>
      </w:r>
      <w:r>
        <w:t xml:space="preserve">create business</w:t>
      </w:r>
      <w:r>
        <w:t xml:space="preserve"> </w:t>
      </w:r>
      <w:r>
        <w:t xml:space="preserve">case since</w:t>
      </w:r>
      <w:r>
        <w:t xml:space="preserve"> </w:t>
      </w:r>
      <w:r>
        <w:t xml:space="preserve">(depending on the</w:t>
      </w:r>
      <w:r>
        <w:t xml:space="preserve"> </w:t>
      </w:r>
      <w:r>
        <w:t xml:space="preserve">exact rules), grants</w:t>
      </w:r>
      <w:r>
        <w:t xml:space="preserve"> </w:t>
      </w:r>
      <w:r>
        <w:t xml:space="preserve">are generally able</w:t>
      </w:r>
      <w:r>
        <w:t xml:space="preserve"> </w:t>
      </w:r>
      <w:r>
        <w:t xml:space="preserve">to close cost gaps</w:t>
      </w:r>
      <w:r>
        <w:t xml:space="preserve"> </w:t>
      </w:r>
      <w:r>
        <w:t xml:space="preserve">to conventional</w:t>
      </w:r>
      <w:r>
        <w:t xml:space="preserve"> </w:t>
      </w:r>
      <w:r>
        <w:t xml:space="preserve">production.</w:t>
      </w:r>
      <w:r>
        <w:br/>
      </w:r>
      <w:r>
        <w:t xml:space="preserve">Risks for projects</w:t>
      </w:r>
      <w:r>
        <w:t xml:space="preserve"> </w:t>
      </w:r>
      <w:r>
        <w:t xml:space="preserve">are especially</w:t>
      </w:r>
      <w:r>
        <w:t xml:space="preserve"> </w:t>
      </w:r>
      <w:r>
        <w:t xml:space="preserve">reduced at early</w:t>
      </w:r>
      <w:r>
        <w:t xml:space="preserve"> </w:t>
      </w:r>
      <w:r>
        <w:t xml:space="preserve">stages (i.e. </w:t>
      </w:r>
      <w:r>
        <w:t xml:space="preserve"> </w:t>
      </w:r>
      <w:r>
        <w:t xml:space="preserve">construction</w:t>
      </w:r>
      <w:r>
        <w:t xml:space="preserve"> </w:t>
      </w:r>
      <w:r>
        <w:t xml:space="preserve">phase), while cost</w:t>
      </w:r>
      <w:r>
        <w:t xml:space="preserve"> </w:t>
      </w:r>
      <w:r>
        <w:t xml:space="preserve">and price-related</w:t>
      </w:r>
      <w:r>
        <w:t xml:space="preserve"> </w:t>
      </w:r>
      <w:r>
        <w:t xml:space="preserve">risks remain</w:t>
      </w:r>
      <w:r>
        <w:t xml:space="preserve"> </w:t>
      </w:r>
      <w:r>
        <w:t xml:space="preserve">throughout the</w:t>
      </w:r>
      <w:r>
        <w:t xml:space="preserve"> </w:t>
      </w:r>
      <w:r>
        <w:t xml:space="preserve">operational period.</w:t>
      </w:r>
      <w:r>
        <w:br/>
      </w:r>
      <w:r>
        <w:t xml:space="preserve">CFPs effectively</w:t>
      </w:r>
      <w:r>
        <w:t xml:space="preserve"> </w:t>
      </w:r>
      <w:r>
        <w:t xml:space="preserve">incentivise GHG</w:t>
      </w:r>
      <w:r>
        <w:t xml:space="preserve"> </w:t>
      </w:r>
      <w:r>
        <w:t xml:space="preserve">reductions as</w:t>
      </w:r>
      <w:r>
        <w:t xml:space="preserve"> </w:t>
      </w:r>
      <w:r>
        <w:t xml:space="preserve">support is only</w:t>
      </w:r>
      <w:r>
        <w:t xml:space="preserve"> </w:t>
      </w:r>
      <w:r>
        <w:t xml:space="preserve">paid for</w:t>
      </w:r>
      <w:r>
        <w:t xml:space="preserve"> </w:t>
      </w:r>
      <w:r>
        <w:t xml:space="preserve">operation and</w:t>
      </w:r>
      <w:r>
        <w:t xml:space="preserve"> </w:t>
      </w:r>
      <w:r>
        <w:t xml:space="preserve">avoided</w:t>
      </w:r>
      <w:r>
        <w:t xml:space="preserve"> </w:t>
      </w:r>
      <w:r>
        <w:t xml:space="preserve">emissions.</w:t>
      </w:r>
    </w:p>
    <w:p>
      <w:pPr>
        <w:pStyle w:val="BodyText"/>
      </w:pPr>
      <w:r>
        <w:t xml:space="preserve">They are</w:t>
      </w:r>
      <w:r>
        <w:t xml:space="preserve"> </w:t>
      </w:r>
      <w:r>
        <w:t xml:space="preserve">designed to close</w:t>
      </w:r>
      <w:r>
        <w:t xml:space="preserve"> </w:t>
      </w:r>
      <w:r>
        <w:t xml:space="preserve">the cost gap.</w:t>
      </w:r>
      <w:r>
        <w:t xml:space="preserve"> </w:t>
      </w:r>
      <w:r>
        <w:t xml:space="preserve">However, as the</w:t>
      </w:r>
      <w:r>
        <w:t xml:space="preserve"> </w:t>
      </w:r>
      <w:r>
        <w:t xml:space="preserve">support is static,</w:t>
      </w:r>
      <w:r>
        <w:t xml:space="preserve"> </w:t>
      </w:r>
      <w:r>
        <w:t xml:space="preserve">changing market</w:t>
      </w:r>
      <w:r>
        <w:t xml:space="preserve"> </w:t>
      </w:r>
      <w:r>
        <w:t xml:space="preserve">conditions may</w:t>
      </w:r>
      <w:r>
        <w:t xml:space="preserve"> </w:t>
      </w:r>
      <w:r>
        <w:t xml:space="preserve">open up new cost</w:t>
      </w:r>
      <w:r>
        <w:t xml:space="preserve"> </w:t>
      </w:r>
      <w:r>
        <w:t xml:space="preserve">gaps or lead to</w:t>
      </w:r>
      <w:r>
        <w:t xml:space="preserve"> </w:t>
      </w:r>
      <w:r>
        <w:t xml:space="preserve">windfall profits</w:t>
      </w:r>
      <w:r>
        <w:t xml:space="preserve"> </w:t>
      </w:r>
      <w:r>
        <w:t xml:space="preserve">(mainly with a</w:t>
      </w:r>
      <w:r>
        <w:t xml:space="preserve"> </w:t>
      </w:r>
      <w:r>
        <w:t xml:space="preserve">view to carbon</w:t>
      </w:r>
      <w:r>
        <w:t xml:space="preserve"> </w:t>
      </w:r>
      <w:r>
        <w:t xml:space="preserve">and energy</w:t>
      </w:r>
      <w:r>
        <w:t xml:space="preserve"> </w:t>
      </w:r>
      <w:r>
        <w:t xml:space="preserve">prices).</w:t>
      </w:r>
      <w:r>
        <w:t xml:space="preserve"> </w:t>
      </w:r>
      <w:r>
        <w:t xml:space="preserve">The level of risk</w:t>
      </w:r>
      <w:r>
        <w:t xml:space="preserve"> </w:t>
      </w:r>
      <w:r>
        <w:t xml:space="preserve">for the</w:t>
      </w:r>
      <w:r>
        <w:t xml:space="preserve"> </w:t>
      </w:r>
      <w:r>
        <w:t xml:space="preserve">beneficiary</w:t>
      </w:r>
      <w:r>
        <w:t xml:space="preserve"> </w:t>
      </w:r>
      <w:r>
        <w:t xml:space="preserve">depends on the</w:t>
      </w:r>
      <w:r>
        <w:t xml:space="preserve"> </w:t>
      </w:r>
      <w:r>
        <w:t xml:space="preserve">specific design.</w:t>
      </w:r>
      <w:r>
        <w:t xml:space="preserve"> </w:t>
      </w:r>
      <w:r>
        <w:t xml:space="preserve">Theoretically,</w:t>
      </w:r>
      <w:r>
        <w:t xml:space="preserve"> </w:t>
      </w:r>
      <w:r>
        <w:t xml:space="preserve">variable costs</w:t>
      </w:r>
      <w:r>
        <w:t xml:space="preserve"> </w:t>
      </w:r>
      <w:r>
        <w:t xml:space="preserve">can also be</w:t>
      </w:r>
      <w:r>
        <w:t xml:space="preserve"> </w:t>
      </w:r>
      <w:r>
        <w:t xml:space="preserve">mitigated via</w:t>
      </w:r>
      <w:r>
        <w:t xml:space="preserve"> </w:t>
      </w:r>
      <w:r>
        <w:t xml:space="preserve">CCfDs effectively</w:t>
      </w:r>
      <w:r>
        <w:t xml:space="preserve"> </w:t>
      </w:r>
      <w:r>
        <w:t xml:space="preserve">incentivise GHG</w:t>
      </w:r>
      <w:r>
        <w:t xml:space="preserve"> </w:t>
      </w:r>
      <w:r>
        <w:t xml:space="preserve">reductions as</w:t>
      </w:r>
      <w:r>
        <w:t xml:space="preserve"> </w:t>
      </w:r>
      <w:r>
        <w:t xml:space="preserve">support is only paid</w:t>
      </w:r>
      <w:r>
        <w:t xml:space="preserve"> </w:t>
      </w:r>
      <w:r>
        <w:t xml:space="preserve">for operation.</w:t>
      </w:r>
      <w:r>
        <w:br/>
      </w:r>
      <w:r>
        <w:t xml:space="preserve">Their link to the</w:t>
      </w:r>
      <w:r>
        <w:t xml:space="preserve"> </w:t>
      </w:r>
      <w:r>
        <w:t xml:space="preserve">EU ETS price</w:t>
      </w:r>
      <w:r>
        <w:t xml:space="preserve"> </w:t>
      </w:r>
      <w:r>
        <w:t xml:space="preserve">might</w:t>
      </w:r>
      <w:r>
        <w:t xml:space="preserve"> </w:t>
      </w:r>
      <w:r>
        <w:t xml:space="preserve">disincentivise</w:t>
      </w:r>
      <w:r>
        <w:t xml:space="preserve"> </w:t>
      </w:r>
      <w:r>
        <w:t xml:space="preserve">operation during</w:t>
      </w:r>
      <w:r>
        <w:t xml:space="preserve"> </w:t>
      </w:r>
      <w:r>
        <w:t xml:space="preserve">longer periods in</w:t>
      </w:r>
      <w:r>
        <w:t xml:space="preserve"> </w:t>
      </w:r>
      <w:r>
        <w:t xml:space="preserve">which the carbon</w:t>
      </w:r>
      <w:r>
        <w:t xml:space="preserve"> </w:t>
      </w:r>
      <w:r>
        <w:t xml:space="preserve">price is above the</w:t>
      </w:r>
      <w:r>
        <w:t xml:space="preserve"> </w:t>
      </w:r>
      <w:r>
        <w:t xml:space="preserve">strike price (due to</w:t>
      </w:r>
      <w:r>
        <w:t xml:space="preserve"> </w:t>
      </w:r>
      <w:r>
        <w:t xml:space="preserve">the payback</w:t>
      </w:r>
      <w:r>
        <w:t xml:space="preserve"> </w:t>
      </w:r>
      <w:r>
        <w:t xml:space="preserve">obligation albeit</w:t>
      </w:r>
      <w:r>
        <w:t xml:space="preserve"> </w:t>
      </w:r>
      <w:r>
        <w:t xml:space="preserve">other market</w:t>
      </w:r>
      <w:r>
        <w:t xml:space="preserve"> </w:t>
      </w:r>
      <w:r>
        <w:t xml:space="preserve">participants would</w:t>
      </w:r>
      <w:r>
        <w:t xml:space="preserve"> </w:t>
      </w:r>
      <w:r>
        <w:t xml:space="preserve">need to face the</w:t>
      </w:r>
      <w:r>
        <w:t xml:space="preserve"> </w:t>
      </w:r>
      <w:r>
        <w:t xml:space="preserve">same conditions).</w:t>
      </w:r>
      <w:r>
        <w:br/>
      </w:r>
      <w:r>
        <w:t xml:space="preserve">They are designed</w:t>
      </w:r>
      <w:r>
        <w:t xml:space="preserve"> </w:t>
      </w:r>
      <w:r>
        <w:t xml:space="preserve">to close the cost</w:t>
      </w:r>
      <w:r>
        <w:t xml:space="preserve"> </w:t>
      </w:r>
      <w:r>
        <w:t xml:space="preserve">gap. Bidders define</w:t>
      </w:r>
      <w:r>
        <w:t xml:space="preserve"> </w:t>
      </w:r>
      <w:r>
        <w:t xml:space="preserve">the height of their</w:t>
      </w:r>
      <w:r>
        <w:t xml:space="preserve"> </w:t>
      </w:r>
      <w:r>
        <w:t xml:space="preserve">bid and can thus</w:t>
      </w:r>
      <w:r>
        <w:t xml:space="preserve"> </w:t>
      </w:r>
      <w:r>
        <w:t xml:space="preserve">tailor their support</w:t>
      </w:r>
      <w:r>
        <w:t xml:space="preserve"> </w:t>
      </w:r>
      <w:r>
        <w:t xml:space="preserve">need.</w:t>
      </w:r>
      <w:r>
        <w:br/>
      </w:r>
      <w:r>
        <w:t xml:space="preserve">Fluctuation of</w:t>
      </w:r>
      <w:r>
        <w:t xml:space="preserve"> </w:t>
      </w:r>
      <w:r>
        <w:t xml:space="preserve">input factors may</w:t>
      </w:r>
      <w:r>
        <w:t xml:space="preserve"> </w:t>
      </w:r>
      <w:r>
        <w:t xml:space="preserve">affect the economic</w:t>
      </w:r>
      <w:r>
        <w:t xml:space="preserve"> </w:t>
      </w:r>
      <w:r>
        <w:t xml:space="preserve">viability of</w:t>
      </w:r>
      <w:r>
        <w:t xml:space="preserve"> </w:t>
      </w:r>
      <w:r>
        <w:t xml:space="preserve">supported projects.</w:t>
      </w:r>
      <w:r>
        <w:t xml:space="preserve"> </w:t>
      </w:r>
      <w:r>
        <w:t xml:space="preserve">A fixed premium</w:t>
      </w:r>
      <w:r>
        <w:t xml:space="preserve"> </w:t>
      </w:r>
      <w:r>
        <w:t xml:space="preserve">effectively</w:t>
      </w:r>
      <w:r>
        <w:t xml:space="preserve"> </w:t>
      </w:r>
      <w:r>
        <w:t xml:space="preserve">incentivises GHG</w:t>
      </w:r>
      <w:r>
        <w:t xml:space="preserve"> </w:t>
      </w:r>
      <w:r>
        <w:t xml:space="preserve">reductions as</w:t>
      </w:r>
      <w:r>
        <w:t xml:space="preserve"> </w:t>
      </w:r>
      <w:r>
        <w:t xml:space="preserve">support is only</w:t>
      </w:r>
      <w:r>
        <w:t xml:space="preserve"> </w:t>
      </w:r>
      <w:r>
        <w:t xml:space="preserve">paid for operation</w:t>
      </w:r>
      <w:r>
        <w:t xml:space="preserve"> </w:t>
      </w:r>
      <w:r>
        <w:t xml:space="preserve">(production of</w:t>
      </w:r>
      <w:r>
        <w:t xml:space="preserve"> </w:t>
      </w:r>
      <w:r>
        <w:t xml:space="preserve">low-emission</w:t>
      </w:r>
      <w:r>
        <w:t xml:space="preserve"> </w:t>
      </w:r>
      <w:r>
        <w:t xml:space="preserve">unit).</w:t>
      </w:r>
    </w:p>
    <w:p>
      <w:pPr>
        <w:pStyle w:val="BodyText"/>
      </w:pPr>
      <w:r>
        <w:t xml:space="preserve">While aiming to</w:t>
      </w:r>
      <w:r>
        <w:t xml:space="preserve"> </w:t>
      </w:r>
      <w:r>
        <w:t xml:space="preserve">close the cost gap,</w:t>
      </w:r>
      <w:r>
        <w:t xml:space="preserve"> </w:t>
      </w:r>
      <w:r>
        <w:t xml:space="preserve">a fixed premium</w:t>
      </w:r>
      <w:r>
        <w:t xml:space="preserve"> </w:t>
      </w:r>
      <w:r>
        <w:t xml:space="preserve">per output unit is</w:t>
      </w:r>
      <w:r>
        <w:t xml:space="preserve"> </w:t>
      </w:r>
      <w:r>
        <w:t xml:space="preserve">less certain to</w:t>
      </w:r>
      <w:r>
        <w:t xml:space="preserve"> </w:t>
      </w:r>
      <w:r>
        <w:t xml:space="preserve">close the cost gap</w:t>
      </w:r>
      <w:r>
        <w:t xml:space="preserve"> </w:t>
      </w:r>
      <w:r>
        <w:t xml:space="preserve">compared to</w:t>
      </w:r>
      <w:r>
        <w:t xml:space="preserve"> </w:t>
      </w:r>
      <w:r>
        <w:t xml:space="preserve">floating support</w:t>
      </w:r>
      <w:r>
        <w:t xml:space="preserve"> </w:t>
      </w:r>
      <w:r>
        <w:t xml:space="preserve">measures.</w:t>
      </w:r>
      <w:r>
        <w:br/>
      </w:r>
      <w:r>
        <w:t xml:space="preserve">Changing market</w:t>
      </w:r>
      <w:r>
        <w:t xml:space="preserve"> </w:t>
      </w:r>
      <w:r>
        <w:t xml:space="preserve">conditions may</w:t>
      </w:r>
      <w:r>
        <w:t xml:space="preserve"> </w:t>
      </w:r>
      <w:r>
        <w:t xml:space="preserve">alter the actual</w:t>
      </w:r>
      <w:r>
        <w:t xml:space="preserve"> </w:t>
      </w:r>
      <w:r>
        <w:t xml:space="preserve">cost gap, while the</w:t>
      </w:r>
      <w:r>
        <w:t xml:space="preserve"> </w:t>
      </w:r>
      <w:r>
        <w:t xml:space="preserve">funding remains</w:t>
      </w:r>
      <w:r>
        <w:t xml:space="preserve"> </w:t>
      </w:r>
      <w:r>
        <w:t xml:space="preserve">static.</w:t>
      </w:r>
      <w:r>
        <w:t xml:space="preserve"> </w:t>
      </w:r>
      <w:r>
        <w:t xml:space="preserve">This translates to</w:t>
      </w:r>
      <w:r>
        <w:t xml:space="preserve"> </w:t>
      </w:r>
      <w:r>
        <w:t xml:space="preserve">some risk for the</w:t>
      </w:r>
      <w:r>
        <w:t xml:space="preserve"> </w:t>
      </w:r>
      <w:r>
        <w:t xml:space="preserve">beneficiary, as the</w:t>
      </w:r>
      <w:r>
        <w:t xml:space="preserve"> </w:t>
      </w:r>
      <w:r>
        <w:t xml:space="preserve">static support level</w:t>
      </w:r>
      <w:r>
        <w:t xml:space="preserve"> </w:t>
      </w:r>
      <w:r>
        <w:t xml:space="preserve">may lead to over-</w:t>
      </w:r>
      <w:r>
        <w:t xml:space="preserve"> </w:t>
      </w:r>
      <w:r>
        <w:t xml:space="preserve">or under-</w:t>
      </w:r>
      <w:r>
        <w:t xml:space="preserve"> </w:t>
      </w:r>
      <w:r>
        <w:t xml:space="preserve">compensation in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indexation in a</w:t>
      </w:r>
      <w:r>
        <w:t xml:space="preserve"> </w:t>
      </w:r>
      <w:r>
        <w:t xml:space="preserve">fixed premium</w:t>
      </w:r>
      <w:r>
        <w:t xml:space="preserve"> </w:t>
      </w:r>
      <w:r>
        <w:t xml:space="preserve">(which would</w:t>
      </w:r>
      <w:r>
        <w:t xml:space="preserve"> </w:t>
      </w:r>
      <w:r>
        <w:t xml:space="preserve">run against the</w:t>
      </w:r>
      <w:r>
        <w:t xml:space="preserve"> </w:t>
      </w:r>
      <w:r>
        <w:t xml:space="preserve">simplicity of</w:t>
      </w:r>
      <w:r>
        <w:t xml:space="preserve"> </w:t>
      </w:r>
      <w:r>
        <w:t xml:space="preserve">CFPs though).</w:t>
      </w:r>
      <w:r>
        <w:t xml:space="preserve"> </w:t>
      </w:r>
      <w:r>
        <w:t xml:space="preserve">Indexation of input</w:t>
      </w:r>
      <w:r>
        <w:t xml:space="preserve"> </w:t>
      </w:r>
      <w:r>
        <w:t xml:space="preserve">factors can mitigate</w:t>
      </w:r>
      <w:r>
        <w:t xml:space="preserve"> </w:t>
      </w:r>
      <w:r>
        <w:t xml:space="preserve">these cost-related</w:t>
      </w:r>
      <w:r>
        <w:t xml:space="preserve"> </w:t>
      </w:r>
      <w:r>
        <w:t xml:space="preserve">risks but imply</w:t>
      </w:r>
      <w:r>
        <w:t xml:space="preserve"> </w:t>
      </w:r>
      <w:r>
        <w:t xml:space="preserve">additional</w:t>
      </w:r>
      <w:r>
        <w:t xml:space="preserve"> </w:t>
      </w:r>
      <w:r>
        <w:t xml:space="preserve">complexity.</w:t>
      </w:r>
      <w:r>
        <w:t xml:space="preserve"> </w:t>
      </w:r>
      <w:r>
        <w:t xml:space="preserve">CCfDs provide</w:t>
      </w:r>
      <w:r>
        <w:t xml:space="preserve"> </w:t>
      </w:r>
      <w:r>
        <w:t xml:space="preserve">floating de-risking</w:t>
      </w:r>
      <w:r>
        <w:t xml:space="preserve"> </w:t>
      </w:r>
      <w:r>
        <w:t xml:space="preserve">regarding the</w:t>
      </w:r>
      <w:r>
        <w:t xml:space="preserve"> </w:t>
      </w:r>
      <w:r>
        <w:t xml:space="preserve">carbon price. There</w:t>
      </w:r>
      <w:r>
        <w:t xml:space="preserve"> </w:t>
      </w:r>
      <w:r>
        <w:t xml:space="preserve">is a cash-flow risk</w:t>
      </w:r>
      <w:r>
        <w:t xml:space="preserve"> </w:t>
      </w:r>
      <w:r>
        <w:t xml:space="preserve">related to high</w:t>
      </w:r>
      <w:r>
        <w:t xml:space="preserve"> </w:t>
      </w:r>
      <w:r>
        <w:t xml:space="preserve">carbon prices (and</w:t>
      </w:r>
      <w:r>
        <w:t xml:space="preserve"> </w:t>
      </w:r>
      <w:r>
        <w:t xml:space="preserve">subsequent</w:t>
      </w:r>
      <w:r>
        <w:t xml:space="preserve"> </w:t>
      </w:r>
      <w:r>
        <w:t xml:space="preserve">payback</w:t>
      </w:r>
      <w:r>
        <w:t xml:space="preserve"> </w:t>
      </w:r>
      <w:r>
        <w:t xml:space="preserve">obligations).</w:t>
      </w:r>
      <w:r>
        <w:br/>
      </w:r>
      <w:r>
        <w:t xml:space="preserve">Other than carbon</w:t>
      </w:r>
      <w:r>
        <w:t xml:space="preserve"> </w:t>
      </w:r>
      <w:r>
        <w:t xml:space="preserve">variable costs can</w:t>
      </w:r>
      <w:r>
        <w:t xml:space="preserve"> </w:t>
      </w:r>
      <w:r>
        <w:t xml:space="preserve">also be mitigated</w:t>
      </w:r>
      <w:r>
        <w:t xml:space="preserve"> </w:t>
      </w:r>
      <w:r>
        <w:t xml:space="preserve">via indexation</w:t>
      </w:r>
      <w:r>
        <w:t xml:space="preserve"> </w:t>
      </w:r>
      <w:r>
        <w:t xml:space="preserve">(which would</w:t>
      </w:r>
      <w:r>
        <w:t xml:space="preserve"> </w:t>
      </w:r>
      <w:r>
        <w:t xml:space="preserve">further increase</w:t>
      </w:r>
      <w:r>
        <w:t xml:space="preserve"> </w:t>
      </w:r>
      <w:r>
        <w:t xml:space="preserve">complexity of the</w:t>
      </w:r>
      <w:r>
        <w:t xml:space="preserve"> </w:t>
      </w:r>
      <w:r>
        <w:t xml:space="preserve">scheme).</w:t>
      </w:r>
      <w:r>
        <w:t xml:space="preserve"> </w:t>
      </w:r>
      <w:r>
        <w:t xml:space="preserve">changing market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SO2: create</w:t>
      </w:r>
      <w:r>
        <w:t xml:space="preserve"> </w:t>
      </w:r>
      <w:r>
        <w:t xml:space="preserve">an</w:t>
      </w:r>
      <w:r>
        <w:t xml:space="preserve"> </w:t>
      </w:r>
      <w:r>
        <w:t xml:space="preserve">instrument</w:t>
      </w:r>
      <w:r>
        <w:t xml:space="preserve"> </w:t>
      </w:r>
      <w:r>
        <w:t xml:space="preserve">with</w:t>
      </w:r>
      <w:r>
        <w:t xml:space="preserve"> </w:t>
      </w:r>
      <w:r>
        <w:t xml:space="preserve">sufficient</w:t>
      </w:r>
      <w:r>
        <w:t xml:space="preserve"> </w:t>
      </w:r>
      <w:r>
        <w:t xml:space="preserve">budget and</w:t>
      </w:r>
      <w:r>
        <w:t xml:space="preserve"> </w:t>
      </w:r>
      <w:r>
        <w:t xml:space="preserve">duration</w:t>
      </w:r>
    </w:p>
    <w:p>
      <w:pPr>
        <w:pStyle w:val="BodyText"/>
      </w:pPr>
      <w:r>
        <w:t xml:space="preserve">The choice of measure does not have an impact on achievement of this objective.</w:t>
      </w:r>
      <w:r>
        <w:t xml:space="preserve"> </w:t>
      </w:r>
      <w:r>
        <w:t xml:space="preserve">It has to be, however, noted that a variable premium will involve a sizeable</w:t>
      </w:r>
      <w:r>
        <w:t xml:space="preserve"> </w:t>
      </w:r>
      <w:r>
        <w:t xml:space="preserve">budgetary risk on the side of the administration, which requires budgetary</w:t>
      </w:r>
      <w:r>
        <w:t xml:space="preserve"> </w:t>
      </w:r>
      <w:r>
        <w:t xml:space="preserve">provisions and hence might diminish the budget available for the allocation.</w:t>
      </w:r>
      <w:r>
        <w:t xml:space="preserve"> </w:t>
      </w:r>
      <w:r>
        <w:t xml:space="preserve">In case of CCfDs, indexation to energy prices might also be needed which will</w:t>
      </w:r>
      <w:r>
        <w:t xml:space="preserve"> </w:t>
      </w:r>
      <w:r>
        <w:t xml:space="preserve">require additional budgetary reserves.</w:t>
      </w:r>
      <w:r>
        <w:t xml:space="preserve"> </w:t>
      </w:r>
      <w:r>
        <w:t xml:space="preserve">SO3: create</w:t>
      </w:r>
      <w:r>
        <w:t xml:space="preserve"> </w:t>
      </w:r>
      <w:r>
        <w:t xml:space="preserve">an</w:t>
      </w:r>
      <w:r>
        <w:t xml:space="preserve"> </w:t>
      </w:r>
      <w:r>
        <w:t xml:space="preserve">instrument</w:t>
      </w:r>
      <w:r>
        <w:br/>
      </w:r>
      <w:r>
        <w:t xml:space="preserve">operating in</w:t>
      </w:r>
      <w:r>
        <w:t xml:space="preserve"> </w:t>
      </w:r>
      <w:r>
        <w:t xml:space="preserve">simple and</w:t>
      </w:r>
      <w:r>
        <w:t xml:space="preserve"> </w:t>
      </w:r>
      <w:r>
        <w:t xml:space="preserve">flexible way</w:t>
      </w:r>
      <w:r>
        <w:t xml:space="preserve"> </w:t>
      </w:r>
      <w:r>
        <w:t xml:space="preserve">thus</w:t>
      </w:r>
      <w:r>
        <w:t xml:space="preserve"> </w:t>
      </w:r>
      <w:r>
        <w:t xml:space="preserve">addressing</w:t>
      </w:r>
      <w:r>
        <w:t xml:space="preserve"> </w:t>
      </w:r>
      <w:r>
        <w:t xml:space="preserve">all sectors in</w:t>
      </w:r>
      <w:r>
        <w:t xml:space="preserve"> </w:t>
      </w:r>
      <w:r>
        <w:t xml:space="preserve">all countries</w:t>
      </w:r>
    </w:p>
    <w:p>
      <w:pPr>
        <w:pStyle w:val="Compact"/>
        <w:numPr>
          <w:ilvl w:val="0"/>
          <w:numId w:val="1016"/>
        </w:numPr>
      </w:pPr>
      <w:r>
        <w:t xml:space="preserve">++</w:t>
      </w:r>
    </w:p>
    <w:p>
      <w:pPr>
        <w:pStyle w:val="Compact"/>
        <w:numPr>
          <w:ilvl w:val="0"/>
          <w:numId w:val="1016"/>
        </w:numPr>
      </w:pPr>
      <w:r>
        <w:t xml:space="preserve">++</w:t>
      </w:r>
      <w:r>
        <w:t xml:space="preserve"> </w:t>
      </w:r>
      <w:r>
        <w:t xml:space="preserve">The design</w:t>
      </w:r>
      <w:r>
        <w:t xml:space="preserve"> </w:t>
      </w:r>
      <w:r>
        <w:t xml:space="preserve">complexity of the</w:t>
      </w:r>
      <w:r>
        <w:t xml:space="preserve"> </w:t>
      </w:r>
      <w:r>
        <w:t xml:space="preserve">instrument</w:t>
      </w:r>
      <w:r>
        <w:t xml:space="preserve"> </w:t>
      </w:r>
      <w:r>
        <w:t xml:space="preserve">depends inter alia</w:t>
      </w:r>
      <w:r>
        <w:t xml:space="preserve"> </w:t>
      </w:r>
      <w:r>
        <w:t xml:space="preserve">on the exact</w:t>
      </w:r>
      <w:r>
        <w:t xml:space="preserve"> </w:t>
      </w:r>
      <w:r>
        <w:t xml:space="preserve">procedure for</w:t>
      </w:r>
      <w:r>
        <w:t xml:space="preserve"> </w:t>
      </w:r>
      <w:r>
        <w:t xml:space="preserve">project selection</w:t>
      </w:r>
      <w:r>
        <w:t xml:space="preserve"> </w:t>
      </w:r>
      <w:r>
        <w:t xml:space="preserve">and performance</w:t>
      </w:r>
      <w:r>
        <w:t xml:space="preserve"> </w:t>
      </w:r>
      <w:r>
        <w:t xml:space="preserve">requirements (i.e. </w:t>
      </w:r>
      <w:r>
        <w:t xml:space="preserve"> </w:t>
      </w:r>
      <w:r>
        <w:t xml:space="preserve">multicriteria</w:t>
      </w:r>
      <w:r>
        <w:t xml:space="preserve"> </w:t>
      </w:r>
      <w:r>
        <w:t xml:space="preserve">selection is more</w:t>
      </w:r>
      <w:r>
        <w:t xml:space="preserve"> </w:t>
      </w:r>
      <w:r>
        <w:t xml:space="preserve">complex and</w:t>
      </w:r>
      <w:r>
        <w:t xml:space="preserve"> </w:t>
      </w:r>
      <w:r>
        <w:t xml:space="preserve">performance</w:t>
      </w:r>
      <w:r>
        <w:t xml:space="preserve"> </w:t>
      </w:r>
      <w:r>
        <w:t xml:space="preserve">requirements</w:t>
      </w:r>
      <w:r>
        <w:t xml:space="preserve"> </w:t>
      </w:r>
      <w:r>
        <w:t xml:space="preserve">imply significant</w:t>
      </w:r>
      <w:r>
        <w:t xml:space="preserve"> </w:t>
      </w:r>
      <w:r>
        <w:t xml:space="preserve">MRV efforts).</w:t>
      </w:r>
      <w:r>
        <w:t xml:space="preserve"> </w:t>
      </w:r>
      <w:r>
        <w:t xml:space="preserve">CFPs have some</w:t>
      </w:r>
      <w:r>
        <w:t xml:space="preserve"> </w:t>
      </w:r>
      <w:r>
        <w:t xml:space="preserve">design</w:t>
      </w:r>
      <w:r>
        <w:t xml:space="preserve"> </w:t>
      </w:r>
      <w:r>
        <w:t xml:space="preserve">complexity, as a</w:t>
      </w:r>
      <w:r>
        <w:t xml:space="preserve"> </w:t>
      </w:r>
      <w:r>
        <w:t xml:space="preserve">(specific)</w:t>
      </w:r>
      <w:r>
        <w:t xml:space="preserve"> </w:t>
      </w:r>
      <w:r>
        <w:t xml:space="preserve">reference</w:t>
      </w:r>
      <w:r>
        <w:t xml:space="preserve"> </w:t>
      </w:r>
      <w:r>
        <w:t xml:space="preserve">scenario is</w:t>
      </w:r>
      <w:r>
        <w:t xml:space="preserve"> </w:t>
      </w:r>
      <w:r>
        <w:t xml:space="preserve">needed to</w:t>
      </w:r>
      <w:r>
        <w:t xml:space="preserve"> </w:t>
      </w:r>
      <w:r>
        <w:t xml:space="preserve">determine the</w:t>
      </w:r>
      <w:r>
        <w:t xml:space="preserve"> </w:t>
      </w:r>
      <w:r>
        <w:t xml:space="preserve">avoided</w:t>
      </w:r>
      <w:r>
        <w:t xml:space="preserve"> </w:t>
      </w:r>
      <w:r>
        <w:t xml:space="preserve">emissions.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complexity for</w:t>
      </w:r>
      <w:r>
        <w:t xml:space="preserve"> </w:t>
      </w:r>
      <w:r>
        <w:t xml:space="preserve">bidders and</w:t>
      </w:r>
      <w:r>
        <w:t xml:space="preserve"> </w:t>
      </w:r>
      <w:r>
        <w:t xml:space="preserve">support givers is</w:t>
      </w:r>
      <w:r>
        <w:t xml:space="preserve"> </w:t>
      </w:r>
      <w:r>
        <w:t xml:space="preserve">comparably low.</w:t>
      </w:r>
      <w:r>
        <w:t xml:space="preserve"> </w:t>
      </w:r>
      <w:r>
        <w:t xml:space="preserve">CCfDs generally</w:t>
      </w:r>
      <w:r>
        <w:t xml:space="preserve"> </w:t>
      </w:r>
      <w:r>
        <w:t xml:space="preserve">come with a high</w:t>
      </w:r>
      <w:r>
        <w:t xml:space="preserve"> </w:t>
      </w:r>
      <w:r>
        <w:t xml:space="preserve">design complexity,</w:t>
      </w:r>
      <w:r>
        <w:t xml:space="preserve"> </w:t>
      </w:r>
      <w:r>
        <w:t xml:space="preserve">resulting from high</w:t>
      </w:r>
      <w:r>
        <w:t xml:space="preserve"> </w:t>
      </w:r>
      <w:r>
        <w:t xml:space="preserve">data input needs, a</w:t>
      </w:r>
      <w:r>
        <w:t xml:space="preserve"> </w:t>
      </w:r>
      <w:r>
        <w:t xml:space="preserve">large number of</w:t>
      </w:r>
      <w:r>
        <w:t xml:space="preserve"> </w:t>
      </w:r>
      <w:r>
        <w:t xml:space="preserve">parameters, and the</w:t>
      </w:r>
      <w:r>
        <w:br/>
      </w:r>
      <w:r>
        <w:t xml:space="preserve">need for regular</w:t>
      </w:r>
      <w:r>
        <w:t xml:space="preserve"> </w:t>
      </w:r>
      <w:r>
        <w:t xml:space="preserve">adjustments. Their</w:t>
      </w:r>
      <w:r>
        <w:t xml:space="preserve"> </w:t>
      </w:r>
      <w:r>
        <w:t xml:space="preserve">design and related</w:t>
      </w:r>
      <w:r>
        <w:t xml:space="preserve"> </w:t>
      </w:r>
      <w:r>
        <w:t xml:space="preserve">complexity can be</w:t>
      </w:r>
      <w:r>
        <w:t xml:space="preserve"> </w:t>
      </w:r>
      <w:r>
        <w:t xml:space="preserve">adjusted according</w:t>
      </w:r>
      <w:r>
        <w:t xml:space="preserve"> </w:t>
      </w:r>
      <w:r>
        <w:t xml:space="preserve">to the respective</w:t>
      </w:r>
      <w:r>
        <w:t xml:space="preserve"> </w:t>
      </w:r>
      <w:r>
        <w:t xml:space="preserve">process /</w:t>
      </w:r>
      <w:r>
        <w:t xml:space="preserve"> </w:t>
      </w:r>
      <w:r>
        <w:t xml:space="preserve">technology to be</w:t>
      </w:r>
      <w:r>
        <w:t xml:space="preserve"> </w:t>
      </w:r>
      <w:r>
        <w:t xml:space="preserve">supported.</w:t>
      </w:r>
      <w:r>
        <w:t xml:space="preserve"> </w:t>
      </w:r>
      <w:r>
        <w:t xml:space="preserve">A fixed premium</w:t>
      </w:r>
      <w:r>
        <w:t xml:space="preserve"> </w:t>
      </w:r>
      <w:r>
        <w:t xml:space="preserve">per output unit has</w:t>
      </w:r>
      <w:r>
        <w:t xml:space="preserve"> </w:t>
      </w:r>
      <w:r>
        <w:t xml:space="preserve">some design</w:t>
      </w:r>
      <w:r>
        <w:t xml:space="preserve"> </w:t>
      </w:r>
      <w:r>
        <w:t xml:space="preserve">complexity, as the</w:t>
      </w:r>
      <w:r>
        <w:t xml:space="preserve"> </w:t>
      </w:r>
      <w:r>
        <w:t xml:space="preserve">low-emission</w:t>
      </w:r>
      <w:r>
        <w:t xml:space="preserve"> </w:t>
      </w:r>
      <w:r>
        <w:t xml:space="preserve">products need to</w:t>
      </w:r>
      <w:r>
        <w:t xml:space="preserve"> </w:t>
      </w:r>
      <w:r>
        <w:t xml:space="preserve">be</w:t>
      </w:r>
      <w:r>
        <w:t xml:space="preserve"> </w:t>
      </w:r>
      <w:r>
        <w:t xml:space="preserve">specified/defined.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complexity for</w:t>
      </w:r>
      <w:r>
        <w:t xml:space="preserve"> </w:t>
      </w:r>
      <w:r>
        <w:t xml:space="preserve">bidders and</w:t>
      </w:r>
      <w:r>
        <w:t xml:space="preserve"> </w:t>
      </w:r>
      <w:r>
        <w:t xml:space="preserve">support givers is</w:t>
      </w:r>
      <w:r>
        <w:t xml:space="preserve"> </w:t>
      </w:r>
      <w:r>
        <w:t xml:space="preserve">comparably low.</w:t>
      </w:r>
      <w:r>
        <w:t xml:space="preserve"> </w:t>
      </w:r>
      <w:r>
        <w:t xml:space="preserve">However, MRV is</w:t>
      </w:r>
      <w:r>
        <w:t xml:space="preserve"> </w:t>
      </w:r>
      <w:r>
        <w:t xml:space="preserve">needed to verify</w:t>
      </w:r>
    </w:p>
    <w:p>
      <w:pPr>
        <w:pStyle w:val="FirstParagraph"/>
      </w:pPr>
      <w:r>
        <w:t xml:space="preserve">192</w:t>
      </w:r>
    </w:p>
    <w:p>
      <w:pPr>
        <w:pStyle w:val="BodyText"/>
      </w:pPr>
      <w:r>
        <w:t xml:space="preserve">Also, 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complexity of the</w:t>
      </w:r>
      <w:r>
        <w:t xml:space="preserve"> </w:t>
      </w:r>
      <w:r>
        <w:t xml:space="preserve">instrument</w:t>
      </w:r>
      <w:r>
        <w:t xml:space="preserve"> </w:t>
      </w:r>
      <w:r>
        <w:t xml:space="preserve">depends inter alia</w:t>
      </w:r>
      <w:r>
        <w:t xml:space="preserve"> </w:t>
      </w:r>
      <w:r>
        <w:t xml:space="preserve">on the exact</w:t>
      </w:r>
      <w:r>
        <w:t xml:space="preserve"> </w:t>
      </w:r>
      <w:r>
        <w:t xml:space="preserve">procedure for</w:t>
      </w:r>
      <w:r>
        <w:t xml:space="preserve"> </w:t>
      </w:r>
      <w:r>
        <w:t xml:space="preserve">project selection</w:t>
      </w:r>
      <w:r>
        <w:t xml:space="preserve"> </w:t>
      </w:r>
      <w:r>
        <w:t xml:space="preserve">and performance</w:t>
      </w:r>
      <w:r>
        <w:t xml:space="preserve"> </w:t>
      </w:r>
      <w:r>
        <w:t xml:space="preserve">requirements that</w:t>
      </w:r>
      <w:r>
        <w:t xml:space="preserve"> </w:t>
      </w:r>
      <w:r>
        <w:t xml:space="preserve">need to be</w:t>
      </w:r>
      <w:r>
        <w:t xml:space="preserve"> </w:t>
      </w:r>
      <w:r>
        <w:t xml:space="preserve">monitored.</w:t>
      </w:r>
      <w:r>
        <w:br/>
      </w:r>
      <w:r>
        <w:t xml:space="preserve">All sectors can be</w:t>
      </w:r>
      <w:r>
        <w:t xml:space="preserve"> </w:t>
      </w:r>
      <w:r>
        <w:t xml:space="preserve">addressed.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depending on the</w:t>
      </w:r>
      <w:r>
        <w:t xml:space="preserve"> </w:t>
      </w:r>
      <w:r>
        <w:t xml:space="preserve">actual support</w:t>
      </w:r>
      <w:r>
        <w:t xml:space="preserve"> </w:t>
      </w:r>
      <w:r>
        <w:t xml:space="preserve">design,</w:t>
      </w:r>
      <w:r>
        <w:t xml:space="preserve"> </w:t>
      </w:r>
      <w:r>
        <w:t xml:space="preserve">monitoring</w:t>
      </w:r>
      <w:r>
        <w:t xml:space="preserve"> </w:t>
      </w:r>
      <w:r>
        <w:t xml:space="preserve">compliance and</w:t>
      </w:r>
      <w:r>
        <w:t xml:space="preserve"> </w:t>
      </w:r>
      <w:r>
        <w:t xml:space="preserve">verifying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 across</w:t>
      </w:r>
      <w:r>
        <w:t xml:space="preserve"> </w:t>
      </w:r>
      <w:r>
        <w:t xml:space="preserve">diverse industries</w:t>
      </w:r>
      <w:r>
        <w:t xml:space="preserve"> </w:t>
      </w:r>
      <w:r>
        <w:t xml:space="preserve">can be required.</w:t>
      </w:r>
      <w:r>
        <w:t xml:space="preserve"> </w:t>
      </w:r>
      <w:r>
        <w:t xml:space="preserve">All sectors can</w:t>
      </w:r>
      <w:r>
        <w:t xml:space="preserve"> </w:t>
      </w:r>
      <w:r>
        <w:t xml:space="preserve">be addressed.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for</w:t>
      </w:r>
      <w:r>
        <w:t xml:space="preserve"> </w:t>
      </w:r>
      <w:r>
        <w:t xml:space="preserve">bidders is</w:t>
      </w:r>
      <w:r>
        <w:t xml:space="preserve"> </w:t>
      </w:r>
      <w:r>
        <w:t xml:space="preserve">generally high,</w:t>
      </w:r>
      <w:r>
        <w:t xml:space="preserve"> </w:t>
      </w:r>
      <w:r>
        <w:t xml:space="preserve">requiring</w:t>
      </w:r>
      <w:r>
        <w:t xml:space="preserve"> </w:t>
      </w:r>
      <w:r>
        <w:t xml:space="preserve">sophisticated</w:t>
      </w:r>
      <w:r>
        <w:t xml:space="preserve"> </w:t>
      </w:r>
      <w:r>
        <w:t xml:space="preserve">financial modelling</w:t>
      </w:r>
      <w:r>
        <w:t xml:space="preserve"> </w:t>
      </w:r>
      <w:r>
        <w:t xml:space="preserve">and carbon</w:t>
      </w:r>
      <w:r>
        <w:t xml:space="preserve"> </w:t>
      </w:r>
      <w:r>
        <w:t xml:space="preserve">accounting, which</w:t>
      </w:r>
      <w:r>
        <w:t xml:space="preserve"> </w:t>
      </w:r>
      <w:r>
        <w:t xml:space="preserve">may prevent some</w:t>
      </w:r>
      <w:r>
        <w:t xml:space="preserve"> </w:t>
      </w:r>
      <w:r>
        <w:t xml:space="preserve">small and medium-</w:t>
      </w:r>
      <w:r>
        <w:t xml:space="preserve"> </w:t>
      </w:r>
      <w:r>
        <w:t xml:space="preserve">sized enterprises</w:t>
      </w:r>
      <w:r>
        <w:t xml:space="preserve"> </w:t>
      </w:r>
      <w:r>
        <w:t xml:space="preserve">(SMEs) from</w:t>
      </w:r>
      <w:r>
        <w:t xml:space="preserve"> </w:t>
      </w:r>
      <w:r>
        <w:t xml:space="preserve">participating in the</w:t>
      </w:r>
      <w:r>
        <w:t xml:space="preserve"> </w:t>
      </w:r>
      <w:r>
        <w:t xml:space="preserve">support mechanism</w:t>
      </w:r>
      <w:r>
        <w:t xml:space="preserve"> </w:t>
      </w:r>
      <w:r>
        <w:t xml:space="preserve">due to capacity</w:t>
      </w:r>
      <w:r>
        <w:t xml:space="preserve"> </w:t>
      </w:r>
      <w:r>
        <w:t xml:space="preserve">constraints. There</w:t>
      </w:r>
      <w:r>
        <w:t xml:space="preserve"> </w:t>
      </w:r>
      <w:r>
        <w:t xml:space="preserve">is also high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complexity for the</w:t>
      </w:r>
      <w:r>
        <w:t xml:space="preserve"> </w:t>
      </w:r>
      <w:r>
        <w:t xml:space="preserve">administration, as</w:t>
      </w:r>
      <w:r>
        <w:t xml:space="preserve"> </w:t>
      </w:r>
      <w:r>
        <w:t xml:space="preserve">regular calibration</w:t>
      </w:r>
      <w:r>
        <w:t xml:space="preserve"> </w:t>
      </w:r>
      <w:r>
        <w:t xml:space="preserve">(e.g. of energy</w:t>
      </w:r>
      <w:r>
        <w:t xml:space="preserve"> </w:t>
      </w:r>
      <w:r>
        <w:t xml:space="preserve">price indices) is</w:t>
      </w:r>
      <w:r>
        <w:t xml:space="preserve"> </w:t>
      </w:r>
      <w:r>
        <w:t xml:space="preserve">required and</w:t>
      </w:r>
      <w:r>
        <w:t xml:space="preserve"> </w:t>
      </w:r>
      <w:r>
        <w:t xml:space="preserve">CCfDs require</w:t>
      </w:r>
      <w:r>
        <w:t xml:space="preserve"> </w:t>
      </w:r>
      <w:r>
        <w:t xml:space="preserve">monitoring</w:t>
      </w:r>
      <w:r>
        <w:t xml:space="preserve"> </w:t>
      </w:r>
      <w:r>
        <w:t xml:space="preserve">compliance and</w:t>
      </w:r>
      <w:r>
        <w:t xml:space="preserve"> </w:t>
      </w:r>
      <w:r>
        <w:t xml:space="preserve">verifying emission</w:t>
      </w:r>
      <w:r>
        <w:t xml:space="preserve"> </w:t>
      </w:r>
      <w:r>
        <w:t xml:space="preserve">reductions across</w:t>
      </w:r>
      <w:r>
        <w:t xml:space="preserve"> </w:t>
      </w:r>
      <w:r>
        <w:t xml:space="preserve">diverse EII</w:t>
      </w:r>
      <w:r>
        <w:t xml:space="preserve"> </w:t>
      </w:r>
      <w:r>
        <w:t xml:space="preserve">industries.</w:t>
      </w:r>
      <w:r>
        <w:t xml:space="preserve"> </w:t>
      </w:r>
      <w:r>
        <w:t xml:space="preserve">All sectors can be</w:t>
      </w:r>
      <w:r>
        <w:t xml:space="preserve"> </w:t>
      </w:r>
      <w:r>
        <w:t xml:space="preserve">addressed.</w:t>
      </w:r>
    </w:p>
    <w:p>
      <w:pPr>
        <w:pStyle w:val="BodyText"/>
      </w:pPr>
      <w:r>
        <w:t xml:space="preserve">low-emission</w:t>
      </w:r>
      <w:r>
        <w:t xml:space="preserve"> </w:t>
      </w:r>
      <w:r>
        <w:t xml:space="preserve">production.</w:t>
      </w:r>
      <w:r>
        <w:br/>
      </w:r>
      <w:r>
        <w:t xml:space="preserve">All sectors can be</w:t>
      </w:r>
      <w:r>
        <w:t xml:space="preserve"> </w:t>
      </w:r>
      <w:r>
        <w:t xml:space="preserve">addressed.</w:t>
      </w:r>
      <w:r>
        <w:t xml:space="preserve"> </w:t>
      </w:r>
      <w:r>
        <w:t xml:space="preserve">SO4: create</w:t>
      </w:r>
      <w:r>
        <w:t xml:space="preserve"> </w:t>
      </w:r>
      <w:r>
        <w:t xml:space="preserve">an</w:t>
      </w:r>
      <w:r>
        <w:t xml:space="preserve"> </w:t>
      </w:r>
      <w:r>
        <w:t xml:space="preserve">instrument</w:t>
      </w:r>
      <w:r>
        <w:t xml:space="preserve"> </w:t>
      </w:r>
      <w:r>
        <w:t xml:space="preserve">that supports</w:t>
      </w:r>
      <w:r>
        <w:t xml:space="preserve"> </w:t>
      </w:r>
      <w:r>
        <w:t xml:space="preserve">sectors</w:t>
      </w:r>
      <w:r>
        <w:t xml:space="preserve"> </w:t>
      </w:r>
      <w:r>
        <w:t xml:space="preserve">producing</w:t>
      </w:r>
      <w:r>
        <w:t xml:space="preserve"> </w:t>
      </w:r>
      <w:r>
        <w:t xml:space="preserve">CBAM goods</w:t>
      </w:r>
    </w:p>
    <w:p>
      <w:pPr>
        <w:pStyle w:val="BodyText"/>
      </w:pPr>
      <w:r>
        <w:t xml:space="preserve">The choice of measure does not have an impact on achievement of this objective,</w:t>
      </w:r>
      <w:r>
        <w:t xml:space="preserve"> </w:t>
      </w:r>
      <w:r>
        <w:t xml:space="preserve">it is the call design that has the impact.</w:t>
      </w:r>
      <w:r>
        <w:t xml:space="preserve"> </w:t>
      </w:r>
      <w:r>
        <w:t xml:space="preserve">SO5: create</w:t>
      </w:r>
      <w:r>
        <w:t xml:space="preserve"> </w:t>
      </w:r>
      <w:r>
        <w:t xml:space="preserve">an</w:t>
      </w:r>
      <w:r>
        <w:t xml:space="preserve"> </w:t>
      </w:r>
      <w:r>
        <w:t xml:space="preserve">instrument</w:t>
      </w:r>
      <w:r>
        <w:t xml:space="preserve"> </w:t>
      </w:r>
      <w:r>
        <w:t xml:space="preserve">that</w:t>
      </w:r>
      <w:r>
        <w:t xml:space="preserve"> </w:t>
      </w:r>
      <w:r>
        <w:t xml:space="preserve">maximises</w:t>
      </w:r>
      <w:r>
        <w:t xml:space="preserve"> </w:t>
      </w:r>
      <w:r>
        <w:t xml:space="preserve">success rate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There only sizeable difference is between (1) grants/fixed premia and (2) variable</w:t>
      </w:r>
      <w:r>
        <w:t xml:space="preserve"> </w:t>
      </w:r>
      <w:r>
        <w:t xml:space="preserve">premium.</w:t>
      </w:r>
      <w:r>
        <w:t xml:space="preserve"> </w:t>
      </w:r>
      <w:r>
        <w:t xml:space="preserve">A static support level (for measures B1, B2 and B4) can lead to overcompensation</w:t>
      </w:r>
      <w:r>
        <w:t xml:space="preserve"> </w:t>
      </w:r>
      <w:r>
        <w:t xml:space="preserve">and the price and cost risks remaining with the project will increase its cost of</w:t>
      </w:r>
      <w:r>
        <w:t xml:space="preserve"> </w:t>
      </w:r>
      <w:r>
        <w:t xml:space="preserve">capital. A variable premium is the most efficient as it adapts to the market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of the</w:t>
      </w:r>
      <w:r>
        <w:t xml:space="preserve"> </w:t>
      </w:r>
      <w:r>
        <w:t xml:space="preserve">projects.</w:t>
      </w:r>
    </w:p>
    <w:p>
      <w:pPr>
        <w:pStyle w:val="BodyText"/>
      </w:pPr>
      <w:r>
        <w:t xml:space="preserve">circumstances and actual revenues of the project. Some stakeholders, however,</w:t>
      </w:r>
      <w:r>
        <w:t xml:space="preserve"> </w:t>
      </w:r>
      <w:r>
        <w:t xml:space="preserve">indicate that institutional investors have preference for the fixed premium as it</w:t>
      </w:r>
      <w:r>
        <w:t xml:space="preserve"> </w:t>
      </w:r>
      <w:r>
        <w:t xml:space="preserve">provides more visible funding flows, simplicity and, depending on the design, can</w:t>
      </w:r>
      <w:r>
        <w:t xml:space="preserve"> </w:t>
      </w:r>
      <w:r>
        <w:t xml:space="preserve">allow higher remuneration of those investors.</w:t>
      </w:r>
      <w:r>
        <w:t xml:space="preserve"> </w:t>
      </w:r>
      <w:r>
        <w:t xml:space="preserve">On the other hand, as the variable support measures decrease the investment risk</w:t>
      </w:r>
      <w:r>
        <w:t xml:space="preserve"> </w:t>
      </w:r>
      <w:r>
        <w:t xml:space="preserve">(e.g. CO2 and energy price risk), they also decrease the return needs for investors.</w:t>
      </w:r>
      <w:r>
        <w:t xml:space="preserve"> </w:t>
      </w:r>
      <w:r>
        <w:t xml:space="preserve">Low risk investments are cheaper (i.e. they have a lower cost of capital) and may</w:t>
      </w:r>
      <w:r>
        <w:t xml:space="preserve"> </w:t>
      </w:r>
      <w:r>
        <w:t xml:space="preserve">attract more private capital.</w:t>
      </w:r>
      <w:r>
        <w:t xml:space="preserve"> </w:t>
      </w:r>
      <w:r>
        <w:t xml:space="preserve">On the contrary, fixed premiums do not alter the risk profile of the investment per</w:t>
      </w:r>
      <w:r>
        <w:t xml:space="preserve"> </w:t>
      </w:r>
      <w:r>
        <w:t xml:space="preserve">se (WACC remains constant), and, therefore, may be less beneficial in terms of</w:t>
      </w:r>
      <w:r>
        <w:t xml:space="preserve"> </w:t>
      </w:r>
      <w:r>
        <w:t xml:space="preserve">attracting additional investments.</w:t>
      </w:r>
      <w:r>
        <w:t xml:space="preserve"> </w:t>
      </w:r>
      <w:r>
        <w:t xml:space="preserve">It is possible that in the early years, the fixed premium would be preferable to</w:t>
      </w:r>
      <w:r>
        <w:t xml:space="preserve"> </w:t>
      </w:r>
      <w:r>
        <w:t xml:space="preserve">create business confidence in the scheme and could progressively be replaced by a</w:t>
      </w:r>
      <w:r>
        <w:t xml:space="preserve"> </w:t>
      </w:r>
      <w:r>
        <w:t xml:space="preserve">variable premium.</w:t>
      </w:r>
    </w:p>
    <w:p>
      <w:pPr>
        <w:pStyle w:val="BodyText"/>
      </w:pPr>
      <w:r>
        <w:t xml:space="preserve">Table 3:</w:t>
      </w:r>
      <w:r>
        <w:t xml:space="preserve"> </w:t>
      </w:r>
      <w:r>
        <w:t xml:space="preserve">Effectiveness of measures on geographical balance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(likelihood of</w:t>
      </w:r>
      <w:r>
        <w:t xml:space="preserve"> </w:t>
      </w:r>
      <w:r>
        <w:t xml:space="preserve">achieving the</w:t>
      </w:r>
      <w:r>
        <w:t xml:space="preserve"> </w:t>
      </w:r>
      <w:r>
        <w:t xml:space="preserve">objectives)</w:t>
      </w:r>
      <w:r>
        <w:t xml:space="preserve"> </w:t>
      </w:r>
      <w:r>
        <w:t xml:space="preserve">Measure GB.1: EU-level</w:t>
      </w:r>
      <w:r>
        <w:t xml:space="preserve"> </w:t>
      </w:r>
      <w:r>
        <w:t xml:space="preserve">competition</w:t>
      </w:r>
      <w:r>
        <w:t xml:space="preserve"> </w:t>
      </w:r>
      <w:r>
        <w:t xml:space="preserve">Measure GB.2: National</w:t>
      </w:r>
      <w:r>
        <w:t xml:space="preserve"> </w:t>
      </w:r>
      <w:r>
        <w:t xml:space="preserve">allocations for MS in</w:t>
      </w:r>
      <w:r>
        <w:t xml:space="preserve"> </w:t>
      </w:r>
      <w:r>
        <w:t xml:space="preserve">terms of overall IDB</w:t>
      </w:r>
      <w:r>
        <w:t xml:space="preserve"> </w:t>
      </w:r>
      <w:r>
        <w:t xml:space="preserve">spending</w:t>
      </w:r>
      <w:r>
        <w:br/>
      </w:r>
      <w:r>
        <w:t xml:space="preserve">Measure GB.3: A</w:t>
      </w:r>
      <w:r>
        <w:t xml:space="preserve"> </w:t>
      </w:r>
      <w:r>
        <w:t xml:space="preserve">part of the budget</w:t>
      </w:r>
      <w:r>
        <w:t xml:space="preserve"> </w:t>
      </w:r>
      <w:r>
        <w:t xml:space="preserve">for EU-level</w:t>
      </w:r>
      <w:r>
        <w:t xml:space="preserve"> </w:t>
      </w:r>
      <w:r>
        <w:t xml:space="preserve">competition and</w:t>
      </w:r>
      <w:r>
        <w:t xml:space="preserve"> </w:t>
      </w:r>
      <w:r>
        <w:t xml:space="preserve">another part of the</w:t>
      </w:r>
      <w:r>
        <w:t xml:space="preserve"> </w:t>
      </w:r>
      <w:r>
        <w:t xml:space="preserve">budget for national</w:t>
      </w:r>
      <w:r>
        <w:t xml:space="preserve"> </w:t>
      </w:r>
      <w:r>
        <w:t xml:space="preserve">allocations</w:t>
      </w:r>
      <w:r>
        <w:br/>
      </w:r>
      <w:r>
        <w:t xml:space="preserve">SO1: creating</w:t>
      </w:r>
      <w:r>
        <w:t xml:space="preserve"> </w:t>
      </w:r>
      <w:r>
        <w:t xml:space="preserve">the business</w:t>
      </w:r>
      <w:r>
        <w:t xml:space="preserve"> </w:t>
      </w:r>
      <w:r>
        <w:t xml:space="preserve">case for private</w:t>
      </w:r>
      <w:r>
        <w:t xml:space="preserve"> </w:t>
      </w:r>
      <w:r>
        <w:t xml:space="preserve">investment</w:t>
      </w:r>
      <w:r>
        <w:t xml:space="preserve"> </w:t>
      </w:r>
      <w:r>
        <w:t xml:space="preserve">The choice of measure does not have an impact on achievement of this</w:t>
      </w:r>
      <w:r>
        <w:t xml:space="preserve"> </w:t>
      </w:r>
      <w:r>
        <w:t xml:space="preserve">objective.</w:t>
      </w:r>
    </w:p>
    <w:p>
      <w:pPr>
        <w:pStyle w:val="BodyText"/>
      </w:pPr>
      <w:r>
        <w:t xml:space="preserve">SO2: create an</w:t>
      </w:r>
      <w:r>
        <w:t xml:space="preserve"> </w:t>
      </w:r>
      <w:r>
        <w:t xml:space="preserve">instrument</w:t>
      </w:r>
      <w:r>
        <w:t xml:space="preserve"> </w:t>
      </w:r>
      <w:r>
        <w:t xml:space="preserve">with sufficient</w:t>
      </w:r>
      <w:r>
        <w:t xml:space="preserve"> </w:t>
      </w:r>
      <w:r>
        <w:t xml:space="preserve">budget and</w:t>
      </w:r>
      <w:r>
        <w:t xml:space="preserve"> </w:t>
      </w:r>
      <w:r>
        <w:t xml:space="preserve">duration</w:t>
      </w:r>
      <w:r>
        <w:br/>
      </w:r>
      <w:r>
        <w:t xml:space="preserve">The choice of measure does not have an impact on achievement of this</w:t>
      </w:r>
      <w:r>
        <w:t xml:space="preserve"> </w:t>
      </w:r>
      <w:r>
        <w:t xml:space="preserve">objective albeit if extreme approach to compartmentalisation is applied, the</w:t>
      </w:r>
      <w:r>
        <w:t xml:space="preserve"> </w:t>
      </w:r>
      <w:r>
        <w:t xml:space="preserve">national allocations (GB.2) may turn out to be too small to support large-scale</w:t>
      </w:r>
      <w:r>
        <w:t xml:space="preserve"> </w:t>
      </w:r>
      <w:r>
        <w:t xml:space="preserve">investments.</w:t>
      </w:r>
    </w:p>
    <w:p>
      <w:pPr>
        <w:pStyle w:val="BodyText"/>
      </w:pPr>
      <w:r>
        <w:t xml:space="preserve">SO3: create an</w:t>
      </w:r>
      <w:r>
        <w:t xml:space="preserve"> </w:t>
      </w:r>
      <w:r>
        <w:t xml:space="preserve">instrument</w:t>
      </w:r>
      <w:r>
        <w:br/>
      </w:r>
      <w:r>
        <w:t xml:space="preserve">operating in</w:t>
      </w:r>
      <w:r>
        <w:t xml:space="preserve"> </w:t>
      </w:r>
      <w:r>
        <w:t xml:space="preserve">simple and</w:t>
      </w:r>
      <w:r>
        <w:t xml:space="preserve"> </w:t>
      </w:r>
      <w:r>
        <w:t xml:space="preserve">flexible way</w:t>
      </w:r>
      <w:r>
        <w:t xml:space="preserve"> </w:t>
      </w:r>
      <w:r>
        <w:t xml:space="preserve">thus addressing</w:t>
      </w:r>
      <w:r>
        <w:t xml:space="preserve"> </w:t>
      </w:r>
      <w:r>
        <w:t xml:space="preserve">all sectors in all</w:t>
      </w:r>
      <w:r>
        <w:t xml:space="preserve"> </w:t>
      </w:r>
      <w:r>
        <w:t xml:space="preserve">countries</w:t>
      </w:r>
    </w:p>
    <w:p>
      <w:pPr>
        <w:pStyle w:val="Compact"/>
        <w:numPr>
          <w:ilvl w:val="0"/>
          <w:numId w:val="1017"/>
        </w:numPr>
      </w:pP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Competition on the EU</w:t>
      </w:r>
      <w:r>
        <w:t xml:space="preserve"> </w:t>
      </w:r>
      <w:r>
        <w:t xml:space="preserve">level is a simple method</w:t>
      </w:r>
      <w:r>
        <w:t xml:space="preserve"> </w:t>
      </w:r>
      <w:r>
        <w:t xml:space="preserve">but depending on different</w:t>
      </w:r>
      <w:r>
        <w:t xml:space="preserve"> </w:t>
      </w:r>
      <w:r>
        <w:t xml:space="preserve">factors of</w:t>
      </w:r>
      <w:r>
        <w:t xml:space="preserve"> </w:t>
      </w:r>
      <w:r>
        <w:t xml:space="preserve">competitiveness, projects</w:t>
      </w:r>
      <w:r>
        <w:t xml:space="preserve"> </w:t>
      </w:r>
      <w:r>
        <w:t xml:space="preserve">in certain countries or</w:t>
      </w:r>
      <w:r>
        <w:t xml:space="preserve"> </w:t>
      </w:r>
      <w:r>
        <w:t xml:space="preserve">regions might perform</w:t>
      </w:r>
      <w:r>
        <w:t xml:space="preserve"> </w:t>
      </w:r>
      <w:r>
        <w:t xml:space="preserve">better and secure larger</w:t>
      </w:r>
      <w:r>
        <w:t xml:space="preserve"> </w:t>
      </w:r>
      <w:r>
        <w:t xml:space="preserve">share of funding.</w:t>
      </w:r>
      <w:r>
        <w:t xml:space="preserve"> </w:t>
      </w:r>
      <w:r>
        <w:t xml:space="preserve">This approach might fail</w:t>
      </w:r>
      <w:r>
        <w:t xml:space="preserve"> </w:t>
      </w:r>
      <w:r>
        <w:t xml:space="preserve">to address the specific</w:t>
      </w:r>
      <w:r>
        <w:t xml:space="preserve"> </w:t>
      </w:r>
      <w:r>
        <w:t xml:space="preserve">needs and challenges of</w:t>
      </w:r>
      <w:r>
        <w:t xml:space="preserve"> </w:t>
      </w:r>
      <w:r>
        <w:t xml:space="preserve">National allocations is a</w:t>
      </w:r>
      <w:r>
        <w:t xml:space="preserve"> </w:t>
      </w:r>
      <w:r>
        <w:t xml:space="preserve">simple method.</w:t>
      </w:r>
      <w:r>
        <w:t xml:space="preserve"> </w:t>
      </w:r>
      <w:r>
        <w:t xml:space="preserve">National allocations ensure</w:t>
      </w:r>
      <w:r>
        <w:t xml:space="preserve"> </w:t>
      </w:r>
      <w:r>
        <w:t xml:space="preserve">that project in all countries</w:t>
      </w:r>
      <w:r>
        <w:t xml:space="preserve"> </w:t>
      </w:r>
      <w:r>
        <w:t xml:space="preserve">can benefit from the</w:t>
      </w:r>
      <w:r>
        <w:t xml:space="preserve"> </w:t>
      </w:r>
      <w:r>
        <w:t xml:space="preserve">funding.</w:t>
      </w:r>
      <w:r>
        <w:t xml:space="preserve"> </w:t>
      </w:r>
      <w:r>
        <w:t xml:space="preserve">This approach offers the</w:t>
      </w:r>
      <w:r>
        <w:t xml:space="preserve"> </w:t>
      </w:r>
      <w:r>
        <w:t xml:space="preserve">best alignment of funding</w:t>
      </w:r>
      <w:r>
        <w:t xml:space="preserve"> </w:t>
      </w:r>
      <w:r>
        <w:t xml:space="preserve">with the scale and type of</w:t>
      </w:r>
      <w:r>
        <w:t xml:space="preserve"> </w:t>
      </w:r>
      <w:r>
        <w:t xml:space="preserve">the decarbonisation</w:t>
      </w:r>
      <w:r>
        <w:t xml:space="preserve"> </w:t>
      </w:r>
      <w:r>
        <w:t xml:space="preserve">Combination of the</w:t>
      </w:r>
      <w:r>
        <w:t xml:space="preserve"> </w:t>
      </w:r>
      <w:r>
        <w:t xml:space="preserve">EU-level</w:t>
      </w:r>
      <w:r>
        <w:t xml:space="preserve"> </w:t>
      </w:r>
      <w:r>
        <w:t xml:space="preserve">competition and</w:t>
      </w:r>
      <w:r>
        <w:t xml:space="preserve"> </w:t>
      </w:r>
      <w:r>
        <w:t xml:space="preserve">national allocations</w:t>
      </w:r>
      <w:r>
        <w:t xml:space="preserve"> </w:t>
      </w:r>
      <w:r>
        <w:t xml:space="preserve">is a simple method.</w:t>
      </w:r>
      <w:r>
        <w:t xml:space="preserve"> </w:t>
      </w:r>
      <w:r>
        <w:t xml:space="preserve">National allocations</w:t>
      </w:r>
      <w:r>
        <w:t xml:space="preserve"> </w:t>
      </w:r>
      <w:r>
        <w:t xml:space="preserve">ensure that project</w:t>
      </w:r>
      <w:r>
        <w:t xml:space="preserve"> </w:t>
      </w:r>
      <w:r>
        <w:t xml:space="preserve">in all countries can</w:t>
      </w:r>
      <w:r>
        <w:t xml:space="preserve"> </w:t>
      </w:r>
      <w:r>
        <w:t xml:space="preserve">benefit from the</w:t>
      </w:r>
      <w:r>
        <w:t xml:space="preserve"> </w:t>
      </w:r>
      <w:r>
        <w:t xml:space="preserve">funding albeit the</w:t>
      </w:r>
      <w:r>
        <w:t xml:space="preserve"> </w:t>
      </w:r>
      <w:r>
        <w:t xml:space="preserve">EU -level allocation</w:t>
      </w:r>
      <w:r>
        <w:t xml:space="preserve"> </w:t>
      </w:r>
      <w:r>
        <w:t xml:space="preserve">is still rewarding the</w:t>
      </w:r>
    </w:p>
    <w:p>
      <w:pPr>
        <w:pStyle w:val="FirstParagraph"/>
      </w:pPr>
      <w:r>
        <w:t xml:space="preserve">194</w:t>
      </w:r>
    </w:p>
    <w:p>
      <w:pPr>
        <w:pStyle w:val="BodyText"/>
      </w:pPr>
      <w:r>
        <w:t xml:space="preserve">individual industries or</w:t>
      </w:r>
      <w:r>
        <w:t xml:space="preserve"> </w:t>
      </w:r>
      <w:r>
        <w:t xml:space="preserve">regions, potentially</w:t>
      </w:r>
      <w:r>
        <w:t xml:space="preserve"> </w:t>
      </w:r>
      <w:r>
        <w:t xml:space="preserve">leading to missed</w:t>
      </w:r>
      <w:r>
        <w:t xml:space="preserve"> </w:t>
      </w:r>
      <w:r>
        <w:t xml:space="preserve">opportunities for targeted</w:t>
      </w:r>
      <w:r>
        <w:t xml:space="preserve"> </w:t>
      </w:r>
      <w:r>
        <w:t xml:space="preserve">interventions, and it may</w:t>
      </w:r>
      <w:r>
        <w:t xml:space="preserve"> </w:t>
      </w:r>
      <w:r>
        <w:t xml:space="preserve">exacerbate existing</w:t>
      </w:r>
      <w:r>
        <w:t xml:space="preserve"> </w:t>
      </w:r>
      <w:r>
        <w:t xml:space="preserve">inequalities.</w:t>
      </w:r>
      <w:r>
        <w:t xml:space="preserve"> </w:t>
      </w:r>
      <w:r>
        <w:t xml:space="preserve">Due to strong variety in</w:t>
      </w:r>
      <w:r>
        <w:t xml:space="preserve"> </w:t>
      </w:r>
      <w:r>
        <w:t xml:space="preserve">operational cost, esp. </w:t>
      </w:r>
      <w:r>
        <w:t xml:space="preserve"> </w:t>
      </w:r>
      <w:r>
        <w:t xml:space="preserve">energy cost, across MS,</w:t>
      </w:r>
      <w:r>
        <w:t xml:space="preserve"> </w:t>
      </w:r>
      <w:r>
        <w:t xml:space="preserve">EU wide competition may</w:t>
      </w:r>
      <w:r>
        <w:t xml:space="preserve"> </w:t>
      </w:r>
      <w:r>
        <w:t xml:space="preserve">lead to systematic over-</w:t>
      </w:r>
      <w:r>
        <w:t xml:space="preserve"> </w:t>
      </w:r>
      <w:r>
        <w:t xml:space="preserve">and under-compensation</w:t>
      </w:r>
      <w:r>
        <w:t xml:space="preserve"> </w:t>
      </w:r>
      <w:r>
        <w:t xml:space="preserve">of recipients in such MS.</w:t>
      </w:r>
      <w:r>
        <w:t xml:space="preserve"> </w:t>
      </w:r>
      <w:r>
        <w:t xml:space="preserve">challenges each Member</w:t>
      </w:r>
      <w:r>
        <w:t xml:space="preserve"> </w:t>
      </w:r>
      <w:r>
        <w:t xml:space="preserve">State faces.</w:t>
      </w:r>
      <w:r>
        <w:t xml:space="preserve"> </w:t>
      </w:r>
      <w:r>
        <w:t xml:space="preserve">This approach ensures the</w:t>
      </w:r>
      <w:r>
        <w:t xml:space="preserve"> </w:t>
      </w:r>
      <w:r>
        <w:t xml:space="preserve">best outcome in terms of</w:t>
      </w:r>
      <w:r>
        <w:t xml:space="preserve"> </w:t>
      </w:r>
      <w:r>
        <w:t xml:space="preserve">the geographical balance.</w:t>
      </w:r>
      <w:r>
        <w:t xml:space="preserve"> </w:t>
      </w:r>
      <w:r>
        <w:t xml:space="preserve">Still to be noted that in case</w:t>
      </w:r>
      <w:r>
        <w:t xml:space="preserve"> </w:t>
      </w:r>
      <w:r>
        <w:t xml:space="preserve">of limited amount of</w:t>
      </w:r>
      <w:r>
        <w:t xml:space="preserve"> </w:t>
      </w:r>
      <w:r>
        <w:t xml:space="preserve">funding available for</w:t>
      </w:r>
      <w:r>
        <w:t xml:space="preserve"> </w:t>
      </w:r>
      <w:r>
        <w:t xml:space="preserve">smaller Member States, it</w:t>
      </w:r>
      <w:r>
        <w:t xml:space="preserve"> </w:t>
      </w:r>
      <w:r>
        <w:t xml:space="preserve">might not be sufficient to</w:t>
      </w:r>
      <w:r>
        <w:t xml:space="preserve"> </w:t>
      </w:r>
      <w:r>
        <w:t xml:space="preserve">support the construction of</w:t>
      </w:r>
      <w:r>
        <w:t xml:space="preserve"> </w:t>
      </w:r>
      <w:r>
        <w:t xml:space="preserve">any single commercial-</w:t>
      </w:r>
      <w:r>
        <w:t xml:space="preserve"> </w:t>
      </w:r>
      <w:r>
        <w:t xml:space="preserve">scale project and to elicit</w:t>
      </w:r>
      <w:r>
        <w:t xml:space="preserve"> </w:t>
      </w:r>
      <w:r>
        <w:t xml:space="preserve">the necessary level of</w:t>
      </w:r>
      <w:r>
        <w:t xml:space="preserve"> </w:t>
      </w:r>
      <w:r>
        <w:t xml:space="preserve">competition</w:t>
      </w:r>
      <w:r>
        <w:t xml:space="preserve"> </w:t>
      </w:r>
      <w:r>
        <w:t xml:space="preserve">(‘fragmentation of</w:t>
      </w:r>
      <w:r>
        <w:t xml:space="preserve"> </w:t>
      </w:r>
      <w:r>
        <w:t xml:space="preserve">funding’)</w:t>
      </w:r>
    </w:p>
    <w:p>
      <w:pPr>
        <w:pStyle w:val="BodyText"/>
      </w:pPr>
      <w:r>
        <w:t xml:space="preserve">pure excellence on</w:t>
      </w:r>
      <w:r>
        <w:t xml:space="preserve"> </w:t>
      </w:r>
      <w:r>
        <w:t xml:space="preserve">the EU-level.</w:t>
      </w:r>
      <w:r>
        <w:t xml:space="preserve"> </w:t>
      </w:r>
      <w:r>
        <w:t xml:space="preserve">This approach</w:t>
      </w:r>
      <w:r>
        <w:t xml:space="preserve"> </w:t>
      </w:r>
      <w:r>
        <w:t xml:space="preserve">ensures the second</w:t>
      </w:r>
      <w:r>
        <w:t xml:space="preserve"> </w:t>
      </w:r>
      <w:r>
        <w:t xml:space="preserve">best outcome in</w:t>
      </w:r>
      <w:r>
        <w:t xml:space="preserve"> </w:t>
      </w:r>
      <w:r>
        <w:t xml:space="preserve">terms of the</w:t>
      </w:r>
      <w:r>
        <w:t xml:space="preserve"> </w:t>
      </w:r>
      <w:r>
        <w:t xml:space="preserve">geographical</w:t>
      </w:r>
      <w:r>
        <w:t xml:space="preserve"> </w:t>
      </w:r>
      <w:r>
        <w:t xml:space="preserve">balance.</w:t>
      </w:r>
      <w:r>
        <w:t xml:space="preserve"> </w:t>
      </w:r>
      <w:r>
        <w:t xml:space="preserve">SO4: create an</w:t>
      </w:r>
      <w:r>
        <w:t xml:space="preserve"> </w:t>
      </w:r>
      <w:r>
        <w:t xml:space="preserve">instrument that</w:t>
      </w:r>
      <w:r>
        <w:t xml:space="preserve"> </w:t>
      </w:r>
      <w:r>
        <w:t xml:space="preserve">supports</w:t>
      </w:r>
      <w:r>
        <w:t xml:space="preserve"> </w:t>
      </w:r>
      <w:r>
        <w:t xml:space="preserve">sectors</w:t>
      </w:r>
      <w:r>
        <w:t xml:space="preserve"> </w:t>
      </w:r>
      <w:r>
        <w:t xml:space="preserve">producing</w:t>
      </w:r>
      <w:r>
        <w:t xml:space="preserve"> </w:t>
      </w:r>
      <w:r>
        <w:t xml:space="preserve">CBAM goods</w:t>
      </w:r>
      <w:r>
        <w:t xml:space="preserve"> </w:t>
      </w:r>
      <w:r>
        <w:t xml:space="preserve">The choice of measure does not have an impact on achievement of this</w:t>
      </w:r>
      <w:r>
        <w:t xml:space="preserve"> </w:t>
      </w:r>
      <w:r>
        <w:t xml:space="preserve">objective.</w:t>
      </w:r>
    </w:p>
    <w:p>
      <w:pPr>
        <w:pStyle w:val="BodyText"/>
      </w:pPr>
      <w:r>
        <w:t xml:space="preserve">SO5: create an</w:t>
      </w:r>
      <w:r>
        <w:t xml:space="preserve"> </w:t>
      </w:r>
      <w:r>
        <w:t xml:space="preserve">instrument that</w:t>
      </w:r>
      <w:r>
        <w:t xml:space="preserve"> </w:t>
      </w:r>
      <w:r>
        <w:t xml:space="preserve">maximises</w:t>
      </w:r>
      <w:r>
        <w:t xml:space="preserve"> </w:t>
      </w:r>
      <w:r>
        <w:t xml:space="preserve">success rate of</w:t>
      </w:r>
      <w:r>
        <w:t xml:space="preserve"> </w:t>
      </w:r>
      <w:r>
        <w:t xml:space="preserve">the projects.</w:t>
      </w:r>
      <w:r>
        <w:t xml:space="preserve"> </w:t>
      </w:r>
      <w:r>
        <w:t xml:space="preserve">The choice of measure does not have an impact on achievement of this</w:t>
      </w:r>
      <w:r>
        <w:t xml:space="preserve"> </w:t>
      </w:r>
      <w:r>
        <w:t xml:space="preserve">objective.</w:t>
      </w:r>
    </w:p>
    <w:p>
      <w:pPr>
        <w:pStyle w:val="BodyText"/>
      </w:pPr>
      <w:r>
        <w:t xml:space="preserve">3.4.2.2.</w:t>
      </w:r>
      <w:r>
        <w:t xml:space="preserve"> </w:t>
      </w:r>
      <w:r>
        <w:t xml:space="preserve">Efficiency</w:t>
      </w:r>
      <w:r>
        <w:t xml:space="preserve"> </w:t>
      </w:r>
      <w:r>
        <w:t xml:space="preserve">In the table below measures are compered in terms of their efficiency, i.e. relationship between</w:t>
      </w:r>
      <w:r>
        <w:t xml:space="preserve"> </w:t>
      </w:r>
      <w:r>
        <w:t xml:space="preserve">the expected benefits of a policy measure and the resources required to implement it.</w:t>
      </w:r>
      <w:r>
        <w:t xml:space="preserve"> </w:t>
      </w:r>
      <w:r>
        <w:t xml:space="preserve">As discussed above, for the purpose of analysis of impacts it was assumed that the IDB support</w:t>
      </w:r>
      <w:r>
        <w:t xml:space="preserve"> </w:t>
      </w:r>
      <w:r>
        <w:t xml:space="preserve">fully covers the additional costs of the decarbonisation project during the 10-year support</w:t>
      </w:r>
      <w:r>
        <w:t xml:space="preserve"> </w:t>
      </w:r>
      <w:r>
        <w:t xml:space="preserve">period and does not envisage neither potential additional revenues form green lead markets nor</w:t>
      </w:r>
      <w:r>
        <w:t xml:space="preserve"> </w:t>
      </w:r>
      <w:r>
        <w:t xml:space="preserve">possible upside sharing mechanism that could be attached to the support. Many of the</w:t>
      </w:r>
      <w:r>
        <w:t xml:space="preserve"> </w:t>
      </w:r>
      <w:r>
        <w:t xml:space="preserve">assumptions taken reflect a favourable outlook and thus projected cumulative GHG emission</w:t>
      </w:r>
      <w:r>
        <w:t xml:space="preserve"> </w:t>
      </w:r>
      <w:r>
        <w:t xml:space="preserve">abatement of 1,630 Mt CO2 over a 10-year period needs to be considered as an optimistic</w:t>
      </w:r>
      <w:r>
        <w:t xml:space="preserve"> </w:t>
      </w:r>
      <w:r>
        <w:t xml:space="preserve">scenario. This result can be expected from the allocation mechanism structured as competitive</w:t>
      </w:r>
      <w:r>
        <w:t xml:space="preserve"> </w:t>
      </w:r>
      <w:r>
        <w:t xml:space="preserve">bidding and would necessarily decrease if different method is chosen.</w:t>
      </w:r>
      <w:r>
        <w:t xml:space="preserve"> </w:t>
      </w:r>
      <w:r>
        <w:t xml:space="preserve">Amongst the policy measures analysed in this Impact Assessment there are no fundamental</w:t>
      </w:r>
      <w:r>
        <w:t xml:space="preserve"> </w:t>
      </w:r>
      <w:r>
        <w:t xml:space="preserve">differences in the risk distributions between the public and private actors. Different models</w:t>
      </w:r>
      <w:r>
        <w:t xml:space="preserve"> </w:t>
      </w:r>
      <w:r>
        <w:t xml:space="preserve">could be envisaged but it would require different sets of instruments to be analysed (e.g. loans,</w:t>
      </w:r>
      <w:r>
        <w:t xml:space="preserve"> </w:t>
      </w:r>
      <w:r>
        <w:t xml:space="preserve">guarantees, equity stakes, contract for difference for the green products) and on more granular</w:t>
      </w:r>
      <w:r>
        <w:t xml:space="preserve"> </w:t>
      </w:r>
      <w:r>
        <w:t xml:space="preserve">level beyond the scope of this IA (e.g. remuneration and seniority of the debt, remuneration of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equity, fixed premium addressing only a part of the funding gap etc). Such models and their</w:t>
      </w:r>
      <w:r>
        <w:t xml:space="preserve"> </w:t>
      </w:r>
      <w:r>
        <w:t xml:space="preserve">specific features would have also a significant bearing on the overall efficiency of the support.</w:t>
      </w:r>
      <w:r>
        <w:t xml:space="preserve"> </w:t>
      </w:r>
      <w:r>
        <w:t xml:space="preserve">Table 4:</w:t>
      </w:r>
      <w:r>
        <w:t xml:space="preserve"> </w:t>
      </w:r>
      <w:r>
        <w:t xml:space="preserve">Efficiency of measures</w:t>
      </w:r>
    </w:p>
    <w:p>
      <w:pPr>
        <w:pStyle w:val="BodyText"/>
      </w:pPr>
      <w:r>
        <w:t xml:space="preserve">Measure AM.1:</w:t>
      </w:r>
      <w:r>
        <w:t xml:space="preserve"> </w:t>
      </w:r>
      <w:r>
        <w:t xml:space="preserve">multi-criteria</w:t>
      </w:r>
      <w:r>
        <w:t xml:space="preserve"> </w:t>
      </w:r>
      <w:r>
        <w:t xml:space="preserve">call for</w:t>
      </w:r>
      <w:r>
        <w:t xml:space="preserve"> </w:t>
      </w:r>
      <w:r>
        <w:t xml:space="preserve">proposals</w:t>
      </w:r>
      <w:r>
        <w:t xml:space="preserve"> </w:t>
      </w:r>
      <w:r>
        <w:t xml:space="preserve">Measure</w:t>
      </w:r>
      <w:r>
        <w:t xml:space="preserve"> </w:t>
      </w:r>
      <w:r>
        <w:t xml:space="preserve">AM.2:</w:t>
      </w:r>
      <w:r>
        <w:br/>
      </w:r>
      <w:r>
        <w:t xml:space="preserve">auctions</w:t>
      </w:r>
      <w:r>
        <w:t xml:space="preserve"> </w:t>
      </w:r>
      <w:r>
        <w:t xml:space="preserve">Measure AM.3:</w:t>
      </w:r>
      <w:r>
        <w:br/>
      </w:r>
      <w:r>
        <w:t xml:space="preserve">administrative schemes</w:t>
      </w:r>
      <w:r>
        <w:t xml:space="preserve"> </w:t>
      </w:r>
      <w:r>
        <w:t xml:space="preserve">Measure: MS</w:t>
      </w:r>
      <w:r>
        <w:t xml:space="preserve"> </w:t>
      </w:r>
      <w:r>
        <w:t xml:space="preserve">propose a</w:t>
      </w:r>
      <w:r>
        <w:t xml:space="preserve"> </w:t>
      </w:r>
      <w:r>
        <w:t xml:space="preserve">shortlist</w:t>
      </w:r>
      <w:r>
        <w:t xml:space="preserve"> </w:t>
      </w:r>
      <w:r>
        <w:t xml:space="preserve">Comparison</w:t>
      </w:r>
      <w:r>
        <w:t xml:space="preserve"> </w:t>
      </w:r>
      <w:r>
        <w:t xml:space="preserve">of measures</w:t>
      </w:r>
      <w:r>
        <w:t xml:space="preserve"> </w:t>
      </w:r>
      <w:r>
        <w:t xml:space="preserve">on the</w:t>
      </w:r>
      <w:r>
        <w:t xml:space="preserve"> </w:t>
      </w:r>
      <w:r>
        <w:t xml:space="preserve">allocation</w:t>
      </w:r>
      <w:r>
        <w:t xml:space="preserve"> </w:t>
      </w:r>
      <w:r>
        <w:t xml:space="preserve">mechanism.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Cost efficiency in</w:t>
      </w:r>
      <w:r>
        <w:t xml:space="preserve"> </w:t>
      </w:r>
      <w:r>
        <w:t xml:space="preserve">multicriteria calls</w:t>
      </w:r>
      <w:r>
        <w:t xml:space="preserve"> </w:t>
      </w:r>
      <w:r>
        <w:t xml:space="preserve">is likely limited,</w:t>
      </w:r>
      <w:r>
        <w:t xml:space="preserve"> </w:t>
      </w:r>
      <w:r>
        <w:t xml:space="preserve">unless cost-</w:t>
      </w:r>
      <w:r>
        <w:t xml:space="preserve"> </w:t>
      </w:r>
      <w:r>
        <w:t xml:space="preserve">efficiency is also</w:t>
      </w:r>
      <w:r>
        <w:t xml:space="preserve"> </w:t>
      </w:r>
      <w:r>
        <w:t xml:space="preserve">an award</w:t>
      </w:r>
      <w:r>
        <w:t xml:space="preserve"> </w:t>
      </w:r>
      <w:r>
        <w:t xml:space="preserve">criterion.</w:t>
      </w:r>
      <w:r>
        <w:br/>
      </w:r>
      <w:r>
        <w:t xml:space="preserve">A recurring</w:t>
      </w:r>
      <w:r>
        <w:t xml:space="preserve"> </w:t>
      </w:r>
      <w:r>
        <w:t xml:space="preserve">challenge in</w:t>
      </w:r>
      <w:r>
        <w:t xml:space="preserve"> </w:t>
      </w:r>
      <w:r>
        <w:t xml:space="preserve">multicriteria calls</w:t>
      </w:r>
      <w:r>
        <w:t xml:space="preserve"> </w:t>
      </w:r>
      <w:r>
        <w:t xml:space="preserve">is cost discovery.</w:t>
      </w:r>
      <w:r>
        <w:t xml:space="preserve"> </w:t>
      </w:r>
      <w:r>
        <w:t xml:space="preserve">When responding</w:t>
      </w:r>
      <w:r>
        <w:t xml:space="preserve"> </w:t>
      </w:r>
      <w:r>
        <w:t xml:space="preserve">to multicriteria</w:t>
      </w:r>
      <w:r>
        <w:t xml:space="preserve"> </w:t>
      </w:r>
      <w:r>
        <w:t xml:space="preserve">calls for</w:t>
      </w:r>
      <w:r>
        <w:t xml:space="preserve"> </w:t>
      </w:r>
      <w:r>
        <w:t xml:space="preserve">proposals,</w:t>
      </w:r>
      <w:r>
        <w:t xml:space="preserve"> </w:t>
      </w:r>
      <w:r>
        <w:t xml:space="preserve">projects do not</w:t>
      </w:r>
      <w:r>
        <w:t xml:space="preserve"> </w:t>
      </w:r>
      <w:r>
        <w:t xml:space="preserve">competitively bid</w:t>
      </w:r>
      <w:r>
        <w:t xml:space="preserve"> </w:t>
      </w:r>
      <w:r>
        <w:t xml:space="preserve">on a single ‘price’</w:t>
      </w:r>
      <w:r>
        <w:t xml:space="preserve"> </w:t>
      </w:r>
      <w:r>
        <w:t xml:space="preserve">metric, meaning</w:t>
      </w:r>
      <w:r>
        <w:t xml:space="preserve"> </w:t>
      </w:r>
      <w:r>
        <w:t xml:space="preserve">project pricing</w:t>
      </w:r>
      <w:r>
        <w:t xml:space="preserve"> </w:t>
      </w:r>
      <w:r>
        <w:t xml:space="preserve">information may</w:t>
      </w:r>
      <w:r>
        <w:t xml:space="preserve"> </w:t>
      </w:r>
      <w:r>
        <w:t xml:space="preserve">not reflect the</w:t>
      </w:r>
      <w:r>
        <w:t xml:space="preserve"> </w:t>
      </w:r>
      <w:r>
        <w:t xml:space="preserve">true subsidy</w:t>
      </w:r>
      <w:r>
        <w:t xml:space="preserve"> </w:t>
      </w:r>
      <w:r>
        <w:t xml:space="preserve">amount needed to</w:t>
      </w:r>
      <w:r>
        <w:t xml:space="preserve"> </w:t>
      </w:r>
      <w:r>
        <w:t xml:space="preserve">support project</w:t>
      </w:r>
      <w:r>
        <w:t xml:space="preserve"> </w:t>
      </w:r>
      <w:r>
        <w:t xml:space="preserve">realisation.</w:t>
      </w:r>
      <w:r>
        <w:br/>
      </w:r>
      <w:r>
        <w:t xml:space="preserve">These</w:t>
      </w:r>
      <w:r>
        <w:t xml:space="preserve"> </w:t>
      </w:r>
      <w:r>
        <w:t xml:space="preserve">‘information</w:t>
      </w:r>
      <w:r>
        <w:t xml:space="preserve"> </w:t>
      </w:r>
      <w:r>
        <w:t xml:space="preserve">rents’ can in turn</w:t>
      </w:r>
      <w:r>
        <w:t xml:space="preserve"> </w:t>
      </w:r>
      <w:r>
        <w:t xml:space="preserve">result in higher</w:t>
      </w:r>
      <w:r>
        <w:t xml:space="preserve"> </w:t>
      </w:r>
      <w:r>
        <w:t xml:space="preserve">subsidies per</w:t>
      </w:r>
      <w:r>
        <w:t xml:space="preserve"> </w:t>
      </w:r>
      <w:r>
        <w:t xml:space="preserve">tonne of CO2</w:t>
      </w:r>
      <w:r>
        <w:t xml:space="preserve"> </w:t>
      </w:r>
      <w:r>
        <w:t xml:space="preserve">avoided or per</w:t>
      </w:r>
      <w:r>
        <w:t xml:space="preserve"> </w:t>
      </w:r>
      <w:r>
        <w:t xml:space="preserve">unit of low-</w:t>
      </w:r>
      <w:r>
        <w:t xml:space="preserve"> </w:t>
      </w:r>
      <w:r>
        <w:t xml:space="preserve">emission product</w:t>
      </w:r>
      <w:r>
        <w:t xml:space="preserve"> </w:t>
      </w:r>
      <w:r>
        <w:t xml:space="preserve">than necessary,</w:t>
      </w:r>
      <w:r>
        <w:t xml:space="preserve"> </w:t>
      </w:r>
      <w:r>
        <w:t xml:space="preserve">especially for</w:t>
      </w:r>
      <w:r>
        <w:t xml:space="preserve"> </w:t>
      </w:r>
      <w:r>
        <w:t xml:space="preserve">more mature</w:t>
      </w:r>
      <w:r>
        <w:t xml:space="preserve"> </w:t>
      </w:r>
      <w:r>
        <w:t xml:space="preserve">decarbonisation</w:t>
      </w:r>
      <w:r>
        <w:t xml:space="preserve"> </w:t>
      </w:r>
      <w:r>
        <w:t xml:space="preserve">technologies</w:t>
      </w:r>
      <w:r>
        <w:t xml:space="preserve"> </w:t>
      </w:r>
      <w:r>
        <w:t xml:space="preserve">Auctions by</w:t>
      </w:r>
      <w:r>
        <w:t xml:space="preserve"> </w:t>
      </w:r>
      <w:r>
        <w:t xml:space="preserve">definition</w:t>
      </w:r>
      <w:r>
        <w:t xml:space="preserve"> </w:t>
      </w:r>
      <w:r>
        <w:t xml:space="preserve">enable</w:t>
      </w:r>
      <w:r>
        <w:t xml:space="preserve"> </w:t>
      </w:r>
      <w:r>
        <w:t xml:space="preserve">competitive</w:t>
      </w:r>
      <w:r>
        <w:t xml:space="preserve"> </w:t>
      </w:r>
      <w:r>
        <w:t xml:space="preserve">price</w:t>
      </w:r>
      <w:r>
        <w:t xml:space="preserve"> </w:t>
      </w:r>
      <w:r>
        <w:t xml:space="preserve">discovery and</w:t>
      </w:r>
      <w:r>
        <w:t xml:space="preserve"> </w:t>
      </w:r>
      <w:r>
        <w:t xml:space="preserve">typically</w:t>
      </w:r>
      <w:r>
        <w:t xml:space="preserve"> </w:t>
      </w:r>
      <w:r>
        <w:t xml:space="preserve">deliver higher</w:t>
      </w:r>
      <w:r>
        <w:t xml:space="preserve"> </w:t>
      </w:r>
      <w:r>
        <w:t xml:space="preserve">cost</w:t>
      </w:r>
      <w:r>
        <w:t xml:space="preserve"> </w:t>
      </w:r>
      <w:r>
        <w:t xml:space="preserve">efficiency per</w:t>
      </w:r>
      <w:r>
        <w:t xml:space="preserve"> </w:t>
      </w:r>
      <w:r>
        <w:t xml:space="preserve">euro spent</w:t>
      </w:r>
      <w:r>
        <w:t xml:space="preserve"> </w:t>
      </w:r>
      <w:r>
        <w:t xml:space="preserve">than the other</w:t>
      </w:r>
      <w:r>
        <w:t xml:space="preserve"> </w:t>
      </w:r>
      <w:r>
        <w:t xml:space="preserve">allocation</w:t>
      </w:r>
      <w:r>
        <w:t xml:space="preserve"> </w:t>
      </w:r>
      <w:r>
        <w:t xml:space="preserve">mechanisms.</w:t>
      </w:r>
      <w:r>
        <w:t xml:space="preserve"> </w:t>
      </w:r>
      <w:r>
        <w:t xml:space="preserve">The likely</w:t>
      </w:r>
      <w:r>
        <w:t xml:space="preserve"> </w:t>
      </w:r>
      <w:r>
        <w:t xml:space="preserve">effect on</w:t>
      </w:r>
      <w:r>
        <w:t xml:space="preserve"> </w:t>
      </w:r>
      <w:r>
        <w:t xml:space="preserve">private</w:t>
      </w:r>
      <w:r>
        <w:t xml:space="preserve"> </w:t>
      </w:r>
      <w:r>
        <w:t xml:space="preserve">investment</w:t>
      </w:r>
      <w:r>
        <w:t xml:space="preserve"> </w:t>
      </w:r>
      <w:r>
        <w:t xml:space="preserve">mobilised</w:t>
      </w:r>
      <w:r>
        <w:t xml:space="preserve"> </w:t>
      </w:r>
      <w:r>
        <w:t xml:space="preserve">and GHG</w:t>
      </w:r>
      <w:r>
        <w:t xml:space="preserve"> </w:t>
      </w:r>
      <w:r>
        <w:t xml:space="preserve">abatement is</w:t>
      </w:r>
      <w:r>
        <w:t xml:space="preserve"> </w:t>
      </w:r>
      <w:r>
        <w:t xml:space="preserve">the highest.</w:t>
      </w:r>
      <w:r>
        <w:t xml:space="preserve"> </w:t>
      </w:r>
      <w:r>
        <w:t xml:space="preserve">Medium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burden for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evaluation</w:t>
      </w:r>
      <w:r>
        <w:t xml:space="preserve"> </w:t>
      </w:r>
      <w:r>
        <w:t xml:space="preserve">stage.</w:t>
      </w:r>
      <w:r>
        <w:t xml:space="preserve"> </w:t>
      </w:r>
      <w:r>
        <w:t xml:space="preserve">Production-</w:t>
      </w:r>
      <w:r>
        <w:t xml:space="preserve"> </w:t>
      </w:r>
      <w:r>
        <w:t xml:space="preserve">based support</w:t>
      </w:r>
      <w:r>
        <w:t xml:space="preserve"> </w:t>
      </w:r>
      <w:r>
        <w:t xml:space="preserve">typically</w:t>
      </w:r>
      <w:r>
        <w:t xml:space="preserve"> </w:t>
      </w:r>
      <w:r>
        <w:t xml:space="preserve">operated with</w:t>
      </w:r>
      <w:r>
        <w:t xml:space="preserve"> </w:t>
      </w:r>
      <w:r>
        <w:t xml:space="preserve">such a</w:t>
      </w:r>
      <w:r>
        <w:t xml:space="preserve"> </w:t>
      </w:r>
      <w:r>
        <w:t xml:space="preserve">scheme</w:t>
      </w:r>
      <w:r>
        <w:t xml:space="preserve"> </w:t>
      </w:r>
      <w:r>
        <w:t xml:space="preserve">performs less</w:t>
      </w:r>
      <w:r>
        <w:t xml:space="preserve"> </w:t>
      </w:r>
      <w:r>
        <w:t xml:space="preserve">strong in the</w:t>
      </w:r>
      <w:r>
        <w:t xml:space="preserve"> </w:t>
      </w:r>
      <w:r>
        <w:t xml:space="preserve">initial project</w:t>
      </w:r>
      <w:r>
        <w:t xml:space="preserve"> </w:t>
      </w:r>
      <w:r>
        <w:t xml:space="preserve">phases, but</w:t>
      </w:r>
      <w:r>
        <w:t xml:space="preserve"> </w:t>
      </w:r>
      <w:r>
        <w:t xml:space="preserve">incentivizes</w:t>
      </w:r>
      <w:r>
        <w:t xml:space="preserve"> </w:t>
      </w:r>
      <w:r>
        <w:t xml:space="preserve">during the</w:t>
      </w:r>
      <w:r>
        <w:t xml:space="preserve"> </w:t>
      </w:r>
      <w:r>
        <w:t xml:space="preserve">Lower cost-efficiency</w:t>
      </w:r>
      <w:r>
        <w:t xml:space="preserve"> </w:t>
      </w:r>
      <w:r>
        <w:t xml:space="preserve">compared to other</w:t>
      </w:r>
      <w:r>
        <w:t xml:space="preserve"> </w:t>
      </w:r>
      <w:r>
        <w:t xml:space="preserve">measures because there is</w:t>
      </w:r>
      <w:r>
        <w:t xml:space="preserve"> </w:t>
      </w:r>
      <w:r>
        <w:t xml:space="preserve">no ‘discovery’ of the</w:t>
      </w:r>
      <w:r>
        <w:t xml:space="preserve"> </w:t>
      </w:r>
      <w:r>
        <w:t xml:space="preserve">subsidy need and if</w:t>
      </w:r>
      <w:r>
        <w:t xml:space="preserve"> </w:t>
      </w:r>
      <w:r>
        <w:t xml:space="preserve">administratively fixed</w:t>
      </w:r>
      <w:r>
        <w:t xml:space="preserve"> </w:t>
      </w:r>
      <w:r>
        <w:t xml:space="preserve">levels of remuneration is</w:t>
      </w:r>
      <w:r>
        <w:t xml:space="preserve"> </w:t>
      </w:r>
      <w:r>
        <w:t xml:space="preserve">high there is a risk of</w:t>
      </w:r>
      <w:r>
        <w:t xml:space="preserve"> </w:t>
      </w:r>
      <w:r>
        <w:t xml:space="preserve">overcompensation/windfal</w:t>
      </w:r>
      <w:r>
        <w:t xml:space="preserve"> </w:t>
      </w:r>
      <w:r>
        <w:t xml:space="preserve">l profits.</w:t>
      </w:r>
      <w:r>
        <w:t xml:space="preserve"> </w:t>
      </w:r>
      <w:r>
        <w:t xml:space="preserve">Funds can be captured by</w:t>
      </w:r>
      <w:r>
        <w:t xml:space="preserve"> </w:t>
      </w:r>
      <w:r>
        <w:t xml:space="preserve">the fastest rather than the</w:t>
      </w:r>
      <w:r>
        <w:t xml:space="preserve"> </w:t>
      </w:r>
      <w:r>
        <w:t xml:space="preserve">most impactful or cost-</w:t>
      </w:r>
      <w:r>
        <w:t xml:space="preserve"> </w:t>
      </w:r>
      <w:r>
        <w:t xml:space="preserve">effective projects and</w:t>
      </w:r>
      <w:r>
        <w:t xml:space="preserve"> </w:t>
      </w:r>
      <w:r>
        <w:t xml:space="preserve">well-resourced applicants</w:t>
      </w:r>
      <w:r>
        <w:t xml:space="preserve"> </w:t>
      </w:r>
      <w:r>
        <w:t xml:space="preserve">may ‘queue’ ahead of</w:t>
      </w:r>
      <w:r>
        <w:t xml:space="preserve"> </w:t>
      </w:r>
      <w:r>
        <w:t xml:space="preserve">smaller players.</w:t>
      </w:r>
      <w:r>
        <w:t xml:space="preserve"> </w:t>
      </w:r>
      <w:r>
        <w:t xml:space="preserve">Additionally, there is a</w:t>
      </w:r>
      <w:r>
        <w:t xml:space="preserve"> </w:t>
      </w:r>
      <w:r>
        <w:t xml:space="preserve">risk that support will be</w:t>
      </w:r>
      <w:r>
        <w:t xml:space="preserve"> </w:t>
      </w:r>
      <w:r>
        <w:t xml:space="preserve">given to projects that</w:t>
      </w:r>
      <w:r>
        <w:t xml:space="preserve"> </w:t>
      </w:r>
      <w:r>
        <w:t xml:space="preserve">would have proceeded</w:t>
      </w:r>
      <w:r>
        <w:t xml:space="preserve"> </w:t>
      </w:r>
      <w:r>
        <w:t xml:space="preserve">regardless of whether they</w:t>
      </w:r>
      <w:r>
        <w:t xml:space="preserve"> </w:t>
      </w:r>
      <w:r>
        <w:t xml:space="preserve">received public support,</w:t>
      </w:r>
      <w:r>
        <w:t xml:space="preserve"> </w:t>
      </w:r>
      <w:r>
        <w:t xml:space="preserve">creating a high risk of</w:t>
      </w:r>
      <w:r>
        <w:t xml:space="preserve"> </w:t>
      </w:r>
      <w:r>
        <w:t xml:space="preserve">windfall profits.</w:t>
      </w:r>
      <w:r>
        <w:t xml:space="preserve"> </w:t>
      </w:r>
      <w:r>
        <w:t xml:space="preserve">The likely effect on</w:t>
      </w:r>
      <w:r>
        <w:t xml:space="preserve"> </w:t>
      </w:r>
      <w:r>
        <w:t xml:space="preserve">private investment</w:t>
      </w:r>
      <w:r>
        <w:t xml:space="preserve"> </w:t>
      </w:r>
      <w:r>
        <w:t xml:space="preserve">mobilised and GHG</w:t>
      </w:r>
      <w:r>
        <w:t xml:space="preserve"> </w:t>
      </w:r>
      <w:r>
        <w:t xml:space="preserve">abatement is lower.</w:t>
      </w:r>
      <w:r>
        <w:t xml:space="preserve"> </w:t>
      </w:r>
      <w:r>
        <w:t xml:space="preserve">Low administrative</w:t>
      </w:r>
      <w:r>
        <w:t xml:space="preserve"> </w:t>
      </w:r>
      <w:r>
        <w:t xml:space="preserve">burden for application and</w:t>
      </w:r>
      <w:r>
        <w:t xml:space="preserve"> </w:t>
      </w:r>
      <w:r>
        <w:t xml:space="preserve">evaluation stage.</w:t>
      </w:r>
      <w:r>
        <w:t xml:space="preserve"> </w:t>
      </w:r>
      <w:r>
        <w:t xml:space="preserve">Production-based support</w:t>
      </w:r>
      <w:r>
        <w:t xml:space="preserve"> </w:t>
      </w:r>
      <w:r>
        <w:t xml:space="preserve">typically operated with</w:t>
      </w:r>
      <w:r>
        <w:t xml:space="preserve"> </w:t>
      </w:r>
      <w:r>
        <w:t xml:space="preserve">such a scheme performs</w:t>
      </w:r>
      <w:r>
        <w:t xml:space="preserve"> </w:t>
      </w:r>
      <w:r>
        <w:t xml:space="preserve">less strong in the initial</w:t>
      </w:r>
      <w:r>
        <w:t xml:space="preserve"> </w:t>
      </w:r>
      <w:r>
        <w:t xml:space="preserve">project phases, but</w:t>
      </w:r>
      <w:r>
        <w:t xml:space="preserve"> </w:t>
      </w:r>
      <w:r>
        <w:t xml:space="preserve">incentivizes during the</w:t>
      </w:r>
      <w:r>
        <w:t xml:space="preserve"> </w:t>
      </w:r>
      <w:r>
        <w:t xml:space="preserve">operational phase.</w:t>
      </w:r>
      <w:r>
        <w:t xml:space="preserve"> </w:t>
      </w:r>
      <w:r>
        <w:t xml:space="preserve">In principle, the</w:t>
      </w:r>
      <w:r>
        <w:t xml:space="preserve"> </w:t>
      </w:r>
      <w:r>
        <w:t xml:space="preserve">mechanism</w:t>
      </w:r>
      <w:r>
        <w:t xml:space="preserve"> </w:t>
      </w:r>
      <w:r>
        <w:t xml:space="preserve">would risk</w:t>
      </w:r>
      <w:r>
        <w:t xml:space="preserve"> </w:t>
      </w:r>
      <w:r>
        <w:t xml:space="preserve">performing less</w:t>
      </w:r>
      <w:r>
        <w:t xml:space="preserve"> </w:t>
      </w:r>
      <w:r>
        <w:t xml:space="preserve">well on cost-</w:t>
      </w:r>
      <w:r>
        <w:t xml:space="preserve"> </w:t>
      </w:r>
      <w:r>
        <w:t xml:space="preserve">efficiency, but</w:t>
      </w:r>
      <w:r>
        <w:t xml:space="preserve"> </w:t>
      </w:r>
      <w:r>
        <w:t xml:space="preserve">thorough check</w:t>
      </w:r>
      <w:r>
        <w:t xml:space="preserve"> </w:t>
      </w:r>
      <w:r>
        <w:t xml:space="preserve">of costs and</w:t>
      </w:r>
      <w:r>
        <w:t xml:space="preserve"> </w:t>
      </w:r>
      <w:r>
        <w:t xml:space="preserve">benchmarking</w:t>
      </w:r>
      <w:r>
        <w:t xml:space="preserve"> </w:t>
      </w:r>
      <w:r>
        <w:t xml:space="preserve">can limit this</w:t>
      </w:r>
      <w:r>
        <w:t xml:space="preserve"> </w:t>
      </w:r>
      <w:r>
        <w:t xml:space="preserve">risk.</w:t>
      </w:r>
      <w:r>
        <w:br/>
      </w:r>
      <w:r>
        <w:t xml:space="preserve">Impact depends</w:t>
      </w:r>
      <w:r>
        <w:t xml:space="preserve"> </w:t>
      </w:r>
      <w:r>
        <w:t xml:space="preserve">on the design</w:t>
      </w:r>
      <w:r>
        <w:t xml:space="preserve"> </w:t>
      </w:r>
      <w:r>
        <w:t xml:space="preserve">made on the</w:t>
      </w:r>
      <w:r>
        <w:t xml:space="preserve"> </w:t>
      </w:r>
      <w:r>
        <w:t xml:space="preserve">national level but</w:t>
      </w:r>
      <w:r>
        <w:t xml:space="preserve"> </w:t>
      </w:r>
      <w:r>
        <w:t xml:space="preserve">it does not</w:t>
      </w:r>
      <w:r>
        <w:t xml:space="preserve"> </w:t>
      </w:r>
      <w:r>
        <w:t xml:space="preserve">benefit from EU-</w:t>
      </w:r>
      <w:r>
        <w:t xml:space="preserve"> </w:t>
      </w:r>
      <w:r>
        <w:t xml:space="preserve">wide</w:t>
      </w:r>
      <w:r>
        <w:t xml:space="preserve"> </w:t>
      </w:r>
      <w:r>
        <w:t xml:space="preserve">competition.</w:t>
      </w:r>
      <w:r>
        <w:t xml:space="preserve"> </w:t>
      </w:r>
      <w:r>
        <w:t xml:space="preserve">Likely, lower</w:t>
      </w:r>
      <w:r>
        <w:t xml:space="preserve"> </w:t>
      </w:r>
      <w:r>
        <w:t xml:space="preserve">cost-efficiency</w:t>
      </w:r>
      <w:r>
        <w:t xml:space="preserve"> </w:t>
      </w:r>
      <w:r>
        <w:t xml:space="preserve">compared to</w:t>
      </w:r>
      <w:r>
        <w:t xml:space="preserve"> </w:t>
      </w:r>
      <w:r>
        <w:t xml:space="preserve">other measures.</w:t>
      </w:r>
      <w:r>
        <w:t xml:space="preserve"> </w:t>
      </w:r>
      <w:r>
        <w:t xml:space="preserve">The likely effect</w:t>
      </w:r>
      <w:r>
        <w:t xml:space="preserve"> </w:t>
      </w:r>
      <w:r>
        <w:t xml:space="preserve">on private</w:t>
      </w:r>
      <w:r>
        <w:t xml:space="preserve"> </w:t>
      </w:r>
      <w:r>
        <w:t xml:space="preserve">investment</w:t>
      </w:r>
      <w:r>
        <w:t xml:space="preserve"> </w:t>
      </w:r>
      <w:r>
        <w:t xml:space="preserve">mobilised and</w:t>
      </w:r>
      <w:r>
        <w:t xml:space="preserve"> </w:t>
      </w:r>
      <w:r>
        <w:t xml:space="preserve">GHG abatement</w:t>
      </w:r>
      <w:r>
        <w:t xml:space="preserve"> </w:t>
      </w:r>
      <w:r>
        <w:t xml:space="preserve">is lower.</w:t>
      </w:r>
      <w:r>
        <w:t xml:space="preserve"> </w:t>
      </w:r>
      <w:r>
        <w:t xml:space="preserve">Low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(on the</w:t>
      </w:r>
      <w:r>
        <w:t xml:space="preserve"> </w:t>
      </w:r>
      <w:r>
        <w:t xml:space="preserve">EU level) for</w:t>
      </w:r>
      <w:r>
        <w:t xml:space="preserve"> </w:t>
      </w:r>
      <w:r>
        <w:t xml:space="preserve">application and</w:t>
      </w:r>
      <w:r>
        <w:t xml:space="preserve"> </w:t>
      </w:r>
      <w:r>
        <w:t xml:space="preserve">evaluation stage.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Consequently, the</w:t>
      </w:r>
      <w:r>
        <w:t xml:space="preserve"> </w:t>
      </w:r>
      <w:r>
        <w:t xml:space="preserve">likely expected</w:t>
      </w:r>
      <w:r>
        <w:t xml:space="preserve"> </w:t>
      </w:r>
      <w:r>
        <w:t xml:space="preserve">on private</w:t>
      </w:r>
      <w:r>
        <w:t xml:space="preserve"> </w:t>
      </w:r>
      <w:r>
        <w:t xml:space="preserve">investment</w:t>
      </w:r>
      <w:r>
        <w:t xml:space="preserve"> </w:t>
      </w:r>
      <w:r>
        <w:t xml:space="preserve">mobilised and</w:t>
      </w:r>
      <w:r>
        <w:t xml:space="preserve"> </w:t>
      </w:r>
      <w:r>
        <w:t xml:space="preserve">GHG abatement</w:t>
      </w:r>
      <w:r>
        <w:t xml:space="preserve"> </w:t>
      </w:r>
      <w:r>
        <w:t xml:space="preserve">could be lower.</w:t>
      </w:r>
      <w:r>
        <w:t xml:space="preserve"> </w:t>
      </w:r>
      <w:r>
        <w:t xml:space="preserve">Highest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for</w:t>
      </w:r>
      <w:r>
        <w:t xml:space="preserve"> </w:t>
      </w:r>
      <w:r>
        <w:t xml:space="preserve">application and</w:t>
      </w:r>
      <w:r>
        <w:t xml:space="preserve"> </w:t>
      </w:r>
      <w:r>
        <w:t xml:space="preserve">evaluation stage</w:t>
      </w:r>
      <w:r>
        <w:t xml:space="preserve"> </w:t>
      </w:r>
      <w:r>
        <w:t xml:space="preserve">(monitoring</w:t>
      </w:r>
      <w:r>
        <w:t xml:space="preserve"> </w:t>
      </w:r>
      <w:r>
        <w:t xml:space="preserve">efforts depends</w:t>
      </w:r>
      <w:r>
        <w:t xml:space="preserve"> </w:t>
      </w:r>
      <w:r>
        <w:t xml:space="preserve">on the call</w:t>
      </w:r>
      <w:r>
        <w:t xml:space="preserve"> </w:t>
      </w:r>
      <w:r>
        <w:t xml:space="preserve">design).</w:t>
      </w:r>
    </w:p>
    <w:p>
      <w:pPr>
        <w:pStyle w:val="BodyText"/>
      </w:pPr>
      <w:r>
        <w:t xml:space="preserve">operational</w:t>
      </w:r>
      <w:r>
        <w:t xml:space="preserve"> </w:t>
      </w:r>
      <w:r>
        <w:t xml:space="preserve">phase.</w:t>
      </w:r>
      <w:r>
        <w:t xml:space="preserve"> </w:t>
      </w:r>
      <w:r>
        <w:t xml:space="preserve">Production-</w:t>
      </w:r>
      <w:r>
        <w:t xml:space="preserve"> </w:t>
      </w:r>
      <w:r>
        <w:t xml:space="preserve">based support</w:t>
      </w:r>
      <w:r>
        <w:t xml:space="preserve"> </w:t>
      </w:r>
      <w:r>
        <w:t xml:space="preserve">typically</w:t>
      </w:r>
      <w:r>
        <w:t xml:space="preserve"> </w:t>
      </w:r>
      <w:r>
        <w:t xml:space="preserve">operated with</w:t>
      </w:r>
      <w:r>
        <w:t xml:space="preserve"> </w:t>
      </w:r>
      <w:r>
        <w:t xml:space="preserve">such a</w:t>
      </w:r>
      <w:r>
        <w:t xml:space="preserve"> </w:t>
      </w:r>
      <w:r>
        <w:t xml:space="preserve">scheme</w:t>
      </w:r>
      <w:r>
        <w:t xml:space="preserve"> </w:t>
      </w:r>
      <w:r>
        <w:t xml:space="preserve">performs less</w:t>
      </w:r>
      <w:r>
        <w:t xml:space="preserve"> </w:t>
      </w:r>
      <w:r>
        <w:t xml:space="preserve">strong in the</w:t>
      </w:r>
      <w:r>
        <w:t xml:space="preserve"> </w:t>
      </w:r>
      <w:r>
        <w:t xml:space="preserve">initial project</w:t>
      </w:r>
      <w:r>
        <w:t xml:space="preserve"> </w:t>
      </w:r>
      <w:r>
        <w:t xml:space="preserve">phases, but</w:t>
      </w:r>
      <w:r>
        <w:t xml:space="preserve"> </w:t>
      </w:r>
      <w:r>
        <w:t xml:space="preserve">incentivizes</w:t>
      </w:r>
      <w:r>
        <w:t xml:space="preserve"> </w:t>
      </w:r>
      <w:r>
        <w:t xml:space="preserve">during the</w:t>
      </w:r>
      <w:r>
        <w:t xml:space="preserve"> </w:t>
      </w:r>
      <w:r>
        <w:t xml:space="preserve">operational</w:t>
      </w:r>
      <w:r>
        <w:t xml:space="preserve"> </w:t>
      </w:r>
      <w:r>
        <w:t xml:space="preserve">phase.</w:t>
      </w:r>
    </w:p>
    <w:p>
      <w:pPr>
        <w:pStyle w:val="BodyText"/>
      </w:pPr>
      <w:r>
        <w:t xml:space="preserve">Measure FS.1:</w:t>
      </w:r>
      <w:r>
        <w:br/>
      </w:r>
      <w:r>
        <w:t xml:space="preserve">Regular grants</w:t>
      </w:r>
      <w:r>
        <w:t xml:space="preserve"> </w:t>
      </w:r>
      <w:r>
        <w:t xml:space="preserve">Measure</w:t>
      </w:r>
      <w:r>
        <w:t xml:space="preserve"> </w:t>
      </w:r>
      <w:r>
        <w:t xml:space="preserve">FS.2: CFPs</w:t>
      </w:r>
      <w:r>
        <w:t xml:space="preserve"> </w:t>
      </w:r>
      <w:r>
        <w:t xml:space="preserve">Measure FS.3: CCfDs</w:t>
      </w:r>
      <w:r>
        <w:t xml:space="preserve"> </w:t>
      </w:r>
      <w:r>
        <w:t xml:space="preserve">Measure: fixed</w:t>
      </w:r>
      <w:r>
        <w:t xml:space="preserve"> </w:t>
      </w:r>
      <w:r>
        <w:t xml:space="preserve">premium per</w:t>
      </w:r>
      <w:r>
        <w:t xml:space="preserve"> </w:t>
      </w:r>
      <w:r>
        <w:t xml:space="preserve">unit of</w:t>
      </w:r>
      <w:r>
        <w:t xml:space="preserve"> </w:t>
      </w:r>
      <w:r>
        <w:t xml:space="preserve">decarbonised</w:t>
      </w:r>
      <w:r>
        <w:t xml:space="preserve"> </w:t>
      </w:r>
      <w:r>
        <w:t xml:space="preserve">product</w:t>
      </w:r>
      <w:r>
        <w:t xml:space="preserve"> </w:t>
      </w:r>
      <w:r>
        <w:t xml:space="preserve">Comparison</w:t>
      </w:r>
      <w:r>
        <w:t xml:space="preserve"> </w:t>
      </w:r>
      <w:r>
        <w:t xml:space="preserve">of measures</w:t>
      </w:r>
      <w:r>
        <w:t xml:space="preserve"> </w:t>
      </w:r>
      <w:r>
        <w:t xml:space="preserve">on the type</w:t>
      </w:r>
      <w:r>
        <w:t xml:space="preserve"> </w:t>
      </w:r>
      <w:r>
        <w:t xml:space="preserve">of support</w:t>
      </w:r>
      <w:r>
        <w:t xml:space="preserve"> </w:t>
      </w:r>
      <w:r>
        <w:t xml:space="preserve">provided.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Lower level of cost efficiency</w:t>
      </w:r>
      <w:r>
        <w:t xml:space="preserve"> </w:t>
      </w:r>
      <w:r>
        <w:t xml:space="preserve">because a static support level can</w:t>
      </w:r>
      <w:r>
        <w:t xml:space="preserve"> </w:t>
      </w:r>
      <w:r>
        <w:t xml:space="preserve">lead to overcompensation and the</w:t>
      </w:r>
      <w:r>
        <w:t xml:space="preserve"> </w:t>
      </w:r>
      <w:r>
        <w:t xml:space="preserve">price and cost risks remaining</w:t>
      </w:r>
      <w:r>
        <w:t xml:space="preserve"> </w:t>
      </w:r>
      <w:r>
        <w:t xml:space="preserve">with the project will increase its</w:t>
      </w:r>
      <w:r>
        <w:t xml:space="preserve"> </w:t>
      </w:r>
      <w:r>
        <w:t xml:space="preserve">cost of capital.</w:t>
      </w:r>
      <w:r>
        <w:t xml:space="preserve"> </w:t>
      </w:r>
      <w:r>
        <w:t xml:space="preserve">On the other hand, the investors</w:t>
      </w:r>
      <w:r>
        <w:t xml:space="preserve"> </w:t>
      </w:r>
      <w:r>
        <w:t xml:space="preserve">see predictable funding inflows</w:t>
      </w:r>
      <w:r>
        <w:t xml:space="preserve"> </w:t>
      </w:r>
      <w:r>
        <w:t xml:space="preserve">which provide simplicity and</w:t>
      </w:r>
      <w:r>
        <w:t xml:space="preserve"> </w:t>
      </w:r>
      <w:r>
        <w:t xml:space="preserve">predictability. Efficiency will</w:t>
      </w:r>
      <w:r>
        <w:t xml:space="preserve"> </w:t>
      </w:r>
      <w:r>
        <w:t xml:space="preserve">depend on very granular design</w:t>
      </w:r>
      <w:r>
        <w:t xml:space="preserve"> </w:t>
      </w:r>
      <w:r>
        <w:t xml:space="preserve">features (how is the grant</w:t>
      </w:r>
      <w:r>
        <w:t xml:space="preserve"> </w:t>
      </w:r>
      <w:r>
        <w:t xml:space="preserve">calculated, are there upfront</w:t>
      </w:r>
      <w:r>
        <w:t xml:space="preserve"> </w:t>
      </w:r>
      <w:r>
        <w:t xml:space="preserve">payments, how is the premium</w:t>
      </w:r>
      <w:r>
        <w:t xml:space="preserve"> </w:t>
      </w:r>
      <w:r>
        <w:t xml:space="preserve">defined etc). All of these features</w:t>
      </w:r>
      <w:r>
        <w:t xml:space="preserve"> </w:t>
      </w:r>
      <w:r>
        <w:t xml:space="preserve">will influence the project’s risk</w:t>
      </w:r>
      <w:r>
        <w:t xml:space="preserve"> </w:t>
      </w:r>
      <w:r>
        <w:t xml:space="preserve">profile and influence the cost of</w:t>
      </w:r>
      <w:r>
        <w:t xml:space="preserve"> </w:t>
      </w:r>
      <w:r>
        <w:t xml:space="preserve">capital.</w:t>
      </w:r>
      <w:r>
        <w:t xml:space="preserve"> </w:t>
      </w:r>
      <w:r>
        <w:t xml:space="preserve">The likely effect on private</w:t>
      </w:r>
      <w:r>
        <w:t xml:space="preserve"> </w:t>
      </w:r>
      <w:r>
        <w:t xml:space="preserve">investment mobilised and GHG</w:t>
      </w:r>
      <w:r>
        <w:t xml:space="preserve"> </w:t>
      </w:r>
      <w:r>
        <w:t xml:space="preserve">abatement will depend on this</w:t>
      </w:r>
      <w:r>
        <w:t xml:space="preserve"> </w:t>
      </w:r>
      <w:r>
        <w:t xml:space="preserve">more granular design.</w:t>
      </w:r>
      <w:r>
        <w:t xml:space="preserve"> </w:t>
      </w:r>
      <w:r>
        <w:t xml:space="preserve">Highest cost-efficiency</w:t>
      </w:r>
      <w:r>
        <w:t xml:space="preserve"> </w:t>
      </w:r>
      <w:r>
        <w:t xml:space="preserve">compared to other</w:t>
      </w:r>
      <w:r>
        <w:t xml:space="preserve"> </w:t>
      </w:r>
      <w:r>
        <w:t xml:space="preserve">measures as variable</w:t>
      </w:r>
      <w:r>
        <w:t xml:space="preserve"> </w:t>
      </w:r>
      <w:r>
        <w:t xml:space="preserve">premium adapts to market</w:t>
      </w:r>
      <w:r>
        <w:t xml:space="preserve"> </w:t>
      </w:r>
      <w:r>
        <w:t xml:space="preserve">conditions and avoids</w:t>
      </w:r>
      <w:r>
        <w:t xml:space="preserve"> </w:t>
      </w:r>
      <w:r>
        <w:t xml:space="preserve">overcompensation.</w:t>
      </w:r>
      <w:r>
        <w:t xml:space="preserve"> </w:t>
      </w:r>
      <w:r>
        <w:t xml:space="preserve">The likely effect on</w:t>
      </w:r>
      <w:r>
        <w:t xml:space="preserve"> </w:t>
      </w:r>
      <w:r>
        <w:t xml:space="preserve">private investment</w:t>
      </w:r>
      <w:r>
        <w:t xml:space="preserve"> </w:t>
      </w:r>
      <w:r>
        <w:t xml:space="preserve">mobilised and GHG</w:t>
      </w:r>
      <w:r>
        <w:t xml:space="preserve"> </w:t>
      </w:r>
      <w:r>
        <w:t xml:space="preserve">abatement is higher.</w:t>
      </w:r>
      <w:r>
        <w:t xml:space="preserve"> </w:t>
      </w:r>
      <w:r>
        <w:t xml:space="preserve">Highest 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Lower level of</w:t>
      </w:r>
      <w:r>
        <w:t xml:space="preserve"> </w:t>
      </w:r>
      <w:r>
        <w:t xml:space="preserve">cost efficiency.</w:t>
      </w:r>
      <w:r>
        <w:t xml:space="preserve"> </w:t>
      </w:r>
      <w:r>
        <w:t xml:space="preserve">A static support</w:t>
      </w:r>
      <w:r>
        <w:t xml:space="preserve"> </w:t>
      </w:r>
      <w:r>
        <w:t xml:space="preserve">level can lead to</w:t>
      </w:r>
      <w:r>
        <w:t xml:space="preserve"> </w:t>
      </w:r>
      <w:r>
        <w:t xml:space="preserve">overcompensatio</w:t>
      </w:r>
      <w:r>
        <w:t xml:space="preserve"> </w:t>
      </w:r>
      <w:r>
        <w:t xml:space="preserve">n but if the</w:t>
      </w:r>
      <w:r>
        <w:t xml:space="preserve"> </w:t>
      </w:r>
      <w:r>
        <w:t xml:space="preserve">market situation</w:t>
      </w:r>
      <w:r>
        <w:t xml:space="preserve"> </w:t>
      </w:r>
      <w:r>
        <w:t xml:space="preserve">is adverse, price</w:t>
      </w:r>
      <w:r>
        <w:t xml:space="preserve"> </w:t>
      </w:r>
      <w:r>
        <w:t xml:space="preserve">and cost risks</w:t>
      </w:r>
      <w:r>
        <w:t xml:space="preserve"> </w:t>
      </w:r>
      <w:r>
        <w:t xml:space="preserve">remain with the</w:t>
      </w:r>
      <w:r>
        <w:t xml:space="preserve"> </w:t>
      </w:r>
      <w:r>
        <w:t xml:space="preserve">project will</w:t>
      </w:r>
      <w:r>
        <w:t xml:space="preserve"> </w:t>
      </w:r>
      <w:r>
        <w:t xml:space="preserve">increase its cost</w:t>
      </w:r>
      <w:r>
        <w:t xml:space="preserve"> </w:t>
      </w:r>
      <w:r>
        <w:t xml:space="preserve">of capital.</w:t>
      </w:r>
      <w:r>
        <w:t xml:space="preserve"> </w:t>
      </w:r>
      <w:r>
        <w:t xml:space="preserve">Depending on the</w:t>
      </w:r>
      <w:r>
        <w:t xml:space="preserve"> </w:t>
      </w:r>
      <w:r>
        <w:t xml:space="preserve">granular design</w:t>
      </w:r>
      <w:r>
        <w:t xml:space="preserve"> </w:t>
      </w:r>
      <w:r>
        <w:t xml:space="preserve">there can be very</w:t>
      </w:r>
      <w:r>
        <w:t xml:space="preserve"> </w:t>
      </w:r>
      <w:r>
        <w:t xml:space="preserve">different impact.</w:t>
      </w:r>
      <w:r>
        <w:t xml:space="preserve"> </w:t>
      </w:r>
      <w:r>
        <w:t xml:space="preserve">The likely effect</w:t>
      </w:r>
      <w:r>
        <w:t xml:space="preserve"> </w:t>
      </w:r>
      <w:r>
        <w:t xml:space="preserve">on private</w:t>
      </w:r>
      <w:r>
        <w:t xml:space="preserve"> </w:t>
      </w:r>
      <w:r>
        <w:t xml:space="preserve">investment</w:t>
      </w:r>
      <w:r>
        <w:t xml:space="preserve"> </w:t>
      </w:r>
      <w:r>
        <w:t xml:space="preserve">mobilised and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Lower burden for the</w:t>
      </w:r>
      <w:r>
        <w:t xml:space="preserve"> </w:t>
      </w:r>
      <w:r>
        <w:t xml:space="preserve">administration that provide the</w:t>
      </w:r>
      <w:r>
        <w:t xml:space="preserve"> </w:t>
      </w:r>
      <w:r>
        <w:t xml:space="preserve">support.</w:t>
      </w:r>
      <w:r>
        <w:t xml:space="preserve"> </w:t>
      </w:r>
      <w:r>
        <w:t xml:space="preserve">GHG abatement</w:t>
      </w:r>
      <w:r>
        <w:t xml:space="preserve"> </w:t>
      </w:r>
      <w:r>
        <w:t xml:space="preserve">is lower.</w:t>
      </w:r>
      <w:r>
        <w:t xml:space="preserve"> </w:t>
      </w:r>
      <w:r>
        <w:t xml:space="preserve">Lower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Comparison</w:t>
      </w:r>
      <w:r>
        <w:t xml:space="preserve"> </w:t>
      </w:r>
      <w:r>
        <w:t xml:space="preserve">of measures</w:t>
      </w:r>
      <w:r>
        <w:t xml:space="preserve"> </w:t>
      </w:r>
      <w:r>
        <w:t xml:space="preserve">on the</w:t>
      </w:r>
      <w:r>
        <w:t xml:space="preserve"> </w:t>
      </w:r>
      <w:r>
        <w:t xml:space="preserve">geographica</w:t>
      </w:r>
      <w:r>
        <w:t xml:space="preserve"> </w:t>
      </w:r>
      <w:r>
        <w:t xml:space="preserve">l balance</w:t>
      </w:r>
      <w:r>
        <w:t xml:space="preserve"> </w:t>
      </w:r>
      <w:r>
        <w:t xml:space="preserve">Measure GB.1:</w:t>
      </w:r>
      <w:r>
        <w:t xml:space="preserve"> </w:t>
      </w:r>
      <w:r>
        <w:t xml:space="preserve">EU-level</w:t>
      </w:r>
      <w:r>
        <w:t xml:space="preserve"> </w:t>
      </w:r>
      <w:r>
        <w:t xml:space="preserve">competition</w:t>
      </w:r>
      <w:r>
        <w:t xml:space="preserve"> </w:t>
      </w:r>
      <w:r>
        <w:t xml:space="preserve">Measure</w:t>
      </w:r>
      <w:r>
        <w:t xml:space="preserve"> </w:t>
      </w:r>
      <w:r>
        <w:t xml:space="preserve">GB.2:</w:t>
      </w:r>
      <w:r>
        <w:t xml:space="preserve"> </w:t>
      </w:r>
      <w:r>
        <w:t xml:space="preserve">National</w:t>
      </w:r>
      <w:r>
        <w:t xml:space="preserve"> </w:t>
      </w:r>
      <w:r>
        <w:t xml:space="preserve">allocations</w:t>
      </w:r>
      <w:r>
        <w:t xml:space="preserve"> </w:t>
      </w:r>
      <w:r>
        <w:t xml:space="preserve">for MS in</w:t>
      </w:r>
      <w:r>
        <w:t xml:space="preserve"> </w:t>
      </w:r>
      <w:r>
        <w:t xml:space="preserve">terms of</w:t>
      </w:r>
      <w:r>
        <w:t xml:space="preserve"> </w:t>
      </w:r>
      <w:r>
        <w:t xml:space="preserve">overall IDB</w:t>
      </w:r>
      <w:r>
        <w:t xml:space="preserve"> </w:t>
      </w:r>
      <w:r>
        <w:t xml:space="preserve">spending</w:t>
      </w:r>
      <w:r>
        <w:br/>
      </w:r>
      <w:r>
        <w:t xml:space="preserve">Measure GB.3: A part of the budget for</w:t>
      </w:r>
      <w:r>
        <w:t xml:space="preserve"> </w:t>
      </w:r>
      <w:r>
        <w:t xml:space="preserve">EU-level competition and another part of</w:t>
      </w:r>
      <w:r>
        <w:t xml:space="preserve"> </w:t>
      </w:r>
      <w:r>
        <w:t xml:space="preserve">the budget for national allocations</w:t>
      </w:r>
      <w:r>
        <w:br/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The best</w:t>
      </w:r>
      <w:r>
        <w:t xml:space="preserve"> </w:t>
      </w:r>
      <w:r>
        <w:t xml:space="preserve">efficiency</w:t>
      </w:r>
      <w:r>
        <w:t xml:space="preserve"> </w:t>
      </w:r>
      <w:r>
        <w:t xml:space="preserve">achieved due to</w:t>
      </w:r>
      <w:r>
        <w:t xml:space="preserve"> </w:t>
      </w:r>
      <w:r>
        <w:t xml:space="preserve">EU-level</w:t>
      </w:r>
      <w:r>
        <w:t xml:space="preserve"> </w:t>
      </w:r>
      <w:r>
        <w:t xml:space="preserve">competitions that</w:t>
      </w:r>
      <w:r>
        <w:t xml:space="preserve"> </w:t>
      </w:r>
      <w:r>
        <w:t xml:space="preserve">favours the most</w:t>
      </w:r>
      <w:r>
        <w:t xml:space="preserve"> </w:t>
      </w:r>
      <w:r>
        <w:t xml:space="preserve">mature projects,</w:t>
      </w:r>
      <w:r>
        <w:t xml:space="preserve"> </w:t>
      </w:r>
      <w:r>
        <w:t xml:space="preserve">with the best</w:t>
      </w:r>
      <w:r>
        <w:t xml:space="preserve"> </w:t>
      </w:r>
      <w:r>
        <w:t xml:space="preserve">locations,</w:t>
      </w:r>
      <w:r>
        <w:t xml:space="preserve"> </w:t>
      </w:r>
      <w:r>
        <w:t xml:space="preserve">benefiting from</w:t>
      </w:r>
      <w:r>
        <w:t xml:space="preserve"> </w:t>
      </w:r>
      <w:r>
        <w:t xml:space="preserve">the favourable</w:t>
      </w:r>
      <w:r>
        <w:t xml:space="preserve"> </w:t>
      </w:r>
      <w:r>
        <w:t xml:space="preserve">national industrial</w:t>
      </w:r>
      <w:r>
        <w:t xml:space="preserve"> </w:t>
      </w:r>
      <w:r>
        <w:t xml:space="preserve">structures and</w:t>
      </w:r>
      <w:r>
        <w:t xml:space="preserve"> </w:t>
      </w:r>
      <w:r>
        <w:t xml:space="preserve">national policies.</w:t>
      </w:r>
      <w:r>
        <w:t xml:space="preserve"> </w:t>
      </w:r>
      <w:r>
        <w:t xml:space="preserve">In the long term,</w:t>
      </w:r>
      <w:r>
        <w:t xml:space="preserve"> </w:t>
      </w:r>
      <w:r>
        <w:t xml:space="preserve">this measure can</w:t>
      </w:r>
      <w:r>
        <w:t xml:space="preserve"> </w:t>
      </w:r>
      <w:r>
        <w:t xml:space="preserve">lead to missing</w:t>
      </w:r>
      <w:r>
        <w:t xml:space="preserve"> </w:t>
      </w:r>
      <w:r>
        <w:t xml:space="preserve">some</w:t>
      </w:r>
      <w:r>
        <w:t xml:space="preserve"> </w:t>
      </w:r>
      <w:r>
        <w:t xml:space="preserve">opportunities in</w:t>
      </w:r>
      <w:r>
        <w:t xml:space="preserve"> </w:t>
      </w:r>
      <w:r>
        <w:t xml:space="preserve">countries/regions</w:t>
      </w:r>
      <w:r>
        <w:t xml:space="preserve"> </w:t>
      </w:r>
      <w:r>
        <w:t xml:space="preserve">that are hampered</w:t>
      </w:r>
      <w:r>
        <w:t xml:space="preserve"> </w:t>
      </w:r>
      <w:r>
        <w:t xml:space="preserve">by lack 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capacity/lack of</w:t>
      </w:r>
      <w:r>
        <w:t xml:space="preserve"> </w:t>
      </w:r>
      <w:r>
        <w:t xml:space="preserve">innovation</w:t>
      </w:r>
      <w:r>
        <w:t xml:space="preserve"> </w:t>
      </w:r>
      <w:r>
        <w:t xml:space="preserve">ecosystem rather</w:t>
      </w:r>
      <w:r>
        <w:t xml:space="preserve"> </w:t>
      </w:r>
      <w:r>
        <w:t xml:space="preserve">than structural</w:t>
      </w:r>
      <w:r>
        <w:t xml:space="preserve"> </w:t>
      </w:r>
      <w:r>
        <w:t xml:space="preserve">factors of their</w:t>
      </w:r>
      <w:r>
        <w:t xml:space="preserve"> </w:t>
      </w:r>
      <w:r>
        <w:t xml:space="preserve">industry/economy</w:t>
      </w:r>
      <w:r>
        <w:t xml:space="preserve"> </w:t>
      </w:r>
      <w:r>
        <w:t xml:space="preserve">.</w:t>
      </w:r>
      <w:r>
        <w:t xml:space="preserve"> </w:t>
      </w:r>
      <w:r>
        <w:t xml:space="preserve">The least</w:t>
      </w:r>
      <w:r>
        <w:t xml:space="preserve"> </w:t>
      </w:r>
      <w:r>
        <w:t xml:space="preserve">efficient</w:t>
      </w:r>
      <w:r>
        <w:t xml:space="preserve"> </w:t>
      </w:r>
      <w:r>
        <w:t xml:space="preserve">measure</w:t>
      </w:r>
      <w:r>
        <w:t xml:space="preserve"> </w:t>
      </w:r>
      <w:r>
        <w:t xml:space="preserve">because it</w:t>
      </w:r>
      <w:r>
        <w:t xml:space="preserve"> </w:t>
      </w:r>
      <w:r>
        <w:t xml:space="preserve">does not</w:t>
      </w:r>
      <w:r>
        <w:t xml:space="preserve"> </w:t>
      </w:r>
      <w:r>
        <w:t xml:space="preserve">benefit from</w:t>
      </w:r>
      <w:r>
        <w:t xml:space="preserve"> </w:t>
      </w:r>
      <w:r>
        <w:t xml:space="preserve">the EU-level</w:t>
      </w:r>
      <w:r>
        <w:t xml:space="preserve"> </w:t>
      </w:r>
      <w:r>
        <w:t xml:space="preserve">competition.</w:t>
      </w:r>
      <w:r>
        <w:t xml:space="preserve"> </w:t>
      </w:r>
      <w:r>
        <w:t xml:space="preserve">The ‘second best’ measure which draws to</w:t>
      </w:r>
      <w:r>
        <w:t xml:space="preserve"> </w:t>
      </w:r>
      <w:r>
        <w:t xml:space="preserve">large extent the benefits of the EU-level</w:t>
      </w:r>
      <w:r>
        <w:t xml:space="preserve"> </w:t>
      </w:r>
      <w:r>
        <w:t xml:space="preserve">competitions and yet safeguards part of</w:t>
      </w:r>
      <w:r>
        <w:t xml:space="preserve"> </w:t>
      </w:r>
      <w:r>
        <w:t xml:space="preserve">funding for national project. Possibly it avoids</w:t>
      </w:r>
      <w:r>
        <w:t xml:space="preserve"> </w:t>
      </w:r>
      <w:r>
        <w:t xml:space="preserve">missing opportunities in terms of unlocking</w:t>
      </w:r>
      <w:r>
        <w:t xml:space="preserve"> </w:t>
      </w:r>
      <w:r>
        <w:t xml:space="preserve">the potential of all EU MS in terms of</w:t>
      </w:r>
      <w:r>
        <w:t xml:space="preserve"> </w:t>
      </w:r>
      <w:r>
        <w:t xml:space="preserve">industrial decarbonisation.</w:t>
      </w:r>
      <w:r>
        <w:t xml:space="preserve"> </w:t>
      </w:r>
      <w:r>
        <w:t xml:space="preserve">3.4.2.3.</w:t>
      </w:r>
      <w:r>
        <w:t xml:space="preserve"> </w:t>
      </w:r>
      <w:r>
        <w:t xml:space="preserve">Coherence</w:t>
      </w:r>
      <w:r>
        <w:t xml:space="preserve"> </w:t>
      </w:r>
      <w:r>
        <w:t xml:space="preserve">In general, there will be a strong interplay between the IDB and other climate and energy</w:t>
      </w:r>
      <w:r>
        <w:t xml:space="preserve"> </w:t>
      </w:r>
      <w:r>
        <w:t xml:space="preserve">policies that will be implemented to reach the 2040 climate target and 2050 climate neutrality.</w:t>
      </w:r>
      <w:r>
        <w:t xml:space="preserve"> </w:t>
      </w:r>
      <w:r>
        <w:t xml:space="preserve">The IDB will not be adding to the level of ambition of these targets and policies but will be an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enabler, by addressing the lack of business case of the industrial decarbonisation projects. As</w:t>
      </w:r>
      <w:r>
        <w:t xml:space="preserve"> </w:t>
      </w:r>
      <w:r>
        <w:t xml:space="preserve">a general rule, the stronger the policies and/or their implementation, the lighter the amount of</w:t>
      </w:r>
      <w:r>
        <w:t xml:space="preserve"> </w:t>
      </w:r>
      <w:r>
        <w:t xml:space="preserve">support to be provided by the IDB. Typically, with strong carbon prices and mandates for</w:t>
      </w:r>
      <w:r>
        <w:t xml:space="preserve"> </w:t>
      </w:r>
      <w:r>
        <w:t xml:space="preserve">energy efficiency and renewables, the support of the IDB will need to be less onerous and can</w:t>
      </w:r>
      <w:r>
        <w:t xml:space="preserve"> </w:t>
      </w:r>
      <w:r>
        <w:t xml:space="preserve">shift more towards income stabilisation.</w:t>
      </w:r>
      <w:r>
        <w:t xml:space="preserve"> </w:t>
      </w:r>
      <w:r>
        <w:t xml:space="preserve">As to interaction with other enabling policies that support the investments, the synergies should</w:t>
      </w:r>
      <w:r>
        <w:t xml:space="preserve"> </w:t>
      </w:r>
      <w:r>
        <w:t xml:space="preserve">be sought in order to maximise their combined impact taking into account the magnitude of the</w:t>
      </w:r>
      <w:r>
        <w:t xml:space="preserve"> </w:t>
      </w:r>
      <w:r>
        <w:t xml:space="preserve">investment challenge. The main interaction will take place with other funding instruments on</w:t>
      </w:r>
      <w:r>
        <w:t xml:space="preserve"> </w:t>
      </w:r>
      <w:r>
        <w:t xml:space="preserve">the EU and national level. On the EU level, the final design of the European Competitiveness</w:t>
      </w:r>
      <w:r>
        <w:t xml:space="preserve"> </w:t>
      </w:r>
      <w:r>
        <w:t xml:space="preserve">Fund (ECF) will be of key importance and common governance of the ECF with the IDB will</w:t>
      </w:r>
      <w:r>
        <w:t xml:space="preserve"> </w:t>
      </w:r>
      <w:r>
        <w:t xml:space="preserve">help to ensure synergies. An example of avoiding overlaps could be focusing the IDB on EII</w:t>
      </w:r>
      <w:r>
        <w:t xml:space="preserve"> </w:t>
      </w:r>
      <w:r>
        <w:t xml:space="preserve">projects that require a grant and the ECF on EII projects that require other financial instruments.</w:t>
      </w:r>
      <w:r>
        <w:t xml:space="preserve"> </w:t>
      </w:r>
      <w:r>
        <w:t xml:space="preserve">Another example could be assessment and necessary adjustment between the respective work</w:t>
      </w:r>
      <w:r>
        <w:t xml:space="preserve"> </w:t>
      </w:r>
      <w:r>
        <w:t xml:space="preserve">programmes/funding rounds of the IDB and ECF that would minimise the interplay. The</w:t>
      </w:r>
      <w:r>
        <w:t xml:space="preserve"> </w:t>
      </w:r>
      <w:r>
        <w:t xml:space="preserve">respective rules on combined support would ensure that there is no ‘double funding’. Interplay</w:t>
      </w:r>
      <w:r>
        <w:t xml:space="preserve"> </w:t>
      </w:r>
      <w:r>
        <w:t xml:space="preserve">with national support mechanisms (mostly taking form of State aid) will also be important.</w:t>
      </w:r>
      <w:r>
        <w:t xml:space="preserve"> </w:t>
      </w:r>
      <w:r>
        <w:t xml:space="preserve">This can be discussed at relevant fora with the MS and, as a minimum, the State aid/IDB rules</w:t>
      </w:r>
      <w:r>
        <w:t xml:space="preserve"> </w:t>
      </w:r>
      <w:r>
        <w:t xml:space="preserve">on combined support would ensure no overcompensation. The most efficient approach has</w:t>
      </w:r>
      <w:r>
        <w:t xml:space="preserve"> </w:t>
      </w:r>
      <w:r>
        <w:t xml:space="preserve">already been pioneered by the ‘as-a-service’ feature of the IF calls for proposals, whereby MS</w:t>
      </w:r>
      <w:r>
        <w:t xml:space="preserve"> </w:t>
      </w:r>
      <w:r>
        <w:t xml:space="preserve">can use the IF evaluation process and benefit from the EU-level competition in order to support</w:t>
      </w:r>
      <w:r>
        <w:t xml:space="preserve"> </w:t>
      </w:r>
      <w:r>
        <w:t xml:space="preserve">project located on their territory. Prioritisation of the use of EU ETS national revenues to</w:t>
      </w:r>
      <w:r>
        <w:t xml:space="preserve"> </w:t>
      </w:r>
      <w:r>
        <w:t xml:space="preserve">support projects in the scope of the EU ETS, notably via ‘topping up’ the EU ETS funds (e.g. </w:t>
      </w:r>
      <w:r>
        <w:t xml:space="preserve"> </w:t>
      </w:r>
      <w:r>
        <w:t xml:space="preserve">IDB, IF, MF) would also increase the coherence between the national and EU-level funding.</w:t>
      </w:r>
      <w:r>
        <w:t xml:space="preserve"> </w:t>
      </w:r>
      <w:r>
        <w:t xml:space="preserve">Finally, IDB will interact with other instruments that influence the business case of the</w:t>
      </w:r>
      <w:r>
        <w:t xml:space="preserve"> </w:t>
      </w:r>
      <w:r>
        <w:t xml:space="preserve">decarbonisation projects, notably the (Conditional) Free Allocation (FA), CBAM and indirect</w:t>
      </w:r>
      <w:r>
        <w:t xml:space="preserve"> </w:t>
      </w:r>
      <w:r>
        <w:t xml:space="preserve">costs compensation (ICC). All those instruments improve the business case of the</w:t>
      </w:r>
      <w:r>
        <w:t xml:space="preserve"> </w:t>
      </w:r>
      <w:r>
        <w:t xml:space="preserve">decarbonisation projects, so they have to be considered when sizing the IDB levels of support.</w:t>
      </w:r>
      <w:r>
        <w:t xml:space="preserve"> </w:t>
      </w:r>
      <w:r>
        <w:t xml:space="preserve">For example, today the IF (or many State aid schemes) require the funding gap analysis for</w:t>
      </w:r>
      <w:r>
        <w:t xml:space="preserve"> </w:t>
      </w:r>
      <w:r>
        <w:t xml:space="preserve">projects to be supported that explicitly takes into account:</w:t>
      </w:r>
      <w:r>
        <w:t xml:space="preserve"> </w:t>
      </w:r>
      <w:r>
        <w:t xml:space="preserve">-</w:t>
      </w:r>
      <w:r>
        <w:t xml:space="preserve"> </w:t>
      </w:r>
      <w:r>
        <w:t xml:space="preserve">costs of electricity (with ICC, if relevant),</w:t>
      </w:r>
      <w:r>
        <w:br/>
      </w:r>
      <w:r>
        <w:t xml:space="preserve">-</w:t>
      </w:r>
      <w:r>
        <w:t xml:space="preserve"> </w:t>
      </w:r>
      <w:r>
        <w:t xml:space="preserve">revenue from the sale of final products (with CBAM affecting the prices offered by</w:t>
      </w:r>
      <w:r>
        <w:t xml:space="preserve"> </w:t>
      </w:r>
      <w:r>
        <w:t xml:space="preserve">importers, if relevant)</w:t>
      </w:r>
      <w:r>
        <w:t xml:space="preserve"> </w:t>
      </w:r>
      <w:r>
        <w:t xml:space="preserve">-</w:t>
      </w:r>
      <w:r>
        <w:t xml:space="preserve"> </w:t>
      </w:r>
      <w:r>
        <w:t xml:space="preserve">Free Allocation (both for the project itself and its competitors)</w:t>
      </w:r>
      <w:r>
        <w:t xml:space="preserve"> </w:t>
      </w:r>
      <w:r>
        <w:t xml:space="preserve">Similar approach could be applied when sizing the fixed premia (based on funding gap</w:t>
      </w:r>
      <w:r>
        <w:t xml:space="preserve"> </w:t>
      </w:r>
      <w:r>
        <w:t xml:space="preserve">estimation of an illustrative projects considering ICC, FA and CBAM) and would naturally</w:t>
      </w:r>
      <w:r>
        <w:t xml:space="preserve"> </w:t>
      </w:r>
      <w:r>
        <w:t xml:space="preserve">happen in the competitive bidding process where projects are incentivised to reveal their true</w:t>
      </w:r>
      <w:r>
        <w:t xml:space="preserve"> </w:t>
      </w:r>
      <w:r>
        <w:t xml:space="preserve">costs in order to put an attractive bid that is likely to be awarded. It can be expected that an</w:t>
      </w:r>
      <w:r>
        <w:t xml:space="preserve"> </w:t>
      </w:r>
      <w:r>
        <w:t xml:space="preserve">implementation of the ICC, (conditional) FA and CBAM that is strongly oriented towards</w:t>
      </w:r>
      <w:r>
        <w:t xml:space="preserve"> </w:t>
      </w:r>
      <w:r>
        <w:t xml:space="preserve">investment support will reduce the amount of support to be provided by the IDB. Consequently,</w:t>
      </w:r>
      <w:r>
        <w:t xml:space="preserve"> </w:t>
      </w:r>
      <w:r>
        <w:t xml:space="preserve">IDB could support more projects with smaller amounts and deliver overall bigger abatement</w:t>
      </w:r>
      <w:r>
        <w:t xml:space="preserve"> </w:t>
      </w:r>
      <w:r>
        <w:t xml:space="preserve">(than what is discussed in Section 3.4.1.2 Expected GHG abatements). Larger group of sectors</w:t>
      </w:r>
      <w:r>
        <w:t xml:space="preserve"> </w:t>
      </w:r>
      <w:r>
        <w:t xml:space="preserve">could therefore become beneficiaries of the IDB earlier on with positive spillover effects on</w:t>
      </w:r>
      <w:r>
        <w:t xml:space="preserve"> </w:t>
      </w:r>
      <w:r>
        <w:t xml:space="preserve">the downstream sector.</w:t>
      </w:r>
      <w:r>
        <w:t xml:space="preserve"> </w:t>
      </w:r>
      <w:r>
        <w:t xml:space="preserve">To be noted that the investments eligible under the conditional FA would be similar to ones</w:t>
      </w:r>
      <w:r>
        <w:t xml:space="preserve"> </w:t>
      </w:r>
      <w:r>
        <w:t xml:space="preserve">eligible for IDB support. In such case, it could be envisaged that the installation that receives</w:t>
      </w:r>
      <w:r>
        <w:t xml:space="preserve"> </w:t>
      </w:r>
      <w:r>
        <w:t xml:space="preserve">the IDB support is considered to automatically fulfil the FA conditionality.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In the tables below measures are compered in terms of their coherence with other EU initiatives.</w:t>
      </w:r>
      <w:r>
        <w:t xml:space="preserve"> </w:t>
      </w:r>
      <w:r>
        <w:t xml:space="preserve">In terms of coherence the measures on geographical balance or type of support make little</w:t>
      </w:r>
      <w:r>
        <w:t xml:space="preserve"> </w:t>
      </w:r>
      <w:r>
        <w:t xml:space="preserve">difference. Only possible unintended consequences are discussed for the type of support and</w:t>
      </w:r>
      <w:r>
        <w:t xml:space="preserve"> </w:t>
      </w:r>
      <w:r>
        <w:t xml:space="preserve">coherence is not discussed for measures on geographical balance (too small differences to be</w:t>
      </w:r>
      <w:r>
        <w:t xml:space="preserve"> </w:t>
      </w:r>
      <w:r>
        <w:t xml:space="preserve">highlighted). Some subtle differences depending on allocation mechanism are identified below.</w:t>
      </w:r>
      <w:r>
        <w:br/>
      </w:r>
      <w:r>
        <w:t xml:space="preserve">Table 5:</w:t>
      </w:r>
      <w:r>
        <w:t xml:space="preserve"> </w:t>
      </w:r>
      <w:r>
        <w:t xml:space="preserve">Coherence of measures on allocation mechanism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AM.1: multi-</w:t>
      </w:r>
      <w:r>
        <w:t xml:space="preserve"> </w:t>
      </w:r>
      <w:r>
        <w:t xml:space="preserve">criteria call</w:t>
      </w:r>
      <w:r>
        <w:t xml:space="preserve"> </w:t>
      </w:r>
      <w:r>
        <w:t xml:space="preserve">for proposals</w:t>
      </w:r>
      <w:r>
        <w:t xml:space="preserve"> </w:t>
      </w:r>
      <w:r>
        <w:t xml:space="preserve">Measure AM.2:</w:t>
      </w:r>
      <w:r>
        <w:br/>
      </w:r>
      <w:r>
        <w:t xml:space="preserve">auctions</w:t>
      </w:r>
      <w:r>
        <w:t xml:space="preserve"> </w:t>
      </w:r>
      <w:r>
        <w:t xml:space="preserve">Measure AM.3:</w:t>
      </w:r>
      <w:r>
        <w:br/>
      </w:r>
      <w:r>
        <w:t xml:space="preserve">administrative</w:t>
      </w:r>
      <w:r>
        <w:t xml:space="preserve"> </w:t>
      </w:r>
      <w:r>
        <w:t xml:space="preserve">schemes</w:t>
      </w:r>
      <w:r>
        <w:t xml:space="preserve"> </w:t>
      </w:r>
      <w:r>
        <w:t xml:space="preserve">Measure: MS</w:t>
      </w:r>
      <w:r>
        <w:t xml:space="preserve"> </w:t>
      </w:r>
      <w:r>
        <w:t xml:space="preserve">propose a</w:t>
      </w:r>
      <w:r>
        <w:t xml:space="preserve"> </w:t>
      </w:r>
      <w:r>
        <w:t xml:space="preserve">shortlist</w:t>
      </w:r>
      <w:r>
        <w:t xml:space="preserve"> </w:t>
      </w:r>
      <w:r>
        <w:t xml:space="preserve">Coherence</w:t>
      </w:r>
      <w:r>
        <w:t xml:space="preserve"> </w:t>
      </w:r>
      <w:r>
        <w:t xml:space="preserve">with other EU</w:t>
      </w:r>
      <w:r>
        <w:t xml:space="preserve"> </w:t>
      </w:r>
      <w:r>
        <w:t xml:space="preserve">funding</w:t>
      </w:r>
      <w:r>
        <w:t xml:space="preserve"> </w:t>
      </w:r>
      <w:r>
        <w:t xml:space="preserve">programmes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Regardless of the instrument chosen, IDB will focus on:</w:t>
      </w:r>
      <w:r>
        <w:t xml:space="preserve"> </w:t>
      </w:r>
      <w:r>
        <w:t xml:space="preserve">•</w:t>
      </w:r>
      <w:r>
        <w:t xml:space="preserve"> </w:t>
      </w:r>
      <w:r>
        <w:t xml:space="preserve">decarbonisation of EII</w:t>
      </w:r>
      <w:r>
        <w:t xml:space="preserve"> </w:t>
      </w:r>
      <w:r>
        <w:t xml:space="preserve">•</w:t>
      </w:r>
      <w:r>
        <w:t xml:space="preserve"> </w:t>
      </w:r>
      <w:r>
        <w:t xml:space="preserve">decarbonisation technologies going beyond</w:t>
      </w:r>
      <w:r>
        <w:t xml:space="preserve"> </w:t>
      </w:r>
      <w:r>
        <w:t xml:space="preserve">FOAK, i.e. scale-up and roll-out of technologies</w:t>
      </w:r>
      <w:r>
        <w:t xml:space="preserve"> </w:t>
      </w:r>
      <w:r>
        <w:t xml:space="preserve">that have been already demonstrated and</w:t>
      </w:r>
      <w:r>
        <w:t xml:space="preserve"> </w:t>
      </w:r>
      <w:r>
        <w:t xml:space="preserve">commercialised.</w:t>
      </w:r>
      <w:r>
        <w:t xml:space="preserve"> </w:t>
      </w:r>
      <w:r>
        <w:t xml:space="preserve">•</w:t>
      </w:r>
      <w:r>
        <w:t xml:space="preserve"> </w:t>
      </w:r>
      <w:r>
        <w:t xml:space="preserve">and projects that have a funding gap.</w:t>
      </w:r>
      <w:r>
        <w:t xml:space="preserve"> </w:t>
      </w:r>
      <w:r>
        <w:t xml:space="preserve">This stage in the ‘investment journey’ (from research to</w:t>
      </w:r>
      <w:r>
        <w:t xml:space="preserve"> </w:t>
      </w:r>
      <w:r>
        <w:t xml:space="preserve">deployment on EU-level) is currently addressed only in</w:t>
      </w:r>
      <w:r>
        <w:t xml:space="preserve"> </w:t>
      </w:r>
      <w:r>
        <w:t xml:space="preserve">very small extent by the IF (with insufficient resources)</w:t>
      </w:r>
      <w:r>
        <w:t xml:space="preserve"> </w:t>
      </w:r>
      <w:r>
        <w:t xml:space="preserve">and could potentially be addressed by ECF (also with</w:t>
      </w:r>
      <w:r>
        <w:t xml:space="preserve"> </w:t>
      </w:r>
      <w:r>
        <w:t xml:space="preserve">insufficient resources).</w:t>
      </w:r>
      <w:r>
        <w:t xml:space="preserve"> </w:t>
      </w:r>
      <w:r>
        <w:t xml:space="preserve">The internal coherence with continuation of the IF can be</w:t>
      </w:r>
      <w:r>
        <w:t xml:space="preserve"> </w:t>
      </w:r>
      <w:r>
        <w:t xml:space="preserve">ensured by restricting IF to FOAK kinds of projects. Also</w:t>
      </w:r>
      <w:r>
        <w:t xml:space="preserve"> </w:t>
      </w:r>
      <w:r>
        <w:t xml:space="preserve">coherence with ECF can be ensured by, for example,</w:t>
      </w:r>
      <w:r>
        <w:br/>
      </w:r>
      <w:r>
        <w:t xml:space="preserve">focusing ECF for EII for funding instruments other than</w:t>
      </w:r>
      <w:r>
        <w:t xml:space="preserve"> </w:t>
      </w:r>
      <w:r>
        <w:t xml:space="preserve">grants.</w:t>
      </w:r>
      <w:r>
        <w:t xml:space="preserve"> </w:t>
      </w:r>
      <w:r>
        <w:t xml:space="preserve">It depends on the</w:t>
      </w:r>
      <w:r>
        <w:t xml:space="preserve"> </w:t>
      </w:r>
      <w:r>
        <w:t xml:space="preserve">design chosen by</w:t>
      </w:r>
      <w:r>
        <w:t xml:space="preserve"> </w:t>
      </w:r>
      <w:r>
        <w:t xml:space="preserve">the MS to identify</w:t>
      </w:r>
      <w:r>
        <w:t xml:space="preserve"> </w:t>
      </w:r>
      <w:r>
        <w:t xml:space="preserve">the short-list, there</w:t>
      </w:r>
      <w:r>
        <w:t xml:space="preserve"> </w:t>
      </w:r>
      <w:r>
        <w:t xml:space="preserve">is potentially a risk</w:t>
      </w:r>
      <w:r>
        <w:t xml:space="preserve"> </w:t>
      </w:r>
      <w:r>
        <w:t xml:space="preserve">of overlaps with</w:t>
      </w:r>
      <w:r>
        <w:t xml:space="preserve"> </w:t>
      </w:r>
      <w:r>
        <w:t xml:space="preserve">EU funding</w:t>
      </w:r>
      <w:r>
        <w:t xml:space="preserve"> </w:t>
      </w:r>
      <w:r>
        <w:t xml:space="preserve">programmes.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with other</w:t>
      </w:r>
      <w:r>
        <w:t xml:space="preserve"> </w:t>
      </w:r>
      <w:r>
        <w:t xml:space="preserve">national</w:t>
      </w:r>
      <w:r>
        <w:t xml:space="preserve"> </w:t>
      </w:r>
      <w:r>
        <w:t xml:space="preserve">funding</w:t>
      </w:r>
      <w:r>
        <w:t xml:space="preserve"> </w:t>
      </w:r>
      <w:r>
        <w:t xml:space="preserve">programmes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Regardless of the instrument chosen, IDB can overlap with</w:t>
      </w:r>
      <w:r>
        <w:t xml:space="preserve"> </w:t>
      </w:r>
      <w:r>
        <w:t xml:space="preserve">national funding programmes.</w:t>
      </w:r>
      <w:r>
        <w:t xml:space="preserve"> </w:t>
      </w:r>
      <w:r>
        <w:t xml:space="preserve">This risk can be minimised by deploying an ‘as-a-service</w:t>
      </w:r>
      <w:r>
        <w:t xml:space="preserve"> </w:t>
      </w:r>
      <w:r>
        <w:t xml:space="preserve">feature’ redirecting national spending to the EU-level</w:t>
      </w:r>
      <w:r>
        <w:t xml:space="preserve"> </w:t>
      </w:r>
      <w:r>
        <w:t xml:space="preserve">instrument (see assessment of measures GB.1-C.4)</w:t>
      </w:r>
      <w:r>
        <w:t xml:space="preserve"> </w:t>
      </w:r>
      <w:r>
        <w:t xml:space="preserve">It depends on the</w:t>
      </w:r>
      <w:r>
        <w:t xml:space="preserve"> </w:t>
      </w:r>
      <w:r>
        <w:t xml:space="preserve">design chosen by</w:t>
      </w:r>
      <w:r>
        <w:t xml:space="preserve"> </w:t>
      </w:r>
      <w:r>
        <w:t xml:space="preserve">the MS to identify</w:t>
      </w:r>
      <w:r>
        <w:t xml:space="preserve"> </w:t>
      </w:r>
      <w:r>
        <w:t xml:space="preserve">the short-list but</w:t>
      </w:r>
      <w:r>
        <w:t xml:space="preserve"> </w:t>
      </w:r>
      <w:r>
        <w:t xml:space="preserve">MS should be able</w:t>
      </w:r>
      <w:r>
        <w:t xml:space="preserve"> </w:t>
      </w:r>
      <w:r>
        <w:t xml:space="preserve">to control better</w:t>
      </w:r>
      <w:r>
        <w:t xml:space="preserve"> </w:t>
      </w:r>
      <w:r>
        <w:t xml:space="preserve">the risk of overlaps</w:t>
      </w:r>
      <w:r>
        <w:t xml:space="preserve"> </w:t>
      </w:r>
      <w:r>
        <w:t xml:space="preserve">Coherence</w:t>
      </w:r>
      <w:r>
        <w:t xml:space="preserve"> </w:t>
      </w:r>
      <w:r>
        <w:t xml:space="preserve">with EU</w:t>
      </w:r>
      <w:r>
        <w:t xml:space="preserve"> </w:t>
      </w:r>
      <w:r>
        <w:t xml:space="preserve">initiatives and</w:t>
      </w:r>
      <w:r>
        <w:t xml:space="preserve"> </w:t>
      </w:r>
      <w:r>
        <w:t xml:space="preserve">policies</w:t>
      </w:r>
      <w:r>
        <w:t xml:space="preserve"> </w:t>
      </w:r>
      <w:r>
        <w:t xml:space="preserve">Regardless of measures chosen, IDB will work hand in hand with the EU ETS</w:t>
      </w:r>
      <w:r>
        <w:t xml:space="preserve"> </w:t>
      </w:r>
      <w:r>
        <w:t xml:space="preserve">and other regulatory decarbonisation measures.</w:t>
      </w:r>
      <w:r>
        <w:t xml:space="preserve"> </w:t>
      </w:r>
      <w:r>
        <w:t xml:space="preserve">It can also align with objectives of industrial policy (e.g. on resilience)</w:t>
      </w:r>
      <w:r>
        <w:t xml:space="preserve"> </w:t>
      </w:r>
      <w:r>
        <w:t xml:space="preserve">Possible</w:t>
      </w:r>
      <w:r>
        <w:t xml:space="preserve"> </w:t>
      </w:r>
      <w:r>
        <w:t xml:space="preserve">unintended</w:t>
      </w:r>
      <w:r>
        <w:t xml:space="preserve"> </w:t>
      </w:r>
      <w:r>
        <w:t xml:space="preserve">consequences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br/>
      </w:r>
      <w:r>
        <w:t xml:space="preserve">Risk that</w:t>
      </w:r>
      <w:r>
        <w:t xml:space="preserve"> </w:t>
      </w:r>
      <w:r>
        <w:t xml:space="preserve">multiple</w:t>
      </w:r>
      <w:r>
        <w:t xml:space="preserve"> </w:t>
      </w:r>
      <w:r>
        <w:t xml:space="preserve">Risk that uniform</w:t>
      </w:r>
      <w:r>
        <w:t xml:space="preserve"> </w:t>
      </w:r>
      <w:r>
        <w:t xml:space="preserve">rules will not fully</w:t>
      </w:r>
      <w:r>
        <w:t xml:space="preserve"> </w:t>
      </w:r>
      <w:r>
        <w:t xml:space="preserve">Risk of under- or</w:t>
      </w:r>
      <w:r>
        <w:t xml:space="preserve"> </w:t>
      </w:r>
      <w:r>
        <w:t xml:space="preserve">over-compensation</w:t>
      </w:r>
      <w:r>
        <w:t xml:space="preserve"> </w:t>
      </w:r>
      <w:r>
        <w:t xml:space="preserve">Risk that</w:t>
      </w:r>
      <w:r>
        <w:t xml:space="preserve"> </w:t>
      </w:r>
      <w:r>
        <w:t xml:space="preserve">governance and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award criteria</w:t>
      </w:r>
      <w:r>
        <w:t xml:space="preserve"> </w:t>
      </w:r>
      <w:r>
        <w:t xml:space="preserve">are used to</w:t>
      </w:r>
      <w:r>
        <w:t xml:space="preserve"> </w:t>
      </w:r>
      <w:r>
        <w:t xml:space="preserve">pursue too</w:t>
      </w:r>
      <w:r>
        <w:t xml:space="preserve"> </w:t>
      </w:r>
      <w:r>
        <w:t xml:space="preserve">many</w:t>
      </w:r>
      <w:r>
        <w:t xml:space="preserve"> </w:t>
      </w:r>
      <w:r>
        <w:t xml:space="preserve">objectives at</w:t>
      </w:r>
      <w:r>
        <w:t xml:space="preserve"> </w:t>
      </w:r>
      <w:r>
        <w:t xml:space="preserve">the same</w:t>
      </w:r>
      <w:r>
        <w:t xml:space="preserve"> </w:t>
      </w:r>
      <w:r>
        <w:t xml:space="preserve">time.</w:t>
      </w:r>
      <w:r>
        <w:t xml:space="preserve"> </w:t>
      </w:r>
      <w:r>
        <w:t xml:space="preserve">cater to the</w:t>
      </w:r>
      <w:r>
        <w:t xml:space="preserve"> </w:t>
      </w:r>
      <w:r>
        <w:t xml:space="preserve">specificities of the</w:t>
      </w:r>
      <w:r>
        <w:t xml:space="preserve"> </w:t>
      </w:r>
      <w:r>
        <w:t xml:space="preserve">different sectors.</w:t>
      </w:r>
      <w:r>
        <w:t xml:space="preserve"> </w:t>
      </w:r>
      <w:r>
        <w:t xml:space="preserve">This could be</w:t>
      </w:r>
      <w:r>
        <w:t xml:space="preserve"> </w:t>
      </w:r>
      <w:r>
        <w:t xml:space="preserve">mitigated by</w:t>
      </w:r>
      <w:r>
        <w:t xml:space="preserve"> </w:t>
      </w:r>
      <w:r>
        <w:t xml:space="preserve">establishment of</w:t>
      </w:r>
      <w:r>
        <w:t xml:space="preserve"> </w:t>
      </w:r>
      <w:r>
        <w:t xml:space="preserve">auction baskets.</w:t>
      </w:r>
      <w:r>
        <w:t xml:space="preserve"> </w:t>
      </w:r>
      <w:r>
        <w:t xml:space="preserve">albeit there could</w:t>
      </w:r>
      <w:r>
        <w:t xml:space="preserve"> </w:t>
      </w:r>
      <w:r>
        <w:t xml:space="preserve">be mitigation</w:t>
      </w:r>
      <w:r>
        <w:t xml:space="preserve"> </w:t>
      </w:r>
      <w:r>
        <w:t xml:space="preserve">measures put in</w:t>
      </w:r>
      <w:r>
        <w:t xml:space="preserve"> </w:t>
      </w:r>
      <w:r>
        <w:t xml:space="preserve">place.</w:t>
      </w:r>
      <w:r>
        <w:t xml:space="preserve"> </w:t>
      </w:r>
      <w:r>
        <w:t xml:space="preserve">strategic oversight</w:t>
      </w:r>
      <w:r>
        <w:t xml:space="preserve"> </w:t>
      </w:r>
      <w:r>
        <w:t xml:space="preserve">could remain</w:t>
      </w:r>
      <w:r>
        <w:t xml:space="preserve"> </w:t>
      </w:r>
      <w:r>
        <w:t xml:space="preserve">challenging.</w:t>
      </w:r>
    </w:p>
    <w:p>
      <w:pPr>
        <w:pStyle w:val="BodyText"/>
      </w:pPr>
      <w:r>
        <w:t xml:space="preserve">Table 6:</w:t>
      </w:r>
      <w:r>
        <w:t xml:space="preserve"> </w:t>
      </w:r>
      <w:r>
        <w:t xml:space="preserve">Coherence of measures on the type of support</w:t>
      </w:r>
      <w:r>
        <w:t xml:space="preserve"> </w:t>
      </w:r>
      <w:r>
        <w:t xml:space="preserve">Possible</w:t>
      </w:r>
      <w:r>
        <w:t xml:space="preserve"> </w:t>
      </w:r>
      <w:r>
        <w:t xml:space="preserve">unintended</w:t>
      </w:r>
      <w:r>
        <w:t xml:space="preserve"> </w:t>
      </w:r>
      <w:r>
        <w:t xml:space="preserve">consequences</w:t>
      </w:r>
      <w:r>
        <w:t xml:space="preserve"> </w:t>
      </w:r>
      <w:r>
        <w:t xml:space="preserve">Option</w:t>
      </w:r>
      <w:r>
        <w:t xml:space="preserve"> </w:t>
      </w:r>
      <w:r>
        <w:t xml:space="preserve">FS.1:</w:t>
      </w:r>
      <w:r>
        <w:br/>
      </w:r>
      <w:r>
        <w:t xml:space="preserve">Regular</w:t>
      </w:r>
      <w:r>
        <w:t xml:space="preserve"> </w:t>
      </w:r>
      <w:r>
        <w:t xml:space="preserve">grants</w:t>
      </w:r>
      <w:r>
        <w:t xml:space="preserve"> </w:t>
      </w:r>
      <w:r>
        <w:t xml:space="preserve">Option FS.2:</w:t>
      </w:r>
      <w:r>
        <w:br/>
      </w:r>
      <w:r>
        <w:t xml:space="preserve">CfPs</w:t>
      </w:r>
      <w:r>
        <w:t xml:space="preserve"> </w:t>
      </w:r>
      <w:r>
        <w:t xml:space="preserve">Option FS.3:</w:t>
      </w:r>
      <w:r>
        <w:br/>
      </w:r>
      <w:r>
        <w:t xml:space="preserve">CCfDs</w:t>
      </w:r>
      <w:r>
        <w:t xml:space="preserve"> </w:t>
      </w:r>
      <w:r>
        <w:t xml:space="preserve">Options B.4: fixed</w:t>
      </w:r>
      <w:r>
        <w:t xml:space="preserve"> </w:t>
      </w:r>
      <w:r>
        <w:t xml:space="preserve">premium per unit of</w:t>
      </w:r>
      <w:r>
        <w:t xml:space="preserve"> </w:t>
      </w:r>
      <w:r>
        <w:t xml:space="preserve">decarbonised product</w:t>
      </w:r>
    </w:p>
    <w:p>
      <w:pPr>
        <w:pStyle w:val="Compact"/>
        <w:numPr>
          <w:ilvl w:val="0"/>
          <w:numId w:val="1018"/>
        </w:numPr>
      </w:pPr>
      <w:r>
        <w:t xml:space="preserve">++</w:t>
      </w:r>
    </w:p>
    <w:p>
      <w:pPr>
        <w:pStyle w:val="Compact"/>
        <w:numPr>
          <w:ilvl w:val="0"/>
          <w:numId w:val="1018"/>
        </w:numPr>
      </w:pPr>
      <w:r>
        <w:t xml:space="preserve">Risk of overcompensation or,</w:t>
      </w:r>
      <w:r>
        <w:t xml:space="preserve"> </w:t>
      </w:r>
      <w:r>
        <w:t xml:space="preserve">conversely, insufficient</w:t>
      </w:r>
      <w:r>
        <w:t xml:space="preserve"> </w:t>
      </w:r>
      <w:r>
        <w:t xml:space="preserve">subsidy once the market</w:t>
      </w:r>
      <w:r>
        <w:t xml:space="preserve"> </w:t>
      </w:r>
      <w:r>
        <w:t xml:space="preserve">conditions change.</w:t>
      </w:r>
      <w:r>
        <w:t xml:space="preserve"> </w:t>
      </w:r>
      <w:r>
        <w:t xml:space="preserve">Risk of large</w:t>
      </w:r>
      <w:r>
        <w:t xml:space="preserve"> </w:t>
      </w:r>
      <w:r>
        <w:t xml:space="preserve">liability in case</w:t>
      </w:r>
      <w:r>
        <w:t xml:space="preserve"> </w:t>
      </w:r>
      <w:r>
        <w:t xml:space="preserve">carbon prices</w:t>
      </w:r>
      <w:r>
        <w:t xml:space="preserve"> </w:t>
      </w:r>
      <w:r>
        <w:t xml:space="preserve">fall to very low</w:t>
      </w:r>
      <w:r>
        <w:t xml:space="preserve"> </w:t>
      </w:r>
      <w:r>
        <w:t xml:space="preserve">level.</w:t>
      </w:r>
      <w:r>
        <w:t xml:space="preserve"> </w:t>
      </w:r>
      <w:r>
        <w:t xml:space="preserve">Risk of overcompensation or,</w:t>
      </w:r>
      <w:r>
        <w:t xml:space="preserve"> </w:t>
      </w:r>
      <w:r>
        <w:t xml:space="preserve">conversely, insufficient</w:t>
      </w:r>
      <w:r>
        <w:t xml:space="preserve"> </w:t>
      </w:r>
      <w:r>
        <w:t xml:space="preserve">subsidy once the market</w:t>
      </w:r>
      <w:r>
        <w:t xml:space="preserve"> </w:t>
      </w:r>
      <w:r>
        <w:t xml:space="preserve">conditions change.</w:t>
      </w:r>
      <w:r>
        <w:t xml:space="preserve"> </w:t>
      </w:r>
      <w:r>
        <w:t xml:space="preserve">3.4.2.4.</w:t>
      </w:r>
      <w:r>
        <w:t xml:space="preserve"> </w:t>
      </w:r>
      <w:r>
        <w:t xml:space="preserve">Assessment of policy options</w:t>
      </w:r>
    </w:p>
    <w:p>
      <w:pPr>
        <w:pStyle w:val="FirstParagraph"/>
      </w:pPr>
      <w:r>
        <w:t xml:space="preserve">Policy Option (1)</w:t>
      </w:r>
      <w:r>
        <w:t xml:space="preserve"> </w:t>
      </w:r>
      <w:r>
        <w:t xml:space="preserve">1.</w:t>
      </w:r>
      <w:r>
        <w:t xml:space="preserve"> </w:t>
      </w:r>
      <w:r>
        <w:t xml:space="preserve">‘Regular’</w:t>
      </w:r>
      <w:r>
        <w:t xml:space="preserve"> </w:t>
      </w:r>
      <w:r>
        <w:t xml:space="preserve">multi-</w:t>
      </w:r>
      <w:r>
        <w:t xml:space="preserve"> </w:t>
      </w:r>
      <w:r>
        <w:t xml:space="preserve">criteria calls for</w:t>
      </w:r>
      <w:r>
        <w:t xml:space="preserve"> </w:t>
      </w:r>
      <w:r>
        <w:t xml:space="preserve">proposals</w:t>
      </w:r>
      <w:r>
        <w:t xml:space="preserve"> </w:t>
      </w:r>
      <w:r>
        <w:t xml:space="preserve">2. ’Regular’</w:t>
      </w:r>
      <w:r>
        <w:t xml:space="preserve"> </w:t>
      </w:r>
      <w:r>
        <w:t xml:space="preserve">grants</w:t>
      </w:r>
      <w:r>
        <w:t xml:space="preserve"> </w:t>
      </w:r>
      <w:r>
        <w:t xml:space="preserve">covering</w:t>
      </w:r>
      <w:r>
        <w:t xml:space="preserve"> </w:t>
      </w:r>
      <w:r>
        <w:t xml:space="preserve">the</w:t>
      </w:r>
      <w:r>
        <w:t xml:space="preserve"> </w:t>
      </w:r>
      <w:r>
        <w:t xml:space="preserve">funding gap</w:t>
      </w:r>
      <w:r>
        <w:t xml:space="preserve"> </w:t>
      </w:r>
      <w:r>
        <w:t xml:space="preserve">3. EU-level</w:t>
      </w:r>
      <w:r>
        <w:t xml:space="preserve"> </w:t>
      </w:r>
      <w:r>
        <w:t xml:space="preserve">competition</w:t>
      </w:r>
      <w:r>
        <w:t xml:space="preserve"> </w:t>
      </w:r>
      <w:r>
        <w:t xml:space="preserve">and</w:t>
      </w:r>
      <w:r>
        <w:t xml:space="preserve"> </w:t>
      </w:r>
      <w:r>
        <w:t xml:space="preserve">soft measures on</w:t>
      </w:r>
      <w:r>
        <w:t xml:space="preserve"> </w:t>
      </w:r>
      <w:r>
        <w:t xml:space="preserve">geographical</w:t>
      </w:r>
      <w:r>
        <w:t xml:space="preserve"> </w:t>
      </w:r>
      <w:r>
        <w:t xml:space="preserve">balance</w:t>
      </w:r>
      <w:r>
        <w:t xml:space="preserve"> </w:t>
      </w:r>
      <w:r>
        <w:t xml:space="preserve">Policy Option (2)</w:t>
      </w:r>
      <w:r>
        <w:t xml:space="preserve"> </w:t>
      </w:r>
      <w:r>
        <w:t xml:space="preserve">1. Administrative</w:t>
      </w:r>
      <w:r>
        <w:t xml:space="preserve"> </w:t>
      </w:r>
      <w:r>
        <w:t xml:space="preserve">schemes</w:t>
      </w:r>
      <w:r>
        <w:t xml:space="preserve"> </w:t>
      </w:r>
      <w:r>
        <w:t xml:space="preserve">2. Fixed premium,</w:t>
      </w:r>
      <w:r>
        <w:t xml:space="preserve"> </w:t>
      </w:r>
      <w:r>
        <w:t xml:space="preserve">3. Balance</w:t>
      </w:r>
      <w:r>
        <w:t xml:space="preserve"> </w:t>
      </w:r>
      <w:r>
        <w:t xml:space="preserve">between</w:t>
      </w:r>
      <w:r>
        <w:t xml:space="preserve"> </w:t>
      </w:r>
      <w:r>
        <w:t xml:space="preserve">national allocations</w:t>
      </w:r>
      <w:r>
        <w:t xml:space="preserve"> </w:t>
      </w:r>
      <w:r>
        <w:t xml:space="preserve">and</w:t>
      </w:r>
      <w:r>
        <w:t xml:space="preserve"> </w:t>
      </w:r>
      <w:r>
        <w:t xml:space="preserve">EU-level</w:t>
      </w:r>
      <w:r>
        <w:t xml:space="preserve"> </w:t>
      </w:r>
      <w:r>
        <w:t xml:space="preserve">competition</w:t>
      </w:r>
      <w:r>
        <w:t xml:space="preserve"> </w:t>
      </w:r>
      <w:r>
        <w:t xml:space="preserve">Policy Option (3)</w:t>
      </w:r>
      <w:r>
        <w:t xml:space="preserve"> </w:t>
      </w:r>
      <w:r>
        <w:t xml:space="preserve">1. Auctions,</w:t>
      </w:r>
      <w:r>
        <w:t xml:space="preserve"> </w:t>
      </w:r>
      <w:r>
        <w:t xml:space="preserve">2. Carbon</w:t>
      </w:r>
      <w:r>
        <w:t xml:space="preserve"> </w:t>
      </w:r>
      <w:r>
        <w:t xml:space="preserve">Contracts for</w:t>
      </w:r>
      <w:r>
        <w:t xml:space="preserve"> </w:t>
      </w:r>
      <w:r>
        <w:t xml:space="preserve">Difference,</w:t>
      </w:r>
      <w:r>
        <w:t xml:space="preserve"> </w:t>
      </w:r>
      <w:r>
        <w:t xml:space="preserve">3. Strong</w:t>
      </w:r>
      <w:r>
        <w:t xml:space="preserve"> </w:t>
      </w:r>
      <w:r>
        <w:t xml:space="preserve">national</w:t>
      </w:r>
      <w:r>
        <w:t xml:space="preserve"> </w:t>
      </w:r>
      <w:r>
        <w:t xml:space="preserve">allocations</w:t>
      </w:r>
    </w:p>
    <w:p>
      <w:pPr>
        <w:pStyle w:val="BodyText"/>
      </w:pPr>
      <w:r>
        <w:t xml:space="preserve">Effectiveness 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Coherence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In terms of effectiveness: Moderate impact of PO1 is expected as it addresses well the funding</w:t>
      </w:r>
      <w:r>
        <w:t xml:space="preserve"> </w:t>
      </w:r>
      <w:r>
        <w:t xml:space="preserve">gap of industrial decarbonisation projects but represents operational complexity, high risk of</w:t>
      </w:r>
      <w:r>
        <w:t xml:space="preserve"> </w:t>
      </w:r>
      <w:r>
        <w:t xml:space="preserve">projects’ dropouts, administrative burden and geographical imbalances.</w:t>
      </w:r>
      <w:r>
        <w:br/>
      </w:r>
      <w:r>
        <w:t xml:space="preserve">In contrast, strongly positive of PO2 is expected as it addresses well the funding gap of</w:t>
      </w:r>
      <w:r>
        <w:t xml:space="preserve"> </w:t>
      </w:r>
      <w:r>
        <w:t xml:space="preserve">industrial decarbonisation projects and offers simplification, attractive financial model as well</w:t>
      </w:r>
      <w:r>
        <w:t xml:space="preserve"> </w:t>
      </w:r>
      <w:r>
        <w:t xml:space="preserve">as clear rewards for ‘front-runner’ projects. The risk of unspent resources is minimised. There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is a strong alignment of funding with the scale and type of the decarbonisation challenges and</w:t>
      </w:r>
      <w:r>
        <w:t xml:space="preserve"> </w:t>
      </w:r>
      <w:r>
        <w:t xml:space="preserve">proposal strikes a balance between the EU-level competition as well as geographical balance.</w:t>
      </w:r>
      <w:r>
        <w:t xml:space="preserve"> </w:t>
      </w:r>
      <w:r>
        <w:t xml:space="preserve">Finally, moderate impact of PO3 is expected as it addresses well the funding gap of industrial</w:t>
      </w:r>
      <w:r>
        <w:t xml:space="preserve"> </w:t>
      </w:r>
      <w:r>
        <w:t xml:space="preserve">decarbonisation projects but with some design complexity and incentives for more risky</w:t>
      </w:r>
      <w:r>
        <w:t xml:space="preserve"> </w:t>
      </w:r>
      <w:r>
        <w:t xml:space="preserve">projects. There is a risk of projects’ dropouts and administrative burden while benefits of EU-</w:t>
      </w:r>
      <w:r>
        <w:t xml:space="preserve"> </w:t>
      </w:r>
      <w:r>
        <w:t xml:space="preserve">level competition are less well pronounced.</w:t>
      </w:r>
      <w:r>
        <w:t xml:space="preserve"> </w:t>
      </w:r>
      <w:r>
        <w:t xml:space="preserve">In terms of efficiency: Policy Option 2 in theory is the less efficient that policy options</w:t>
      </w:r>
      <w:r>
        <w:t xml:space="preserve"> </w:t>
      </w:r>
      <w:r>
        <w:t xml:space="preserve">working tools that require higher level of competition but other policy options there inherently</w:t>
      </w:r>
      <w:r>
        <w:t xml:space="preserve"> </w:t>
      </w:r>
      <w:r>
        <w:t xml:space="preserve">attract more risky projects that in the end might not be implemented (if faced with adverse</w:t>
      </w:r>
      <w:r>
        <w:t xml:space="preserve"> </w:t>
      </w:r>
      <w:r>
        <w:t xml:space="preserve">market conditions etc).</w:t>
      </w:r>
      <w:r>
        <w:t xml:space="preserve"> </w:t>
      </w:r>
      <w:r>
        <w:t xml:space="preserve">In terms of coherence: As climate action progresses and the hardest to abate emissions have</w:t>
      </w:r>
      <w:r>
        <w:t xml:space="preserve"> </w:t>
      </w:r>
      <w:r>
        <w:t xml:space="preserve">to be reached, the EU ETS’s instruments to support investment become more relevant to ensure</w:t>
      </w:r>
      <w:r>
        <w:t xml:space="preserve"> </w:t>
      </w:r>
      <w:r>
        <w:t xml:space="preserve">the investments take place. The strengthened support provided by the continuation of the</w:t>
      </w:r>
      <w:r>
        <w:t xml:space="preserve"> </w:t>
      </w:r>
      <w:r>
        <w:t xml:space="preserve">Innovation Fund and new Industrial Decarbonisation Bank are coherent with the carbon price</w:t>
      </w:r>
      <w:r>
        <w:t xml:space="preserve"> </w:t>
      </w:r>
      <w:r>
        <w:t xml:space="preserve">signal and regulatory framework (both also driving the investments but currently not fully</w:t>
      </w:r>
      <w:r>
        <w:t xml:space="preserve"> </w:t>
      </w:r>
      <w:r>
        <w:t xml:space="preserve">sufficient) as well as with other EU-wide funding mechanisms (targeting other stages of the</w:t>
      </w:r>
      <w:r>
        <w:t xml:space="preserve"> </w:t>
      </w:r>
      <w:r>
        <w:t xml:space="preserve">technology development or ‘investment journey’) as well as with State aid rules that enable the</w:t>
      </w:r>
      <w:r>
        <w:t xml:space="preserve"> </w:t>
      </w:r>
      <w:r>
        <w:t xml:space="preserve">funding on the national level. In addition, the set-up of the ’as-a-service’ feature could enable</w:t>
      </w:r>
      <w:r>
        <w:t xml:space="preserve"> </w:t>
      </w:r>
      <w:r>
        <w:t xml:space="preserve">even better integration of the State aid and EU-level funding if applied to the IDB funding</w:t>
      </w:r>
      <w:r>
        <w:t xml:space="preserve"> </w:t>
      </w:r>
      <w:r>
        <w:t xml:space="preserve">instruments.</w:t>
      </w:r>
      <w:r>
        <w:t xml:space="preserve"> </w:t>
      </w:r>
      <w:r>
        <w:t xml:space="preserve">3.4.3. The preferred option</w:t>
      </w:r>
      <w:r>
        <w:t xml:space="preserve"> </w:t>
      </w:r>
      <w:r>
        <w:t xml:space="preserve">As the Innovation Fund would focus primarily on first- and second-of-a-kind projects in EIIs</w:t>
      </w:r>
      <w:r>
        <w:t xml:space="preserve"> </w:t>
      </w:r>
      <w:r>
        <w:t xml:space="preserve">and beyond, the IDB would focus on more mature technologies in the EIIs. The IF would</w:t>
      </w:r>
      <w:r>
        <w:t xml:space="preserve"> </w:t>
      </w:r>
      <w:r>
        <w:t xml:space="preserve">continue to focus on early-stage, high-risk projects with strong innovation and knowledge-</w:t>
      </w:r>
      <w:r>
        <w:t xml:space="preserve"> </w:t>
      </w:r>
      <w:r>
        <w:t xml:space="preserve">sharing value, using primarily grants and performance-based payments. The IDB would build</w:t>
      </w:r>
      <w:r>
        <w:t xml:space="preserve"> </w:t>
      </w:r>
      <w:r>
        <w:t xml:space="preserve">on the IF’s projects (or projects supported by similar national funding instruments) successfully</w:t>
      </w:r>
      <w:r>
        <w:t xml:space="preserve"> </w:t>
      </w:r>
      <w:r>
        <w:t xml:space="preserve">demonstrating and commercialising technologies, offering a more tailored support mechanism</w:t>
      </w:r>
      <w:r>
        <w:t xml:space="preserve"> </w:t>
      </w:r>
      <w:r>
        <w:t xml:space="preserve">to accelerate replication and full-scale deployment. Complementary and sequential instruments</w:t>
      </w:r>
      <w:r>
        <w:t xml:space="preserve"> </w:t>
      </w:r>
      <w:r>
        <w:t xml:space="preserve">would ensure continuity of support and reduce the ‘valley of death’ between demonstration and</w:t>
      </w:r>
      <w:r>
        <w:t xml:space="preserve"> </w:t>
      </w:r>
      <w:r>
        <w:t xml:space="preserve">market uptake.</w:t>
      </w:r>
      <w:r>
        <w:br/>
      </w:r>
      <w:r>
        <w:t xml:space="preserve">After assessing the impacts, effectiveness, efficiency and coherence of the three sets of policy</w:t>
      </w:r>
      <w:r>
        <w:t xml:space="preserve"> </w:t>
      </w:r>
      <w:r>
        <w:t xml:space="preserve">options for IDB, all options have their respective advantages and drawbacks, and some options</w:t>
      </w:r>
      <w:r>
        <w:t xml:space="preserve"> </w:t>
      </w:r>
      <w:r>
        <w:t xml:space="preserve">perform better than the others on certain aspects. Ultimately, their merits and the shortcomings</w:t>
      </w:r>
      <w:r>
        <w:t xml:space="preserve"> </w:t>
      </w:r>
      <w:r>
        <w:t xml:space="preserve">are also very much dependent on the complete and detailed funding instrument design (e.g. as</w:t>
      </w:r>
      <w:r>
        <w:t xml:space="preserve"> </w:t>
      </w:r>
      <w:r>
        <w:t xml:space="preserve">is the case of the IF calls for proposal or IF auctions Terms &amp; Conditions) as well as the realities</w:t>
      </w:r>
      <w:r>
        <w:t xml:space="preserve"> </w:t>
      </w:r>
      <w:r>
        <w:t xml:space="preserve">of the industrial sectors, technologies or products the instrument wants to address and whether</w:t>
      </w:r>
      <w:r>
        <w:t xml:space="preserve"> </w:t>
      </w:r>
      <w:r>
        <w:t xml:space="preserve">those sectors/technologies/products operate on mature or nascent markets with reference price</w:t>
      </w:r>
      <w:r>
        <w:t xml:space="preserve"> </w:t>
      </w:r>
      <w:r>
        <w:t xml:space="preserve">or not.</w:t>
      </w:r>
      <w:r>
        <w:br/>
      </w:r>
      <w:r>
        <w:t xml:space="preserve">The choice of sectors, technologies or products that are to be supported will have a significant</w:t>
      </w:r>
      <w:r>
        <w:t xml:space="preserve"> </w:t>
      </w:r>
      <w:r>
        <w:t xml:space="preserve">impact on choice of certain options, notably of allocation mechanism. The IDB will aim to</w:t>
      </w:r>
      <w:r>
        <w:t xml:space="preserve"> </w:t>
      </w:r>
      <w:r>
        <w:t xml:space="preserve">support all EIIs sectors, but its specific funding instruments will, most likely, need to have</w:t>
      </w:r>
      <w:r>
        <w:t xml:space="preserve"> </w:t>
      </w:r>
      <w:r>
        <w:t xml:space="preserve">some more narrower focus (certain sectors or goods or technologies only) in order to be</w:t>
      </w:r>
      <w:r>
        <w:t xml:space="preserve"> </w:t>
      </w:r>
      <w:r>
        <w:t xml:space="preserve">effective and answer to political priorities. Typically, auctions can only work with</w:t>
      </w:r>
      <w:r>
        <w:t xml:space="preserve"> </w:t>
      </w:r>
      <w:r>
        <w:t xml:space="preserve">homogenous, well defined good. The choice of objectives for the funding instrument will be</w:t>
      </w:r>
      <w:r>
        <w:t xml:space="preserve"> </w:t>
      </w:r>
      <w:r>
        <w:t xml:space="preserve">equally significant. Auctions and administrative schemes are less-well suited to pursuing</w:t>
      </w:r>
      <w:r>
        <w:t xml:space="preserve"> </w:t>
      </w:r>
      <w:r>
        <w:t xml:space="preserve">excellence across a range of objectives (cost of abatement but also resilience, project maturity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or others). Finally, the choice of sectors, technologies or products will have a bearing on</w:t>
      </w:r>
      <w:r>
        <w:t xml:space="preserve"> </w:t>
      </w:r>
      <w:r>
        <w:t xml:space="preserve">whether the support mechanism seeks short-term efficiency (focus on the lowest cost will leave</w:t>
      </w:r>
      <w:r>
        <w:t xml:space="preserve"> </w:t>
      </w:r>
      <w:r>
        <w:t xml:space="preserve">initially costlier options not developed) or more longer-term efficiency and more diverse</w:t>
      </w:r>
      <w:r>
        <w:t xml:space="preserve"> </w:t>
      </w:r>
      <w:r>
        <w:t xml:space="preserve">technology portfolio by providing support to initially more expensive but otherwise promising</w:t>
      </w:r>
      <w:r>
        <w:t xml:space="preserve"> </w:t>
      </w:r>
      <w:r>
        <w:t xml:space="preserve">technology options.</w:t>
      </w:r>
      <w:r>
        <w:t xml:space="preserve"> </w:t>
      </w:r>
      <w:r>
        <w:t xml:space="preserve">None of the options inherently have the best design to ensure the optimal combination of</w:t>
      </w:r>
      <w:r>
        <w:t xml:space="preserve"> </w:t>
      </w:r>
      <w:r>
        <w:t xml:space="preserve">maximum efficiency (i.e. no overcompensation) and the maximum effectiveness (i.e. making</w:t>
      </w:r>
      <w:r>
        <w:t xml:space="preserve"> </w:t>
      </w:r>
      <w:r>
        <w:t xml:space="preserve">sure the projects are delivered on time). Likewise, none of the options on geographical balance</w:t>
      </w:r>
      <w:r>
        <w:t xml:space="preserve"> </w:t>
      </w:r>
      <w:r>
        <w:t xml:space="preserve">inherently have the best design to ensure the best efficiency (by drawing on the EU-level</w:t>
      </w:r>
      <w:r>
        <w:t xml:space="preserve"> </w:t>
      </w:r>
      <w:r>
        <w:t xml:space="preserve">competition) and geographical balance in terms of ensuring that projects in all countries can</w:t>
      </w:r>
      <w:r>
        <w:t xml:space="preserve"> </w:t>
      </w:r>
      <w:r>
        <w:t xml:space="preserve">secure a fair share of funding. This is why a careful balance will have to be struck in terms of</w:t>
      </w:r>
      <w:r>
        <w:t xml:space="preserve"> </w:t>
      </w:r>
      <w:r>
        <w:t xml:space="preserve">choice of instruments over the entire lifetime of the IDB, and in the design of finer details of</w:t>
      </w:r>
      <w:r>
        <w:t xml:space="preserve"> </w:t>
      </w:r>
      <w:r>
        <w:t xml:space="preserve">the instruments (completion/bid bonds, penalties for non-delivery, non-price criteria, potential</w:t>
      </w:r>
      <w:r>
        <w:t xml:space="preserve"> </w:t>
      </w:r>
      <w:r>
        <w:t xml:space="preserve">for replication, reward for the front-runner, upside sharing mechanisms) and in considerations</w:t>
      </w:r>
      <w:r>
        <w:t xml:space="preserve"> </w:t>
      </w:r>
      <w:r>
        <w:t xml:space="preserve">of interactions with conditional Free Allocation124 and Indirect Cost Compensation.</w:t>
      </w:r>
      <w:r>
        <w:t xml:space="preserve"> </w:t>
      </w:r>
      <w:r>
        <w:t xml:space="preserve">From the IF experience, it is clear the specific instrument design will be decisive for the final</w:t>
      </w:r>
      <w:r>
        <w:t xml:space="preserve"> </w:t>
      </w:r>
      <w:r>
        <w:t xml:space="preserve">outcome in terms of efficiency, effectiveness and coherence. This has become apparent also in</w:t>
      </w:r>
      <w:r>
        <w:t xml:space="preserve"> </w:t>
      </w:r>
      <w:r>
        <w:t xml:space="preserve">national contexts, where for instance auctions for renewable power have performed very</w:t>
      </w:r>
      <w:r>
        <w:t xml:space="preserve"> </w:t>
      </w:r>
      <w:r>
        <w:t xml:space="preserve">differently across MS and in the context of changing market circumstances. For the past IF</w:t>
      </w:r>
      <w:r>
        <w:t xml:space="preserve"> </w:t>
      </w:r>
      <w:r>
        <w:t xml:space="preserve">instruments, their success has been largely derived from designing IF calls together with</w:t>
      </w:r>
      <w:r>
        <w:t xml:space="preserve"> </w:t>
      </w:r>
      <w:r>
        <w:t xml:space="preserve">industrial stakeholders, institutional and private investors and project developers themselves.</w:t>
      </w:r>
      <w:r>
        <w:br/>
      </w:r>
      <w:r>
        <w:t xml:space="preserve">Considering the variety of national and sectoral circumstances, changing policy priorities and</w:t>
      </w:r>
      <w:r>
        <w:t xml:space="preserve"> </w:t>
      </w:r>
      <w:r>
        <w:t xml:space="preserve">new challenges that might arise on the pathways to carbon neutrality, there can be no ‘one size</w:t>
      </w:r>
      <w:r>
        <w:t xml:space="preserve"> </w:t>
      </w:r>
      <w:r>
        <w:t xml:space="preserve">fits all’ approach. Ultimately, funding mechanisms need to cater to a variety of national,</w:t>
      </w:r>
      <w:r>
        <w:t xml:space="preserve"> </w:t>
      </w:r>
      <w:r>
        <w:t xml:space="preserve">sectoral and market circumstances. As a result, there is no preferred allocation mechanism,</w:t>
      </w:r>
      <w:r>
        <w:t xml:space="preserve"> </w:t>
      </w:r>
      <w:r>
        <w:t xml:space="preserve">type of support or ways to ensure the geographical balance. Instead, a toolbox of funding</w:t>
      </w:r>
      <w:r>
        <w:t xml:space="preserve"> </w:t>
      </w:r>
      <w:r>
        <w:t xml:space="preserve">instruments is needed under the IDB to keep full flexibility in adapting the tools to policy</w:t>
      </w:r>
      <w:r>
        <w:t xml:space="preserve"> </w:t>
      </w:r>
      <w:r>
        <w:t xml:space="preserve">priorities and industrial realities. Across the IA, three policy options have been developed for</w:t>
      </w:r>
      <w:r>
        <w:t xml:space="preserve"> </w:t>
      </w:r>
      <w:r>
        <w:t xml:space="preserve">each area of actions that combine specific policy measures into meaningful ‘packages’</w:t>
      </w:r>
      <w:r>
        <w:t xml:space="preserve"> </w:t>
      </w:r>
      <w:r>
        <w:t xml:space="preserve">addressing problem drivers and related objectives. The options differ in the degree of change</w:t>
      </w:r>
      <w:r>
        <w:t xml:space="preserve"> </w:t>
      </w:r>
      <w:r>
        <w:t xml:space="preserve">that they entail to the current system. In addition, for the IDB the logic of the 2 phases in the</w:t>
      </w:r>
      <w:r>
        <w:t xml:space="preserve"> </w:t>
      </w:r>
      <w:r>
        <w:t xml:space="preserve">IDB is reflected in Policy Option 2 and 3.</w:t>
      </w:r>
      <w:r>
        <w:t xml:space="preserve"> </w:t>
      </w:r>
      <w:r>
        <w:t xml:space="preserve">In the first phase of the IDB, there are many uncertainties for the industrial decarbonisation</w:t>
      </w:r>
      <w:r>
        <w:t xml:space="preserve"> </w:t>
      </w:r>
      <w:r>
        <w:t xml:space="preserve">projects. Consequently, there is an urgent need to provide support that creates solid business</w:t>
      </w:r>
      <w:r>
        <w:t xml:space="preserve"> </w:t>
      </w:r>
      <w:r>
        <w:t xml:space="preserve">cases against the backdrop of existing market failures, uncertain market outlooks and short-</w:t>
      </w:r>
      <w:r>
        <w:t xml:space="preserve"> </w:t>
      </w:r>
      <w:r>
        <w:t xml:space="preserve">termism of the investment decisions. This is why the Commission in the early years of the IDB</w:t>
      </w:r>
      <w:r>
        <w:t xml:space="preserve"> </w:t>
      </w:r>
      <w:r>
        <w:t xml:space="preserve">operationalisation could start with administrative schemes awarding a carbon fixed</w:t>
      </w:r>
      <w:r>
        <w:t xml:space="preserve"> </w:t>
      </w:r>
      <w:r>
        <w:t xml:space="preserve">premium to all projects that enter into operation by a given date (within the budget available)</w:t>
      </w:r>
      <w:r>
        <w:t xml:space="preserve"> </w:t>
      </w:r>
      <w:r>
        <w:t xml:space="preserve">and aim to strike the balance between the EU-level competition and national allocations</w:t>
      </w:r>
      <w:r>
        <w:t xml:space="preserve"> </w:t>
      </w:r>
      <w:r>
        <w:t xml:space="preserve">(notably for solidarity purposes). Such approach would facilitate creating business confidence,</w:t>
      </w:r>
      <w:r>
        <w:t xml:space="preserve"> </w:t>
      </w:r>
      <w:r>
        <w:t xml:space="preserve">avoiding high drop-out rate and risk of speculative bids that unnecessarily block public funding</w:t>
      </w:r>
      <w:r>
        <w:t xml:space="preserve"> </w:t>
      </w:r>
      <w:r>
        <w:t xml:space="preserve">and providing the incentives for front-runner projects – which will be essential in the first year</w:t>
      </w:r>
      <w:r>
        <w:t xml:space="preserve"> </w:t>
      </w:r>
      <w:r>
        <w:t xml:space="preserve">of the IDB operation. The main goal should be optimising the effectiveness of support (i.e. </w:t>
      </w:r>
      <w:r>
        <w:t xml:space="preserve"> </w:t>
      </w:r>
      <w:r>
        <w:t xml:space="preserve">ensuring that projects happen on the ground). This approach would deliver the ‘Investment</w:t>
      </w:r>
    </w:p>
    <w:p>
      <w:pPr>
        <w:pStyle w:val="BodyText"/>
      </w:pPr>
      <w:r>
        <w:t xml:space="preserve">124 To be noted that investments eligible under the conditional Free Allocation would be similar to ones eligible</w:t>
      </w:r>
      <w:r>
        <w:t xml:space="preserve"> </w:t>
      </w:r>
      <w:r>
        <w:t xml:space="preserve">for IDB support. In such case, it could be envisaged that the installation that receives the IDB support is</w:t>
      </w:r>
      <w:r>
        <w:t xml:space="preserve"> </w:t>
      </w:r>
      <w:r>
        <w:t xml:space="preserve">considered to automatically fulfil the Free Allocation conditionality.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Booster’ that was announced at the European Council in March 2026125 as the first stage of the</w:t>
      </w:r>
      <w:r>
        <w:t xml:space="preserve"> </w:t>
      </w:r>
      <w:r>
        <w:t xml:space="preserve">IDB with 400 million ETS allowances made available starting ahead of 2030 to finance</w:t>
      </w:r>
      <w:r>
        <w:t xml:space="preserve"> </w:t>
      </w:r>
      <w:r>
        <w:t xml:space="preserve">industrial decarbonisation investments with focus on speed and solidarity. This approach is</w:t>
      </w:r>
      <w:r>
        <w:t xml:space="preserve"> </w:t>
      </w:r>
      <w:r>
        <w:t xml:space="preserve">integrated in the Policy Option 2 in the Impact Assessment.</w:t>
      </w:r>
      <w:r>
        <w:t xml:space="preserve"> </w:t>
      </w:r>
      <w:r>
        <w:t xml:space="preserve">In the second phase of the IDB, as technologies mature, EU ETS prices increase and regulatory</w:t>
      </w:r>
      <w:r>
        <w:t xml:space="preserve"> </w:t>
      </w:r>
      <w:r>
        <w:t xml:space="preserve">frameworks fully take effect, the Commission could move to auctions for a variable premium</w:t>
      </w:r>
      <w:r>
        <w:t xml:space="preserve"> </w:t>
      </w:r>
      <w:r>
        <w:t xml:space="preserve">in the form of Carbon Contracts for Difference in order to optimise the efficiency of the</w:t>
      </w:r>
      <w:r>
        <w:t xml:space="preserve"> </w:t>
      </w:r>
      <w:r>
        <w:t xml:space="preserve">support. This could be combined with stronger national allocations, in the form of ‘as a</w:t>
      </w:r>
      <w:r>
        <w:t xml:space="preserve"> </w:t>
      </w:r>
      <w:r>
        <w:t xml:space="preserve">service’ contributions or by applying by the Commission ‘right of the first use’ to ensure that</w:t>
      </w:r>
      <w:r>
        <w:t xml:space="preserve"> </w:t>
      </w:r>
      <w:r>
        <w:t xml:space="preserve">decarbonisation projects materialise in all countries and bring positive spillover effects to them.</w:t>
      </w:r>
      <w:r>
        <w:t xml:space="preserve"> </w:t>
      </w:r>
      <w:r>
        <w:t xml:space="preserve">This approach is integrated in the Policy Option 3 in the Impact Assessment. Other allocation</w:t>
      </w:r>
      <w:r>
        <w:t xml:space="preserve"> </w:t>
      </w:r>
      <w:r>
        <w:t xml:space="preserve">mechanism, forms of support and tools to incentivise geographical balance explored in this</w:t>
      </w:r>
      <w:r>
        <w:t xml:space="preserve"> </w:t>
      </w:r>
      <w:r>
        <w:t xml:space="preserve">Annex might be also needed in order to best stimulate the investment in the industrial</w:t>
      </w:r>
      <w:r>
        <w:t xml:space="preserve"> </w:t>
      </w:r>
      <w:r>
        <w:t xml:space="preserve">decarbonisation on the way towards 2040 climate target.</w:t>
      </w:r>
    </w:p>
    <w:p>
      <w:pPr>
        <w:pStyle w:val="BodyText"/>
      </w:pPr>
      <w:r>
        <w:t xml:space="preserve">125 https://ec.europa.eu/commission/presscorner/detail/en/statement_26_663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ANNEX 10: AVIATION</w:t>
      </w:r>
      <w:r>
        <w:t xml:space="preserve"> </w:t>
      </w:r>
      <w:r>
        <w:t xml:space="preserve">LIST OF TABLES</w:t>
      </w:r>
      <w:r>
        <w:t xml:space="preserve"> </w:t>
      </w:r>
      <w:r>
        <w:t xml:space="preserve">TOC</w:t>
      </w:r>
      <w:r>
        <w:t xml:space="preserve"> </w:t>
      </w:r>
      <w:r>
        <w:t xml:space="preserve">Table title”</w:t>
      </w:r>
      <w:r>
        <w:t xml:space="preserve"> </w:t>
      </w:r>
      <w:r>
        <w:t xml:space="preserve">able 1:2024 vs 2019 traffic comparison by route, absolute</w:t>
      </w:r>
      <w:r>
        <w:t xml:space="preserve"> </w:t>
      </w:r>
      <w:r>
        <w:t xml:space="preserve">actvitiy and as percentage of total aviation activity under the ETS. ……………………………….. 207</w:t>
      </w:r>
      <w:r>
        <w:t xml:space="preserve"> </w:t>
      </w:r>
      <w:r>
        <w:t xml:space="preserve">Table 2:</w:t>
      </w:r>
      <w:r>
        <w:t xml:space="preserve"> </w:t>
      </w:r>
      <w:r>
        <w:t xml:space="preserve">AS0: Aircraft CO2 emissions for 2024, 2040, emissions from SAF are zero-rated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Table 3:</w:t>
      </w:r>
      <w:r>
        <w:t xml:space="preserve"> </w:t>
      </w:r>
      <w:r>
        <w:t xml:space="preserve">AS1: Aircraft CO2 emissions for 2040 and vs AS0, emissions from SAF are zero-</w:t>
      </w:r>
      <w:r>
        <w:t xml:space="preserve"> </w:t>
      </w:r>
      <w:r>
        <w:t xml:space="preserve">rated</w:t>
      </w:r>
      <w:r>
        <w:t xml:space="preserve"> </w:t>
      </w:r>
      <w:r>
        <w:t xml:space="preserve">210</w:t>
      </w:r>
      <w:r>
        <w:t xml:space="preserve"> </w:t>
      </w:r>
      <w:r>
        <w:t xml:space="preserve">Table 4:</w:t>
      </w:r>
      <w:r>
        <w:t xml:space="preserve"> </w:t>
      </w:r>
      <w:r>
        <w:t xml:space="preserve">AS2: Aircraft CO2 emissions for 2040 and vs AS0, emissions from SAF are zero-</w:t>
      </w:r>
      <w:r>
        <w:t xml:space="preserve"> </w:t>
      </w:r>
      <w:r>
        <w:t xml:space="preserve">rated</w:t>
      </w:r>
      <w:r>
        <w:t xml:space="preserve"> </w:t>
      </w:r>
      <w:r>
        <w:t xml:space="preserve">211</w:t>
      </w:r>
      <w:r>
        <w:t xml:space="preserve"> </w:t>
      </w:r>
      <w:r>
        <w:t xml:space="preserve">Table 5:</w:t>
      </w:r>
      <w:r>
        <w:t xml:space="preserve"> </w:t>
      </w:r>
      <w:r>
        <w:t xml:space="preserve">Offsets to be bought for CORSIA for EEA departing flights in policy measures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Table 6:</w:t>
      </w:r>
      <w:r>
        <w:t xml:space="preserve"> </w:t>
      </w:r>
      <w:r>
        <w:t xml:space="preserve">Costs for CORSIA for EEA departing flights in different policy measures …… 211</w:t>
      </w:r>
      <w:r>
        <w:t xml:space="preserve"> </w:t>
      </w:r>
      <w:r>
        <w:t xml:space="preserve">Table 7:</w:t>
      </w:r>
      <w:r>
        <w:t xml:space="preserve"> </w:t>
      </w:r>
      <w:r>
        <w:t xml:space="preserve">Passenger demand, ticket prices, cargo demand and rates in 2040 for extra-EEA</w:t>
      </w:r>
      <w:r>
        <w:t xml:space="preserve"> </w:t>
      </w:r>
      <w:r>
        <w:t xml:space="preserve">departing flights ……………………………………………………………………………………………………… 212</w:t>
      </w:r>
      <w:r>
        <w:t xml:space="preserve"> </w:t>
      </w:r>
      <w:r>
        <w:t xml:space="preserve">Table 8:</w:t>
      </w:r>
      <w:r>
        <w:t xml:space="preserve"> </w:t>
      </w:r>
      <w:r>
        <w:t xml:space="preserve">Cargo demand and rates in 2035 ……………………………………………………………… 213</w:t>
      </w:r>
      <w:r>
        <w:t xml:space="preserve"> </w:t>
      </w:r>
      <w:r>
        <w:t xml:space="preserve">Table 9:</w:t>
      </w:r>
      <w:r>
        <w:t xml:space="preserve"> </w:t>
      </w:r>
      <w:r>
        <w:t xml:space="preserve">Kerosene and SAF costs for airlines for extra-EEA departing flights …………… 214</w:t>
      </w:r>
      <w:r>
        <w:t xml:space="preserve"> </w:t>
      </w:r>
      <w:r>
        <w:t xml:space="preserve">Table 10:</w:t>
      </w:r>
      <w:r>
        <w:t xml:space="preserve"> </w:t>
      </w:r>
      <w:r>
        <w:t xml:space="preserve">Carbon costs as a percentage of fuel costs over time for intra-EEA and departing</w:t>
      </w:r>
      <w:r>
        <w:t xml:space="preserve"> </w:t>
      </w:r>
      <w:r>
        <w:t xml:space="preserve">flights</w:t>
      </w:r>
      <w:r>
        <w:t xml:space="preserve"> </w:t>
      </w:r>
      <w:r>
        <w:t xml:space="preserve">214</w:t>
      </w:r>
      <w:r>
        <w:t xml:space="preserve"> </w:t>
      </w:r>
      <w:r>
        <w:t xml:space="preserve">Table 11:</w:t>
      </w:r>
      <w:r>
        <w:t xml:space="preserve"> </w:t>
      </w:r>
      <w:r>
        <w:t xml:space="preserve">Carbon costs as a percentage of total operating costs over time for intra-EEA and</w:t>
      </w:r>
      <w:r>
        <w:t xml:space="preserve"> </w:t>
      </w:r>
      <w:r>
        <w:t xml:space="preserve">departing flights ……………………………………………………………………………………………………… 215</w:t>
      </w:r>
      <w:r>
        <w:t xml:space="preserve"> </w:t>
      </w:r>
      <w:r>
        <w:t xml:space="preserve">Table 12:</w:t>
      </w:r>
      <w:r>
        <w:t xml:space="preserve"> </w:t>
      </w:r>
      <w:r>
        <w:t xml:space="preserve">Carbon costs as a percentage of fuel costs (incl. carbon) over time for extra-EEA</w:t>
      </w:r>
      <w:r>
        <w:t xml:space="preserve"> </w:t>
      </w:r>
      <w:r>
        <w:t xml:space="preserve">flights</w:t>
      </w:r>
      <w:r>
        <w:t xml:space="preserve"> </w:t>
      </w:r>
      <w:r>
        <w:t xml:space="preserve">215</w:t>
      </w:r>
      <w:r>
        <w:t xml:space="preserve"> </w:t>
      </w:r>
      <w:r>
        <w:t xml:space="preserve">Table 13:</w:t>
      </w:r>
      <w:r>
        <w:t xml:space="preserve"> </w:t>
      </w:r>
      <w:r>
        <w:t xml:space="preserve">Aviation EUA demand in million EUAs, aviation cap, cap net of SAF support, and</w:t>
      </w:r>
      <w:r>
        <w:t xml:space="preserve"> </w:t>
      </w:r>
      <w:r>
        <w:t xml:space="preserve">compliance cost in EUR million ……………………………………………………………………………….. 215</w:t>
      </w:r>
      <w:r>
        <w:t xml:space="preserve"> </w:t>
      </w:r>
      <w:r>
        <w:t xml:space="preserve">Table 14:</w:t>
      </w:r>
      <w:r>
        <w:t xml:space="preserve"> </w:t>
      </w:r>
      <w:r>
        <w:t xml:space="preserve">Compliance costs for ETS and CORSIA – 2035 snapshot, for global international</w:t>
      </w:r>
      <w:r>
        <w:t xml:space="preserve"> </w:t>
      </w:r>
      <w:r>
        <w:t xml:space="preserve">aviation (intra-EEA: domestic and non-domestic, extra-EEA: non-domestic only) …………. 216</w:t>
      </w:r>
      <w:r>
        <w:t xml:space="preserve"> </w:t>
      </w:r>
      <w:r>
        <w:t xml:space="preserve">Table 15:</w:t>
      </w:r>
      <w:r>
        <w:t xml:space="preserve"> </w:t>
      </w:r>
      <w:r>
        <w:t xml:space="preserve">EEA aircraft operator employment over time in policy options and the baseline</w:t>
      </w:r>
    </w:p>
    <w:p>
      <w:pPr>
        <w:pStyle w:val="BodyText"/>
      </w:pPr>
      <w:r>
        <w:t xml:space="preserve">216</w:t>
      </w:r>
      <w:r>
        <w:t xml:space="preserve"> </w:t>
      </w:r>
      <w:r>
        <w:t xml:space="preserve">Table 16:</w:t>
      </w:r>
      <w:r>
        <w:t xml:space="preserve"> </w:t>
      </w:r>
      <w:r>
        <w:t xml:space="preserve">EEA passenger demand over time in policy options and the baseline ………….. 217</w:t>
      </w:r>
      <w:r>
        <w:t xml:space="preserve"> </w:t>
      </w:r>
      <w:r>
        <w:t xml:space="preserve">Table 17:</w:t>
      </w:r>
      <w:r>
        <w:t xml:space="preserve"> </w:t>
      </w:r>
      <w:r>
        <w:t xml:space="preserve">Additional analysis on abatement cost ……………………………………………………… 217</w:t>
      </w:r>
      <w:r>
        <w:t xml:space="preserve"> </w:t>
      </w:r>
      <w:r>
        <w:t xml:space="preserve">Table 18:</w:t>
      </w:r>
      <w:r>
        <w:t xml:space="preserve"> </w:t>
      </w:r>
      <w:r>
        <w:t xml:space="preserve">Passenger shift risk comparison by case study and by scenarios for 2035. ……. 220</w:t>
      </w:r>
      <w:r>
        <w:t xml:space="preserve"> </w:t>
      </w:r>
      <w:r>
        <w:t xml:space="preserve">Table 19:</w:t>
      </w:r>
      <w:r>
        <w:t xml:space="preserve"> </w:t>
      </w:r>
      <w:r>
        <w:t xml:space="preserve">CORSIA test results based on level of participation ………………………………….. 225</w:t>
      </w:r>
      <w:r>
        <w:t xml:space="preserve"> </w:t>
      </w:r>
      <w:r>
        <w:t xml:space="preserve">Table 20:</w:t>
      </w:r>
      <w:r>
        <w:t xml:space="preserve"> </w:t>
      </w:r>
      <w:r>
        <w:t xml:space="preserve">Difference between ICAO LTAG Integrated Scenarios’ cumulative emissions and</w:t>
      </w:r>
      <w:r>
        <w:t xml:space="preserve"> </w:t>
      </w:r>
      <w:r>
        <w:t xml:space="preserve">Paris-aligned carbon budgets. …………………………………………………………………………………… 229</w:t>
      </w:r>
      <w:r>
        <w:t xml:space="preserve"> </w:t>
      </w:r>
      <w:r>
        <w:t xml:space="preserve">Table 21:</w:t>
      </w:r>
      <w:r>
        <w:t xml:space="preserve"> </w:t>
      </w:r>
      <w:r>
        <w:t xml:space="preserve">Emissions and number of aircraft operators (AO) included in EU ETS based on</w:t>
      </w:r>
      <w:r>
        <w:t xml:space="preserve"> </w:t>
      </w:r>
      <w:r>
        <w:t xml:space="preserve">emissions threshold on full scope ……………………………………………………………………………… 241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Table 22:</w:t>
      </w:r>
      <w:r>
        <w:t xml:space="preserve"> </w:t>
      </w:r>
      <w:r>
        <w:t xml:space="preserve">Emissions and number of AOs exempted based on the new simplification de-</w:t>
      </w:r>
      <w:r>
        <w:t xml:space="preserve"> </w:t>
      </w:r>
      <w:r>
        <w:t xml:space="preserve">minimis threshold based on surrender scope – figures for new common full scope threshold set</w:t>
      </w:r>
      <w:r>
        <w:t xml:space="preserve"> </w:t>
      </w:r>
      <w:r>
        <w:t xml:space="preserve">at 500 tCO2</w:t>
      </w:r>
      <w:r>
        <w:t xml:space="preserve"> </w:t>
      </w:r>
      <w:r>
        <w:t xml:space="preserve">242</w:t>
      </w:r>
      <w:r>
        <w:t xml:space="preserve"> </w:t>
      </w:r>
      <w:r>
        <w:t xml:space="preserve">Table 23:</w:t>
      </w:r>
      <w:r>
        <w:t xml:space="preserve"> </w:t>
      </w:r>
      <w:r>
        <w:t xml:space="preserve">Emissions and number of AOs exempted based on the new simplification de-</w:t>
      </w:r>
      <w:r>
        <w:t xml:space="preserve"> </w:t>
      </w:r>
      <w:r>
        <w:t xml:space="preserve">minimis threshold based on surrender scope: figures for new common full scope threshold of</w:t>
      </w:r>
      <w:r>
        <w:t xml:space="preserve"> </w:t>
      </w:r>
      <w:r>
        <w:t xml:space="preserve">1000 tCO2</w:t>
      </w:r>
      <w:r>
        <w:t xml:space="preserve"> </w:t>
      </w:r>
      <w:r>
        <w:t xml:space="preserve">243</w:t>
      </w:r>
      <w:r>
        <w:t xml:space="preserve"> </w:t>
      </w:r>
      <w:r>
        <w:t xml:space="preserve">Table 24:</w:t>
      </w:r>
      <w:r>
        <w:t xml:space="preserve"> </w:t>
      </w:r>
      <w:r>
        <w:t xml:space="preserve">Comparison of administrative costs and associated minimum ETS revenue for</w:t>
      </w:r>
      <w:r>
        <w:t xml:space="preserve"> </w:t>
      </w:r>
      <w:r>
        <w:t xml:space="preserve">each simplification threshold in Tables 22 and 23……………………………………………………….. 245</w:t>
      </w:r>
      <w:r>
        <w:t xml:space="preserve"> </w:t>
      </w:r>
      <w:r>
        <w:t xml:space="preserve">Table 25:</w:t>
      </w:r>
      <w:r>
        <w:t xml:space="preserve"> </w:t>
      </w:r>
      <w:r>
        <w:t xml:space="preserve">Emissions and number of AOs eligible to use simplified procedures based on the</w:t>
      </w:r>
      <w:r>
        <w:t xml:space="preserve"> </w:t>
      </w:r>
      <w:r>
        <w:t xml:space="preserve">full scope threshold …………………………………………………………………………………………………. 247</w:t>
      </w:r>
      <w:r>
        <w:t xml:space="preserve"> </w:t>
      </w:r>
      <w:r>
        <w:t xml:space="preserve">Table 26:</w:t>
      </w:r>
      <w:r>
        <w:t xml:space="preserve"> </w:t>
      </w:r>
      <w:r>
        <w:t xml:space="preserve">Additional (to table 23) emissions and number of AOs eligible to use simplified</w:t>
      </w:r>
      <w:r>
        <w:t xml:space="preserve"> </w:t>
      </w:r>
      <w:r>
        <w:t xml:space="preserve">procedures based on the threshold on surrender scope …………………………………………………. 247</w:t>
      </w:r>
      <w:r>
        <w:t xml:space="preserve"> </w:t>
      </w:r>
      <w:r>
        <w:t xml:space="preserve">Table 27:</w:t>
      </w:r>
      <w:r>
        <w:t xml:space="preserve"> </w:t>
      </w:r>
      <w:r>
        <w:t xml:space="preserve">Final summary and comparison of threshold options and policy options ……… 249</w:t>
      </w:r>
      <w:r>
        <w:t xml:space="preserve"> </w:t>
      </w:r>
      <w:r>
        <w:t xml:space="preserve">Table 28:</w:t>
      </w:r>
      <w:r>
        <w:t xml:space="preserve"> </w:t>
      </w:r>
      <w:r>
        <w:t xml:space="preserve">SAF price projections, by SAF type, 2028 to 2035 (EUR per tonne) …………… 252</w:t>
      </w:r>
      <w:r>
        <w:t xml:space="preserve"> </w:t>
      </w:r>
      <w:r>
        <w:t xml:space="preserve">Table 29:</w:t>
      </w:r>
      <w:r>
        <w:t xml:space="preserve"> </w:t>
      </w:r>
      <w:r>
        <w:t xml:space="preserve">Value of fuel price differential covered, by SAF type and support mechanism</w:t>
      </w:r>
      <w:r>
        <w:t xml:space="preserve"> </w:t>
      </w:r>
      <w:r>
        <w:t xml:space="preserve">option</w:t>
      </w:r>
      <w:r>
        <w:t xml:space="preserve"> </w:t>
      </w:r>
      <w:r>
        <w:t xml:space="preserve">253</w:t>
      </w:r>
      <w:r>
        <w:t xml:space="preserve"> </w:t>
      </w:r>
      <w:r>
        <w:t xml:space="preserve">Table 30:</w:t>
      </w:r>
      <w:r>
        <w:t xml:space="preserve"> </w:t>
      </w:r>
      <w:r>
        <w:t xml:space="preserve">Effective fuel prices in 2030 after considering ETS cost and the ETS support</w:t>
      </w:r>
      <w:r>
        <w:t xml:space="preserve"> </w:t>
      </w:r>
      <w:r>
        <w:t xml:space="preserve">mechanism</w:t>
      </w:r>
      <w:r>
        <w:t xml:space="preserve"> </w:t>
      </w:r>
      <w:r>
        <w:t xml:space="preserve">254</w:t>
      </w:r>
      <w:r>
        <w:t xml:space="preserve"> </w:t>
      </w:r>
      <w:r>
        <w:t xml:space="preserve">Table 31:</w:t>
      </w:r>
      <w:r>
        <w:t xml:space="preserve"> </w:t>
      </w:r>
      <w:r>
        <w:t xml:space="preserve">Cumulative number of allocated EU ETS allowances ………………………………… 254</w:t>
      </w:r>
    </w:p>
    <w:p>
      <w:pPr>
        <w:pStyle w:val="BodyText"/>
      </w:pPr>
      <w:r>
        <w:t xml:space="preserve">LIST OF FIGURES</w:t>
      </w:r>
      <w:r>
        <w:t xml:space="preserve"> </w:t>
      </w:r>
      <w:r>
        <w:t xml:space="preserve">Figure 1:</w:t>
      </w:r>
      <w:r>
        <w:t xml:space="preserve"> </w:t>
      </w:r>
      <w:r>
        <w:t xml:space="preserve">Scale of exempted emissions by type ………………………………………………………. 208</w:t>
      </w:r>
      <w:r>
        <w:t xml:space="preserve"> </w:t>
      </w:r>
      <w:r>
        <w:t xml:space="preserve">Figure 2:</w:t>
      </w:r>
      <w:r>
        <w:t xml:space="preserve"> </w:t>
      </w:r>
      <w:r>
        <w:t xml:space="preserve">Ticket price difference between original and alternative itinerary for 2025-2035.</w:t>
      </w:r>
      <w:r>
        <w:t xml:space="preserve"> </w:t>
      </w:r>
      <w:r>
        <w:t xml:space="preserve">Comparison of case studies 2 and 5, for PO1 and PO3, for economy and business class. …. 219</w:t>
      </w:r>
      <w:r>
        <w:t xml:space="preserve"> </w:t>
      </w:r>
      <w:r>
        <w:t xml:space="preserve">CS2: EEA to Asia via an EEA hub versus via Istanbul | CS5: EEA to Asia directly versus</w:t>
      </w:r>
      <w:r>
        <w:t xml:space="preserve"> </w:t>
      </w:r>
      <w:r>
        <w:t xml:space="preserve">connection via Istanbul ……………………………………………………………………………………………. 219</w:t>
      </w:r>
      <w:r>
        <w:t xml:space="preserve"> </w:t>
      </w:r>
      <w:r>
        <w:t xml:space="preserve">When we only look at the impacts of POs (i.e., disregarding base ticket price differences), the</w:t>
      </w:r>
      <w:r>
        <w:t xml:space="preserve"> </w:t>
      </w:r>
      <w:r>
        <w:t xml:space="preserve">differences in cost to passengers are smaller (ca. -10%), since the base ticket price also accounts</w:t>
      </w:r>
      <w:r>
        <w:t xml:space="preserve"> </w:t>
      </w:r>
      <w:r>
        <w:t xml:space="preserve">for a share of that difference. ……………………………………………………………………………………. 220</w:t>
      </w:r>
      <w:r>
        <w:t xml:space="preserve"> </w:t>
      </w:r>
      <w:r>
        <w:t xml:space="preserve">Figure 3:</w:t>
      </w:r>
      <w:r>
        <w:t xml:space="preserve"> </w:t>
      </w:r>
      <w:r>
        <w:t xml:space="preserve">2024 surrender scope exempted emissions from the business aviation …………. 239</w:t>
      </w:r>
    </w:p>
    <w:p>
      <w:pPr>
        <w:pStyle w:val="BodyText"/>
      </w:pPr>
      <w:r>
        <w:t xml:space="preserve">206</w:t>
      </w:r>
    </w:p>
    <w:p>
      <w:pPr>
        <w:pStyle w:val="Compact"/>
        <w:numPr>
          <w:ilvl w:val="0"/>
          <w:numId w:val="1019"/>
        </w:numPr>
      </w:pPr>
      <w:r>
        <w:t xml:space="preserve">DESCRIPTION OF THE AVIATION MEASURES</w:t>
      </w:r>
      <w:r>
        <w:t xml:space="preserve"> </w:t>
      </w:r>
      <w:r>
        <w:t xml:space="preserve">For aviation, the measures vary on the geographical scope of application (AS) of the ETS</w:t>
      </w:r>
      <w:r>
        <w:t xml:space="preserve"> </w:t>
      </w:r>
      <w:r>
        <w:t xml:space="preserve">carbon price, or on the availability of support for the uplift of sustainable aviation fuels (SAF).</w:t>
      </w:r>
      <w:r>
        <w:br/>
      </w:r>
      <w:r>
        <w:t xml:space="preserve">1.1. AS0: Baseline</w:t>
      </w:r>
      <w:r>
        <w:t xml:space="preserve"> </w:t>
      </w:r>
      <w:r>
        <w:t xml:space="preserve">The EU ETS would apply to most departing and arriving flights from EEA from the start of</w:t>
      </w:r>
      <w:r>
        <w:t xml:space="preserve"> </w:t>
      </w:r>
      <w:r>
        <w:t xml:space="preserve">2027, if no amendment to the ETS Directive was adopted. Currently, the flights exempted from</w:t>
      </w:r>
      <w:r>
        <w:t xml:space="preserve"> </w:t>
      </w:r>
      <w:r>
        <w:t xml:space="preserve">this scope are those incoming from Switzerland and the UK, which are covered by carbon</w:t>
      </w:r>
      <w:r>
        <w:t xml:space="preserve"> </w:t>
      </w:r>
      <w:r>
        <w:t xml:space="preserve">pricing systems. The ETS Directive also permanently exempts flights to and from around 75</w:t>
      </w:r>
      <w:r>
        <w:t xml:space="preserve"> </w:t>
      </w:r>
      <w:r>
        <w:t xml:space="preserve">Least Developed Countries and Small Island Developing States126. Other incoming flights</w:t>
      </w:r>
      <w:r>
        <w:t xml:space="preserve"> </w:t>
      </w:r>
      <w:r>
        <w:t xml:space="preserve">could be exempted if this is considered optimal interaction. This is not assumed in the baseline,</w:t>
      </w:r>
      <w:r>
        <w:t xml:space="preserve"> </w:t>
      </w:r>
      <w:r>
        <w:t xml:space="preserve">but it would reflect the EU’s fair share of emissions while maintaining equal treatment of</w:t>
      </w:r>
      <w:r>
        <w:t xml:space="preserve"> </w:t>
      </w:r>
      <w:r>
        <w:t xml:space="preserve">aircraft operators on routes, with the EU regulating departing flights, while other countries</w:t>
      </w:r>
      <w:r>
        <w:t xml:space="preserve"> </w:t>
      </w:r>
      <w:r>
        <w:t xml:space="preserve">would be responsible for flights to the EEA127. AS2 acts as this variation. Costs from CORSIA</w:t>
      </w:r>
      <w:r>
        <w:t xml:space="preserve"> </w:t>
      </w:r>
      <w:r>
        <w:t xml:space="preserve">offsetting could also be deducted, as described in AS2, although this variation is not modelled</w:t>
      </w:r>
      <w:r>
        <w:t xml:space="preserve"> </w:t>
      </w:r>
      <w:r>
        <w:t xml:space="preserve">here.</w:t>
      </w:r>
      <w:r>
        <w:t xml:space="preserve"> </w:t>
      </w:r>
      <w:r>
        <w:t xml:space="preserve">1.2. AS1: Current scope prolongation contingent on CORSIA implementation</w:t>
      </w:r>
      <w:r>
        <w:t xml:space="preserve"> </w:t>
      </w:r>
      <w:r>
        <w:t xml:space="preserve">This measure applies in case the Commission assessment finds that CORSIA has been</w:t>
      </w:r>
      <w:r>
        <w:t xml:space="preserve"> </w:t>
      </w:r>
      <w:r>
        <w:t xml:space="preserve">sufficiently implemented by key third countries and has been strengthened (see section 5</w:t>
      </w:r>
      <w:r>
        <w:t xml:space="preserve"> </w:t>
      </w:r>
      <w:r>
        <w:t xml:space="preserve">below). The EU would continue to apply the ETS and CORSIA according to the current scope,</w:t>
      </w:r>
      <w:r>
        <w:t xml:space="preserve"> </w:t>
      </w:r>
      <w:r>
        <w:t xml:space="preserve">as long as CORSIA implementation is maintained and strengthened. This means that the EU</w:t>
      </w:r>
      <w:r>
        <w:t xml:space="preserve"> </w:t>
      </w:r>
      <w:r>
        <w:t xml:space="preserve">ETS carbon price would continue to apply to flights within and between EEA States, as well</w:t>
      </w:r>
      <w:r>
        <w:t xml:space="preserve"> </w:t>
      </w:r>
      <w:r>
        <w:t xml:space="preserve">as to departing flights to Switzerland and the UK. For countries that should be participating in</w:t>
      </w:r>
      <w:r>
        <w:t xml:space="preserve"> </w:t>
      </w:r>
      <w:r>
        <w:t xml:space="preserve">CORSIA offsetting but are not doing so, the EU ETS would apply in both directions. Emissions</w:t>
      </w:r>
      <w:r>
        <w:t xml:space="preserve"> </w:t>
      </w:r>
      <w:r>
        <w:t xml:space="preserve">between some countries would not be covered by a carbon price128. CORSIA would apply to</w:t>
      </w:r>
      <w:r>
        <w:t xml:space="preserve"> </w:t>
      </w:r>
      <w:r>
        <w:t xml:space="preserve">remaining flights between participating countries. Airlines would have to offset emissions</w:t>
      </w:r>
      <w:r>
        <w:t xml:space="preserve"> </w:t>
      </w:r>
      <w:r>
        <w:t xml:space="preserve">above the negotiated baseline129 until 2035 when CORSIA is set to end. In 2032 the ICAO</w:t>
      </w:r>
      <w:r>
        <w:t xml:space="preserve"> </w:t>
      </w:r>
      <w:r>
        <w:t xml:space="preserve">Council is set to consider the termination of CORSIA, its extension or any other improvements</w:t>
      </w:r>
      <w:r>
        <w:t xml:space="preserve"> </w:t>
      </w:r>
      <w:r>
        <w:t xml:space="preserve">beyond 2035130, which could be decided upon at the ICAO Assembly in autumn 2034. Should</w:t>
      </w:r>
      <w:r>
        <w:t xml:space="preserve"> </w:t>
      </w:r>
      <w:r>
        <w:t xml:space="preserve">CORSIA end, a new solution to ensure meaningful carbon pricing of international aviation</w:t>
      </w:r>
      <w:r>
        <w:t xml:space="preserve"> </w:t>
      </w:r>
      <w:r>
        <w:t xml:space="preserve">emissions would need to be found. The Commission would report on changes of CORSIA’s</w:t>
      </w:r>
      <w:r>
        <w:t xml:space="preserve"> </w:t>
      </w:r>
      <w:r>
        <w:t xml:space="preserve">emissions coverage in its annual Carbon Market Report.</w:t>
      </w:r>
      <w:r>
        <w:br/>
      </w:r>
      <w:r>
        <w:t xml:space="preserve">1.3. AS2: Departing flights with CORSIA offsetting cost deduction</w:t>
      </w:r>
      <w:r>
        <w:t xml:space="preserve"> </w:t>
      </w:r>
      <w:r>
        <w:t xml:space="preserve">This measure applies in case the Commission assessment of CORSIA is that it has not been</w:t>
      </w:r>
      <w:r>
        <w:t xml:space="preserve"> </w:t>
      </w:r>
      <w:r>
        <w:t xml:space="preserve">implemented by key third countries and has not been strengthened (see section 5 of this Annex,</w:t>
      </w:r>
      <w:r>
        <w:t xml:space="preserve"> </w:t>
      </w:r>
      <w:r>
        <w:t xml:space="preserve">Assessment of CORSIA pursuant to Art. 28b of the ETS Directive). In this case, EU ETS</w:t>
      </w:r>
    </w:p>
    <w:p>
      <w:pPr>
        <w:pStyle w:val="FirstParagraph"/>
      </w:pPr>
      <w:r>
        <w:t xml:space="preserve">126 As defined by the United Nations, except for States with a GDP per capita equal or exceeding Union average.</w:t>
      </w:r>
      <w:r>
        <w:t xml:space="preserve"> </w:t>
      </w:r>
      <w:r>
        <w:t xml:space="preserve">127 This approach has been noted as a practical way to solve the issue of Common but Differentiated</w:t>
      </w:r>
      <w:r>
        <w:t xml:space="preserve"> </w:t>
      </w:r>
      <w:r>
        <w:t xml:space="preserve">Responsibilities and Respective Capabilities, which has been a longstanding challenge in the UNFCCC</w:t>
      </w:r>
      <w:r>
        <w:t xml:space="preserve"> </w:t>
      </w:r>
      <w:r>
        <w:t xml:space="preserve">context. See example here.</w:t>
      </w:r>
      <w:r>
        <w:t xml:space="preserve"> </w:t>
      </w:r>
      <w:r>
        <w:t xml:space="preserve">128 CORSIA and the EU ETS exempt flights involving Least Developed Countries and Small Island Developing</w:t>
      </w:r>
      <w:r>
        <w:t xml:space="preserve"> </w:t>
      </w:r>
      <w:r>
        <w:t xml:space="preserve">States. From January 2027, CORSIA should become mandatory for flights between 34 countries (resulting</w:t>
      </w:r>
      <w:r>
        <w:t xml:space="preserve"> </w:t>
      </w:r>
      <w:r>
        <w:t xml:space="preserve">in offsetting above the baseline). Unless they voluntarily participate, flights involving other countries are not</w:t>
      </w:r>
      <w:r>
        <w:t xml:space="preserve"> </w:t>
      </w:r>
      <w:r>
        <w:t xml:space="preserve">covered by CORSIA. As of 2025 and the latest list applicable to 2026, 130 countries voluntarily participate</w:t>
      </w:r>
      <w:r>
        <w:t xml:space="preserve"> </w:t>
      </w:r>
      <w:r>
        <w:t xml:space="preserve">in CORSIA, accounting for 51% of emissions from international aviation.</w:t>
      </w:r>
      <w:r>
        <w:t xml:space="preserve"> </w:t>
      </w:r>
      <w:r>
        <w:t xml:space="preserve">129 As of 2024, the CORSIA baseline is 85% of 2019 CO2 emissions, meaning around 500 Mt CO2 per year are</w:t>
      </w:r>
      <w:r>
        <w:t xml:space="preserve"> </w:t>
      </w:r>
      <w:r>
        <w:t xml:space="preserve">not addressed by CORSIA. See: ICAO CORSIA Central Registry: Information and Data for Transparency,</w:t>
      </w:r>
      <w:r>
        <w:t xml:space="preserve"> </w:t>
      </w:r>
      <w:r>
        <w:t xml:space="preserve">Part II: Total CO2 emissions for 2019 Aggregated for all Aeroplane Operators on each State Pair, 2022.</w:t>
      </w:r>
      <w:r>
        <w:t xml:space="preserve"> </w:t>
      </w:r>
      <w:r>
        <w:t xml:space="preserve">130 ICAO Assembly Resolution A42-22.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coverage would remain unchanged for 107 countries131, and would apply to around 85132</w:t>
      </w:r>
      <w:r>
        <w:t xml:space="preserve"> </w:t>
      </w:r>
      <w:r>
        <w:t xml:space="preserve">additional destination countries, with the possibility for airlines to deduct CORSIA offsetting</w:t>
      </w:r>
      <w:r>
        <w:t xml:space="preserve"> </w:t>
      </w:r>
      <w:r>
        <w:t xml:space="preserve">costs. Where the ETS carbon price applies and the country participates in CORSIA, airlines</w:t>
      </w:r>
      <w:r>
        <w:t xml:space="preserve"> </w:t>
      </w:r>
      <w:r>
        <w:t xml:space="preserve">can deduct CORSIA offsetting costs to avoid double charging. AS2 would entail cap</w:t>
      </w:r>
      <w:r>
        <w:t xml:space="preserve"> </w:t>
      </w:r>
      <w:r>
        <w:t xml:space="preserve">adjustments proportionate to the extension in scope of the ETS carbon price. To preserve the</w:t>
      </w:r>
      <w:r>
        <w:t xml:space="preserve"> </w:t>
      </w:r>
      <w:r>
        <w:t xml:space="preserve">environmental integrity of the ETS, the deduction would be accompanied by the cancellation</w:t>
      </w:r>
      <w:r>
        <w:t xml:space="preserve"> </w:t>
      </w:r>
      <w:r>
        <w:t xml:space="preserve">of an equivalent amount of allowances. The geographic scope is expected to result in increased</w:t>
      </w:r>
      <w:r>
        <w:t xml:space="preserve"> </w:t>
      </w:r>
      <w:r>
        <w:t xml:space="preserve">ETS revenues, part of which would be used to extend support for SAF uplift by an additional</w:t>
      </w:r>
      <w:r>
        <w:t xml:space="preserve"> </w:t>
      </w:r>
      <w:r>
        <w:t xml:space="preserve">amount of allowances133.</w:t>
      </w:r>
      <w:r>
        <w:t xml:space="preserve"> </w:t>
      </w:r>
      <w:r>
        <w:t xml:space="preserve">1.4. SAF0: Baseline, support expires in 2030</w:t>
      </w:r>
      <w:r>
        <w:t xml:space="preserve"> </w:t>
      </w:r>
      <w:r>
        <w:t xml:space="preserve">The ETS Directive reserves a maximum of 20 million allowances from 1.1.2024 until</w:t>
      </w:r>
      <w:r>
        <w:t xml:space="preserve"> </w:t>
      </w:r>
      <w:r>
        <w:t xml:space="preserve">31.12.2030 for the use of eligible fuels on routes covered by the ETS carbon price (Article</w:t>
      </w:r>
      <w:r>
        <w:t xml:space="preserve"> </w:t>
      </w:r>
      <w:r>
        <w:t xml:space="preserve">3c(6)). Without action by the European Parliament and the Council, this support would expire</w:t>
      </w:r>
      <w:r>
        <w:t xml:space="preserve"> </w:t>
      </w:r>
      <w:r>
        <w:t xml:space="preserve">or run out.</w:t>
      </w:r>
      <w:r>
        <w:br/>
      </w:r>
      <w:r>
        <w:t xml:space="preserve">1.5. SAF1: extension of support by medium amount</w:t>
      </w:r>
      <w:r>
        <w:t xml:space="preserve"> </w:t>
      </w:r>
      <w:r>
        <w:t xml:space="preserve">The support available in the ETS Directive would be extended by a medium amount from 2028</w:t>
      </w:r>
      <w:r>
        <w:t xml:space="preserve"> </w:t>
      </w:r>
      <w:r>
        <w:t xml:space="preserve">to continue providing the immediate incentive that the EU ETS gives for use of e-fuels and</w:t>
      </w:r>
      <w:r>
        <w:t xml:space="preserve"> </w:t>
      </w:r>
      <w:r>
        <w:t xml:space="preserve">biofuel and ensure a smooth transition between the current support and the extension. The</w:t>
      </w:r>
      <w:r>
        <w:t xml:space="preserve"> </w:t>
      </w:r>
      <w:r>
        <w:t xml:space="preserve">support focuses on the cleanest alternatives to kerosene. Support would be coupled with</w:t>
      </w:r>
      <w:r>
        <w:t xml:space="preserve"> </w:t>
      </w:r>
      <w:r>
        <w:t xml:space="preserve">conditionalities, such as having a long term off-take contract agreement in place, to further</w:t>
      </w:r>
      <w:r>
        <w:t xml:space="preserve"> </w:t>
      </w:r>
      <w:r>
        <w:t xml:space="preserve">incentivise lasting emissions reductions and support long-term investments in the</w:t>
      </w:r>
      <w:r>
        <w:t xml:space="preserve"> </w:t>
      </w:r>
      <w:r>
        <w:t xml:space="preserve">decarbonisation of aviation. See analysis and amounts in section 8.</w:t>
      </w:r>
      <w:r>
        <w:t xml:space="preserve"> </w:t>
      </w:r>
      <w:r>
        <w:t xml:space="preserve">1.6. SAF2: extension of support by higher amount</w:t>
      </w:r>
      <w:r>
        <w:t xml:space="preserve"> </w:t>
      </w:r>
      <w:r>
        <w:t xml:space="preserve">The support available in the ETS Directive would be extended by a larger amount compared to</w:t>
      </w:r>
      <w:r>
        <w:t xml:space="preserve"> </w:t>
      </w:r>
      <w:r>
        <w:t xml:space="preserve">SAF1 and focus on the cleanest alternatives to kerosene i.e. electrification and e-fuels. Support</w:t>
      </w:r>
      <w:r>
        <w:t xml:space="preserve"> </w:t>
      </w:r>
      <w:r>
        <w:t xml:space="preserve">would be coupled with conditionalities to further incentivise and accelerate emissions</w:t>
      </w:r>
      <w:r>
        <w:t xml:space="preserve"> </w:t>
      </w:r>
      <w:r>
        <w:t xml:space="preserve">reductions and support long-term investments in aviation decarbonisation. It would entail the</w:t>
      </w:r>
      <w:r>
        <w:t xml:space="preserve"> </w:t>
      </w:r>
      <w:r>
        <w:t xml:space="preserve">same cap adjustments as in SAF1, proportionate to the extension in scope of the ETS carbon</w:t>
      </w:r>
      <w:r>
        <w:t xml:space="preserve"> </w:t>
      </w:r>
      <w:r>
        <w:t xml:space="preserve">price. See analysis and amounts in section 8.</w:t>
      </w:r>
      <w:r>
        <w:t xml:space="preserve"> </w:t>
      </w:r>
      <w:r>
        <w:t xml:space="preserve">1.7. AS general elements</w:t>
      </w:r>
      <w:r>
        <w:t xml:space="preserve"> </w:t>
      </w:r>
      <w:r>
        <w:t xml:space="preserve">Several elements apply in a uniform manner across all options. On geographic scope, the ETS</w:t>
      </w:r>
      <w:r>
        <w:t xml:space="preserve"> </w:t>
      </w:r>
      <w:r>
        <w:t xml:space="preserve">Directive as in force since 2023 permanently exempts flights to and from around 75 Least</w:t>
      </w:r>
      <w:r>
        <w:t xml:space="preserve"> </w:t>
      </w:r>
      <w:r>
        <w:t xml:space="preserve">Developed Countries and Small Island Developing States134. This exemption is maintained</w:t>
      </w:r>
      <w:r>
        <w:t xml:space="preserve"> </w:t>
      </w:r>
      <w:r>
        <w:t xml:space="preserve">across all measures. In case of hub carbon leakage, the ETS would apply in both directions,</w:t>
      </w:r>
      <w:r>
        <w:t xml:space="preserve"> </w:t>
      </w:r>
      <w:r>
        <w:t xml:space="preserve">on an equal-treatment-on-routes basis.135 This would mean that if displacement of emissions to</w:t>
      </w:r>
      <w:r>
        <w:t xml:space="preserve"> </w:t>
      </w:r>
      <w:r>
        <w:t xml:space="preserve">a hub outside Europe were to be found, the aim would be to bring emissions back into the scope</w:t>
      </w:r>
      <w:r>
        <w:t xml:space="preserve"> </w:t>
      </w:r>
      <w:r>
        <w:t xml:space="preserve">of climate measures by applying a meaningful carbon price. Impacts would depend on a case-</w:t>
      </w:r>
      <w:r>
        <w:t xml:space="preserve"> </w:t>
      </w:r>
      <w:r>
        <w:t xml:space="preserve">by-case basis, applied in an equal manner on route(s) concerned. The linear reduction factor is</w:t>
      </w:r>
    </w:p>
    <w:p>
      <w:pPr>
        <w:pStyle w:val="BodyText"/>
      </w:pPr>
      <w:r>
        <w:t xml:space="preserve">131 Refers to EU ETS coverage for EEA countries, departing flights to Switzerland and the UK, and EU ETS</w:t>
      </w:r>
      <w:r>
        <w:t xml:space="preserve"> </w:t>
      </w:r>
      <w:r>
        <w:t xml:space="preserve">exemption for around 75 Least Developed Countries or Small Island Developing States.</w:t>
      </w:r>
      <w:r>
        <w:t xml:space="preserve"> </w:t>
      </w:r>
      <w:r>
        <w:t xml:space="preserve">132 The UN currently recognises 193 countries: removing the countries in the footnote above leaves 86 countries.</w:t>
      </w:r>
      <w:r>
        <w:t xml:space="preserve"> </w:t>
      </w:r>
      <w:r>
        <w:t xml:space="preserve">ICAO members in 2026 are the same, except that Liechtenstein is not a member, and Cook Islands are a</w:t>
      </w:r>
      <w:r>
        <w:t xml:space="preserve"> </w:t>
      </w:r>
      <w:r>
        <w:t xml:space="preserve">member of ICAO but not the UN.</w:t>
      </w:r>
      <w:r>
        <w:t xml:space="preserve"> </w:t>
      </w:r>
      <w:r>
        <w:t xml:space="preserve">133 As foreseen by the ETS Directive Article 3c(6), penultimate paragraph.</w:t>
      </w:r>
      <w:r>
        <w:t xml:space="preserve"> </w:t>
      </w:r>
      <w:r>
        <w:t xml:space="preserve">134 As defined by the United Nations, except for those States with a GDP per capita equal or exceeding Union</w:t>
      </w:r>
      <w:r>
        <w:t xml:space="preserve"> </w:t>
      </w:r>
      <w:r>
        <w:t xml:space="preserve">average.</w:t>
      </w:r>
      <w:r>
        <w:t xml:space="preserve"> </w:t>
      </w:r>
      <w:r>
        <w:t xml:space="preserve">135 The EU ETS carbon price would apply to any airline flying on that route.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set for the ETS as a whole and is 4.4% in the baseline and all options, for detail see subsection</w:t>
      </w:r>
      <w:r>
        <w:t xml:space="preserve"> </w:t>
      </w:r>
      <w:r>
        <w:t xml:space="preserve">5.1 of the Impact Assessment. In addition, the EU could provide “ETS-as-a-service” to</w:t>
      </w:r>
      <w:r>
        <w:t xml:space="preserve"> </w:t>
      </w:r>
      <w:r>
        <w:t xml:space="preserve">interested third countries, which could receive a share of the revenues for climate purposes.</w:t>
      </w:r>
      <w:r>
        <w:t xml:space="preserve"> </w:t>
      </w:r>
      <w:r>
        <w:t xml:space="preserve">However, this is not included in the modelling.</w:t>
      </w:r>
      <w:r>
        <w:t xml:space="preserve"> </w:t>
      </w:r>
      <w:r>
        <w:t xml:space="preserve">Outermost regions136:</w:t>
      </w:r>
      <w:r>
        <w:br/>
      </w:r>
      <w:r>
        <w:t xml:space="preserve">The EU ETS temporarily exempts domestic flights to and from outermost regions137 (e.g. </w:t>
      </w:r>
      <w:r>
        <w:t xml:space="preserve"> </w:t>
      </w:r>
      <w:r>
        <w:t xml:space="preserve">Tenerife – Madrid; Madeira – Lisbon), as well as flights between two different outermost</w:t>
      </w:r>
      <w:r>
        <w:t xml:space="preserve"> </w:t>
      </w:r>
      <w:r>
        <w:t xml:space="preserve">regions of the same Member State (Madeira - Azores) until 31 December 2030. From an</w:t>
      </w:r>
      <w:r>
        <w:t xml:space="preserve"> </w:t>
      </w:r>
      <w:r>
        <w:t xml:space="preserve">environmental perspective, this exemption covers about 7% of EU ETS aviation emissions138.</w:t>
      </w:r>
      <w:r>
        <w:t xml:space="preserve"> </w:t>
      </w:r>
      <w:r>
        <w:t xml:space="preserve">CORSIA does not foresee any special status or exemptions for remote or outermost regions.</w:t>
      </w:r>
      <w:r>
        <w:t xml:space="preserve"> </w:t>
      </w:r>
      <w:r>
        <w:t xml:space="preserve">The remaining exemption is set to expire, as all sectors of the economy must contribute to</w:t>
      </w:r>
      <w:r>
        <w:t xml:space="preserve"> </w:t>
      </w:r>
      <w:r>
        <w:t xml:space="preserve">addressing the climate challenge. ETS carbon pricing applies on flights between any EEA</w:t>
      </w:r>
      <w:r>
        <w:t xml:space="preserve"> </w:t>
      </w:r>
      <w:r>
        <w:t xml:space="preserve">country and outermost regions139 since 2024. Table 1 compares data between 2019 and 2024.</w:t>
      </w:r>
      <w:r>
        <w:t xml:space="preserve"> </w:t>
      </w:r>
      <w:r>
        <w:t xml:space="preserve">For flights that have been covered by the ETS since January 2024, it shows an increase of</w:t>
      </w:r>
      <w:r>
        <w:t xml:space="preserve"> </w:t>
      </w:r>
      <w:r>
        <w:t xml:space="preserve">activity of 22% since 2019 and of 10% since 2023 (when these emissions were not covered by</w:t>
      </w:r>
      <w:r>
        <w:t xml:space="preserve"> </w:t>
      </w:r>
      <w:r>
        <w:t xml:space="preserve">carbon pricing). This suggests no correlation between ETS coverage of these flights and</w:t>
      </w:r>
      <w:r>
        <w:t xml:space="preserve"> </w:t>
      </w:r>
      <w:r>
        <w:t xml:space="preserve">demand. See further analysis in subsection 6.2 below.</w:t>
      </w:r>
      <w:r>
        <w:t xml:space="preserve"> </w:t>
      </w:r>
      <w:r>
        <w:t xml:space="preserve">Table 1:</w:t>
      </w:r>
      <w:r>
        <w:t xml:space="preserve"> </w:t>
      </w:r>
      <w:r>
        <w:t xml:space="preserve">2024 vs 2019 traffic comparison by route, absolute actvitiy and as percentage of total</w:t>
      </w:r>
      <w:r>
        <w:t xml:space="preserve"> </w:t>
      </w:r>
      <w:r>
        <w:t xml:space="preserve">aviation activity under the ETS.</w:t>
      </w:r>
    </w:p>
    <w:p>
      <w:pPr>
        <w:pStyle w:val="BodyText"/>
      </w:pPr>
      <w:r>
        <w:t xml:space="preserve">2019</w:t>
      </w:r>
      <w:r>
        <w:br/>
      </w:r>
      <w:r>
        <w:t xml:space="preserve">2024</w:t>
      </w:r>
      <w:r>
        <w:br/>
      </w:r>
      <w:r>
        <w:t xml:space="preserve">Route</w:t>
      </w:r>
      <w:r>
        <w:br/>
      </w:r>
      <w:r>
        <w:t xml:space="preserve">Number of</w:t>
      </w:r>
      <w:r>
        <w:t xml:space="preserve"> </w:t>
      </w:r>
      <w:r>
        <w:t xml:space="preserve">flights</w:t>
      </w:r>
      <w:r>
        <w:br/>
      </w:r>
      <w:r>
        <w:t xml:space="preserve">% of total</w:t>
      </w:r>
      <w:r>
        <w:t xml:space="preserve"> </w:t>
      </w:r>
      <w:r>
        <w:t xml:space="preserve">ETS flights</w:t>
      </w:r>
      <w:r>
        <w:br/>
      </w:r>
      <w:r>
        <w:t xml:space="preserve">Number of</w:t>
      </w:r>
      <w:r>
        <w:t xml:space="preserve"> </w:t>
      </w:r>
      <w:r>
        <w:t xml:space="preserve">flights</w:t>
      </w:r>
      <w:r>
        <w:br/>
      </w:r>
      <w:r>
        <w:t xml:space="preserve">% of total</w:t>
      </w:r>
      <w:r>
        <w:t xml:space="preserve"> </w:t>
      </w:r>
      <w:r>
        <w:t xml:space="preserve">ETS flights</w:t>
      </w:r>
      <w:r>
        <w:br/>
      </w:r>
      <w:r>
        <w:t xml:space="preserve">Total under ETS</w:t>
      </w:r>
      <w:r>
        <w:br/>
      </w:r>
      <w:r>
        <w:t xml:space="preserve">9251097</w:t>
      </w:r>
      <w:r>
        <w:t xml:space="preserve"> </w:t>
      </w:r>
      <w:r>
        <w:t xml:space="preserve">100%</w:t>
      </w:r>
      <w:r>
        <w:t xml:space="preserve"> </w:t>
      </w:r>
      <w:r>
        <w:t xml:space="preserve">8831184</w:t>
      </w:r>
      <w:r>
        <w:t xml:space="preserve"> </w:t>
      </w:r>
      <w:r>
        <w:t xml:space="preserve">100%</w:t>
      </w:r>
      <w:r>
        <w:t xml:space="preserve"> </w:t>
      </w:r>
      <w:r>
        <w:t xml:space="preserve">Non-domestic routes between an</w:t>
      </w:r>
      <w:r>
        <w:t xml:space="preserve"> </w:t>
      </w:r>
      <w:r>
        <w:t xml:space="preserve">OMR and any EEA destination</w:t>
      </w:r>
      <w:r>
        <w:t xml:space="preserve"> </w:t>
      </w:r>
      <w:r>
        <w:t xml:space="preserve">97197</w:t>
      </w:r>
    </w:p>
    <w:p>
      <w:pPr>
        <w:pStyle w:val="BodyText"/>
      </w:pPr>
      <w:r>
        <w:t xml:space="preserve">1%</w:t>
      </w:r>
      <w:r>
        <w:t xml:space="preserve"> </w:t>
      </w:r>
      <w:r>
        <w:t xml:space="preserve">118442</w:t>
      </w:r>
      <w:r>
        <w:t xml:space="preserve"> </w:t>
      </w:r>
      <w:r>
        <w:t xml:space="preserve">1%</w:t>
      </w:r>
      <w:r>
        <w:t xml:space="preserve"> </w:t>
      </w:r>
      <w:r>
        <w:t xml:space="preserve">+ OMR-UK</w:t>
      </w:r>
      <w:r>
        <w:br/>
      </w:r>
      <w:r>
        <w:t xml:space="preserve">60156</w:t>
      </w:r>
      <w:r>
        <w:t xml:space="preserve"> </w:t>
      </w:r>
      <w:r>
        <w:t xml:space="preserve">1%</w:t>
      </w:r>
      <w:r>
        <w:t xml:space="preserve"> </w:t>
      </w:r>
      <w:r>
        <w:t xml:space="preserve">77209</w:t>
      </w:r>
      <w:r>
        <w:t xml:space="preserve"> </w:t>
      </w:r>
      <w:r>
        <w:t xml:space="preserve">1%</w:t>
      </w:r>
      <w:r>
        <w:t xml:space="preserve"> </w:t>
      </w:r>
      <w:r>
        <w:t xml:space="preserve">+ OMR-CH</w:t>
      </w:r>
      <w:r>
        <w:br/>
      </w:r>
      <w:r>
        <w:t xml:space="preserve">3024</w:t>
      </w:r>
      <w:r>
        <w:t xml:space="preserve"> </w:t>
      </w:r>
      <w:r>
        <w:t xml:space="preserve">Negl.</w:t>
      </w:r>
      <w:r>
        <w:t xml:space="preserve"> </w:t>
      </w:r>
      <w:r>
        <w:t xml:space="preserve">3806</w:t>
      </w:r>
      <w:r>
        <w:t xml:space="preserve"> </w:t>
      </w:r>
      <w:r>
        <w:t xml:space="preserve">Negl.</w:t>
      </w:r>
      <w:r>
        <w:t xml:space="preserve"> </w:t>
      </w:r>
      <w:r>
        <w:t xml:space="preserve">Route between an OMR and its</w:t>
      </w:r>
      <w:r>
        <w:t xml:space="preserve"> </w:t>
      </w:r>
      <w:r>
        <w:t xml:space="preserve">mainland</w:t>
      </w:r>
      <w:r>
        <w:br/>
      </w:r>
      <w:r>
        <w:t xml:space="preserve">91619</w:t>
      </w:r>
      <w:r>
        <w:t xml:space="preserve"> </w:t>
      </w:r>
      <w:r>
        <w:t xml:space="preserve">1%</w:t>
      </w:r>
      <w:r>
        <w:t xml:space="preserve"> </w:t>
      </w:r>
      <w:r>
        <w:t xml:space="preserve">113000</w:t>
      </w:r>
      <w:r>
        <w:t xml:space="preserve"> </w:t>
      </w:r>
      <w:r>
        <w:t xml:space="preserve">1%</w:t>
      </w:r>
      <w:r>
        <w:t xml:space="preserve"> </w:t>
      </w:r>
      <w:r>
        <w:t xml:space="preserve">+ exempted under PSO</w:t>
      </w:r>
      <w:r>
        <w:t xml:space="preserve"> </w:t>
      </w:r>
      <w:r>
        <w:t xml:space="preserve">409</w:t>
      </w:r>
      <w:r>
        <w:t xml:space="preserve"> </w:t>
      </w:r>
      <w:r>
        <w:t xml:space="preserve">Negl.</w:t>
      </w:r>
      <w:r>
        <w:t xml:space="preserve"> </w:t>
      </w:r>
      <w:r>
        <w:t xml:space="preserve">164</w:t>
      </w:r>
      <w:r>
        <w:t xml:space="preserve"> </w:t>
      </w:r>
      <w:r>
        <w:t xml:space="preserve">Negl.</w:t>
      </w:r>
      <w:r>
        <w:t xml:space="preserve"> </w:t>
      </w:r>
      <w:r>
        <w:t xml:space="preserve">Route within the same OMR</w:t>
      </w:r>
      <w:r>
        <w:br/>
      </w:r>
      <w:r>
        <w:t xml:space="preserve">2448</w:t>
      </w:r>
      <w:r>
        <w:t xml:space="preserve"> </w:t>
      </w:r>
      <w:r>
        <w:t xml:space="preserve">Negl.</w:t>
      </w:r>
      <w:r>
        <w:t xml:space="preserve"> </w:t>
      </w:r>
      <w:r>
        <w:t xml:space="preserve">7433</w:t>
      </w:r>
      <w:r>
        <w:t xml:space="preserve"> </w:t>
      </w:r>
      <w:r>
        <w:t xml:space="preserve">Negl.</w:t>
      </w:r>
      <w:r>
        <w:t xml:space="preserve"> </w:t>
      </w:r>
      <w:r>
        <w:t xml:space="preserve">+exempted under PSO</w:t>
      </w:r>
      <w:r>
        <w:br/>
      </w:r>
      <w:r>
        <w:t xml:space="preserve">104828</w:t>
      </w:r>
      <w:r>
        <w:t xml:space="preserve"> </w:t>
      </w:r>
      <w:r>
        <w:t xml:space="preserve">1%</w:t>
      </w:r>
      <w:r>
        <w:t xml:space="preserve"> </w:t>
      </w:r>
      <w:r>
        <w:t xml:space="preserve">108764</w:t>
      </w:r>
      <w:r>
        <w:t xml:space="preserve"> </w:t>
      </w:r>
      <w:r>
        <w:t xml:space="preserve">1%</w:t>
      </w:r>
      <w:r>
        <w:t xml:space="preserve"> </w:t>
      </w:r>
      <w:r>
        <w:t xml:space="preserve">Route between two different</w:t>
      </w:r>
      <w:r>
        <w:t xml:space="preserve"> </w:t>
      </w:r>
      <w:r>
        <w:t xml:space="preserve">OMRs of the same MS</w:t>
      </w:r>
      <w:r>
        <w:t xml:space="preserve"> </w:t>
      </w:r>
      <w:r>
        <w:t xml:space="preserve">16171</w:t>
      </w:r>
      <w:r>
        <w:t xml:space="preserve"> </w:t>
      </w:r>
      <w:r>
        <w:t xml:space="preserve">Negl.</w:t>
      </w:r>
      <w:r>
        <w:t xml:space="preserve"> </w:t>
      </w:r>
      <w:r>
        <w:t xml:space="preserve">13916</w:t>
      </w:r>
      <w:r>
        <w:t xml:space="preserve"> </w:t>
      </w:r>
      <w:r>
        <w:t xml:space="preserve">Negl.</w:t>
      </w:r>
    </w:p>
    <w:p>
      <w:pPr>
        <w:pStyle w:val="BodyText"/>
      </w:pPr>
      <w:r>
        <w:t xml:space="preserve">136 French Guiana, Guadeloupe, Martinique, Mayotte, Reunion Island and Saint-Martin (France), Azores,</w:t>
      </w:r>
      <w:r>
        <w:t xml:space="preserve"> </w:t>
      </w:r>
      <w:r>
        <w:t xml:space="preserve">Madeira (Portugal), The Canary Islands (Spain).</w:t>
      </w:r>
      <w:r>
        <w:t xml:space="preserve"> </w:t>
      </w:r>
      <w:r>
        <w:t xml:space="preserve">137 Within the meaning of Article 349 of the Treaty on the Functioning of the European Union.</w:t>
      </w:r>
      <w:r>
        <w:t xml:space="preserve"> </w:t>
      </w:r>
      <w:r>
        <w:t xml:space="preserve">138 In 2024, the EU ETS covered 64Mt CO2 of aviation emissions, compared to 0.013 Mt CO2 emissions from</w:t>
      </w:r>
      <w:r>
        <w:t xml:space="preserve"> </w:t>
      </w:r>
      <w:r>
        <w:t xml:space="preserve">flights between outermost regions of the same member state (exempted until December 2030) and 4.3Mt CO2</w:t>
      </w:r>
      <w:r>
        <w:t xml:space="preserve"> </w:t>
      </w:r>
      <w:r>
        <w:t xml:space="preserve">emissions from flights to/from outermost regions from/to their respective Member State (considered as</w:t>
      </w:r>
      <w:r>
        <w:t xml:space="preserve"> </w:t>
      </w:r>
      <w:r>
        <w:t xml:space="preserve">domestic, exempted until December 2030).</w:t>
      </w:r>
      <w:r>
        <w:t xml:space="preserve"> </w:t>
      </w:r>
      <w:r>
        <w:t xml:space="preserve">139 Other than Domestic.</w:t>
      </w:r>
    </w:p>
    <w:p>
      <w:pPr>
        <w:pStyle w:val="BodyText"/>
      </w:pPr>
      <w:r>
        <w:t xml:space="preserve">209</w:t>
      </w:r>
    </w:p>
    <w:p>
      <w:pPr>
        <w:pStyle w:val="Compact"/>
        <w:numPr>
          <w:ilvl w:val="0"/>
          <w:numId w:val="1020"/>
        </w:numPr>
      </w:pPr>
      <w:r>
        <w:t xml:space="preserve">exempted under PSO</w:t>
      </w:r>
      <w:r>
        <w:br/>
      </w:r>
      <w:r>
        <w:t xml:space="preserve">604</w:t>
      </w:r>
      <w:r>
        <w:t xml:space="preserve"> </w:t>
      </w:r>
      <w:r>
        <w:t xml:space="preserve">Negl.</w:t>
      </w:r>
      <w:r>
        <w:t xml:space="preserve"> </w:t>
      </w:r>
      <w:r>
        <w:t xml:space="preserve">843</w:t>
      </w:r>
      <w:r>
        <w:t xml:space="preserve"> </w:t>
      </w:r>
      <w:r>
        <w:t xml:space="preserve">Negl.</w:t>
      </w:r>
      <w:r>
        <w:br/>
      </w:r>
      <w:r>
        <w:t xml:space="preserve">Total exempted under PSO</w:t>
      </w:r>
      <w:r>
        <w:br/>
      </w:r>
      <w:r>
        <w:t xml:space="preserve">164853</w:t>
      </w:r>
      <w:r>
        <w:t xml:space="preserve"> </w:t>
      </w:r>
      <w:r>
        <w:t xml:space="preserve">2%</w:t>
      </w:r>
      <w:r>
        <w:t xml:space="preserve"> </w:t>
      </w:r>
      <w:r>
        <w:t xml:space="preserve">129077</w:t>
      </w:r>
      <w:r>
        <w:t xml:space="preserve"> </w:t>
      </w:r>
      <w:r>
        <w:t xml:space="preserve">1%</w:t>
      </w:r>
      <w:r>
        <w:t xml:space="preserve"> </w:t>
      </w:r>
      <w:r>
        <w:t xml:space="preserve">Negl. Stands for negligible, for figures that would round to 0.0%.</w:t>
      </w:r>
      <w:r>
        <w:t xml:space="preserve"> </w:t>
      </w:r>
      <w:r>
        <w:t xml:space="preserve">Private &amp; business jets inclusion: Currently the EU ETS provides for an exemption for</w:t>
      </w:r>
      <w:r>
        <w:t xml:space="preserve"> </w:t>
      </w:r>
      <w:r>
        <w:t xml:space="preserve">aircraft with a total mass below 5700 kg; for flights of non-commercial aircraft operators with</w:t>
      </w:r>
      <w:r>
        <w:t xml:space="preserve"> </w:t>
      </w:r>
      <w:r>
        <w:t xml:space="preserve">annual emissions less than 1000 tonnes; and for flights of commercial aircraft operators with</w:t>
      </w:r>
      <w:r>
        <w:t xml:space="preserve"> </w:t>
      </w:r>
      <w:r>
        <w:t xml:space="preserve">yearly emission less than 10000 tonnes or less than 243 flights in each four-month period140 on</w:t>
      </w:r>
      <w:r>
        <w:t xml:space="preserve"> </w:t>
      </w:r>
      <w:r>
        <w:t xml:space="preserve">full scope. The majority of emissions from business aviation come from flights to or from the</w:t>
      </w:r>
      <w:r>
        <w:t xml:space="preserve"> </w:t>
      </w:r>
      <w:r>
        <w:t xml:space="preserve">EU. The combined effect is that the majority of business aviation is de facto exempted from</w:t>
      </w:r>
      <w:r>
        <w:t xml:space="preserve"> </w:t>
      </w:r>
      <w:r>
        <w:t xml:space="preserve">any obligation of reporting or surrendering allowances. Business aviation flights which are</w:t>
      </w:r>
      <w:r>
        <w:t xml:space="preserve"> </w:t>
      </w:r>
      <w:r>
        <w:t xml:space="preserve">exempted from the EU ETS amounted to 2% of emissions of the intra-EEA scope in 2024 but</w:t>
      </w:r>
      <w:r>
        <w:t xml:space="preserve"> </w:t>
      </w:r>
      <w:r>
        <w:t xml:space="preserve">represent 34% of all exempted emissions. As demonstrated in Figure 1 below, only military</w:t>
      </w:r>
      <w:r>
        <w:t xml:space="preserve"> </w:t>
      </w:r>
      <w:r>
        <w:t xml:space="preserve">flights achieve the same imbalance, while notably mainline and low-cost airlines show high</w:t>
      </w:r>
      <w:r>
        <w:t xml:space="preserve"> </w:t>
      </w:r>
      <w:r>
        <w:t xml:space="preserve">emissions coverage with minimal exemptions applied to them.</w:t>
      </w:r>
      <w:r>
        <w:br/>
      </w:r>
      <w:r>
        <w:t xml:space="preserve">Figure 1:</w:t>
      </w:r>
      <w:r>
        <w:t xml:space="preserve"> </w:t>
      </w:r>
      <w:r>
        <w:t xml:space="preserve">Scale of exempted emissions by type</w:t>
      </w:r>
    </w:p>
    <w:p>
      <w:pPr>
        <w:pStyle w:val="FirstParagraph"/>
      </w:pPr>
      <w:r>
        <w:t xml:space="preserve">Source: Ricardo analysis of Eurocontrol data</w:t>
      </w:r>
      <w:r>
        <w:t xml:space="preserve"> </w:t>
      </w:r>
      <w:r>
        <w:t xml:space="preserve">A core complexity is that business aviation spans both commercial and non-commercial</w:t>
      </w:r>
      <w:r>
        <w:t xml:space="preserve"> </w:t>
      </w:r>
      <w:r>
        <w:t xml:space="preserve">operations141, making clear categorisation difficult. Therefore to ensure simplification and</w:t>
      </w:r>
      <w:r>
        <w:t xml:space="preserve"> </w:t>
      </w:r>
      <w:r>
        <w:t xml:space="preserve">appropriate internalisation of the climate impacts (D2) of private and business aviation, all</w:t>
      </w:r>
    </w:p>
    <w:p>
      <w:pPr>
        <w:pStyle w:val="BodyText"/>
      </w:pPr>
      <w:r>
        <w:t xml:space="preserve">140 This corresponds approximately to one return flight a day.</w:t>
      </w:r>
      <w:r>
        <w:t xml:space="preserve"> </w:t>
      </w:r>
      <w:r>
        <w:t xml:space="preserve">141 Decision (EC) No 2009/450 of 8 June 2009 on the detailed interpretation of the aviation activities listed in</w:t>
      </w:r>
      <w:r>
        <w:t xml:space="preserve"> </w:t>
      </w:r>
      <w:r>
        <w:t xml:space="preserve">Annex I to Directive 2003/87/EC of the European Parliament and of the Council provides that commercial</w:t>
      </w:r>
      <w:r>
        <w:t xml:space="preserve"> </w:t>
      </w:r>
      <w:r>
        <w:t xml:space="preserve">aircraft operators are those that hold and air operator’s certificate (AOC) and the characteristic of being</w:t>
      </w:r>
      <w:r>
        <w:t xml:space="preserve"> </w:t>
      </w:r>
      <w:r>
        <w:t xml:space="preserve">commercial is linked to the operator and not to the flights in question. This means that a commercial operator</w:t>
      </w:r>
      <w:r>
        <w:t xml:space="preserve"> </w:t>
      </w:r>
      <w:r>
        <w:t xml:space="preserve">(one holding an AOC) may perform non-commercial flights, but those would be considered commercial under</w:t>
      </w:r>
      <w:r>
        <w:t xml:space="preserve"> </w:t>
      </w:r>
      <w:r>
        <w:t xml:space="preserve">the EU ETS.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options include lowering the emissions threshold for all aircraft operators to 500 tCO2</w:t>
      </w:r>
      <w:r>
        <w:t xml:space="preserve"> </w:t>
      </w:r>
      <w:r>
        <w:t xml:space="preserve">irrespective of their commercial status to increase the reach of carbon pricing.</w:t>
      </w:r>
      <w:r>
        <w:br/>
      </w:r>
      <w:r>
        <w:t xml:space="preserve">This element introduces a “proxy” for defining private and business flight that is operationally</w:t>
      </w:r>
      <w:r>
        <w:t xml:space="preserve"> </w:t>
      </w:r>
      <w:r>
        <w:t xml:space="preserve">precise for monitoring and compliance under the EU ETS and does not rely on the commercial</w:t>
      </w:r>
      <w:r>
        <w:t xml:space="preserve"> </w:t>
      </w:r>
      <w:r>
        <w:t xml:space="preserve">status of the operator, which proved inefficient in identifying business aviation flights. These</w:t>
      </w:r>
      <w:r>
        <w:t xml:space="preserve"> </w:t>
      </w:r>
      <w:r>
        <w:t xml:space="preserve">flights have not paid an ETS carbon price in the past, contradicting the polluter pays principle,</w:t>
      </w:r>
      <w:r>
        <w:t xml:space="preserve"> </w:t>
      </w:r>
      <w:r>
        <w:t xml:space="preserve">as these planes usually have four to fourteen times higher per-passenger emissions than the</w:t>
      </w:r>
      <w:r>
        <w:t xml:space="preserve"> </w:t>
      </w:r>
      <w:r>
        <w:t xml:space="preserve">average economy-class passenger142, coupled with far superior financial resources. Every</w:t>
      </w:r>
      <w:r>
        <w:t xml:space="preserve"> </w:t>
      </w:r>
      <w:r>
        <w:t xml:space="preserve">emitter and every person needs to contribute143. Considering the large carbon footprint per</w:t>
      </w:r>
      <w:r>
        <w:t xml:space="preserve"> </w:t>
      </w:r>
      <w:r>
        <w:t xml:space="preserve">passenger of these flights, it is appropriate to cover these in line with the geographical scope</w:t>
      </w:r>
      <w:r>
        <w:t xml:space="preserve"> </w:t>
      </w:r>
      <w:r>
        <w:t xml:space="preserve">under all policy options.</w:t>
      </w:r>
      <w:r>
        <w:br/>
      </w:r>
      <w:r>
        <w:t xml:space="preserve">The Commission proposes considerable administrative simplification for any newly covered</w:t>
      </w:r>
      <w:r>
        <w:t xml:space="preserve"> </w:t>
      </w:r>
      <w:r>
        <w:t xml:space="preserve">aircraft operators as well as further simplification for low activity operators already covered.</w:t>
      </w:r>
      <w:r>
        <w:t xml:space="preserve"> </w:t>
      </w:r>
      <w:r>
        <w:t xml:space="preserve">This includes simplified monitoring and reporting, a waiver of verification as well as exclusion</w:t>
      </w:r>
      <w:r>
        <w:t xml:space="preserve"> </w:t>
      </w:r>
      <w:r>
        <w:t xml:space="preserve">for aircraft operators with very low EU ETS surrender obligation. Please see subsection 7.2 for</w:t>
      </w:r>
      <w:r>
        <w:t xml:space="preserve"> </w:t>
      </w:r>
      <w:r>
        <w:t xml:space="preserve">details, including simplification measures applicable to all operators.</w:t>
      </w:r>
      <w:r>
        <w:br/>
      </w:r>
      <w:r>
        <w:t xml:space="preserve">2. WHAT ARE THE IMPACTS OF THE MEASURES</w:t>
      </w:r>
      <w:r>
        <w:t xml:space="preserve"> </w:t>
      </w:r>
      <w:r>
        <w:t xml:space="preserve">This section assesses the environmental, economic and social impacts of each aviation</w:t>
      </w:r>
      <w:r>
        <w:t xml:space="preserve"> </w:t>
      </w:r>
      <w:r>
        <w:t xml:space="preserve">measure. To note, the measures SAF1 and SAF2 are assessed separately in the context of AS2</w:t>
      </w:r>
      <w:r>
        <w:t xml:space="preserve"> </w:t>
      </w:r>
      <w:r>
        <w:t xml:space="preserve">scope. This is because the revenues from AS2 scope are needed to finance SAF1 and SAF2.</w:t>
      </w:r>
      <w:r>
        <w:br/>
      </w:r>
      <w:r>
        <w:t xml:space="preserve">2.1. AS0: Baseline</w:t>
      </w:r>
      <w:r>
        <w:t xml:space="preserve"> </w:t>
      </w:r>
      <w:r>
        <w:t xml:space="preserve">When accounting for the increasing use of SAF as mandated by ReFuelEU aviation and global</w:t>
      </w:r>
      <w:r>
        <w:t xml:space="preserve"> </w:t>
      </w:r>
      <w:r>
        <w:t xml:space="preserve">SAF uptake projections by ICAO, global144 aviation CO2 emissions should decrease to 590Mt</w:t>
      </w:r>
      <w:r>
        <w:t xml:space="preserve"> </w:t>
      </w:r>
      <w:r>
        <w:t xml:space="preserve">CO2 in 2040. Without accounting for the use of SAF, these emissions would increase: from</w:t>
      </w:r>
      <w:r>
        <w:t xml:space="preserve"> </w:t>
      </w:r>
      <w:r>
        <w:t xml:space="preserve">690 Mt CO2 in 2024 to 763Mt CO2 in 2040. See Table 2 for emissions modelling which</w:t>
      </w:r>
      <w:r>
        <w:t xml:space="preserve"> </w:t>
      </w:r>
      <w:r>
        <w:t xml:space="preserve">accounts for SAF use, and further detail in the aviation support study145. When comparing the</w:t>
      </w:r>
      <w:r>
        <w:t xml:space="preserve"> </w:t>
      </w:r>
      <w:r>
        <w:t xml:space="preserve">measures, the biggest impact can be seen in the “Extra-EEA (outbound)” segment where the</w:t>
      </w:r>
      <w:r>
        <w:t xml:space="preserve"> </w:t>
      </w:r>
      <w:r>
        <w:t xml:space="preserve">ETS either applies (AS0), CORSIA applies (AS1), or the ETS applies with a deduction of</w:t>
      </w:r>
      <w:r>
        <w:t xml:space="preserve"> </w:t>
      </w:r>
      <w:r>
        <w:t xml:space="preserve">CORSA offsetting costs (AS2). For the economic impacts of the baseline, consult the Impact</w:t>
      </w:r>
      <w:r>
        <w:t xml:space="preserve"> </w:t>
      </w:r>
      <w:r>
        <w:t xml:space="preserve">Assessment.</w:t>
      </w:r>
      <w:r>
        <w:br/>
      </w:r>
      <w:r>
        <w:t xml:space="preserve">Table 2:</w:t>
      </w:r>
      <w:r>
        <w:t xml:space="preserve"> </w:t>
      </w:r>
      <w:r>
        <w:t xml:space="preserve">AS0: Aircraft CO2 emissions for 2024, 2040, emissions from SAF are zero-rated</w:t>
      </w:r>
      <w:r>
        <w:t xml:space="preserve"> </w:t>
      </w:r>
      <w:r>
        <w:t xml:space="preserve">Type of route</w:t>
      </w:r>
      <w:r>
        <w:t xml:space="preserve"> </w:t>
      </w:r>
      <w:r>
        <w:t xml:space="preserve">AS0 CO2 emissions</w:t>
      </w:r>
      <w:r>
        <w:t xml:space="preserve"> </w:t>
      </w:r>
      <w:r>
        <w:t xml:space="preserve">(MtCO2)</w:t>
      </w:r>
      <w:r>
        <w:t xml:space="preserve"> </w:t>
      </w:r>
      <w:r>
        <w:t xml:space="preserve">Year</w:t>
      </w:r>
      <w:r>
        <w:t xml:space="preserve"> </w:t>
      </w:r>
      <w:r>
        <w:t xml:space="preserve">2024</w:t>
      </w:r>
      <w:r>
        <w:t xml:space="preserve"> </w:t>
      </w:r>
      <w:r>
        <w:t xml:space="preserve">2040</w:t>
      </w:r>
      <w:r>
        <w:t xml:space="preserve"> </w:t>
      </w:r>
      <w:r>
        <w:t xml:space="preserve">Domestic</w:t>
      </w:r>
      <w:r>
        <w:t xml:space="preserve"> </w:t>
      </w:r>
      <w:r>
        <w:t xml:space="preserve">16</w:t>
      </w:r>
      <w:r>
        <w:t xml:space="preserve"> </w:t>
      </w:r>
      <w:r>
        <w:t xml:space="preserve">10</w:t>
      </w:r>
      <w:r>
        <w:t xml:space="preserve"> </w:t>
      </w:r>
      <w:r>
        <w:t xml:space="preserve">Intra-EEA + departing to UK/ CH</w:t>
      </w:r>
      <w:r>
        <w:t xml:space="preserve"> </w:t>
      </w:r>
      <w:r>
        <w:t xml:space="preserve">54</w:t>
      </w:r>
      <w:r>
        <w:t xml:space="preserve"> </w:t>
      </w:r>
      <w:r>
        <w:t xml:space="preserve">33</w:t>
      </w:r>
      <w:r>
        <w:t xml:space="preserve"> </w:t>
      </w:r>
      <w:r>
        <w:t xml:space="preserve">Extra-EEA (outbound)</w:t>
      </w:r>
      <w:r>
        <w:t xml:space="preserve"> </w:t>
      </w:r>
      <w:r>
        <w:t xml:space="preserve">76</w:t>
      </w:r>
      <w:r>
        <w:t xml:space="preserve"> </w:t>
      </w:r>
      <w:r>
        <w:t xml:space="preserve">49</w:t>
      </w:r>
      <w:r>
        <w:t xml:space="preserve"> </w:t>
      </w:r>
      <w:r>
        <w:t xml:space="preserve">International non-EEA related routes</w:t>
      </w:r>
      <w:r>
        <w:t xml:space="preserve"> </w:t>
      </w:r>
      <w:r>
        <w:t xml:space="preserve">466</w:t>
      </w:r>
      <w:r>
        <w:t xml:space="preserve"> </w:t>
      </w:r>
      <w:r>
        <w:t xml:space="preserve">436</w:t>
      </w:r>
    </w:p>
    <w:p>
      <w:pPr>
        <w:pStyle w:val="BodyText"/>
      </w:pPr>
      <w:r>
        <w:t xml:space="preserve">142 Transport &amp; Environment,Private jets: can the super rich supercharge zero-emission aviation?, 2025, And</w:t>
      </w:r>
      <w:r>
        <w:t xml:space="preserve"> </w:t>
      </w:r>
      <w:r>
        <w:t xml:space="preserve">Carbon Market Watch, Sky polluters, time to chip in… Citizens, time to cash in!, 2025.</w:t>
      </w:r>
      <w:r>
        <w:t xml:space="preserve"> </w:t>
      </w:r>
      <w:r>
        <w:t xml:space="preserve">143 Political Guidelines 2019-2024.</w:t>
      </w:r>
      <w:r>
        <w:t xml:space="preserve"> </w:t>
      </w:r>
      <w:r>
        <w:t xml:space="preserve">144 Inside Europe: domestic and non-domestic and departing flights to Switzerland and the UK, outside Europe:</w:t>
      </w:r>
      <w:r>
        <w:t xml:space="preserve"> </w:t>
      </w:r>
      <w:r>
        <w:t xml:space="preserve">non-domestic only.</w:t>
      </w:r>
      <w:r>
        <w:t xml:space="preserve"> </w:t>
      </w:r>
      <w:r>
        <w:t xml:space="preserve">145 Support for the review by the Commission concerning the implementation of ICAO’s CORSIA, and for</w:t>
      </w:r>
      <w:r>
        <w:t xml:space="preserve"> </w:t>
      </w:r>
      <w:r>
        <w:t xml:space="preserve">Commission reports on certain types of flights, social impacts, and air connectivity of islands, remote</w:t>
      </w:r>
      <w:r>
        <w:t xml:space="preserve"> </w:t>
      </w:r>
      <w:r>
        <w:t xml:space="preserve">territories and Iceland, by WSP July 2026 forthcoming. Referred to as “aviation support study”.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Global: inside EEA: domestic &amp; non-domestic; outside EEA:</w:t>
      </w:r>
      <w:r>
        <w:t xml:space="preserve"> </w:t>
      </w:r>
      <w:r>
        <w:t xml:space="preserve">non-domestic</w:t>
      </w:r>
      <w:r>
        <w:t xml:space="preserve"> </w:t>
      </w:r>
      <w:r>
        <w:t xml:space="preserve">689</w:t>
      </w:r>
      <w:r>
        <w:t xml:space="preserve"> </w:t>
      </w:r>
      <w:r>
        <w:t xml:space="preserve">589</w:t>
      </w:r>
      <w:r>
        <w:t xml:space="preserve"> </w:t>
      </w:r>
      <w:r>
        <w:t xml:space="preserve">2.2. AS1: Current scope prolongation contingent on CORSIA implementation</w:t>
      </w:r>
      <w:r>
        <w:t xml:space="preserve"> </w:t>
      </w:r>
      <w:r>
        <w:t xml:space="preserve">When accounting for the increasing use of SAF, global aviation CO2 emissions should decrease</w:t>
      </w:r>
      <w:r>
        <w:t xml:space="preserve"> </w:t>
      </w:r>
      <w:r>
        <w:t xml:space="preserve">to 599Mt CO2 in 2040. Without accounting for the use of SAF, in AS1 global aviation</w:t>
      </w:r>
      <w:r>
        <w:t xml:space="preserve"> </w:t>
      </w:r>
      <w:r>
        <w:t xml:space="preserve">emissions would increase 2% above the baseline to 775Mt CO2 in 2040. See Table 3, and</w:t>
      </w:r>
      <w:r>
        <w:t xml:space="preserve"> </w:t>
      </w:r>
      <w:r>
        <w:t xml:space="preserve">further detail in the aviation support study. As above, the biggest difference can be seen in the</w:t>
      </w:r>
      <w:r>
        <w:t xml:space="preserve"> </w:t>
      </w:r>
      <w:r>
        <w:t xml:space="preserve">Extra-EEA (outbound) flight segment.</w:t>
      </w:r>
      <w:r>
        <w:t xml:space="preserve"> </w:t>
      </w:r>
      <w:r>
        <w:t xml:space="preserve">Table 3:</w:t>
      </w:r>
      <w:r>
        <w:t xml:space="preserve"> </w:t>
      </w:r>
      <w:r>
        <w:t xml:space="preserve">AS1: Aircraft CO2 emissions for 2040 and vs AS0, emissions from SAF are zero-rated</w:t>
      </w:r>
      <w:r>
        <w:t xml:space="preserve"> </w:t>
      </w:r>
      <w:r>
        <w:t xml:space="preserve">Type of route</w:t>
      </w:r>
      <w:r>
        <w:t xml:space="preserve"> </w:t>
      </w:r>
      <w:r>
        <w:t xml:space="preserve">AS1 CO2 emissions</w:t>
      </w:r>
      <w:r>
        <w:t xml:space="preserve"> </w:t>
      </w:r>
      <w:r>
        <w:t xml:space="preserve">(MtCO2) in 2040</w:t>
      </w:r>
      <w:r>
        <w:t xml:space="preserve"> </w:t>
      </w:r>
      <w:r>
        <w:t xml:space="preserve">Percentage change vs baseline</w:t>
      </w:r>
      <w:r>
        <w:t xml:space="preserve"> </w:t>
      </w:r>
      <w:r>
        <w:t xml:space="preserve">Domestic</w:t>
      </w:r>
      <w:r>
        <w:t xml:space="preserve"> </w:t>
      </w:r>
      <w:r>
        <w:t xml:space="preserve">10</w:t>
      </w:r>
      <w:r>
        <w:t xml:space="preserve"> </w:t>
      </w:r>
      <w:r>
        <w:t xml:space="preserve">+/-0% vs AS0</w:t>
      </w:r>
      <w:r>
        <w:t xml:space="preserve"> </w:t>
      </w:r>
      <w:r>
        <w:t xml:space="preserve">Intra-EEA + departing to UK/ CH</w:t>
      </w:r>
      <w:r>
        <w:t xml:space="preserve"> </w:t>
      </w:r>
      <w:r>
        <w:t xml:space="preserve">33</w:t>
      </w:r>
      <w:r>
        <w:t xml:space="preserve"> </w:t>
      </w:r>
      <w:r>
        <w:t xml:space="preserve">+/-0% vs AS0</w:t>
      </w:r>
      <w:r>
        <w:t xml:space="preserve"> </w:t>
      </w:r>
      <w:r>
        <w:t xml:space="preserve">Extra-EEA (outbound)</w:t>
      </w:r>
      <w:r>
        <w:t xml:space="preserve"> </w:t>
      </w:r>
      <w:r>
        <w:t xml:space="preserve">54</w:t>
      </w:r>
      <w:r>
        <w:t xml:space="preserve"> </w:t>
      </w:r>
      <w:r>
        <w:t xml:space="preserve">+10% vs AS0</w:t>
      </w:r>
      <w:r>
        <w:t xml:space="preserve"> </w:t>
      </w:r>
      <w:r>
        <w:t xml:space="preserve">International</w:t>
      </w:r>
      <w:r>
        <w:t xml:space="preserve"> </w:t>
      </w:r>
      <w:r>
        <w:t xml:space="preserve">non-EEA</w:t>
      </w:r>
      <w:r>
        <w:t xml:space="preserve"> </w:t>
      </w:r>
      <w:r>
        <w:t xml:space="preserve">related</w:t>
      </w:r>
      <w:r>
        <w:t xml:space="preserve"> </w:t>
      </w:r>
      <w:r>
        <w:t xml:space="preserve">routes</w:t>
      </w:r>
      <w:r>
        <w:t xml:space="preserve"> </w:t>
      </w:r>
      <w:r>
        <w:t xml:space="preserve">436</w:t>
      </w:r>
      <w:r>
        <w:t xml:space="preserve"> </w:t>
      </w:r>
      <w:r>
        <w:t xml:space="preserve">n/a</w:t>
      </w:r>
      <w:r>
        <w:t xml:space="preserve"> </w:t>
      </w:r>
      <w:r>
        <w:t xml:space="preserve">Global</w:t>
      </w:r>
      <w:r>
        <w:br/>
      </w:r>
      <w:r>
        <w:t xml:space="preserve">599</w:t>
      </w:r>
      <w:r>
        <w:t xml:space="preserve"> </w:t>
      </w:r>
      <w:r>
        <w:t xml:space="preserve">+2% vs AS0</w:t>
      </w:r>
      <w:r>
        <w:t xml:space="preserve"> </w:t>
      </w:r>
      <w:r>
        <w:t xml:space="preserve">Competition aspects: Competitive distortions for airlines may arise when policies do not</w:t>
      </w:r>
      <w:r>
        <w:t xml:space="preserve"> </w:t>
      </w:r>
      <w:r>
        <w:t xml:space="preserve">apply equally on routes, and where they are not enforced equally, under whichever policy</w:t>
      </w:r>
      <w:r>
        <w:t xml:space="preserve"> </w:t>
      </w:r>
      <w:r>
        <w:t xml:space="preserve">option. Enforcement has been crucial for the success of the EU ETS to date146. All options</w:t>
      </w:r>
      <w:r>
        <w:t xml:space="preserve"> </w:t>
      </w:r>
      <w:r>
        <w:t xml:space="preserve">apply uniformly per route to all airlines so do not create distortions. Airlines with a higher share</w:t>
      </w:r>
      <w:r>
        <w:t xml:space="preserve"> </w:t>
      </w:r>
      <w:r>
        <w:t xml:space="preserve">of flights on ETS-covered routes may be less able to cross-subsidise from other routes, but this</w:t>
      </w:r>
      <w:r>
        <w:t xml:space="preserve"> </w:t>
      </w:r>
      <w:r>
        <w:t xml:space="preserve">choice is not simple and comes at a price. Past studies argue that the risk of such cross-</w:t>
      </w:r>
      <w:r>
        <w:t xml:space="preserve"> </w:t>
      </w:r>
      <w:r>
        <w:t xml:space="preserve">subsidisation is minimal147. This is consistent with the 2021 Aviation ETS Impact Assessment.</w:t>
      </w:r>
      <w:r>
        <w:t xml:space="preserve"> </w:t>
      </w:r>
      <w:r>
        <w:t xml:space="preserve">The application and enforcement of CORSIA is different from the EU ETS and assessed in</w:t>
      </w:r>
      <w:r>
        <w:t xml:space="preserve"> </w:t>
      </w:r>
      <w:r>
        <w:t xml:space="preserve">section 5 below.</w:t>
      </w:r>
      <w:r>
        <w:t xml:space="preserve"> </w:t>
      </w:r>
      <w:r>
        <w:t xml:space="preserve">The 2021 impact assessment found that carbon leakage risks such as tourist destination</w:t>
      </w:r>
      <w:r>
        <w:t xml:space="preserve"> </w:t>
      </w:r>
      <w:r>
        <w:t xml:space="preserve">switching, were low, due to the nature of air travel (passengers usually know where they want</w:t>
      </w:r>
      <w:r>
        <w:t xml:space="preserve"> </w:t>
      </w:r>
      <w:r>
        <w:t xml:space="preserve">to go and prefer direct flights148), also confirmed by external studies149. Emissions reductions</w:t>
      </w:r>
      <w:r>
        <w:t xml:space="preserve"> </w:t>
      </w:r>
      <w:r>
        <w:t xml:space="preserve">and the absence of carbon leakage, from the application of the Fit-for-55 policies, have been</w:t>
      </w:r>
      <w:r>
        <w:t xml:space="preserve"> </w:t>
      </w:r>
      <w:r>
        <w:t xml:space="preserve">identified also when modelling these policies for global aviation, while carbon leakage to other</w:t>
      </w:r>
      <w:r>
        <w:t xml:space="preserve"> </w:t>
      </w:r>
      <w:r>
        <w:t xml:space="preserve">sectors is mostly identified in case aviation fuel demand reduction leads to overall fuel price</w:t>
      </w:r>
      <w:r>
        <w:t xml:space="preserve"> </w:t>
      </w:r>
      <w:r>
        <w:t xml:space="preserve">reductions150. A previous study also concluded that demand has historically been relatively</w:t>
      </w:r>
      <w:r>
        <w:t xml:space="preserve"> </w:t>
      </w:r>
      <w:r>
        <w:t xml:space="preserve">insensitive to cost changes151. The aviation support study finds that AS1 can lead to distortion</w:t>
      </w:r>
      <w:r>
        <w:t xml:space="preserve"> </w:t>
      </w:r>
      <w:r>
        <w:t xml:space="preserve">of the level playing field more than the baseline or AS2, when comparing a flight within the</w:t>
      </w:r>
      <w:r>
        <w:t xml:space="preserve"> </w:t>
      </w:r>
      <w:r>
        <w:t xml:space="preserve">EEA versus a flight from the EEA to a third country. The opposite is true for an incoming flight</w:t>
      </w:r>
      <w:r>
        <w:t xml:space="preserve"> </w:t>
      </w:r>
      <w:r>
        <w:t xml:space="preserve">to the EEA from a third country versus a flight between two third countries: AS1 results in a</w:t>
      </w:r>
    </w:p>
    <w:p>
      <w:pPr>
        <w:pStyle w:val="BodyText"/>
      </w:pPr>
      <w:r>
        <w:t xml:space="preserve">146 Following some airlines paying fines for non-compliance for their flights within the EU, all major airlines</w:t>
      </w:r>
      <w:r>
        <w:t xml:space="preserve"> </w:t>
      </w:r>
      <w:r>
        <w:t xml:space="preserve">have maintained compliance with the system.</w:t>
      </w:r>
      <w:r>
        <w:t xml:space="preserve"> </w:t>
      </w:r>
      <w:r>
        <w:t xml:space="preserve">147 CE Delft, Giving wings to emissions trading: inclusion of aviation under the European emissions trading</w:t>
      </w:r>
      <w:r>
        <w:t xml:space="preserve"> </w:t>
      </w:r>
      <w:r>
        <w:t xml:space="preserve">scheme (ETS): design and impacts, 2005; CE Delft and MVA. Implications of EU emissions trading scheme</w:t>
      </w:r>
      <w:r>
        <w:t xml:space="preserve"> </w:t>
      </w:r>
      <w:r>
        <w:t xml:space="preserve">for competition between EU and non-EU airlines, 2007. These studies have not been updated since, but</w:t>
      </w:r>
      <w:r>
        <w:t xml:space="preserve"> </w:t>
      </w:r>
      <w:r>
        <w:t xml:space="preserve">continue to be referenced in relevant literature.</w:t>
      </w:r>
      <w:r>
        <w:t xml:space="preserve"> </w:t>
      </w:r>
      <w:r>
        <w:t xml:space="preserve">148 Verma, T., Rebelo, L., Araujo, N., Impact of Inter-Country Distances on International Tourism, 2019.</w:t>
      </w:r>
      <w:r>
        <w:br/>
      </w:r>
      <w:r>
        <w:t xml:space="preserve">149 E.g., SEO &amp; NLR, Aviation Fit For 55 – Ticket Prices, Demand and Carbon Leakage, 2022.</w:t>
      </w:r>
      <w:r>
        <w:t xml:space="preserve"> </w:t>
      </w:r>
      <w:r>
        <w:t xml:space="preserve">150 Wei, T., Kallbekken, S., Carbon leakage from aviation under the European Union Fit for 55 policies, 2024.</w:t>
      </w:r>
      <w:r>
        <w:t xml:space="preserve"> </w:t>
      </w:r>
      <w:r>
        <w:t xml:space="preserve">151 ICF et al., Assessment of ICAO’s global market-based measure (CORSIA) pursuant to Article 28b and for</w:t>
      </w:r>
      <w:r>
        <w:t xml:space="preserve"> </w:t>
      </w:r>
      <w:r>
        <w:t xml:space="preserve">studying cost pass through pursuant to Article 3d of the EU ETS Directive, 2020, p. 236.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more level playing field than AS2 (no ETS application on routes under AS1 apart from flights</w:t>
      </w:r>
      <w:r>
        <w:t xml:space="preserve"> </w:t>
      </w:r>
      <w:r>
        <w:t xml:space="preserve">to the UK and Switzerland).</w:t>
      </w:r>
      <w:r>
        <w:t xml:space="preserve"> </w:t>
      </w:r>
      <w:r>
        <w:t xml:space="preserve">2.3. AS2: Departing flights with CORSIA offsetting cost deduction</w:t>
      </w:r>
      <w:r>
        <w:t xml:space="preserve"> </w:t>
      </w:r>
      <w:r>
        <w:t xml:space="preserve">When accounting for the increasing use of SAF as mandated by ReFuelEU aviation, aviation</w:t>
      </w:r>
      <w:r>
        <w:t xml:space="preserve"> </w:t>
      </w:r>
      <w:r>
        <w:t xml:space="preserve">CO2 emissions should decrease to 595Mt CO2 in 2040. Without accounting for the use of SAF,</w:t>
      </w:r>
      <w:r>
        <w:t xml:space="preserve"> </w:t>
      </w:r>
      <w:r>
        <w:t xml:space="preserve">in AS2 global aviation emissions would increase 1% above the baseline to 768Mt CO2 in 2040.</w:t>
      </w:r>
      <w:r>
        <w:t xml:space="preserve"> </w:t>
      </w:r>
      <w:r>
        <w:t xml:space="preserve">See Table 4, and detail in the aviation support study. As above, the biggest difference can be</w:t>
      </w:r>
      <w:r>
        <w:t xml:space="preserve"> </w:t>
      </w:r>
      <w:r>
        <w:t xml:space="preserve">seen in the extra-EEA (outbound) flight segment. There is no difference for those flights which</w:t>
      </w:r>
      <w:r>
        <w:t xml:space="preserve"> </w:t>
      </w:r>
      <w:r>
        <w:t xml:space="preserve">are already covered by the ETS today, showing that an extension to departing flights is not</w:t>
      </w:r>
      <w:r>
        <w:t xml:space="preserve"> </w:t>
      </w:r>
      <w:r>
        <w:t xml:space="preserve">expected to affect intra-European flights.</w:t>
      </w:r>
      <w:r>
        <w:t xml:space="preserve"> </w:t>
      </w:r>
      <w:r>
        <w:t xml:space="preserve">Table 4:</w:t>
      </w:r>
      <w:r>
        <w:t xml:space="preserve"> </w:t>
      </w:r>
      <w:r>
        <w:t xml:space="preserve">AS2: Aircraft CO2 emissions for 2040 and vs AS0, emissions from SAF are zero-rated</w:t>
      </w:r>
      <w:r>
        <w:t xml:space="preserve"> </w:t>
      </w:r>
      <w:r>
        <w:t xml:space="preserve">Type of route</w:t>
      </w:r>
      <w:r>
        <w:t xml:space="preserve"> </w:t>
      </w:r>
      <w:r>
        <w:t xml:space="preserve">AS2 CO2 emissions</w:t>
      </w:r>
      <w:r>
        <w:t xml:space="preserve"> </w:t>
      </w:r>
      <w:r>
        <w:t xml:space="preserve">(MtCO2)</w:t>
      </w:r>
      <w:r>
        <w:t xml:space="preserve"> </w:t>
      </w:r>
      <w:r>
        <w:t xml:space="preserve">Percentage change vs</w:t>
      </w:r>
      <w:r>
        <w:t xml:space="preserve"> </w:t>
      </w:r>
      <w:r>
        <w:t xml:space="preserve">baseline</w:t>
      </w:r>
      <w:r>
        <w:t xml:space="preserve"> </w:t>
      </w:r>
      <w:r>
        <w:t xml:space="preserve">Domestic</w:t>
      </w:r>
      <w:r>
        <w:t xml:space="preserve"> </w:t>
      </w:r>
      <w:r>
        <w:t xml:space="preserve">10</w:t>
      </w:r>
      <w:r>
        <w:t xml:space="preserve"> </w:t>
      </w:r>
      <w:r>
        <w:t xml:space="preserve">+/-0% vs AS0</w:t>
      </w:r>
      <w:r>
        <w:t xml:space="preserve"> </w:t>
      </w:r>
      <w:r>
        <w:t xml:space="preserve">Intra-EEA + departing to UK/ CH</w:t>
      </w:r>
      <w:r>
        <w:t xml:space="preserve"> </w:t>
      </w:r>
      <w:r>
        <w:t xml:space="preserve">33</w:t>
      </w:r>
      <w:r>
        <w:t xml:space="preserve"> </w:t>
      </w:r>
      <w:r>
        <w:t xml:space="preserve">+/-0% vs AS0</w:t>
      </w:r>
      <w:r>
        <w:t xml:space="preserve"> </w:t>
      </w:r>
      <w:r>
        <w:t xml:space="preserve">Extra-EEA (outbound)</w:t>
      </w:r>
      <w:r>
        <w:t xml:space="preserve"> </w:t>
      </w:r>
      <w:r>
        <w:t xml:space="preserve">54</w:t>
      </w:r>
      <w:r>
        <w:t xml:space="preserve"> </w:t>
      </w:r>
      <w:r>
        <w:t xml:space="preserve">+4% vs AS0</w:t>
      </w:r>
      <w:r>
        <w:t xml:space="preserve"> </w:t>
      </w:r>
      <w:r>
        <w:t xml:space="preserve">International non-EEA related</w:t>
      </w:r>
      <w:r>
        <w:t xml:space="preserve"> </w:t>
      </w:r>
      <w:r>
        <w:t xml:space="preserve">routes</w:t>
      </w:r>
      <w:r>
        <w:t xml:space="preserve"> </w:t>
      </w:r>
      <w:r>
        <w:t xml:space="preserve">436</w:t>
      </w:r>
      <w:r>
        <w:t xml:space="preserve"> </w:t>
      </w:r>
      <w:r>
        <w:t xml:space="preserve">n/a</w:t>
      </w:r>
      <w:r>
        <w:t xml:space="preserve"> </w:t>
      </w:r>
      <w:r>
        <w:t xml:space="preserve">Global</w:t>
      </w:r>
      <w:r>
        <w:br/>
      </w:r>
      <w:r>
        <w:t xml:space="preserve">595</w:t>
      </w:r>
      <w:r>
        <w:t xml:space="preserve"> </w:t>
      </w:r>
      <w:r>
        <w:t xml:space="preserve">+1% vs AS0</w:t>
      </w:r>
      <w:r>
        <w:t xml:space="preserve"> </w:t>
      </w:r>
      <w:r>
        <w:t xml:space="preserve">Competition: For competition between airlines and tourist destinations in AS2 please refer to</w:t>
      </w:r>
      <w:r>
        <w:t xml:space="preserve"> </w:t>
      </w:r>
      <w:r>
        <w:t xml:space="preserve">the description and comparison in AS1.</w:t>
      </w:r>
      <w:r>
        <w:t xml:space="preserve"> </w:t>
      </w:r>
      <w:r>
        <w:t xml:space="preserve">Auction revenues: In AS0, auction revenues from aviation would be highest, as the ETS</w:t>
      </w:r>
      <w:r>
        <w:t xml:space="preserve"> </w:t>
      </w:r>
      <w:r>
        <w:t xml:space="preserve">applies to incoming and departing flights. Total revenues would be projected at EUR 20bn in</w:t>
      </w:r>
      <w:r>
        <w:t xml:space="preserve"> </w:t>
      </w:r>
      <w:r>
        <w:t xml:space="preserve">2030, EUR 24bn in 2035, and EUR 38bn in 2040. In AS1, auction revenues would be lowest,</w:t>
      </w:r>
      <w:r>
        <w:t xml:space="preserve"> </w:t>
      </w:r>
      <w:r>
        <w:t xml:space="preserve">as the scope of ETS application is smallest. Total revenues would be projected at EUR 6bn in</w:t>
      </w:r>
      <w:r>
        <w:t xml:space="preserve"> </w:t>
      </w:r>
      <w:r>
        <w:t xml:space="preserve">2030, EUR 7bn in 2035, and EUR 11bn in 2040. In AS2, which applies the ETS to departing</w:t>
      </w:r>
      <w:r>
        <w:t xml:space="preserve"> </w:t>
      </w:r>
      <w:r>
        <w:t xml:space="preserve">flights and includes the possibility to deduct CORSIA offsetting costs, revenues would be</w:t>
      </w:r>
      <w:r>
        <w:t xml:space="preserve"> </w:t>
      </w:r>
      <w:r>
        <w:t xml:space="preserve">projected at EUR 13bn in 2030, EUR 14bn in 2035, and EUR 23bn in 2040. To be noted, these</w:t>
      </w:r>
      <w:r>
        <w:t xml:space="preserve"> </w:t>
      </w:r>
      <w:r>
        <w:t xml:space="preserve">are the auction revenues before any deductions for ETS-financed targeted support. As</w:t>
      </w:r>
      <w:r>
        <w:t xml:space="preserve"> </w:t>
      </w:r>
      <w:r>
        <w:t xml:space="preserve">presented below, SAF2 would likely exhaust auctioning revenues of AS2.</w:t>
      </w:r>
      <w:r>
        <w:t xml:space="preserve"> </w:t>
      </w:r>
      <w:r>
        <w:t xml:space="preserve">CORSIA costs: Tables 5 and 6 show the amount of CORSIA offsets to be bought for EEA</w:t>
      </w:r>
      <w:r>
        <w:t xml:space="preserve"> </w:t>
      </w:r>
      <w:r>
        <w:t xml:space="preserve">departing flights and the corresponding costs per policy measure. In AS0, CORSIA costs would</w:t>
      </w:r>
      <w:r>
        <w:t xml:space="preserve"> </w:t>
      </w:r>
      <w:r>
        <w:t xml:space="preserve">be lowest, since the implementation of CORSIA is currently set to end by 2027. In AS1,</w:t>
      </w:r>
      <w:r>
        <w:t xml:space="preserve"> </w:t>
      </w:r>
      <w:r>
        <w:t xml:space="preserve">CORSIA costs are highest, because appropriate CORSIA participation is assumed (all</w:t>
      </w:r>
      <w:r>
        <w:t xml:space="preserve"> </w:t>
      </w:r>
      <w:r>
        <w:t xml:space="preserve">countries that should implement CORSIA from 2027 do so, and all countries that currently</w:t>
      </w:r>
      <w:r>
        <w:t xml:space="preserve"> </w:t>
      </w:r>
      <w:r>
        <w:t xml:space="preserve">implement CORSIA continue to do so). In AS2 CORSIA costs are medium. In 2024, CORSIA</w:t>
      </w:r>
      <w:r>
        <w:t xml:space="preserve"> </w:t>
      </w:r>
      <w:r>
        <w:t xml:space="preserve">costs were zero as aviation CO2 emissions on international routes were below 500Mt in 2023.</w:t>
      </w:r>
      <w:r>
        <w:br/>
      </w:r>
      <w:r>
        <w:t xml:space="preserve">Table 5:</w:t>
      </w:r>
      <w:r>
        <w:t xml:space="preserve"> </w:t>
      </w:r>
      <w:r>
        <w:t xml:space="preserve">Offsets to be bought for CORSIA for EEA departing flights in policy measures</w:t>
      </w:r>
      <w:r>
        <w:t xml:space="preserve"> </w:t>
      </w:r>
      <w:r>
        <w:t xml:space="preserve">Policy measure - scope</w:t>
      </w:r>
      <w:r>
        <w:t xml:space="preserve"> </w:t>
      </w:r>
      <w:r>
        <w:t xml:space="preserve">Offsets for EEA departing flights (in million)</w:t>
      </w:r>
      <w:r>
        <w:t xml:space="preserve"> </w:t>
      </w:r>
      <w:r>
        <w:t xml:space="preserve">2024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AS0 (baseline)</w:t>
      </w:r>
      <w:r>
        <w:t xml:space="preserve"> </w:t>
      </w:r>
      <w:r>
        <w:t xml:space="preserve">0</w:t>
      </w:r>
      <w:r>
        <w:t xml:space="preserve"> </w:t>
      </w:r>
      <w:r>
        <w:t xml:space="preserve">AS1 (clean cut)</w:t>
      </w:r>
      <w:r>
        <w:t xml:space="preserve"> </w:t>
      </w: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20</w:t>
      </w:r>
      <w:r>
        <w:t xml:space="preserve"> </w:t>
      </w:r>
      <w:r>
        <w:t xml:space="preserve">AS2 (departing flights)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Table 6:</w:t>
      </w:r>
      <w:r>
        <w:t xml:space="preserve"> </w:t>
      </w:r>
      <w:r>
        <w:t xml:space="preserve">Costs for CORSIA for EEA departing flights in different policy measures</w:t>
      </w:r>
      <w:r>
        <w:t xml:space="preserve"> </w:t>
      </w:r>
      <w:r>
        <w:t xml:space="preserve">CORSIA Costs (in billion EUR2023)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Policy measure - scope</w:t>
      </w:r>
      <w:r>
        <w:t xml:space="preserve"> </w:t>
      </w:r>
      <w:r>
        <w:t xml:space="preserve">2024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AS0 (baseline)</w:t>
      </w:r>
      <w:r>
        <w:t xml:space="preserve"> </w:t>
      </w:r>
      <w:r>
        <w:t xml:space="preserve">0</w:t>
      </w:r>
      <w:r>
        <w:t xml:space="preserve"> </w:t>
      </w:r>
      <w:r>
        <w:t xml:space="preserve">AS1 (clean cut)</w:t>
      </w:r>
      <w:r>
        <w:t xml:space="preserve"> </w:t>
      </w:r>
      <w:r>
        <w:t xml:space="preserve">0</w:t>
      </w:r>
      <w:r>
        <w:t xml:space="preserve"> </w:t>
      </w:r>
      <w:r>
        <w:t xml:space="preserve">0.4</w:t>
      </w:r>
      <w:r>
        <w:t xml:space="preserve"> </w:t>
      </w:r>
      <w:r>
        <w:t xml:space="preserve">2</w:t>
      </w:r>
      <w:r>
        <w:t xml:space="preserve"> </w:t>
      </w:r>
      <w:r>
        <w:t xml:space="preserve">AS2 (departing flights)</w:t>
      </w:r>
      <w:r>
        <w:t xml:space="preserve"> </w:t>
      </w:r>
      <w:r>
        <w:t xml:space="preserve">0</w:t>
      </w:r>
      <w:r>
        <w:t xml:space="preserve"> </w:t>
      </w:r>
      <w:r>
        <w:t xml:space="preserve">0.3</w:t>
      </w:r>
      <w:r>
        <w:t xml:space="preserve"> </w:t>
      </w:r>
      <w:r>
        <w:t xml:space="preserve">1</w:t>
      </w:r>
      <w:r>
        <w:t xml:space="preserve"> </w:t>
      </w:r>
      <w:r>
        <w:t xml:space="preserve">2.4. SAF0, SAF1, SAF2</w:t>
      </w:r>
      <w:r>
        <w:t xml:space="preserve"> </w:t>
      </w:r>
      <w:r>
        <w:t xml:space="preserve">SAF support is analysed in more detail in section 8, including use of auction revenues. The</w:t>
      </w:r>
      <w:r>
        <w:t xml:space="preserve"> </w:t>
      </w:r>
      <w:r>
        <w:t xml:space="preserve">level of SAF uptake is assumed to be in line with the legal mandate of ReFuelEU Aviation.</w:t>
      </w:r>
      <w:r>
        <w:t xml:space="preserve"> </w:t>
      </w:r>
      <w:r>
        <w:t xml:space="preserve">Possible uptake levels above ReFuelEU mandates are not modelled, given large uncertainties</w:t>
      </w:r>
      <w:r>
        <w:t xml:space="preserve"> </w:t>
      </w:r>
      <w:r>
        <w:t xml:space="preserve">in this nascent market, high price differentials with fossil kerosene, and to avoid overestimating</w:t>
      </w:r>
      <w:r>
        <w:t xml:space="preserve"> </w:t>
      </w:r>
      <w:r>
        <w:t xml:space="preserve">available supply. Therefore, the environmental impacts under SAF1 and SAF2 are assumed to</w:t>
      </w:r>
      <w:r>
        <w:t xml:space="preserve"> </w:t>
      </w:r>
      <w:r>
        <w:t xml:space="preserve">be the same. SAF is zero-rated under the EU ETS, meaning it is counted as if it had no</w:t>
      </w:r>
      <w:r>
        <w:t xml:space="preserve"> </w:t>
      </w:r>
      <w:r>
        <w:t xml:space="preserve">emissions. However, in general SAF still results in emissions152.</w:t>
      </w:r>
      <w:r>
        <w:br/>
      </w:r>
      <w:r>
        <w:t xml:space="preserve">Competition between airlines: In all SAF measures, all commercial airlines operating flights</w:t>
      </w:r>
      <w:r>
        <w:t xml:space="preserve"> </w:t>
      </w:r>
      <w:r>
        <w:t xml:space="preserve">covered by the ETS scope are eligible to access the SAF support, pending their demonstration</w:t>
      </w:r>
      <w:r>
        <w:t xml:space="preserve"> </w:t>
      </w:r>
      <w:r>
        <w:t xml:space="preserve">of SAF uptake and available allowance volumes. This provides a level playing field to all</w:t>
      </w:r>
      <w:r>
        <w:t xml:space="preserve"> </w:t>
      </w:r>
      <w:r>
        <w:t xml:space="preserve">airlines operating under the ETS. The ReFuelEU SAF mandates apply to all flights departing</w:t>
      </w:r>
      <w:r>
        <w:t xml:space="preserve"> </w:t>
      </w:r>
      <w:r>
        <w:t xml:space="preserve">from Union airports, independent from their destination. Under AS1 geographic scope, part of</w:t>
      </w:r>
      <w:r>
        <w:t xml:space="preserve"> </w:t>
      </w:r>
      <w:r>
        <w:t xml:space="preserve">the flights subject to ReFuelEU mandates would receive ETS SAF support with the mandates</w:t>
      </w:r>
      <w:r>
        <w:t xml:space="preserve"> </w:t>
      </w:r>
      <w:r>
        <w:t xml:space="preserve">being the main reason for airlines to pay SAF costs. Under AS2 geographic scope, the scopes</w:t>
      </w:r>
      <w:r>
        <w:t xml:space="preserve"> </w:t>
      </w:r>
      <w:r>
        <w:t xml:space="preserve">almost153 align and most flights would be subject to the mandate as well as eligible for the SAF</w:t>
      </w:r>
      <w:r>
        <w:t xml:space="preserve"> </w:t>
      </w:r>
      <w:r>
        <w:t xml:space="preserve">support, ensuring a level playing field between airlines irrespective of whether they operate</w:t>
      </w:r>
      <w:r>
        <w:t xml:space="preserve"> </w:t>
      </w:r>
      <w:r>
        <w:t xml:space="preserve">more intra-EEA or extra-EEA flights. Therefore, SAF1 and SAF2 improve the level playing</w:t>
      </w:r>
      <w:r>
        <w:t xml:space="preserve"> </w:t>
      </w:r>
      <w:r>
        <w:t xml:space="preserve">field the most, SAF2 with higher amount of support reserved would additionally ensure this</w:t>
      </w:r>
      <w:r>
        <w:t xml:space="preserve"> </w:t>
      </w:r>
      <w:r>
        <w:t xml:space="preserve">for longer. However, it comes with the opportunity cost of not using these allowances for other</w:t>
      </w:r>
      <w:r>
        <w:t xml:space="preserve"> </w:t>
      </w:r>
      <w:r>
        <w:t xml:space="preserve">climate purposes.</w:t>
      </w:r>
      <w:r>
        <w:t xml:space="preserve"> </w:t>
      </w:r>
      <w:r>
        <w:t xml:space="preserve">Competition between tourist destinations: Considering SAF measures depend on the</w:t>
      </w:r>
      <w:r>
        <w:t xml:space="preserve"> </w:t>
      </w:r>
      <w:r>
        <w:t xml:space="preserve">geographic scope, please refer to subsections 2.2 and 2.3 on AS1 and AS2. SAF2, due to the</w:t>
      </w:r>
      <w:r>
        <w:t xml:space="preserve"> </w:t>
      </w:r>
      <w:r>
        <w:t xml:space="preserve">greater amount of support made available, suppports the level playing field more than SAF1.</w:t>
      </w:r>
      <w:r>
        <w:t xml:space="preserve"> </w:t>
      </w:r>
      <w:r>
        <w:t xml:space="preserve">3. FURTHER ANALYSIS ON POLICY OPTIONS</w:t>
      </w:r>
      <w:r>
        <w:t xml:space="preserve"> </w:t>
      </w:r>
      <w:r>
        <w:t xml:space="preserve">3.1. Analytical tables complementing the Impact Assessment</w:t>
      </w:r>
      <w:r>
        <w:t xml:space="preserve"> </w:t>
      </w:r>
      <w:r>
        <w:t xml:space="preserve">Please see below analytical tables to complement subsection 6.2.3.3 of the Impact Assessment.</w:t>
      </w:r>
      <w:r>
        <w:t xml:space="preserve"> </w:t>
      </w:r>
      <w:r>
        <w:t xml:space="preserve">All numbers are based on the aviation support study, which contains further detail.</w:t>
      </w:r>
      <w:r>
        <w:t xml:space="preserve"> </w:t>
      </w:r>
      <w:r>
        <w:t xml:space="preserve">Table 7:</w:t>
      </w:r>
      <w:r>
        <w:t xml:space="preserve"> </w:t>
      </w:r>
      <w:r>
        <w:t xml:space="preserve">Passenger demand, ticket prices, cargo demand and rates in 2040 for extra-EEA</w:t>
      </w:r>
      <w:r>
        <w:t xml:space="preserve"> </w:t>
      </w:r>
      <w:r>
        <w:t xml:space="preserve">departing flights</w:t>
      </w:r>
      <w:r>
        <w:t xml:space="preserve"> </w:t>
      </w:r>
      <w:r>
        <w:t xml:space="preserve">Passenger demand in million passengers in 2040</w:t>
      </w:r>
      <w:r>
        <w:t xml:space="preserve"> </w:t>
      </w:r>
      <w:r>
        <w:t xml:space="preserve">Extra-EEA departing flights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PO2/ PO3</w:t>
      </w:r>
    </w:p>
    <w:p>
      <w:pPr>
        <w:pStyle w:val="BodyText"/>
      </w:pPr>
      <w:r>
        <w:t xml:space="preserve">152 For instance, zero-rated Hydroprocessed Esters and Fatty Acids (HEFA) results in 65 to 69% of GHG</w:t>
      </w:r>
      <w:r>
        <w:t xml:space="preserve"> </w:t>
      </w:r>
      <w:r>
        <w:t xml:space="preserve">emissions savings, Alcohols to Jet (AtJ) in 65% to 70% and Biomass Gasification + Fischer Tropsch (Gas +</w:t>
      </w:r>
      <w:r>
        <w:t xml:space="preserve"> </w:t>
      </w:r>
      <w:r>
        <w:t xml:space="preserve">FT) in 85% to 95%. Source: Study supporting the impact assessment of the ReFuelEU Aviation initiative –</w:t>
      </w:r>
      <w:r>
        <w:t xml:space="preserve"> </w:t>
      </w:r>
      <w:r>
        <w:t xml:space="preserve">Final report, 2021, p. 154.</w:t>
      </w:r>
      <w:r>
        <w:t xml:space="preserve"> </w:t>
      </w:r>
      <w:r>
        <w:t xml:space="preserve">153 The difference is that the ETS exempts flights to Least Developed Countries and Small Island Developing</w:t>
      </w:r>
      <w:r>
        <w:t xml:space="preserve"> </w:t>
      </w:r>
      <w:r>
        <w:t xml:space="preserve">States, whereas ReFuel still applies to flights to these destinations.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First/ business</w:t>
      </w:r>
      <w:r>
        <w:t xml:space="preserve"> </w:t>
      </w:r>
      <w:r>
        <w:t xml:space="preserve">18</w:t>
      </w:r>
      <w:r>
        <w:t xml:space="preserve"> </w:t>
      </w:r>
      <w:r>
        <w:t xml:space="preserve">19</w:t>
      </w:r>
      <w:r>
        <w:t xml:space="preserve"> </w:t>
      </w:r>
      <w:r>
        <w:t xml:space="preserve">18</w:t>
      </w:r>
      <w:r>
        <w:t xml:space="preserve"> </w:t>
      </w:r>
      <w:r>
        <w:t xml:space="preserve">% change vs. baseline</w:t>
      </w:r>
      <w:r>
        <w:t xml:space="preserve"> </w:t>
      </w:r>
      <w:r>
        <w:t xml:space="preserve">n/a</w:t>
      </w:r>
      <w:r>
        <w:t xml:space="preserve"> </w:t>
      </w:r>
      <w:r>
        <w:t xml:space="preserve">+2%</w:t>
      </w:r>
      <w:r>
        <w:t xml:space="preserve"> </w:t>
      </w:r>
      <w:r>
        <w:t xml:space="preserve">+1%</w:t>
      </w:r>
      <w:r>
        <w:t xml:space="preserve"> </w:t>
      </w:r>
      <w:r>
        <w:t xml:space="preserve">% change vs. 2024</w:t>
      </w:r>
      <w:r>
        <w:t xml:space="preserve"> </w:t>
      </w:r>
      <w:r>
        <w:t xml:space="preserve">+59%</w:t>
      </w:r>
      <w:r>
        <w:t xml:space="preserve"> </w:t>
      </w:r>
      <w:r>
        <w:t xml:space="preserve">+62%</w:t>
      </w:r>
      <w:r>
        <w:t xml:space="preserve"> </w:t>
      </w:r>
      <w:r>
        <w:t xml:space="preserve">+61%</w:t>
      </w:r>
      <w:r>
        <w:t xml:space="preserve"> </w:t>
      </w:r>
      <w:r>
        <w:t xml:space="preserve">Economy</w:t>
      </w:r>
      <w:r>
        <w:t xml:space="preserve"> </w:t>
      </w:r>
      <w:r>
        <w:t xml:space="preserve">139</w:t>
      </w:r>
      <w:r>
        <w:t xml:space="preserve"> </w:t>
      </w:r>
      <w:r>
        <w:t xml:space="preserve">146</w:t>
      </w:r>
      <w:r>
        <w:t xml:space="preserve"> </w:t>
      </w:r>
      <w:r>
        <w:t xml:space="preserve">142</w:t>
      </w:r>
      <w:r>
        <w:t xml:space="preserve"> </w:t>
      </w:r>
      <w:r>
        <w:t xml:space="preserve">% change vs. baseline</w:t>
      </w:r>
      <w:r>
        <w:t xml:space="preserve"> </w:t>
      </w:r>
      <w:r>
        <w:t xml:space="preserve">n/a</w:t>
      </w:r>
      <w:r>
        <w:t xml:space="preserve"> </w:t>
      </w:r>
      <w:r>
        <w:t xml:space="preserve">+5%</w:t>
      </w:r>
      <w:r>
        <w:t xml:space="preserve"> </w:t>
      </w:r>
      <w:r>
        <w:t xml:space="preserve">+3%</w:t>
      </w:r>
      <w:r>
        <w:t xml:space="preserve"> </w:t>
      </w:r>
      <w:r>
        <w:t xml:space="preserve">% change vs. 2024</w:t>
      </w:r>
      <w:r>
        <w:t xml:space="preserve"> </w:t>
      </w:r>
      <w:r>
        <w:t xml:space="preserve">+47%</w:t>
      </w:r>
      <w:r>
        <w:t xml:space="preserve"> </w:t>
      </w:r>
      <w:r>
        <w:t xml:space="preserve">+55%</w:t>
      </w:r>
      <w:r>
        <w:t xml:space="preserve"> </w:t>
      </w:r>
      <w:r>
        <w:t xml:space="preserve">+51%</w:t>
      </w:r>
      <w:r>
        <w:t xml:space="preserve"> </w:t>
      </w:r>
      <w:r>
        <w:t xml:space="preserve">Low-cost</w:t>
      </w:r>
      <w:r>
        <w:t xml:space="preserve"> </w:t>
      </w:r>
      <w:r>
        <w:t xml:space="preserve">56</w:t>
      </w:r>
      <w:r>
        <w:t xml:space="preserve"> </w:t>
      </w:r>
      <w:r>
        <w:t xml:space="preserve">62</w:t>
      </w:r>
      <w:r>
        <w:t xml:space="preserve"> </w:t>
      </w:r>
      <w:r>
        <w:t xml:space="preserve">59</w:t>
      </w:r>
      <w:r>
        <w:t xml:space="preserve"> </w:t>
      </w:r>
      <w:r>
        <w:t xml:space="preserve">Vs baseline</w:t>
      </w:r>
      <w:r>
        <w:t xml:space="preserve"> </w:t>
      </w:r>
      <w:r>
        <w:t xml:space="preserve">n/a</w:t>
      </w:r>
      <w:r>
        <w:t xml:space="preserve"> </w:t>
      </w:r>
      <w:r>
        <w:t xml:space="preserve">+11%</w:t>
      </w:r>
      <w:r>
        <w:t xml:space="preserve"> </w:t>
      </w:r>
      <w:r>
        <w:t xml:space="preserve">+5%</w:t>
      </w:r>
      <w:r>
        <w:t xml:space="preserve"> </w:t>
      </w:r>
      <w:r>
        <w:t xml:space="preserve">Vs 2024</w:t>
      </w:r>
      <w:r>
        <w:t xml:space="preserve"> </w:t>
      </w:r>
      <w:r>
        <w:t xml:space="preserve">+29%</w:t>
      </w:r>
      <w:r>
        <w:t xml:space="preserve"> </w:t>
      </w:r>
      <w:r>
        <w:t xml:space="preserve">+43%</w:t>
      </w:r>
      <w:r>
        <w:t xml:space="preserve"> </w:t>
      </w:r>
      <w:r>
        <w:t xml:space="preserve">+36%</w:t>
      </w:r>
      <w:r>
        <w:t xml:space="preserve"> </w:t>
      </w:r>
      <w:r>
        <w:t xml:space="preserve">Ticket prices in EUR(2023) per passenger kilometre in 2040</w:t>
      </w:r>
      <w:r>
        <w:t xml:space="preserve"> </w:t>
      </w:r>
      <w:r>
        <w:t xml:space="preserve">First/ business</w:t>
      </w:r>
      <w:r>
        <w:t xml:space="preserve"> </w:t>
      </w:r>
      <w:r>
        <w:t xml:space="preserve">0.35</w:t>
      </w:r>
      <w:r>
        <w:t xml:space="preserve"> </w:t>
      </w:r>
      <w:r>
        <w:t xml:space="preserve">0.32</w:t>
      </w:r>
      <w:r>
        <w:t xml:space="preserve"> </w:t>
      </w:r>
      <w:r>
        <w:t xml:space="preserve">0.33</w:t>
      </w:r>
      <w:r>
        <w:t xml:space="preserve"> </w:t>
      </w:r>
      <w:r>
        <w:t xml:space="preserve">% change vs. baseline</w:t>
      </w:r>
    </w:p>
    <w:p>
      <w:pPr>
        <w:pStyle w:val="BodyText"/>
      </w:pPr>
      <w:r>
        <w:t xml:space="preserve">-7%</w:t>
      </w:r>
      <w:r>
        <w:t xml:space="preserve"> </w:t>
      </w:r>
      <w:r>
        <w:t xml:space="preserve">-3%</w:t>
      </w:r>
      <w:r>
        <w:t xml:space="preserve"> </w:t>
      </w:r>
      <w:r>
        <w:t xml:space="preserve">% change vs. 2024</w:t>
      </w:r>
      <w:r>
        <w:t xml:space="preserve"> </w:t>
      </w:r>
      <w:r>
        <w:t xml:space="preserve">+30%</w:t>
      </w:r>
      <w:r>
        <w:t xml:space="preserve"> </w:t>
      </w:r>
      <w:r>
        <w:t xml:space="preserve">+21%</w:t>
      </w:r>
      <w:r>
        <w:t xml:space="preserve"> </w:t>
      </w:r>
      <w:r>
        <w:t xml:space="preserve">+25%</w:t>
      </w:r>
      <w:r>
        <w:t xml:space="preserve"> </w:t>
      </w:r>
      <w:r>
        <w:t xml:space="preserve">Economy</w:t>
      </w:r>
      <w:r>
        <w:t xml:space="preserve"> </w:t>
      </w:r>
      <w:r>
        <w:t xml:space="preserve">0.084</w:t>
      </w:r>
      <w:r>
        <w:t xml:space="preserve"> </w:t>
      </w:r>
      <w:r>
        <w:t xml:space="preserve">0.078</w:t>
      </w:r>
      <w:r>
        <w:t xml:space="preserve"> </w:t>
      </w:r>
      <w:r>
        <w:t xml:space="preserve">0.081</w:t>
      </w:r>
      <w:r>
        <w:t xml:space="preserve"> </w:t>
      </w:r>
      <w:r>
        <w:t xml:space="preserve">% change vs. baseline</w:t>
      </w:r>
    </w:p>
    <w:p>
      <w:pPr>
        <w:pStyle w:val="BodyText"/>
      </w:pPr>
      <w:r>
        <w:t xml:space="preserve">-7%</w:t>
      </w:r>
      <w:r>
        <w:t xml:space="preserve"> </w:t>
      </w:r>
      <w:r>
        <w:t xml:space="preserve">-3%</w:t>
      </w:r>
      <w:r>
        <w:t xml:space="preserve"> </w:t>
      </w:r>
      <w:r>
        <w:t xml:space="preserve">% change vs. 2024</w:t>
      </w:r>
      <w:r>
        <w:t xml:space="preserve"> </w:t>
      </w:r>
      <w:r>
        <w:t xml:space="preserve">+30%</w:t>
      </w:r>
      <w:r>
        <w:t xml:space="preserve"> </w:t>
      </w:r>
      <w:r>
        <w:t xml:space="preserve">+21%</w:t>
      </w:r>
      <w:r>
        <w:t xml:space="preserve"> </w:t>
      </w:r>
      <w:r>
        <w:t xml:space="preserve">+26%</w:t>
      </w:r>
      <w:r>
        <w:t xml:space="preserve"> </w:t>
      </w:r>
      <w:r>
        <w:t xml:space="preserve">Low-cost</w:t>
      </w:r>
      <w:r>
        <w:t xml:space="preserve"> </w:t>
      </w:r>
      <w:r>
        <w:t xml:space="preserve">0.064</w:t>
      </w:r>
      <w:r>
        <w:t xml:space="preserve"> </w:t>
      </w:r>
      <w:r>
        <w:t xml:space="preserve">0.056</w:t>
      </w:r>
      <w:r>
        <w:t xml:space="preserve"> </w:t>
      </w:r>
      <w:r>
        <w:t xml:space="preserve">0.060</w:t>
      </w:r>
      <w:r>
        <w:t xml:space="preserve"> </w:t>
      </w:r>
      <w:r>
        <w:t xml:space="preserve">Vs baseline</w:t>
      </w:r>
    </w:p>
    <w:p>
      <w:pPr>
        <w:pStyle w:val="BodyText"/>
      </w:pPr>
      <w:r>
        <w:t xml:space="preserve">-12%</w:t>
      </w:r>
      <w:r>
        <w:t xml:space="preserve"> </w:t>
      </w:r>
      <w:r>
        <w:t xml:space="preserve">-6%</w:t>
      </w:r>
      <w:r>
        <w:t xml:space="preserve"> </w:t>
      </w:r>
      <w:r>
        <w:t xml:space="preserve">Vs 2024</w:t>
      </w:r>
      <w:r>
        <w:t xml:space="preserve"> </w:t>
      </w:r>
      <w:r>
        <w:t xml:space="preserve">+59%</w:t>
      </w:r>
      <w:r>
        <w:t xml:space="preserve"> </w:t>
      </w:r>
      <w:r>
        <w:t xml:space="preserve">+40%</w:t>
      </w:r>
      <w:r>
        <w:t xml:space="preserve"> </w:t>
      </w:r>
      <w:r>
        <w:t xml:space="preserve">+50%</w:t>
      </w:r>
      <w:r>
        <w:t xml:space="preserve"> </w:t>
      </w:r>
      <w:r>
        <w:t xml:space="preserve">Cargo demand in million tonnes in 2040</w:t>
      </w:r>
      <w:r>
        <w:t xml:space="preserve"> </w:t>
      </w:r>
      <w:r>
        <w:t xml:space="preserve">Cargo demand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% change vs. baseline</w:t>
      </w:r>
    </w:p>
    <w:p>
      <w:pPr>
        <w:pStyle w:val="BodyText"/>
      </w:pP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% change vs. 2024</w:t>
      </w:r>
      <w:r>
        <w:t xml:space="preserve"> </w:t>
      </w:r>
      <w:r>
        <w:t xml:space="preserve">+37%</w:t>
      </w:r>
      <w:r>
        <w:t xml:space="preserve"> </w:t>
      </w:r>
      <w:r>
        <w:t xml:space="preserve">+45%</w:t>
      </w:r>
      <w:r>
        <w:t xml:space="preserve"> </w:t>
      </w:r>
      <w:r>
        <w:t xml:space="preserve">+41%</w:t>
      </w:r>
    </w:p>
    <w:p>
      <w:pPr>
        <w:pStyle w:val="BodyText"/>
      </w:pPr>
      <w:r>
        <w:t xml:space="preserve">Cargo rates in EUR(2023) per tonne kilometre in 2040</w:t>
      </w:r>
      <w:r>
        <w:t xml:space="preserve"> </w:t>
      </w:r>
      <w:r>
        <w:t xml:space="preserve">Cargo rates</w:t>
      </w:r>
      <w:r>
        <w:br/>
      </w:r>
      <w:r>
        <w:t xml:space="preserve">0.53</w:t>
      </w:r>
      <w:r>
        <w:t xml:space="preserve"> </w:t>
      </w:r>
      <w:r>
        <w:t xml:space="preserve">0.49</w:t>
      </w:r>
      <w:r>
        <w:t xml:space="preserve"> </w:t>
      </w:r>
      <w:r>
        <w:t xml:space="preserve">0.51</w:t>
      </w:r>
      <w:r>
        <w:t xml:space="preserve"> </w:t>
      </w:r>
      <w:r>
        <w:t xml:space="preserve">% change vs. baseline</w:t>
      </w:r>
    </w:p>
    <w:p>
      <w:pPr>
        <w:pStyle w:val="BodyText"/>
      </w:pPr>
      <w:r>
        <w:t xml:space="preserve">-8%</w:t>
      </w:r>
      <w:r>
        <w:t xml:space="preserve"> </w:t>
      </w:r>
      <w:r>
        <w:t xml:space="preserve">-4%</w:t>
      </w:r>
      <w:r>
        <w:t xml:space="preserve"> </w:t>
      </w:r>
      <w:r>
        <w:t xml:space="preserve">% change vs. 2024</w:t>
      </w:r>
      <w:r>
        <w:t xml:space="preserve"> </w:t>
      </w:r>
      <w:r>
        <w:t xml:space="preserve">9%</w:t>
      </w:r>
      <w:r>
        <w:t xml:space="preserve"> </w:t>
      </w:r>
      <w:r>
        <w:t xml:space="preserve">Negl.</w:t>
      </w:r>
      <w:r>
        <w:t xml:space="preserve"> </w:t>
      </w:r>
      <w:r>
        <w:t xml:space="preserve">5%</w:t>
      </w:r>
      <w:r>
        <w:t xml:space="preserve"> </w:t>
      </w:r>
      <w:r>
        <w:t xml:space="preserve">To show the effect of ETS scope and ETS-financed SAF support side by side for cargo,</w:t>
      </w:r>
      <w:r>
        <w:t xml:space="preserve"> </w:t>
      </w:r>
      <w:r>
        <w:t xml:space="preserve">compare results for 2035 in table 8:</w:t>
      </w:r>
      <w:r>
        <w:t xml:space="preserve"> </w:t>
      </w:r>
      <w:r>
        <w:t xml:space="preserve">Table 8:</w:t>
      </w:r>
      <w:r>
        <w:t xml:space="preserve"> </w:t>
      </w:r>
      <w:r>
        <w:t xml:space="preserve">Cargo demand and rates in 2035</w:t>
      </w:r>
      <w:r>
        <w:t xml:space="preserve"> </w:t>
      </w:r>
      <w:r>
        <w:t xml:space="preserve">Cargo demand in million tonnes in 2035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PO3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Cargo demand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% change vs. 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Cargo rates in EUR(2023) per tonne kilometre in 2035</w:t>
      </w:r>
    </w:p>
    <w:p>
      <w:pPr>
        <w:pStyle w:val="BodyText"/>
      </w:pPr>
      <w:r>
        <w:t xml:space="preserve">Cargo rates</w:t>
      </w:r>
      <w:r>
        <w:br/>
      </w:r>
      <w:r>
        <w:t xml:space="preserve">0.519</w:t>
      </w:r>
      <w:r>
        <w:t xml:space="preserve"> </w:t>
      </w:r>
      <w:r>
        <w:t xml:space="preserve">0.488</w:t>
      </w:r>
      <w:r>
        <w:t xml:space="preserve"> </w:t>
      </w:r>
      <w:r>
        <w:t xml:space="preserve">0.501</w:t>
      </w:r>
      <w:r>
        <w:t xml:space="preserve"> </w:t>
      </w:r>
      <w:r>
        <w:t xml:space="preserve">0.497</w:t>
      </w:r>
      <w:r>
        <w:t xml:space="preserve"> </w:t>
      </w:r>
      <w:r>
        <w:t xml:space="preserve">% change vs. 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-6%</w:t>
      </w:r>
      <w:r>
        <w:t xml:space="preserve"> </w:t>
      </w:r>
      <w:r>
        <w:t xml:space="preserve">-4%</w:t>
      </w:r>
      <w:r>
        <w:t xml:space="preserve"> </w:t>
      </w:r>
      <w:r>
        <w:t xml:space="preserve">-4%</w:t>
      </w:r>
      <w:r>
        <w:t xml:space="preserve"> </w:t>
      </w:r>
      <w:r>
        <w:t xml:space="preserve">Source: Aviation support study</w:t>
      </w:r>
      <w:r>
        <w:t xml:space="preserve"> </w:t>
      </w:r>
      <w:r>
        <w:t xml:space="preserve">Table 9 shows kerosene and SAF costs over time. Kerosene costs decrease because the share</w:t>
      </w:r>
      <w:r>
        <w:t xml:space="preserve"> </w:t>
      </w:r>
      <w:r>
        <w:t xml:space="preserve">of kerosene in the fuel mix decreases, while the share of SAF increases. SAF costs rise very</w:t>
      </w:r>
      <w:r>
        <w:t xml:space="preserve"> </w:t>
      </w:r>
      <w:r>
        <w:t xml:space="preserve">significantly, because they start from a very low share of the fuel mix in 2024, and because</w:t>
      </w:r>
      <w:r>
        <w:t xml:space="preserve"> </w:t>
      </w:r>
      <w:r>
        <w:t xml:space="preserve">SAF costs are higher than kerosene costs. See the aviation support study for detail.</w:t>
      </w:r>
      <w:r>
        <w:t xml:space="preserve"> </w:t>
      </w:r>
      <w:r>
        <w:t xml:space="preserve">Table 9:</w:t>
      </w:r>
      <w:r>
        <w:t xml:space="preserve"> </w:t>
      </w:r>
      <w:r>
        <w:t xml:space="preserve">Kerosene and SAF costs for airlines for extra-EEA departing flights</w:t>
      </w:r>
      <w:r>
        <w:t xml:space="preserve"> </w:t>
      </w:r>
      <w:r>
        <w:t xml:space="preserve">Fossil fuel costs in billion EUR (2023) in 2040</w:t>
      </w:r>
      <w:r>
        <w:t xml:space="preserve"> </w:t>
      </w:r>
      <w:r>
        <w:t xml:space="preserve">Extra-EEA departing flights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PO2/ PO3</w:t>
      </w:r>
      <w:r>
        <w:t xml:space="preserve"> </w:t>
      </w:r>
      <w:r>
        <w:t xml:space="preserve">Fossil fuel</w:t>
      </w:r>
      <w:r>
        <w:t xml:space="preserve"> </w:t>
      </w:r>
      <w:r>
        <w:t xml:space="preserve">15</w:t>
      </w:r>
      <w:r>
        <w:t xml:space="preserve"> </w:t>
      </w:r>
      <w:r>
        <w:t xml:space="preserve">17</w:t>
      </w:r>
      <w:r>
        <w:t xml:space="preserve"> </w:t>
      </w:r>
      <w:r>
        <w:t xml:space="preserve">16</w:t>
      </w:r>
      <w:r>
        <w:t xml:space="preserve"> </w:t>
      </w:r>
      <w:r>
        <w:t xml:space="preserve">% change vs. </w:t>
      </w:r>
      <w:r>
        <w:t xml:space="preserve"> </w:t>
      </w:r>
      <w:r>
        <w:t xml:space="preserve">baseline</w:t>
      </w:r>
      <w:r>
        <w:t xml:space="preserve"> </w:t>
      </w:r>
      <w:r>
        <w:t xml:space="preserve">n/a</w:t>
      </w:r>
      <w:r>
        <w:t xml:space="preserve"> </w:t>
      </w:r>
      <w:r>
        <w:t xml:space="preserve">8%</w:t>
      </w:r>
      <w:r>
        <w:t xml:space="preserve"> </w:t>
      </w:r>
      <w:r>
        <w:t xml:space="preserve">4%</w:t>
      </w:r>
      <w:r>
        <w:t xml:space="preserve"> </w:t>
      </w:r>
      <w:r>
        <w:t xml:space="preserve">% change vs. 2024</w:t>
      </w:r>
      <w:r>
        <w:t xml:space="preserve"> </w:t>
      </w:r>
      <w:r>
        <w:t xml:space="preserve">-22%</w:t>
      </w:r>
      <w:r>
        <w:t xml:space="preserve"> </w:t>
      </w:r>
      <w:r>
        <w:t xml:space="preserve">-16.2%</w:t>
      </w:r>
      <w:r>
        <w:t xml:space="preserve"> </w:t>
      </w:r>
      <w:r>
        <w:t xml:space="preserve">-19.2%</w:t>
      </w:r>
      <w:r>
        <w:t xml:space="preserve"> </w:t>
      </w:r>
      <w:r>
        <w:t xml:space="preserve">SAF costs in billion EUR (2023) in 2040</w:t>
      </w:r>
      <w:r>
        <w:t xml:space="preserve"> </w:t>
      </w:r>
      <w:r>
        <w:t xml:space="preserve">Extra-EEA departing flights</w:t>
      </w:r>
      <w:r>
        <w:t xml:space="preserve"> </w:t>
      </w:r>
      <w:r>
        <w:t xml:space="preserve">SAF</w:t>
      </w:r>
      <w:r>
        <w:t xml:space="preserve"> </w:t>
      </w:r>
      <w:r>
        <w:t xml:space="preserve">199</w:t>
      </w:r>
      <w:r>
        <w:t xml:space="preserve"> </w:t>
      </w:r>
      <w:r>
        <w:t xml:space="preserve">215</w:t>
      </w:r>
      <w:r>
        <w:t xml:space="preserve"> </w:t>
      </w:r>
      <w:r>
        <w:t xml:space="preserve">207</w:t>
      </w:r>
      <w:r>
        <w:t xml:space="preserve"> </w:t>
      </w:r>
      <w:r>
        <w:t xml:space="preserve">% change vs. </w:t>
      </w:r>
      <w:r>
        <w:t xml:space="preserve"> </w:t>
      </w:r>
      <w:r>
        <w:t xml:space="preserve">baseline</w:t>
      </w:r>
      <w:r>
        <w:t xml:space="preserve"> </w:t>
      </w:r>
      <w:r>
        <w:t xml:space="preserve">n/a</w:t>
      </w:r>
      <w:r>
        <w:t xml:space="preserve"> </w:t>
      </w:r>
      <w:r>
        <w:t xml:space="preserve">+8%</w:t>
      </w:r>
      <w:r>
        <w:t xml:space="preserve"> </w:t>
      </w:r>
      <w:r>
        <w:t xml:space="preserve">+4%</w:t>
      </w:r>
      <w:r>
        <w:t xml:space="preserve"> </w:t>
      </w:r>
      <w:r>
        <w:t xml:space="preserve">% change vs. 2024</w:t>
      </w:r>
      <w:r>
        <w:t xml:space="preserve"> </w:t>
      </w:r>
      <w:r>
        <w:t xml:space="preserve">+9009%</w:t>
      </w:r>
      <w:r>
        <w:t xml:space="preserve"> </w:t>
      </w:r>
      <w:r>
        <w:t xml:space="preserve">+9698%</w:t>
      </w:r>
      <w:r>
        <w:t xml:space="preserve"> </w:t>
      </w:r>
      <w:r>
        <w:t xml:space="preserve">+9338%</w:t>
      </w:r>
      <w:r>
        <w:t xml:space="preserve"> </w:t>
      </w:r>
      <w:r>
        <w:t xml:space="preserve">Source: Aviation support study</w:t>
      </w:r>
      <w:r>
        <w:t xml:space="preserve"> </w:t>
      </w:r>
      <w:r>
        <w:t xml:space="preserve">The aviation support study finds different evolutions of the carbon cost compared to total</w:t>
      </w:r>
      <w:r>
        <w:t xml:space="preserve"> </w:t>
      </w:r>
      <w:r>
        <w:t xml:space="preserve">fuel cost154 between 2023 and 2035/2040: the share of the carbon cost decreases under PO1</w:t>
      </w:r>
      <w:r>
        <w:t xml:space="preserve"> </w:t>
      </w:r>
      <w:r>
        <w:t xml:space="preserve">and increases under PO2/3 (modelling takes into account the CORSIA offsetting cost</w:t>
      </w:r>
      <w:r>
        <w:t xml:space="preserve"> </w:t>
      </w:r>
      <w:r>
        <w:t xml:space="preserve">deduction). Carbon cost is defined as the cost that is internalised through carbon pricing, i.e. </w:t>
      </w:r>
      <w:r>
        <w:t xml:space="preserve"> </w:t>
      </w:r>
      <w:r>
        <w:t xml:space="preserve">costs for ETS and CORSIA.</w:t>
      </w:r>
      <w:r>
        <w:br/>
      </w:r>
      <w:r>
        <w:t xml:space="preserve">Table 10:</w:t>
      </w:r>
      <w:r>
        <w:t xml:space="preserve"> </w:t>
      </w:r>
      <w:r>
        <w:t xml:space="preserve">Carbon costs as a percentage of fuel costs over time for intra-EEA and departing flights</w:t>
      </w:r>
      <w:r>
        <w:t xml:space="preserve"> </w:t>
      </w:r>
      <w:r>
        <w:t xml:space="preserve">Intra-EEA and departing (domestic, intra, and extra-EEA flights)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Carbon costs as % of fuel costs (incl. carbon)</w:t>
      </w:r>
    </w:p>
    <w:p>
      <w:pPr>
        <w:pStyle w:val="BodyText"/>
      </w:pPr>
      <w:r>
        <w:t xml:space="preserve">154 This includes cost of fossil kerosene, SAF, and the carbon price.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2024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 (87 %)</w:t>
      </w:r>
      <w:r>
        <w:t xml:space="preserve"> </w:t>
      </w:r>
      <w:r>
        <w:t xml:space="preserve">Baseline (full scope)</w:t>
      </w:r>
      <w:r>
        <w:t xml:space="preserve"> </w:t>
      </w:r>
      <w:r>
        <w:t xml:space="preserve">8%</w:t>
      </w:r>
      <w:r>
        <w:t xml:space="preserve"> </w:t>
      </w:r>
      <w:r>
        <w:t xml:space="preserve">25%</w:t>
      </w:r>
      <w:r>
        <w:t xml:space="preserve"> </w:t>
      </w:r>
      <w:r>
        <w:t xml:space="preserve">24%</w:t>
      </w:r>
      <w:r>
        <w:t xml:space="preserve"> </w:t>
      </w:r>
      <w:r>
        <w:t xml:space="preserve">29%</w:t>
      </w:r>
      <w:r>
        <w:t xml:space="preserve"> </w:t>
      </w:r>
      <w:r>
        <w:t xml:space="preserve">PO1 (clean cut)</w:t>
      </w:r>
      <w:r>
        <w:t xml:space="preserve"> </w:t>
      </w:r>
      <w:r>
        <w:t xml:space="preserve">10%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PO2 (departing flights, medium SAF support)</w:t>
      </w:r>
      <w:r>
        <w:t xml:space="preserve"> </w:t>
      </w:r>
      <w:r>
        <w:t xml:space="preserve">15%</w:t>
      </w:r>
      <w:r>
        <w:t xml:space="preserve"> </w:t>
      </w:r>
      <w:r>
        <w:t xml:space="preserve">18%</w:t>
      </w:r>
      <w:r>
        <w:t xml:space="preserve"> </w:t>
      </w:r>
      <w:r>
        <w:t xml:space="preserve">20%</w:t>
      </w:r>
      <w:r>
        <w:t xml:space="preserve"> </w:t>
      </w:r>
      <w:r>
        <w:t xml:space="preserve">PO3 (departing flights, larger SAF support)</w:t>
      </w:r>
      <w:r>
        <w:t xml:space="preserve"> </w:t>
      </w:r>
      <w:r>
        <w:t xml:space="preserve">15%</w:t>
      </w:r>
      <w:r>
        <w:t xml:space="preserve"> </w:t>
      </w:r>
      <w:r>
        <w:t xml:space="preserve">9%</w:t>
      </w:r>
      <w:r>
        <w:t xml:space="preserve"> </w:t>
      </w:r>
      <w:r>
        <w:t xml:space="preserve">20%</w:t>
      </w:r>
      <w:r>
        <w:t xml:space="preserve"> </w:t>
      </w:r>
      <w:r>
        <w:t xml:space="preserve">Source: Aviation support study.</w:t>
      </w:r>
      <w:r>
        <w:t xml:space="preserve"> </w:t>
      </w:r>
      <w:r>
        <w:t xml:space="preserve">Table 11:</w:t>
      </w:r>
      <w:r>
        <w:t xml:space="preserve"> </w:t>
      </w:r>
      <w:r>
        <w:t xml:space="preserve">Carbon costs as a percentage of total operating costs over time for intra-EEA and</w:t>
      </w:r>
      <w:r>
        <w:t xml:space="preserve"> </w:t>
      </w:r>
      <w:r>
        <w:t xml:space="preserve">departing flights</w:t>
      </w:r>
      <w:r>
        <w:t xml:space="preserve"> </w:t>
      </w:r>
      <w:r>
        <w:t xml:space="preserve">Intra-EEA and departing (domestic, intra, and extra-EEA flights)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Carbon costs as % of total operating costs</w:t>
      </w:r>
      <w:r>
        <w:t xml:space="preserve"> </w:t>
      </w:r>
      <w:r>
        <w:t xml:space="preserve">2024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 (87 %)</w:t>
      </w:r>
      <w:r>
        <w:t xml:space="preserve"> </w:t>
      </w:r>
      <w:r>
        <w:t xml:space="preserve">Baseline (full scope)</w:t>
      </w:r>
      <w:r>
        <w:t xml:space="preserve"> </w:t>
      </w:r>
      <w:r>
        <w:t xml:space="preserve">2%</w:t>
      </w:r>
      <w:r>
        <w:t xml:space="preserve"> </w:t>
      </w:r>
      <w:r>
        <w:t xml:space="preserve">7.4%</w:t>
      </w:r>
      <w:r>
        <w:t xml:space="preserve"> </w:t>
      </w:r>
      <w:r>
        <w:t xml:space="preserve">7.8%</w:t>
      </w:r>
      <w:r>
        <w:t xml:space="preserve"> </w:t>
      </w:r>
      <w:r>
        <w:t xml:space="preserve">10.3%</w:t>
      </w:r>
      <w:r>
        <w:t xml:space="preserve"> </w:t>
      </w:r>
      <w:r>
        <w:t xml:space="preserve">PO1 (clean cut)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PO2 (departing flights, medium SAF support)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  <w:r>
        <w:t xml:space="preserve"> </w:t>
      </w:r>
      <w:r>
        <w:t xml:space="preserve">PO3 (departing flights, larger SAF support)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Source: Aviation support study.</w:t>
      </w:r>
      <w:r>
        <w:t xml:space="preserve"> </w:t>
      </w:r>
      <w:r>
        <w:t xml:space="preserve">Table 12:</w:t>
      </w:r>
      <w:r>
        <w:t xml:space="preserve"> </w:t>
      </w:r>
      <w:r>
        <w:t xml:space="preserve">Carbon costs as a percentage of fuel costs (incl. carbon) over time for extra-EEA flights</w:t>
      </w:r>
      <w:r>
        <w:t xml:space="preserve"> </w:t>
      </w:r>
      <w:r>
        <w:t xml:space="preserve">Extra-EEA flights (departing + incoming)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Carbon costs as % of fuel costs (incl. carbon)</w:t>
      </w:r>
      <w:r>
        <w:t xml:space="preserve"> </w:t>
      </w:r>
      <w:r>
        <w:t xml:space="preserve">2024</w:t>
      </w:r>
      <w:r>
        <w:t xml:space="preserve"> </w:t>
      </w:r>
      <w:r>
        <w:t xml:space="preserve">2030 2035</w:t>
      </w:r>
      <w:r>
        <w:t xml:space="preserve"> </w:t>
      </w:r>
      <w:r>
        <w:t xml:space="preserve">2040 (87%)</w:t>
      </w:r>
      <w:r>
        <w:t xml:space="preserve"> </w:t>
      </w:r>
      <w:r>
        <w:t xml:space="preserve">Baseline (full scope)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PO1 (clean cut)</w:t>
      </w:r>
      <w:r>
        <w:t xml:space="preserve"> </w:t>
      </w:r>
      <w:r>
        <w:t xml:space="preserve">2%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PO2 (departing flights, medium SAF support)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16%</w:t>
      </w:r>
      <w:r>
        <w:t xml:space="preserve"> </w:t>
      </w:r>
      <w:r>
        <w:t xml:space="preserve">PO3 (departing flights, larger SAF support)</w:t>
      </w:r>
      <w:r>
        <w:t xml:space="preserve"> </w:t>
      </w:r>
      <w:r>
        <w:t xml:space="preserve">12%</w:t>
      </w:r>
      <w:r>
        <w:t xml:space="preserve"> </w:t>
      </w:r>
      <w:r>
        <w:t xml:space="preserve">8%</w:t>
      </w:r>
      <w:r>
        <w:t xml:space="preserve"> </w:t>
      </w:r>
      <w:r>
        <w:t xml:space="preserve">16%</w:t>
      </w:r>
      <w:r>
        <w:t xml:space="preserve"> </w:t>
      </w:r>
      <w:r>
        <w:t xml:space="preserve">Analysis relating to SAF support and ETS revenues in subsection 6.2.3.3 of the Impact</w:t>
      </w:r>
      <w:r>
        <w:t xml:space="preserve"> </w:t>
      </w:r>
      <w:r>
        <w:t xml:space="preserve">Assessment:</w:t>
      </w:r>
      <w:r>
        <w:br/>
      </w:r>
      <w:r>
        <w:t xml:space="preserve">The figures in table 13 show annual snapshots, therefore the SAF support for the year 2035</w:t>
      </w:r>
      <w:r>
        <w:t xml:space="preserve"> </w:t>
      </w:r>
      <w:r>
        <w:t xml:space="preserve">shows as larger than the cap in that year. However, it would be financed by cumulative revenues</w:t>
      </w:r>
      <w:r>
        <w:t xml:space="preserve"> </w:t>
      </w:r>
      <w:r>
        <w:t xml:space="preserve">from the previous years (therefore not resulting in a negative cap overall). Total EUA demand</w:t>
      </w:r>
      <w:r>
        <w:t xml:space="preserve"> </w:t>
      </w:r>
      <w:r>
        <w:t xml:space="preserve">corresponds to all aviation CO2 emissions covered by the ETS. The aviation cap net of SAF</w:t>
      </w:r>
      <w:r>
        <w:t xml:space="preserve"> </w:t>
      </w:r>
      <w:r>
        <w:t xml:space="preserve">support is what remains of the cap, once the SAF support is deducted. Compliance costs are</w:t>
      </w:r>
      <w:r>
        <w:t xml:space="preserve"> </w:t>
      </w:r>
      <w:r>
        <w:t xml:space="preserve">what airlines have to pay in the end, i.e. total demand minus ETS-financed SAF support.</w:t>
      </w:r>
      <w:r>
        <w:t xml:space="preserve"> </w:t>
      </w:r>
      <w:r>
        <w:t xml:space="preserve">Table 13:</w:t>
      </w:r>
      <w:r>
        <w:t xml:space="preserve"> </w:t>
      </w:r>
      <w:r>
        <w:t xml:space="preserve">Aviation EUA demand in million EUAs, aviation cap, cap net of SAF support, and</w:t>
      </w:r>
      <w:r>
        <w:t xml:space="preserve"> </w:t>
      </w:r>
      <w:r>
        <w:t xml:space="preserve">compliance cost in EUR million</w:t>
      </w:r>
    </w:p>
    <w:p>
      <w:pPr>
        <w:pStyle w:val="BodyText"/>
      </w:pPr>
      <w:r>
        <w:t xml:space="preserve">Total EUA</w:t>
      </w:r>
      <w:r>
        <w:t xml:space="preserve"> </w:t>
      </w:r>
      <w:r>
        <w:t xml:space="preserve">demand (m</w:t>
      </w:r>
      <w:r>
        <w:t xml:space="preserve"> </w:t>
      </w:r>
      <w:r>
        <w:t xml:space="preserve">EUAs)</w:t>
      </w:r>
      <w:r>
        <w:t xml:space="preserve"> </w:t>
      </w:r>
      <w:r>
        <w:t xml:space="preserve">Aviation cap</w:t>
      </w:r>
      <w:r>
        <w:t xml:space="preserve"> </w:t>
      </w:r>
      <w:r>
        <w:t xml:space="preserve">(m EUAs)</w:t>
      </w:r>
      <w:r>
        <w:t xml:space="preserve"> </w:t>
      </w:r>
      <w:r>
        <w:t xml:space="preserve">Aviation cap net of SAF</w:t>
      </w:r>
      <w:r>
        <w:t xml:space="preserve"> </w:t>
      </w:r>
      <w:r>
        <w:t xml:space="preserve">support (m EAUs)</w:t>
      </w:r>
      <w:r>
        <w:t xml:space="preserve"> </w:t>
      </w:r>
      <w:r>
        <w:t xml:space="preserve">Compliance cost</w:t>
      </w:r>
      <w:r>
        <w:t xml:space="preserve"> </w:t>
      </w:r>
      <w:r>
        <w:t xml:space="preserve">(m EUR)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2030</w:t>
      </w:r>
      <w:r>
        <w:t xml:space="preserve"> </w:t>
      </w:r>
      <w:r>
        <w:t xml:space="preserve">181</w:t>
      </w:r>
      <w:r>
        <w:t xml:space="preserve"> </w:t>
      </w:r>
      <w:r>
        <w:t xml:space="preserve">67</w:t>
      </w:r>
      <w:r>
        <w:t xml:space="preserve"> </w:t>
      </w:r>
      <w:r>
        <w:t xml:space="preserve">67</w:t>
      </w:r>
      <w:r>
        <w:t xml:space="preserve"> </w:t>
      </w:r>
      <w:r>
        <w:t xml:space="preserve">20</w:t>
      </w:r>
      <w:r>
        <w:t xml:space="preserve"> </w:t>
      </w:r>
      <w:r>
        <w:t xml:space="preserve">Baseline</w:t>
      </w:r>
      <w:r>
        <w:t xml:space="preserve"> </w:t>
      </w:r>
      <w:r>
        <w:t xml:space="preserve">2035</w:t>
      </w:r>
      <w:r>
        <w:t xml:space="preserve"> </w:t>
      </w:r>
      <w:r>
        <w:t xml:space="preserve">171</w:t>
      </w:r>
      <w:r>
        <w:t xml:space="preserve"> </w:t>
      </w:r>
      <w:r>
        <w:t xml:space="preserve">45</w:t>
      </w:r>
      <w:r>
        <w:t xml:space="preserve"> </w:t>
      </w:r>
      <w:r>
        <w:t xml:space="preserve">45</w:t>
      </w:r>
      <w:r>
        <w:t xml:space="preserve"> </w:t>
      </w:r>
      <w:r>
        <w:t xml:space="preserve">24</w:t>
      </w:r>
      <w:r>
        <w:t xml:space="preserve"> </w:t>
      </w:r>
      <w:r>
        <w:t xml:space="preserve">PO1 2030</w:t>
      </w:r>
      <w:r>
        <w:t xml:space="preserve"> </w:t>
      </w:r>
      <w:r>
        <w:t xml:space="preserve">54</w:t>
      </w:r>
      <w:r>
        <w:t xml:space="preserve"> </w:t>
      </w:r>
      <w:r>
        <w:t xml:space="preserve">21</w:t>
      </w:r>
      <w:r>
        <w:t xml:space="preserve"> </w:t>
      </w:r>
      <w:r>
        <w:t xml:space="preserve">21</w:t>
      </w:r>
      <w:r>
        <w:t xml:space="preserve"> </w:t>
      </w:r>
      <w:r>
        <w:t xml:space="preserve">6</w:t>
      </w:r>
      <w:r>
        <w:t xml:space="preserve"> </w:t>
      </w:r>
      <w:r>
        <w:t xml:space="preserve">PO1 2035</w:t>
      </w:r>
      <w:r>
        <w:t xml:space="preserve"> </w:t>
      </w:r>
      <w:r>
        <w:t xml:space="preserve">51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7</w:t>
      </w:r>
      <w:r>
        <w:t xml:space="preserve"> </w:t>
      </w:r>
      <w:r>
        <w:t xml:space="preserve">PO2 2030</w:t>
      </w:r>
      <w:r>
        <w:t xml:space="preserve"> </w:t>
      </w:r>
      <w:r>
        <w:t xml:space="preserve">119</w:t>
      </w:r>
      <w:r>
        <w:t xml:space="preserve"> </w:t>
      </w:r>
      <w:r>
        <w:t xml:space="preserve">44</w:t>
      </w:r>
      <w:r>
        <w:t xml:space="preserve"> </w:t>
      </w:r>
      <w:r>
        <w:t xml:space="preserve">19</w:t>
      </w:r>
      <w:r>
        <w:t xml:space="preserve"> </w:t>
      </w:r>
      <w:r>
        <w:t xml:space="preserve">10</w:t>
      </w:r>
      <w:r>
        <w:t xml:space="preserve"> </w:t>
      </w:r>
      <w:r>
        <w:t xml:space="preserve">PO2 2035</w:t>
      </w:r>
      <w:r>
        <w:t xml:space="preserve"> </w:t>
      </w:r>
      <w:r>
        <w:t xml:space="preserve">109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15</w:t>
      </w:r>
      <w:r>
        <w:t xml:space="preserve"> </w:t>
      </w:r>
      <w:r>
        <w:t xml:space="preserve">PO3 2030</w:t>
      </w:r>
      <w:r>
        <w:t xml:space="preserve"> </w:t>
      </w:r>
      <w:r>
        <w:t xml:space="preserve">119</w:t>
      </w:r>
      <w:r>
        <w:t xml:space="preserve"> </w:t>
      </w:r>
      <w:r>
        <w:t xml:space="preserve">44</w:t>
      </w:r>
      <w:r>
        <w:t xml:space="preserve"> </w:t>
      </w:r>
      <w:r>
        <w:t xml:space="preserve">19</w:t>
      </w:r>
      <w:r>
        <w:t xml:space="preserve"> </w:t>
      </w:r>
      <w:r>
        <w:t xml:space="preserve">10</w:t>
      </w:r>
      <w:r>
        <w:t xml:space="preserve"> </w:t>
      </w:r>
      <w:r>
        <w:t xml:space="preserve">PO3 2035</w:t>
      </w:r>
      <w:r>
        <w:t xml:space="preserve"> </w:t>
      </w:r>
      <w:r>
        <w:t xml:space="preserve">110</w:t>
      </w:r>
      <w:r>
        <w:t xml:space="preserve"> </w:t>
      </w:r>
      <w:r>
        <w:t xml:space="preserve">29</w:t>
      </w:r>
      <w:r>
        <w:t xml:space="preserve"> </w:t>
      </w:r>
      <w:r>
        <w:t xml:space="preserve">-56</w:t>
      </w:r>
      <w:r>
        <w:t xml:space="preserve"> </w:t>
      </w:r>
      <w:r>
        <w:t xml:space="preserve">4</w:t>
      </w:r>
      <w:r>
        <w:t xml:space="preserve"> </w:t>
      </w:r>
      <w:r>
        <w:t xml:space="preserve">Table 14 shows the compliance cost for CORSIA, ETS and the total compliance cost for both</w:t>
      </w:r>
      <w:r>
        <w:t xml:space="preserve"> </w:t>
      </w:r>
      <w:r>
        <w:t xml:space="preserve">combined for the year 2035. The ETS cost is net of SAF support, i.e. it shows what airlines</w:t>
      </w:r>
      <w:r>
        <w:t xml:space="preserve"> </w:t>
      </w:r>
      <w:r>
        <w:t xml:space="preserve">have to pay in the end. CORSIA costs are shown for EU airlines on participating routes, but</w:t>
      </w:r>
      <w:r>
        <w:t xml:space="preserve"> </w:t>
      </w:r>
      <w:r>
        <w:t xml:space="preserve">due to technical limitations they do not include costs for flights between two third countries</w:t>
      </w:r>
      <w:r>
        <w:t xml:space="preserve"> </w:t>
      </w:r>
      <w:r>
        <w:t xml:space="preserve">outside Europe, such as a flight between Malaysia and Indonesia operated by an EU airline.</w:t>
      </w:r>
      <w:r>
        <w:t xml:space="preserve"> </w:t>
      </w:r>
      <w:r>
        <w:t xml:space="preserve">For further detail, see Annex 4.</w:t>
      </w:r>
      <w:r>
        <w:t xml:space="preserve"> </w:t>
      </w:r>
      <w:r>
        <w:t xml:space="preserve">Table 14:</w:t>
      </w:r>
      <w:r>
        <w:t xml:space="preserve"> </w:t>
      </w:r>
      <w:r>
        <w:t xml:space="preserve">Compliance costs for ETS and CORSIA – 2035 snapshot, for global international</w:t>
      </w:r>
      <w:r>
        <w:t xml:space="preserve"> </w:t>
      </w:r>
      <w:r>
        <w:t xml:space="preserve">aviation (intra-EEA: domestic and non-domestic, extra-EEA: non-domestic only)</w:t>
      </w:r>
      <w:r>
        <w:t xml:space="preserve"> </w:t>
      </w:r>
      <w:r>
        <w:t xml:space="preserve">Compliance cost for ETS and CORSIA in 2035</w:t>
      </w:r>
      <w:r>
        <w:t xml:space="preserve"> </w:t>
      </w:r>
      <w:r>
        <w:t xml:space="preserve">In EUR bn 2023</w:t>
      </w:r>
      <w:r>
        <w:t xml:space="preserve"> </w:t>
      </w:r>
      <w:r>
        <w:t xml:space="preserve">CORSIA</w:t>
      </w:r>
      <w:r>
        <w:t xml:space="preserve"> </w:t>
      </w:r>
      <w:r>
        <w:t xml:space="preserve">ETS</w:t>
      </w:r>
      <w:r>
        <w:t xml:space="preserve"> </w:t>
      </w:r>
      <w:r>
        <w:t xml:space="preserve">Total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PO1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11</w:t>
      </w:r>
      <w:r>
        <w:t xml:space="preserve"> </w:t>
      </w:r>
      <w:r>
        <w:t xml:space="preserve">PO2</w:t>
      </w:r>
      <w:r>
        <w:t xml:space="preserve"> </w:t>
      </w:r>
      <w:r>
        <w:t xml:space="preserve">3</w:t>
      </w:r>
      <w:r>
        <w:t xml:space="preserve"> </w:t>
      </w:r>
      <w:r>
        <w:t xml:space="preserve">16</w:t>
      </w:r>
      <w:r>
        <w:t xml:space="preserve"> </w:t>
      </w:r>
      <w:r>
        <w:t xml:space="preserve">18</w:t>
      </w:r>
      <w:r>
        <w:t xml:space="preserve"> </w:t>
      </w:r>
      <w:r>
        <w:t xml:space="preserve">PO3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Additional analysis on subsection 6.3.1.4, impact on employment and skills</w:t>
      </w:r>
      <w:r>
        <w:t xml:space="preserve"> </w:t>
      </w:r>
      <w:r>
        <w:t xml:space="preserve">Tables 15 and 16 show that there is a positive relationship between passenger demand and</w:t>
      </w:r>
      <w:r>
        <w:t xml:space="preserve"> </w:t>
      </w:r>
      <w:r>
        <w:t xml:space="preserve">employment: higher passenger demand goes hand in hand with higher EEA airline</w:t>
      </w:r>
      <w:r>
        <w:t xml:space="preserve"> </w:t>
      </w:r>
      <w:r>
        <w:t xml:space="preserve">employment. However, employment is not directly proportionate to passenger growth.</w:t>
      </w:r>
      <w:r>
        <w:t xml:space="preserve"> </w:t>
      </w:r>
      <w:r>
        <w:t xml:space="preserve">Table 15:</w:t>
      </w:r>
      <w:r>
        <w:t xml:space="preserve"> </w:t>
      </w:r>
      <w:r>
        <w:t xml:space="preserve">EEA aircraft operator employment over time in policy options and the baseline</w:t>
      </w:r>
      <w:r>
        <w:t xml:space="preserve"> </w:t>
      </w:r>
      <w:r>
        <w:t xml:space="preserve">EEA aircraft operator employment in 1000 employees</w:t>
      </w:r>
      <w:r>
        <w:t xml:space="preserve"> </w:t>
      </w:r>
      <w:r>
        <w:t xml:space="preserve">Flight segment: EEA departing flights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2024</w:t>
      </w:r>
      <w:r>
        <w:t xml:space="preserve"> </w:t>
      </w:r>
      <w:r>
        <w:t xml:space="preserve">560</w:t>
      </w:r>
      <w:r>
        <w:t xml:space="preserve"> </w:t>
      </w:r>
      <w:r>
        <w:t xml:space="preserve">2035</w:t>
      </w:r>
      <w:r>
        <w:t xml:space="preserve"> </w:t>
      </w:r>
      <w:r>
        <w:t xml:space="preserve">630</w:t>
      </w:r>
      <w:r>
        <w:t xml:space="preserve"> </w:t>
      </w:r>
      <w:r>
        <w:t xml:space="preserve">640</w:t>
      </w:r>
      <w:r>
        <w:t xml:space="preserve"> </w:t>
      </w:r>
      <w:r>
        <w:t xml:space="preserve">636</w:t>
      </w:r>
      <w:r>
        <w:t xml:space="preserve"> </w:t>
      </w:r>
      <w:r>
        <w:t xml:space="preserve">641</w:t>
      </w:r>
      <w:r>
        <w:t xml:space="preserve"> </w:t>
      </w:r>
      <w:r>
        <w:t xml:space="preserve">% change vs. baseline</w:t>
      </w:r>
    </w:p>
    <w:p>
      <w:pPr>
        <w:pStyle w:val="BodyText"/>
      </w:pP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2040 (87%)</w:t>
      </w:r>
      <w:r>
        <w:t xml:space="preserve"> </w:t>
      </w:r>
      <w:r>
        <w:t xml:space="preserve">699</w:t>
      </w:r>
      <w:r>
        <w:t xml:space="preserve"> </w:t>
      </w:r>
      <w:r>
        <w:t xml:space="preserve">715</w:t>
      </w:r>
      <w:r>
        <w:t xml:space="preserve"> </w:t>
      </w:r>
      <w:r>
        <w:t xml:space="preserve">706</w:t>
      </w:r>
      <w:r>
        <w:t xml:space="preserve"> </w:t>
      </w:r>
      <w:r>
        <w:t xml:space="preserve">706</w:t>
      </w:r>
      <w:r>
        <w:t xml:space="preserve"> </w:t>
      </w:r>
      <w:r>
        <w:t xml:space="preserve">% change vs. baseline</w:t>
      </w:r>
    </w:p>
    <w:p>
      <w:pPr>
        <w:pStyle w:val="BodyText"/>
      </w:pP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Change</w:t>
      </w:r>
      <w:r>
        <w:t xml:space="preserve"> </w:t>
      </w:r>
      <w:r>
        <w:t xml:space="preserve">over</w:t>
      </w:r>
      <w:r>
        <w:t xml:space="preserve"> </w:t>
      </w:r>
      <w:r>
        <w:t xml:space="preserve">time:</w:t>
      </w:r>
      <w:r>
        <w:t xml:space="preserve"> </w:t>
      </w:r>
      <w:r>
        <w:t xml:space="preserve">2040 (87%) vs 2024</w:t>
      </w:r>
      <w:r>
        <w:t xml:space="preserve"> </w:t>
      </w:r>
      <w:r>
        <w:t xml:space="preserve">25%</w:t>
      </w:r>
      <w:r>
        <w:t xml:space="preserve"> </w:t>
      </w:r>
      <w:r>
        <w:t xml:space="preserve">28%</w:t>
      </w:r>
      <w:r>
        <w:t xml:space="preserve"> </w:t>
      </w:r>
      <w:r>
        <w:t xml:space="preserve">26%</w:t>
      </w:r>
      <w:r>
        <w:t xml:space="preserve"> </w:t>
      </w:r>
      <w:r>
        <w:t xml:space="preserve">26%</w:t>
      </w:r>
      <w:r>
        <w:t xml:space="preserve"> </w:t>
      </w:r>
      <w:r>
        <w:t xml:space="preserve">Source: Aviation support study.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Table 16:</w:t>
      </w:r>
      <w:r>
        <w:t xml:space="preserve"> </w:t>
      </w:r>
      <w:r>
        <w:t xml:space="preserve">EEA passenger demand over time in policy options and the baseline</w:t>
      </w:r>
      <w:r>
        <w:t xml:space="preserve"> </w:t>
      </w:r>
      <w:r>
        <w:t xml:space="preserve">Passenger demand in million passengers</w:t>
      </w:r>
      <w:r>
        <w:t xml:space="preserve"> </w:t>
      </w:r>
      <w:r>
        <w:t xml:space="preserve">Flight segment: EEA departing flights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2024</w:t>
      </w:r>
      <w:r>
        <w:t xml:space="preserve"> </w:t>
      </w:r>
      <w:r>
        <w:t xml:space="preserve">823</w:t>
      </w:r>
      <w:r>
        <w:t xml:space="preserve"> </w:t>
      </w:r>
      <w:r>
        <w:t xml:space="preserve">2035</w:t>
      </w:r>
      <w:r>
        <w:t xml:space="preserve"> </w:t>
      </w:r>
      <w:r>
        <w:t xml:space="preserve">943</w:t>
      </w:r>
      <w:r>
        <w:t xml:space="preserve"> </w:t>
      </w:r>
      <w:r>
        <w:t xml:space="preserve">951</w:t>
      </w:r>
      <w:r>
        <w:t xml:space="preserve"> </w:t>
      </w:r>
      <w:r>
        <w:t xml:space="preserve">948</w:t>
      </w:r>
      <w:r>
        <w:t xml:space="preserve"> </w:t>
      </w:r>
      <w:r>
        <w:t xml:space="preserve">958</w:t>
      </w:r>
      <w:r>
        <w:t xml:space="preserve"> </w:t>
      </w:r>
      <w:r>
        <w:t xml:space="preserve">% change vs. baseline</w:t>
      </w:r>
    </w:p>
    <w:p>
      <w:pPr>
        <w:pStyle w:val="BodyText"/>
      </w:pP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2040 (87%)</w:t>
      </w:r>
      <w:r>
        <w:t xml:space="preserve"> </w:t>
      </w:r>
      <w:r>
        <w:t xml:space="preserve">1069</w:t>
      </w:r>
      <w:r>
        <w:t xml:space="preserve"> </w:t>
      </w:r>
      <w:r>
        <w:t xml:space="preserve">1083</w:t>
      </w:r>
      <w:r>
        <w:t xml:space="preserve"> </w:t>
      </w:r>
      <w:r>
        <w:t xml:space="preserve">1076</w:t>
      </w:r>
      <w:r>
        <w:t xml:space="preserve"> </w:t>
      </w:r>
      <w:r>
        <w:t xml:space="preserve">1076</w:t>
      </w:r>
      <w:r>
        <w:t xml:space="preserve"> </w:t>
      </w:r>
      <w:r>
        <w:t xml:space="preserve">% change vs. baseline</w:t>
      </w:r>
    </w:p>
    <w:p>
      <w:pPr>
        <w:pStyle w:val="BodyText"/>
      </w:pPr>
      <w:r>
        <w:t xml:space="preserve">Negl.</w:t>
      </w:r>
      <w:r>
        <w:t xml:space="preserve"> </w:t>
      </w:r>
      <w:r>
        <w:t xml:space="preserve">Negl.</w:t>
      </w:r>
      <w:r>
        <w:t xml:space="preserve"> </w:t>
      </w:r>
      <w:r>
        <w:t xml:space="preserve">Negl.</w:t>
      </w:r>
      <w:r>
        <w:t xml:space="preserve"> </w:t>
      </w:r>
      <w:r>
        <w:t xml:space="preserve">Change</w:t>
      </w:r>
      <w:r>
        <w:t xml:space="preserve"> </w:t>
      </w:r>
      <w:r>
        <w:t xml:space="preserve">over</w:t>
      </w:r>
      <w:r>
        <w:t xml:space="preserve"> </w:t>
      </w:r>
      <w:r>
        <w:t xml:space="preserve">time:</w:t>
      </w:r>
      <w:r>
        <w:t xml:space="preserve"> </w:t>
      </w:r>
      <w:r>
        <w:t xml:space="preserve">2040 (87%) vs 2024</w:t>
      </w:r>
      <w:r>
        <w:t xml:space="preserve"> </w:t>
      </w:r>
      <w:r>
        <w:t xml:space="preserve">30%</w:t>
      </w:r>
      <w:r>
        <w:t xml:space="preserve"> </w:t>
      </w:r>
      <w:r>
        <w:t xml:space="preserve">32%</w:t>
      </w:r>
      <w:r>
        <w:t xml:space="preserve"> </w:t>
      </w:r>
      <w:r>
        <w:t xml:space="preserve">31%</w:t>
      </w:r>
      <w:r>
        <w:t xml:space="preserve"> </w:t>
      </w:r>
      <w:r>
        <w:t xml:space="preserve">31%</w:t>
      </w:r>
      <w:r>
        <w:t xml:space="preserve"> </w:t>
      </w:r>
      <w:r>
        <w:t xml:space="preserve">Source: Aviation support study.</w:t>
      </w:r>
      <w:r>
        <w:t xml:space="preserve"> </w:t>
      </w:r>
      <w:r>
        <w:t xml:space="preserve">Additional analysis on abatement cost</w:t>
      </w:r>
      <w:r>
        <w:t xml:space="preserve"> </w:t>
      </w:r>
      <w:r>
        <w:t xml:space="preserve">Table 17 below shows the cost of reducing one tonne of CO2 emissions with SAF and e-SAF</w:t>
      </w:r>
      <w:r>
        <w:t xml:space="preserve"> </w:t>
      </w:r>
      <w:r>
        <w:t xml:space="preserve">in Europe. Firstly, the cost is shown based on conservative SAF/ e-SAF price assumptions,</w:t>
      </w:r>
      <w:r>
        <w:t xml:space="preserve"> </w:t>
      </w:r>
      <w:r>
        <w:t xml:space="preserve">which were used for all aviation-specific modelling. Then the cost difference is shown using</w:t>
      </w:r>
      <w:r>
        <w:t xml:space="preserve"> </w:t>
      </w:r>
      <w:r>
        <w:t xml:space="preserve">PRIMES price assumptions. This could give an upper and a lower bound for abatement cost</w:t>
      </w:r>
      <w:r>
        <w:t xml:space="preserve"> </w:t>
      </w:r>
      <w:r>
        <w:t xml:space="preserve">using SAF. Emissions can also be reduced through technology and operational improvements,</w:t>
      </w:r>
      <w:r>
        <w:t xml:space="preserve"> </w:t>
      </w:r>
      <w:r>
        <w:t xml:space="preserve">the cost of which varies widely155, and their potential to reduce emissions can be limited (e.g. </w:t>
      </w:r>
      <w:r>
        <w:t xml:space="preserve"> </w:t>
      </w:r>
      <w:r>
        <w:t xml:space="preserve">operational measures). The ETS price incentivises any such efforts chosen by operators. For</w:t>
      </w:r>
      <w:r>
        <w:t xml:space="preserve"> </w:t>
      </w:r>
      <w:r>
        <w:t xml:space="preserve">comparison, in the maritime sector, the marginal abatement cost for using hydrogen156 is EUR</w:t>
      </w:r>
      <w:r>
        <w:t xml:space="preserve"> </w:t>
      </w:r>
      <w:r>
        <w:t xml:space="preserve">763 in 2025 and modelled to decrease to EUR 247 by 2040 taking into account the carbon</w:t>
      </w:r>
      <w:r>
        <w:t xml:space="preserve"> </w:t>
      </w:r>
      <w:r>
        <w:t xml:space="preserve">price. For maritime biofuels, the marginal abatement cost is EUR 190 in 2025, modelled to</w:t>
      </w:r>
      <w:r>
        <w:t xml:space="preserve"> </w:t>
      </w:r>
      <w:r>
        <w:t xml:space="preserve">decrease to negative EUR 93 by 2040, i.e. those fuels are expected to be cheaper than</w:t>
      </w:r>
      <w:r>
        <w:t xml:space="preserve"> </w:t>
      </w:r>
      <w:r>
        <w:t xml:space="preserve">conventional fossil fuel by then. For methanol, the marginal abatement cost is EUR 924 in</w:t>
      </w:r>
      <w:r>
        <w:t xml:space="preserve"> </w:t>
      </w:r>
      <w:r>
        <w:t xml:space="preserve">2025, modelled to decrease to EUR 329 by 2040.</w:t>
      </w:r>
      <w:r>
        <w:br/>
      </w:r>
      <w:r>
        <w:t xml:space="preserve">Table 17:</w:t>
      </w:r>
      <w:r>
        <w:t xml:space="preserve"> </w:t>
      </w:r>
      <w:r>
        <w:t xml:space="preserve">Additional analysis on abatement cost</w:t>
      </w:r>
      <w:r>
        <w:t xml:space="preserve"> </w:t>
      </w:r>
      <w:r>
        <w:t xml:space="preserve">Cost of CO2 reduction using SAF (in EUR’23/tCO2)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Kerosene price assumptions</w:t>
      </w:r>
      <w:r>
        <w:t xml:space="preserve"> </w:t>
      </w:r>
      <w:r>
        <w:t xml:space="preserve">824</w:t>
      </w:r>
      <w:r>
        <w:t xml:space="preserve"> </w:t>
      </w:r>
      <w:r>
        <w:t xml:space="preserve">886</w:t>
      </w:r>
      <w:r>
        <w:t xml:space="preserve"> </w:t>
      </w:r>
      <w:r>
        <w:t xml:space="preserve">949</w:t>
      </w:r>
      <w:r>
        <w:t xml:space="preserve"> </w:t>
      </w:r>
      <w:r>
        <w:t xml:space="preserve">969</w:t>
      </w:r>
      <w:r>
        <w:t xml:space="preserve"> </w:t>
      </w:r>
      <w:r>
        <w:t xml:space="preserve">Conservative fuel price assumptions</w:t>
      </w:r>
      <w:r>
        <w:t xml:space="preserve"> </w:t>
      </w:r>
      <w:r>
        <w:t xml:space="preserve">Bio SAF</w:t>
      </w:r>
      <w:r>
        <w:t xml:space="preserve"> </w:t>
      </w:r>
      <w:r>
        <w:t xml:space="preserve">1</w:t>
      </w:r>
      <w:r>
        <w:br/>
      </w:r>
      <w:r>
        <w:t xml:space="preserve">Price difference</w:t>
      </w:r>
      <w:r>
        <w:t xml:space="preserve"> </w:t>
      </w:r>
      <w:r>
        <w:t xml:space="preserve">543</w:t>
      </w:r>
      <w:r>
        <w:t xml:space="preserve"> </w:t>
      </w:r>
      <w:r>
        <w:t xml:space="preserve">512</w:t>
      </w:r>
      <w:r>
        <w:t xml:space="preserve"> </w:t>
      </w:r>
      <w:r>
        <w:t xml:space="preserve">469</w:t>
      </w:r>
      <w:r>
        <w:t xml:space="preserve"> </w:t>
      </w:r>
      <w:r>
        <w:t xml:space="preserve">451</w:t>
      </w:r>
    </w:p>
    <w:p>
      <w:pPr>
        <w:pStyle w:val="BodyText"/>
      </w:pPr>
      <w:r>
        <w:t xml:space="preserve">2</w:t>
      </w:r>
      <w:r>
        <w:br/>
      </w:r>
      <w:r>
        <w:t xml:space="preserve">Remaining price difference after ETS</w:t>
      </w:r>
      <w:r>
        <w:t xml:space="preserve"> </w:t>
      </w:r>
      <w:r>
        <w:t xml:space="preserve">455</w:t>
      </w:r>
      <w:r>
        <w:t xml:space="preserve"> </w:t>
      </w:r>
      <w:r>
        <w:t xml:space="preserve">391</w:t>
      </w:r>
      <w:r>
        <w:t xml:space="preserve"> </w:t>
      </w:r>
      <w:r>
        <w:t xml:space="preserve">313</w:t>
      </w:r>
      <w:r>
        <w:t xml:space="preserve"> </w:t>
      </w:r>
      <w:r>
        <w:t xml:space="preserve">182</w:t>
      </w:r>
    </w:p>
    <w:p>
      <w:pPr>
        <w:pStyle w:val="BodyText"/>
      </w:pPr>
      <w:r>
        <w:t xml:space="preserve">3</w:t>
      </w:r>
      <w:r>
        <w:br/>
      </w:r>
      <w:r>
        <w:t xml:space="preserve">Final price difference incl. SAF support</w:t>
      </w:r>
      <w:r>
        <w:t xml:space="preserve"> </w:t>
      </w:r>
      <w:r>
        <w:t xml:space="preserve">228</w:t>
      </w:r>
      <w:r>
        <w:t xml:space="preserve"> </w:t>
      </w:r>
      <w:r>
        <w:t xml:space="preserve">362</w:t>
      </w:r>
      <w:r>
        <w:t xml:space="preserve"> </w:t>
      </w:r>
      <w:r>
        <w:t xml:space="preserve">235</w:t>
      </w:r>
      <w:r>
        <w:t xml:space="preserve"> </w:t>
      </w:r>
      <w:r>
        <w:t xml:space="preserve">104</w:t>
      </w:r>
      <w:r>
        <w:t xml:space="preserve"> </w:t>
      </w:r>
      <w:r>
        <w:t xml:space="preserve">E-SAF</w:t>
      </w:r>
      <w:r>
        <w:t xml:space="preserve"> </w:t>
      </w:r>
      <w:r>
        <w:t xml:space="preserve">4</w:t>
      </w:r>
      <w:r>
        <w:br/>
      </w:r>
      <w:r>
        <w:t xml:space="preserve">Price difference</w:t>
      </w:r>
      <w:r>
        <w:t xml:space="preserve"> </w:t>
      </w:r>
      <w:r>
        <w:t xml:space="preserve">n/a</w:t>
      </w:r>
      <w:r>
        <w:t xml:space="preserve"> </w:t>
      </w:r>
      <w:r>
        <w:t xml:space="preserve">2468</w:t>
      </w:r>
      <w:r>
        <w:t xml:space="preserve"> </w:t>
      </w:r>
      <w:r>
        <w:t xml:space="preserve">2449</w:t>
      </w:r>
      <w:r>
        <w:t xml:space="preserve"> </w:t>
      </w:r>
      <w:r>
        <w:t xml:space="preserve">2443</w:t>
      </w:r>
    </w:p>
    <w:p>
      <w:pPr>
        <w:pStyle w:val="BodyText"/>
      </w:pPr>
      <w:r>
        <w:t xml:space="preserve">5</w:t>
      </w:r>
      <w:r>
        <w:br/>
      </w:r>
      <w:r>
        <w:t xml:space="preserve">Remaining price difference after ETS</w:t>
      </w:r>
      <w:r>
        <w:t xml:space="preserve"> </w:t>
      </w:r>
      <w:r>
        <w:t xml:space="preserve">n/a</w:t>
      </w:r>
      <w:r>
        <w:t xml:space="preserve"> </w:t>
      </w:r>
      <w:r>
        <w:t xml:space="preserve">2355</w:t>
      </w:r>
      <w:r>
        <w:t xml:space="preserve"> </w:t>
      </w:r>
      <w:r>
        <w:t xml:space="preserve">2304</w:t>
      </w:r>
      <w:r>
        <w:t xml:space="preserve"> </w:t>
      </w:r>
      <w:r>
        <w:t xml:space="preserve">2193</w:t>
      </w:r>
    </w:p>
    <w:p>
      <w:pPr>
        <w:pStyle w:val="BodyText"/>
      </w:pPr>
      <w:r>
        <w:t xml:space="preserve">6</w:t>
      </w:r>
      <w:r>
        <w:br/>
      </w:r>
      <w:r>
        <w:t xml:space="preserve">Final price difference incl. SAF support</w:t>
      </w:r>
      <w:r>
        <w:t xml:space="preserve"> </w:t>
      </w:r>
      <w:r>
        <w:t xml:space="preserve">n/a</w:t>
      </w:r>
      <w:r>
        <w:t xml:space="preserve"> </w:t>
      </w:r>
      <w:r>
        <w:t xml:space="preserve">942</w:t>
      </w:r>
      <w:r>
        <w:t xml:space="preserve"> </w:t>
      </w:r>
      <w:r>
        <w:t xml:space="preserve">922</w:t>
      </w:r>
      <w:r>
        <w:t xml:space="preserve"> </w:t>
      </w:r>
      <w:r>
        <w:t xml:space="preserve">877</w:t>
      </w:r>
      <w:r>
        <w:t xml:space="preserve"> </w:t>
      </w:r>
      <w:r>
        <w:t xml:space="preserve">PRIMES fuel price assumptions</w:t>
      </w:r>
      <w:r>
        <w:t xml:space="preserve"> </w:t>
      </w:r>
      <w:r>
        <w:t xml:space="preserve">Bio SAF</w:t>
      </w:r>
      <w:r>
        <w:t xml:space="preserve"> </w:t>
      </w:r>
      <w:r>
        <w:t xml:space="preserve">7</w:t>
      </w:r>
      <w:r>
        <w:t xml:space="preserve"> </w:t>
      </w:r>
      <w:r>
        <w:t xml:space="preserve">Price difference</w:t>
      </w:r>
      <w:r>
        <w:t xml:space="preserve"> </w:t>
      </w:r>
      <w:r>
        <w:t xml:space="preserve">404</w:t>
      </w:r>
      <w:r>
        <w:t xml:space="preserve"> </w:t>
      </w:r>
      <w:r>
        <w:t xml:space="preserve">358</w:t>
      </w:r>
      <w:r>
        <w:t xml:space="preserve"> </w:t>
      </w:r>
      <w:r>
        <w:t xml:space="preserve">305</w:t>
      </w:r>
      <w:r>
        <w:t xml:space="preserve"> </w:t>
      </w:r>
      <w:r>
        <w:t xml:space="preserve">352</w:t>
      </w:r>
    </w:p>
    <w:p>
      <w:pPr>
        <w:pStyle w:val="BodyText"/>
      </w:pPr>
      <w:r>
        <w:t xml:space="preserve">155 The Destination 2050 Roadmap 2025, table 14, describes some measures as cost neutral (operations), whereas</w:t>
      </w:r>
      <w:r>
        <w:t xml:space="preserve"> </w:t>
      </w:r>
      <w:r>
        <w:t xml:space="preserve">others are estimated in billions (e.g. fleet renewal).</w:t>
      </w:r>
      <w:r>
        <w:t xml:space="preserve"> </w:t>
      </w:r>
      <w:r>
        <w:t xml:space="preserve">156 The maritime sector can use a broad mix of decarbonisation alternatives (different fuel technologies or blending</w:t>
      </w:r>
      <w:r>
        <w:t xml:space="preserve"> </w:t>
      </w:r>
      <w:r>
        <w:t xml:space="preserve">with conventional fuels). However, the market maturity of these alternative fuels remains limited today.</w:t>
      </w:r>
      <w:r>
        <w:t xml:space="preserve"> </w:t>
      </w:r>
      <w:r>
        <w:t xml:space="preserve">While hydrogen is also an option for aviation decarbonisation (and eligible for ETS-financed support), its use</w:t>
      </w:r>
      <w:r>
        <w:t xml:space="preserve"> </w:t>
      </w:r>
      <w:r>
        <w:t xml:space="preserve">and thus cost structure are different for aviation.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Remaining price difference after ETS</w:t>
      </w:r>
      <w:r>
        <w:t xml:space="preserve"> </w:t>
      </w:r>
      <w:r>
        <w:t xml:space="preserve">315</w:t>
      </w:r>
      <w:r>
        <w:t xml:space="preserve"> </w:t>
      </w:r>
      <w:r>
        <w:t xml:space="preserve">237</w:t>
      </w:r>
      <w:r>
        <w:t xml:space="preserve"> </w:t>
      </w:r>
      <w:r>
        <w:t xml:space="preserve">149</w:t>
      </w:r>
      <w:r>
        <w:t xml:space="preserve"> </w:t>
      </w:r>
      <w:r>
        <w:t xml:space="preserve">83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Final price difference incl. SAF support</w:t>
      </w:r>
      <w:r>
        <w:t xml:space="preserve"> </w:t>
      </w:r>
      <w:r>
        <w:t xml:space="preserve">158</w:t>
      </w:r>
      <w:r>
        <w:t xml:space="preserve"> </w:t>
      </w:r>
      <w:r>
        <w:t xml:space="preserve">219</w:t>
      </w:r>
      <w:r>
        <w:t xml:space="preserve"> </w:t>
      </w:r>
      <w:r>
        <w:t xml:space="preserve">112</w:t>
      </w:r>
      <w:r>
        <w:t xml:space="preserve"> </w:t>
      </w:r>
      <w:r>
        <w:t xml:space="preserve">47</w:t>
      </w:r>
      <w:r>
        <w:t xml:space="preserve"> </w:t>
      </w:r>
      <w:r>
        <w:t xml:space="preserve">E-SAF</w:t>
      </w:r>
      <w:r>
        <w:t xml:space="preserve"> </w:t>
      </w:r>
      <w:r>
        <w:t xml:space="preserve">10</w:t>
      </w:r>
      <w:r>
        <w:t xml:space="preserve"> </w:t>
      </w:r>
      <w:r>
        <w:t xml:space="preserve">Price difference</w:t>
      </w:r>
      <w:r>
        <w:t xml:space="preserve"> </w:t>
      </w:r>
      <w:r>
        <w:t xml:space="preserve">n/a</w:t>
      </w:r>
      <w:r>
        <w:t xml:space="preserve"> </w:t>
      </w:r>
      <w:r>
        <w:t xml:space="preserve">880</w:t>
      </w:r>
      <w:r>
        <w:t xml:space="preserve"> </w:t>
      </w:r>
      <w:r>
        <w:t xml:space="preserve">769</w:t>
      </w:r>
      <w:r>
        <w:t xml:space="preserve"> </w:t>
      </w:r>
      <w:r>
        <w:t xml:space="preserve">689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Remaining price difference after ETS</w:t>
      </w:r>
      <w:r>
        <w:t xml:space="preserve"> </w:t>
      </w:r>
      <w:r>
        <w:t xml:space="preserve">n/a</w:t>
      </w:r>
      <w:r>
        <w:t xml:space="preserve"> </w:t>
      </w:r>
      <w:r>
        <w:t xml:space="preserve">767</w:t>
      </w:r>
      <w:r>
        <w:t xml:space="preserve"> </w:t>
      </w:r>
      <w:r>
        <w:t xml:space="preserve">624</w:t>
      </w:r>
      <w:r>
        <w:t xml:space="preserve"> </w:t>
      </w:r>
      <w:r>
        <w:t xml:space="preserve">439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Final price difference incl. SAF support</w:t>
      </w:r>
      <w:r>
        <w:t xml:space="preserve"> </w:t>
      </w:r>
      <w:r>
        <w:t xml:space="preserve">n/a</w:t>
      </w:r>
      <w:r>
        <w:t xml:space="preserve"> </w:t>
      </w:r>
      <w:r>
        <w:t xml:space="preserve">307</w:t>
      </w:r>
      <w:r>
        <w:t xml:space="preserve"> </w:t>
      </w:r>
      <w:r>
        <w:t xml:space="preserve">250</w:t>
      </w:r>
      <w:r>
        <w:t xml:space="preserve"> </w:t>
      </w:r>
      <w:r>
        <w:t xml:space="preserve">176</w:t>
      </w:r>
      <w:r>
        <w:t xml:space="preserve"> </w:t>
      </w:r>
      <w:r>
        <w:t xml:space="preserve">Source: Aviation support study and own calculations</w:t>
      </w:r>
      <w:r>
        <w:t xml:space="preserve"> </w:t>
      </w:r>
      <w:r>
        <w:t xml:space="preserve">4. IMPACTS ON THE LEVEL PLAYING FIELD (FOCUS ON HUBS)</w:t>
      </w:r>
      <w:r>
        <w:t xml:space="preserve"> </w:t>
      </w:r>
      <w:r>
        <w:t xml:space="preserve">Aviation operates in an international competitive environment. Generally, changes in operating</w:t>
      </w:r>
      <w:r>
        <w:t xml:space="preserve"> </w:t>
      </w:r>
      <w:r>
        <w:t xml:space="preserve">costs, ticket prices and demand affect the level playing field for example:</w:t>
      </w:r>
      <w:r>
        <w:t xml:space="preserve"> </w:t>
      </w:r>
      <w:r>
        <w:t xml:space="preserve">• If airlines pay different carbon costs when operating on the same route or if certain airlines</w:t>
      </w:r>
      <w:r>
        <w:t xml:space="preserve"> </w:t>
      </w:r>
      <w:r>
        <w:t xml:space="preserve">bear a high proportion of costs because a larger share of their operations are in higher</w:t>
      </w:r>
      <w:r>
        <w:t xml:space="preserve"> </w:t>
      </w:r>
      <w:r>
        <w:t xml:space="preserve">carbon cost routes;</w:t>
      </w:r>
      <w:r>
        <w:t xml:space="preserve"> </w:t>
      </w:r>
      <w:r>
        <w:t xml:space="preserve">• If a reduction in demand due to higher carbon costs affects some airlines, but not others</w:t>
      </w:r>
      <w:r>
        <w:t xml:space="preserve"> </w:t>
      </w:r>
      <w:r>
        <w:t xml:space="preserve">with which they are in competition;</w:t>
      </w:r>
      <w:r>
        <w:t xml:space="preserve"> </w:t>
      </w:r>
      <w:r>
        <w:t xml:space="preserve">• If carbon costs lead to investment in airports outside higher carbon cost areas instead of</w:t>
      </w:r>
      <w:r>
        <w:t xml:space="preserve"> </w:t>
      </w:r>
      <w:r>
        <w:t xml:space="preserve">within the higher cost area;</w:t>
      </w:r>
      <w:r>
        <w:t xml:space="preserve"> </w:t>
      </w:r>
      <w:r>
        <w:t xml:space="preserve">• If policies implemented equally across routes are not enforced equally e.g. because</w:t>
      </w:r>
      <w:r>
        <w:t xml:space="preserve"> </w:t>
      </w:r>
      <w:r>
        <w:t xml:space="preserve">different actions are taken by different states.</w:t>
      </w:r>
      <w:r>
        <w:t xml:space="preserve"> </w:t>
      </w:r>
      <w:r>
        <w:t xml:space="preserve">Airport hubs157 with large shares of transfer passengers may face an unlevel playing field</w:t>
      </w:r>
      <w:r>
        <w:t xml:space="preserve"> </w:t>
      </w:r>
      <w:r>
        <w:t xml:space="preserve">compared with other hubs subject to laxer rules158, causing differences in operating costs, ticket</w:t>
      </w:r>
      <w:r>
        <w:t xml:space="preserve"> </w:t>
      </w:r>
      <w:r>
        <w:t xml:space="preserve">prices, itinerary choice, etc. The aviation support study finds that the impact of policy options</w:t>
      </w:r>
      <w:r>
        <w:t xml:space="preserve"> </w:t>
      </w:r>
      <w:r>
        <w:t xml:space="preserve">on ticket prices and demand may, in certain cases, lead to passenger shift from EEA hubs to</w:t>
      </w:r>
      <w:r>
        <w:t xml:space="preserve"> </w:t>
      </w:r>
      <w:r>
        <w:t xml:space="preserve">non-EEA hubs. Passenger shifts may lead to carbon leakage159 if they cause an overall increase</w:t>
      </w:r>
      <w:r>
        <w:t xml:space="preserve"> </w:t>
      </w:r>
      <w:r>
        <w:t xml:space="preserve">in global emissions.</w:t>
      </w:r>
      <w:r>
        <w:t xml:space="preserve"> </w:t>
      </w:r>
      <w:r>
        <w:t xml:space="preserve">Ticket prices, risk of passenger shifts and carbon leakage at airport hubs: The aviation</w:t>
      </w:r>
      <w:r>
        <w:t xml:space="preserve"> </w:t>
      </w:r>
      <w:r>
        <w:t xml:space="preserve">support study defined a set of case studies for quantitative analysis. All case studies cover</w:t>
      </w:r>
      <w:r>
        <w:t xml:space="preserve"> </w:t>
      </w:r>
      <w:r>
        <w:t xml:space="preserve">flights to destinations outside the EEA. They compare a return trip with a transfer at an EEA</w:t>
      </w:r>
      <w:r>
        <w:t xml:space="preserve"> </w:t>
      </w:r>
      <w:r>
        <w:t xml:space="preserve">hub160, direct flights to/from EEA airports, or a transfer at a hub outside the EEA (‘non-EEA</w:t>
      </w:r>
      <w:r>
        <w:t xml:space="preserve"> </w:t>
      </w:r>
      <w:r>
        <w:t xml:space="preserve">hub’). Routes differ on whether they are covered by the ETS carbon price and/ or ReFuelEU</w:t>
      </w:r>
      <w:r>
        <w:t xml:space="preserve"> </w:t>
      </w:r>
      <w:r>
        <w:t xml:space="preserve">or not. The resulting ticket price differences help assess impacts on hub-switching and CO2</w:t>
      </w:r>
      <w:r>
        <w:t xml:space="preserve"> </w:t>
      </w:r>
      <w:r>
        <w:t xml:space="preserve">emissions.</w:t>
      </w:r>
      <w:r>
        <w:t xml:space="preserve"> </w:t>
      </w:r>
      <w:r>
        <w:t xml:space="preserve">• Case study 1 (CS1): EEA to Asia via an EEA hub versus via London</w:t>
      </w:r>
      <w:r>
        <w:t xml:space="preserve"> </w:t>
      </w:r>
      <w:r>
        <w:t xml:space="preserve">• CS2: EEA to Asia via an EEA hub versus via Istanbul</w:t>
      </w:r>
      <w:r>
        <w:t xml:space="preserve"> </w:t>
      </w:r>
      <w:r>
        <w:t xml:space="preserve">• CS3: North America to EEA via an EEA hub versus via Algiers</w:t>
      </w:r>
      <w:r>
        <w:t xml:space="preserve"> </w:t>
      </w:r>
      <w:r>
        <w:t xml:space="preserve">• CS4: North America to Asia via an EEA hub versus via Dubai</w:t>
      </w:r>
    </w:p>
    <w:p>
      <w:pPr>
        <w:pStyle w:val="BodyText"/>
      </w:pPr>
      <w:r>
        <w:t xml:space="preserve">157 Please see section 2 for more details on impacts on airlines and tourist destinations.</w:t>
      </w:r>
      <w:r>
        <w:t xml:space="preserve"> </w:t>
      </w:r>
      <w:r>
        <w:t xml:space="preserve">158 These could be related to climate policy, but equally to other policies such as labour laws or passenger rights.</w:t>
      </w:r>
      <w:r>
        <w:t xml:space="preserve"> </w:t>
      </w:r>
      <w:r>
        <w:t xml:space="preserve">The latter are out of the scope of this assessment. Note that itinerary choice is a function of journey time, cost,</w:t>
      </w:r>
      <w:r>
        <w:t xml:space="preserve"> </w:t>
      </w:r>
      <w:r>
        <w:t xml:space="preserve">number flight segments, available flight frequency and characteristics of the origin and destination airports.</w:t>
      </w:r>
      <w:r>
        <w:t xml:space="preserve"> </w:t>
      </w:r>
      <w:r>
        <w:t xml:space="preserve">159 In the EU’s 2025 Carbon Market Report, carbon leakage is defined as a situation that could occur if ETS-</w:t>
      </w:r>
      <w:r>
        <w:t xml:space="preserve"> </w:t>
      </w:r>
      <w:r>
        <w:t xml:space="preserve">regulated activities were moved to non-EU countries with less ambitious climate policies, leading to an</w:t>
      </w:r>
      <w:r>
        <w:t xml:space="preserve"> </w:t>
      </w:r>
      <w:r>
        <w:t xml:space="preserve">increase in overall greenhouse gas emissions.</w:t>
      </w:r>
      <w:r>
        <w:t xml:space="preserve"> </w:t>
      </w:r>
      <w:r>
        <w:t xml:space="preserve">160 Case studies are built on an average EEA hub, based on selected airports: Amsterdam Schipol, Frankfurt</w:t>
      </w:r>
      <w:r>
        <w:t xml:space="preserve"> </w:t>
      </w:r>
      <w:r>
        <w:t xml:space="preserve">Main, Paris CDG, Munich, Madrid Barajas, Rome Fiumicino, Athens, and Vienna Schwechat. For the</w:t>
      </w:r>
      <w:r>
        <w:t xml:space="preserve"> </w:t>
      </w:r>
      <w:r>
        <w:t xml:space="preserve">analyses of flights to and from EEA hub airports, averages were taken across all relevant routes. For the</w:t>
      </w:r>
      <w:r>
        <w:t xml:space="preserve"> </w:t>
      </w:r>
      <w:r>
        <w:t xml:space="preserve">analyses of flights to and from the non-EEA airports, averages were taken across relevant routes to/from that</w:t>
      </w:r>
      <w:r>
        <w:t xml:space="preserve"> </w:t>
      </w:r>
      <w:r>
        <w:t xml:space="preserve">airport. Please see the support study for more information.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• CS5: EEA to Asia directly versus connection via Istanbul.</w:t>
      </w:r>
      <w:r>
        <w:t xml:space="preserve"> </w:t>
      </w:r>
      <w:r>
        <w:t xml:space="preserve">4.1. Ticket prices161</w:t>
      </w:r>
      <w:r>
        <w:t xml:space="preserve"> </w:t>
      </w:r>
      <w:r>
        <w:t xml:space="preserve">Key findings are that some routes that use a hub outside the EEA are already today cheaper</w:t>
      </w:r>
      <w:r>
        <w:t xml:space="preserve"> </w:t>
      </w:r>
      <w:r>
        <w:t xml:space="preserve">than routes using an EEA hub. This is true for CS2, CS3, CS4. This is independent from the</w:t>
      </w:r>
      <w:r>
        <w:t xml:space="preserve"> </w:t>
      </w:r>
      <w:r>
        <w:t xml:space="preserve">ETS scope, as the ETS does not apply on any of these routes, but ReFuelEU does. Figure 2</w:t>
      </w:r>
      <w:r>
        <w:t xml:space="preserve"> </w:t>
      </w:r>
      <w:r>
        <w:t xml:space="preserve">below shows cumulative effects: it adds the effect of policy options on top of the existing price</w:t>
      </w:r>
      <w:r>
        <w:t xml:space="preserve"> </w:t>
      </w:r>
      <w:r>
        <w:t xml:space="preserve">differences. For example, if the itinerary using a non-EEA hub in CS3 is today EUR 90 cheaper</w:t>
      </w:r>
      <w:r>
        <w:t xml:space="preserve"> </w:t>
      </w:r>
      <w:r>
        <w:t xml:space="preserve">than using an EEA hub, then any cost/ benefit of the policy options is added to that (e.g. an</w:t>
      </w:r>
      <w:r>
        <w:t xml:space="preserve"> </w:t>
      </w:r>
      <w:r>
        <w:t xml:space="preserve">extra cost of EUR 10 is shown as a EUR 100 difference, not as a EUR 10 difference). For</w:t>
      </w:r>
      <w:r>
        <w:t xml:space="preserve"> </w:t>
      </w:r>
      <w:r>
        <w:t xml:space="preserve">simplicity, Figure 2 covers PO1 and PO3 only, in the 2025-35 time period. PO2 is similar to</w:t>
      </w:r>
      <w:r>
        <w:t xml:space="preserve"> </w:t>
      </w:r>
      <w:r>
        <w:t xml:space="preserve">PO3, slightly less favourable towards EEA-hubs, since it offers less ETS-financed SAF</w:t>
      </w:r>
      <w:r>
        <w:t xml:space="preserve"> </w:t>
      </w:r>
      <w:r>
        <w:t xml:space="preserve">support. See detail in the aviation support study.</w:t>
      </w:r>
      <w:r>
        <w:t xml:space="preserve"> </w:t>
      </w:r>
      <w:r>
        <w:t xml:space="preserve">The biggest ticket price differences for all case studies are found in the baseline, because there</w:t>
      </w:r>
      <w:r>
        <w:t xml:space="preserve"> </w:t>
      </w:r>
      <w:r>
        <w:t xml:space="preserve">is added carbon cost for both flight legs, and no SAF support. For PO1 and PO2, the price</w:t>
      </w:r>
      <w:r>
        <w:t xml:space="preserve"> </w:t>
      </w:r>
      <w:r>
        <w:t xml:space="preserve">differences are 3 and 1.5 times smaller than in the baseline for all case studies, meaning they</w:t>
      </w:r>
      <w:r>
        <w:t xml:space="preserve"> </w:t>
      </w:r>
      <w:r>
        <w:t xml:space="preserve">reduce the price gap between the original and alternative routes. In all case studies, first class</w:t>
      </w:r>
      <w:r>
        <w:t xml:space="preserve"> </w:t>
      </w:r>
      <w:r>
        <w:t xml:space="preserve">ticket price differences are higher than economy class price differences, because premium class</w:t>
      </w:r>
      <w:r>
        <w:t xml:space="preserve"> </w:t>
      </w:r>
      <w:r>
        <w:t xml:space="preserve">travellers are less sensitive and airlines generally pass on a higher share of costs to them. In</w:t>
      </w:r>
      <w:r>
        <w:t xml:space="preserve"> </w:t>
      </w:r>
      <w:r>
        <w:t xml:space="preserve">PO3, the results are similar but higher SAF support in PO3 reduces relative prices more than</w:t>
      </w:r>
      <w:r>
        <w:t xml:space="preserve"> </w:t>
      </w:r>
      <w:r>
        <w:t xml:space="preserve">in PO2.</w:t>
      </w:r>
      <w:r>
        <w:t xml:space="preserve"> </w:t>
      </w:r>
      <w:r>
        <w:t xml:space="preserve">Figure 2:</w:t>
      </w:r>
      <w:r>
        <w:t xml:space="preserve"> </w:t>
      </w:r>
      <w:r>
        <w:t xml:space="preserve">Ticket price difference between original and alternative itinerary for 2025-2035.</w:t>
      </w:r>
      <w:r>
        <w:t xml:space="preserve"> </w:t>
      </w:r>
      <w:r>
        <w:t xml:space="preserve">Comparison of case studies 2 and 5, for PO1 and PO3, for economy and business class.</w:t>
      </w:r>
    </w:p>
    <w:p>
      <w:pPr>
        <w:pStyle w:val="BodyText"/>
      </w:pPr>
      <w:r>
        <w:t xml:space="preserve">CS2: EEA to Asia via an EEA hub versus via Istanbul | CS5: EEA to Asia directly versus connection via Istanbul</w:t>
      </w:r>
      <w:r>
        <w:t xml:space="preserve"> </w:t>
      </w:r>
      <w:r>
        <w:t xml:space="preserve">Reading key: In CS2, for an economy ticket in PO3, the price was EUR 170 cheaper with the alternative route in</w:t>
      </w:r>
      <w:r>
        <w:t xml:space="preserve"> </w:t>
      </w:r>
      <w:r>
        <w:t xml:space="preserve">2025 compared to the original route (via EEA hub/ direct from EEA), while it would be about EUR 195 cheaper</w:t>
      </w:r>
      <w:r>
        <w:t xml:space="preserve"> </w:t>
      </w:r>
      <w:r>
        <w:t xml:space="preserve">in 2030 and EUR 230 cheaper in 2035. In general, where a plot goes below zero, the original itinerary is cheaper.</w:t>
      </w:r>
    </w:p>
    <w:p>
      <w:pPr>
        <w:pStyle w:val="BodyText"/>
      </w:pPr>
      <w:r>
        <w:t xml:space="preserve">161 Not considering value of change in flight time.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When we only look at the impacts of POs (i.e., disregarding base ticket price differences), the</w:t>
      </w:r>
      <w:r>
        <w:t xml:space="preserve"> </w:t>
      </w:r>
      <w:r>
        <w:t xml:space="preserve">differences in cost to passengers are smaller (ca. -10%), since the base ticket price also accounts</w:t>
      </w:r>
      <w:r>
        <w:t xml:space="preserve"> </w:t>
      </w:r>
      <w:r>
        <w:t xml:space="preserve">for a share of that difference.</w:t>
      </w:r>
      <w:r>
        <w:t xml:space="preserve"> </w:t>
      </w:r>
      <w:r>
        <w:t xml:space="preserve">4.2. Risk of passenger shift</w:t>
      </w:r>
      <w:r>
        <w:t xml:space="preserve"> </w:t>
      </w:r>
      <w:r>
        <w:t xml:space="preserve">The risk of passenger shift depends on ticket price differences, but also on factors that are more</w:t>
      </w:r>
      <w:r>
        <w:t xml:space="preserve"> </w:t>
      </w:r>
      <w:r>
        <w:t xml:space="preserve">difficult to quantify, such as preference of service (at certain airports or airlines) and timing of</w:t>
      </w:r>
      <w:r>
        <w:t xml:space="preserve"> </w:t>
      </w:r>
      <w:r>
        <w:t xml:space="preserve">available flight alternatives. The below analysis focuses on price sensitivities, while</w:t>
      </w:r>
      <w:r>
        <w:t xml:space="preserve"> </w:t>
      </w:r>
      <w:r>
        <w:t xml:space="preserve">considering value of change in flight time.</w:t>
      </w:r>
      <w:r>
        <w:t xml:space="preserve"> </w:t>
      </w:r>
      <w:r>
        <w:t xml:space="preserve">The impact of policy options on the risk of passenger shift is most visible in 2035, where SAF</w:t>
      </w:r>
      <w:r>
        <w:t xml:space="preserve"> </w:t>
      </w:r>
      <w:r>
        <w:t xml:space="preserve">support continues to be available in PO3, but the medium amount of SAF support in PO2 is</w:t>
      </w:r>
      <w:r>
        <w:t xml:space="preserve"> </w:t>
      </w:r>
      <w:r>
        <w:t xml:space="preserve">modelled to have run out. Table 18 shows that passenger shift risks are similar, but smallest in</w:t>
      </w:r>
      <w:r>
        <w:t xml:space="preserve"> </w:t>
      </w:r>
      <w:r>
        <w:t xml:space="preserve">PO1, followed by PO3 (higher amount of SAF support) and PO2 (medium amount of SAF</w:t>
      </w:r>
      <w:r>
        <w:t xml:space="preserve"> </w:t>
      </w:r>
      <w:r>
        <w:t xml:space="preserve">support).</w:t>
      </w:r>
      <w:r>
        <w:t xml:space="preserve"> </w:t>
      </w:r>
      <w:r>
        <w:t xml:space="preserve">Across policy options, some risk of passenger shift is found in CS2, CS3 and CS4, with very</w:t>
      </w:r>
      <w:r>
        <w:t xml:space="preserve"> </w:t>
      </w:r>
      <w:r>
        <w:t xml:space="preserve">small risk in CS1 and CS5. Concretely, extending the scope to all departing flights (be it under</w:t>
      </w:r>
      <w:r>
        <w:t xml:space="preserve"> </w:t>
      </w:r>
      <w:r>
        <w:t xml:space="preserve">PO2 or 3) would only slightly affect the competitiveness of EEA hubs and airlines by</w:t>
      </w:r>
      <w:r>
        <w:t xml:space="preserve"> </w:t>
      </w:r>
      <w:r>
        <w:t xml:space="preserve">potentially causing a shift of passengers to non-EEA hubs. In PO1, these shifts remain below</w:t>
      </w:r>
      <w:r>
        <w:t xml:space="preserve"> </w:t>
      </w:r>
      <w:r>
        <w:t xml:space="preserve">baseline levels; CS1 shows neither shifts nor hub carbon leakage because the original route is</w:t>
      </w:r>
      <w:r>
        <w:t xml:space="preserve"> </w:t>
      </w:r>
      <w:r>
        <w:t xml:space="preserve">cheaper.</w:t>
      </w:r>
      <w:r>
        <w:t xml:space="preserve"> </w:t>
      </w:r>
      <w:r>
        <w:t xml:space="preserve">Table 18:</w:t>
      </w:r>
      <w:r>
        <w:t xml:space="preserve"> </w:t>
      </w:r>
      <w:r>
        <w:t xml:space="preserve">Passenger shift risk comparison by case study and by scenarios for 2035.</w:t>
      </w:r>
    </w:p>
    <w:p>
      <w:pPr>
        <w:pStyle w:val="BodyText"/>
      </w:pPr>
      <w:r>
        <w:t xml:space="preserve">Million passengers</w:t>
      </w:r>
      <w:r>
        <w:t xml:space="preserve"> </w:t>
      </w:r>
      <w:r>
        <w:t xml:space="preserve">CS1</w:t>
      </w:r>
      <w:r>
        <w:t xml:space="preserve"> </w:t>
      </w:r>
      <w:r>
        <w:t xml:space="preserve">CS2</w:t>
      </w:r>
      <w:r>
        <w:t xml:space="preserve"> </w:t>
      </w:r>
      <w:r>
        <w:t xml:space="preserve">CS3</w:t>
      </w:r>
      <w:r>
        <w:t xml:space="preserve"> </w:t>
      </w:r>
      <w:r>
        <w:t xml:space="preserve">CS4</w:t>
      </w:r>
      <w:r>
        <w:t xml:space="preserve"> </w:t>
      </w:r>
      <w:r>
        <w:t xml:space="preserve">CS5</w:t>
      </w:r>
      <w:r>
        <w:t xml:space="preserve"> </w:t>
      </w:r>
      <w:r>
        <w:t xml:space="preserve">Baseline</w:t>
      </w:r>
      <w:r>
        <w:t xml:space="preserve"> </w:t>
      </w:r>
      <w:r>
        <w:t xml:space="preserve">Baseline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16</w:t>
      </w:r>
      <w:r>
        <w:t xml:space="preserve"> </w:t>
      </w:r>
      <w:r>
        <w:t xml:space="preserve">13</w:t>
      </w:r>
      <w:r>
        <w:t xml:space="preserve"> </w:t>
      </w:r>
      <w:r>
        <w:t xml:space="preserve">24</w:t>
      </w:r>
      <w:r>
        <w:t xml:space="preserve"> </w:t>
      </w:r>
      <w:r>
        <w:t xml:space="preserve">Reduction</w:t>
      </w:r>
      <w:r>
        <w:t xml:space="preserve"> </w:t>
      </w:r>
      <w:r>
        <w:t xml:space="preserve">Negl.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2%</w:t>
      </w:r>
      <w:r>
        <w:t xml:space="preserve"> </w:t>
      </w:r>
      <w:r>
        <w:t xml:space="preserve">9%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PO1</w:t>
      </w:r>
      <w:r>
        <w:t xml:space="preserve"> </w:t>
      </w:r>
      <w:r>
        <w:t xml:space="preserve">Baseline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16</w:t>
      </w:r>
      <w:r>
        <w:t xml:space="preserve"> </w:t>
      </w:r>
      <w:r>
        <w:t xml:space="preserve">13</w:t>
      </w:r>
      <w:r>
        <w:t xml:space="preserve"> </w:t>
      </w:r>
      <w:r>
        <w:t xml:space="preserve">24</w:t>
      </w:r>
      <w:r>
        <w:t xml:space="preserve"> </w:t>
      </w:r>
      <w:r>
        <w:t xml:space="preserve">Reduction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Negl.</w:t>
      </w:r>
      <w:r>
        <w:t xml:space="preserve"> </w:t>
      </w:r>
      <w:r>
        <w:t xml:space="preserve">0</w:t>
      </w:r>
      <w:r>
        <w:t xml:space="preserve"> </w:t>
      </w:r>
      <w:r>
        <w:t xml:space="preserve">Negl.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PO2</w:t>
      </w:r>
      <w:r>
        <w:t xml:space="preserve"> </w:t>
      </w:r>
      <w:r>
        <w:t xml:space="preserve">Baseline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16</w:t>
      </w:r>
      <w:r>
        <w:t xml:space="preserve"> </w:t>
      </w:r>
      <w:r>
        <w:t xml:space="preserve">13</w:t>
      </w:r>
      <w:r>
        <w:t xml:space="preserve"> </w:t>
      </w:r>
      <w:r>
        <w:t xml:space="preserve">24</w:t>
      </w:r>
      <w:r>
        <w:t xml:space="preserve"> </w:t>
      </w:r>
      <w:r>
        <w:t xml:space="preserve">Reduction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Negl.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PO3</w:t>
      </w:r>
      <w:r>
        <w:t xml:space="preserve"> </w:t>
      </w:r>
      <w:r>
        <w:t xml:space="preserve">Baseline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16</w:t>
      </w:r>
      <w:r>
        <w:t xml:space="preserve"> </w:t>
      </w:r>
      <w:r>
        <w:t xml:space="preserve">13</w:t>
      </w:r>
      <w:r>
        <w:t xml:space="preserve"> </w:t>
      </w:r>
      <w:r>
        <w:t xml:space="preserve">24</w:t>
      </w:r>
      <w:r>
        <w:t xml:space="preserve"> </w:t>
      </w:r>
      <w:r>
        <w:t xml:space="preserve">Reduction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4.3. Risk of hub carbon leakage</w:t>
      </w:r>
      <w:r>
        <w:br/>
      </w:r>
      <w:r>
        <w:t xml:space="preserve">The risk of hub carbon leakage behaves differently from the risk of passenger shifts. If</w:t>
      </w:r>
      <w:r>
        <w:t xml:space="preserve"> </w:t>
      </w:r>
      <w:r>
        <w:t xml:space="preserve">passengers shift from a European- to a non-European carrier, this does not necessarily increase</w:t>
      </w:r>
      <w:r>
        <w:t xml:space="preserve"> </w:t>
      </w:r>
      <w:r>
        <w:t xml:space="preserve">emissions, it may decrease emissions, for example if the overall route is shorter, more efficient</w:t>
      </w:r>
      <w:r>
        <w:t xml:space="preserve"> </w:t>
      </w:r>
      <w:r>
        <w:t xml:space="preserve">aircraft are used. However, if all other aspects are equal and less SAF is used on the overall</w:t>
      </w:r>
      <w:r>
        <w:t xml:space="preserve"> </w:t>
      </w:r>
      <w:r>
        <w:t xml:space="preserve">route, this would increase emissions.</w:t>
      </w:r>
      <w:r>
        <w:t xml:space="preserve"> </w:t>
      </w:r>
      <w:r>
        <w:t xml:space="preserve">CO2 emissions decrease most in PO2 and the baseline, and decrease least or remain unchanged</w:t>
      </w:r>
      <w:r>
        <w:t xml:space="preserve"> </w:t>
      </w:r>
      <w:r>
        <w:t xml:space="preserve">in PO1. Limited hub carbon leakage is observed in specific case studies at specific moments in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time under PO1 and the baseline. Overall, there is hardly any hub carbon leakage, although in</w:t>
      </w:r>
      <w:r>
        <w:t xml:space="preserve"> </w:t>
      </w:r>
      <w:r>
        <w:t xml:space="preserve">most cases emissions are displaced outside of Europe. The risk of passenger shift is lower than</w:t>
      </w:r>
      <w:r>
        <w:t xml:space="preserve"> </w:t>
      </w:r>
      <w:r>
        <w:t xml:space="preserve">in the baseline for all policy options, as the baseline extends carbon pricing without additional</w:t>
      </w:r>
      <w:r>
        <w:t xml:space="preserve"> </w:t>
      </w:r>
      <w:r>
        <w:t xml:space="preserve">SAF support. In PO1, CS1 shows no hub carbon leakage because the original route is cheaper</w:t>
      </w:r>
      <w:r>
        <w:t xml:space="preserve"> </w:t>
      </w:r>
      <w:r>
        <w:t xml:space="preserve">and passenger behaviour is expected to remain unchanged. In CS2 and CS3 (and, to a lesser</w:t>
      </w:r>
      <w:r>
        <w:t xml:space="preserve"> </w:t>
      </w:r>
      <w:r>
        <w:t xml:space="preserve">extent, CS4), CO2 emission reductions due to the ETS make up for CO2 emissions increases</w:t>
      </w:r>
      <w:r>
        <w:t xml:space="preserve"> </w:t>
      </w:r>
      <w:r>
        <w:t xml:space="preserve">outside the ETS scope, so there is no hub carbon leakage in CS2 and CS3 and minor hub carbon</w:t>
      </w:r>
      <w:r>
        <w:t xml:space="preserve"> </w:t>
      </w:r>
      <w:r>
        <w:t xml:space="preserve">leakage in CS4 (versus -2% under the baseline). PO1 also reduces the minor leakage under the</w:t>
      </w:r>
      <w:r>
        <w:t xml:space="preserve"> </w:t>
      </w:r>
      <w:r>
        <w:t xml:space="preserve">baseline in CS1 and CS5. PO2/3 show no hub carbon leakage in CS2, CS3, and CS4; and</w:t>
      </w:r>
      <w:r>
        <w:t xml:space="preserve"> </w:t>
      </w:r>
      <w:r>
        <w:t xml:space="preserve">similar to PO1, PO2/3 mitigate the negligible leakage under the baseline in CS1 and CS5. See</w:t>
      </w:r>
      <w:r>
        <w:t xml:space="preserve"> </w:t>
      </w:r>
      <w:r>
        <w:t xml:space="preserve">detail in the aviation support study.</w:t>
      </w:r>
      <w:r>
        <w:t xml:space="preserve"> </w:t>
      </w:r>
      <w:r>
        <w:t xml:space="preserve">5. ASSESSMENT OF CORSIA PURSUANT TO ART. 28B OF THE ETS DIRECTIVE</w:t>
      </w:r>
      <w:r>
        <w:t xml:space="preserve"> </w:t>
      </w:r>
      <w:r>
        <w:t xml:space="preserve">Article 28b(2) of the ETS Directive requires the Commission to assess CORSIA and progress</w:t>
      </w:r>
      <w:r>
        <w:t xml:space="preserve"> </w:t>
      </w:r>
      <w:r>
        <w:t xml:space="preserve">towards the Long Term Aspirational Goal. A short assessment is below, with more detail in</w:t>
      </w:r>
      <w:r>
        <w:t xml:space="preserve"> </w:t>
      </w:r>
      <w:r>
        <w:t xml:space="preserve">the aviation support study.</w:t>
      </w:r>
      <w:r>
        <w:t xml:space="preserve"> </w:t>
      </w:r>
      <w:r>
        <w:t xml:space="preserve">5.1. Ambition</w:t>
      </w:r>
      <w:r>
        <w:t xml:space="preserve"> </w:t>
      </w:r>
      <w:r>
        <w:t xml:space="preserve">CORSIA ‘baseline’: How and at what level the CORSIA ‘baseline’ is set is decisive for</w:t>
      </w:r>
      <w:r>
        <w:t xml:space="preserve"> </w:t>
      </w:r>
      <w:r>
        <w:t xml:space="preserve">ambition, because emissions below this threshold are not addressed. Since September 2022,</w:t>
      </w:r>
      <w:r>
        <w:t xml:space="preserve"> </w:t>
      </w:r>
      <w:r>
        <w:t xml:space="preserve">the CORSIA ‘baseline’ has not changed. It is set to 85% of 2019 international aviation</w:t>
      </w:r>
      <w:r>
        <w:t xml:space="preserve"> </w:t>
      </w:r>
      <w:r>
        <w:t xml:space="preserve">emissions162 for the emissions covered by offsetting (i.e. the absolute amount of the baseline is</w:t>
      </w:r>
      <w:r>
        <w:t xml:space="preserve"> </w:t>
      </w:r>
      <w:r>
        <w:t xml:space="preserve">not fixed, it is recalculated and for example higher if more countries participate).</w:t>
      </w:r>
      <w:r>
        <w:t xml:space="preserve"> </w:t>
      </w:r>
      <w:r>
        <w:t xml:space="preserve">The initial CORSIA baseline from 2018 has been revised twice, in 2020 and 2022. The initial</w:t>
      </w:r>
      <w:r>
        <w:t xml:space="preserve"> </w:t>
      </w:r>
      <w:r>
        <w:t xml:space="preserve">baseline foresaw compensating international civil aviation CO2 emissions growth (‘carbon-</w:t>
      </w:r>
      <w:r>
        <w:t xml:space="preserve"> </w:t>
      </w:r>
      <w:r>
        <w:t xml:space="preserve">neutral growth’ from 2021 to 2035) compared to average CO2 emission levels in 2019 and</w:t>
      </w:r>
      <w:r>
        <w:t xml:space="preserve"> </w:t>
      </w:r>
      <w:r>
        <w:t xml:space="preserve">2020. The first revision, i.e. excluding 2020 from the baseline definition for 2021-23, was made</w:t>
      </w:r>
      <w:r>
        <w:t xml:space="preserve"> </w:t>
      </w:r>
      <w:r>
        <w:t xml:space="preserve">in response to the COVID-19 pandemic. The second baseline revision in 2022 sets the baseline</w:t>
      </w:r>
      <w:r>
        <w:t xml:space="preserve"> </w:t>
      </w:r>
      <w:r>
        <w:t xml:space="preserve">at 100% of 2019 CO2 emission levels for 2021, 2022 and 2023, and establishes a baseline at</w:t>
      </w:r>
      <w:r>
        <w:t xml:space="preserve"> </w:t>
      </w:r>
      <w:r>
        <w:t xml:space="preserve">85% of 2019 CO2 emission levels for 2024 to 2035. This is higher than the average of 2019-</w:t>
      </w:r>
      <w:r>
        <w:t xml:space="preserve"> </w:t>
      </w:r>
      <w:r>
        <w:t xml:space="preserve">2020 emission but lower than 2019 emission levels. Beyond the baseline, the calculation of the</w:t>
      </w:r>
      <w:r>
        <w:t xml:space="preserve"> </w:t>
      </w:r>
      <w:r>
        <w:t xml:space="preserve">Sector’s Growth Factor also takes into account the individual growth of airlines from 2033</w:t>
      </w:r>
      <w:r>
        <w:t xml:space="preserve"> </w:t>
      </w:r>
      <w:r>
        <w:t xml:space="preserve">onward163. In 2021-2023, emissions remained below 2019 levels, thus no offsets were</w:t>
      </w:r>
      <w:r>
        <w:t xml:space="preserve"> </w:t>
      </w:r>
      <w:r>
        <w:t xml:space="preserve">required164. For the period 2024-26, the ICAO Secretariat calculated CORSIA Annual Sector’s</w:t>
      </w:r>
      <w:r>
        <w:t xml:space="preserve"> </w:t>
      </w:r>
      <w:r>
        <w:t xml:space="preserve">Growth Factor (SGF) for 2024 at 15.4%165.</w:t>
      </w:r>
      <w:r>
        <w:br/>
      </w:r>
      <w:r>
        <w:t xml:space="preserve">Level of participation: The Commission is required to assess whether non-EEA states</w:t>
      </w:r>
      <w:r>
        <w:t xml:space="preserve"> </w:t>
      </w:r>
      <w:r>
        <w:t xml:space="preserve">considered to be participating in CORSIA represent more or less than 70% of international</w:t>
      </w:r>
      <w:r>
        <w:t xml:space="preserve"> </w:t>
      </w:r>
      <w:r>
        <w:t xml:space="preserve">aviation emissions, based on the most recent emission figures (ETS Directive Article 28b(3),</w:t>
      </w:r>
      <w:r>
        <w:t xml:space="preserve"> </w:t>
      </w:r>
      <w:r>
        <w:t xml:space="preserve">point (b)). This approach aims to incentivise all countries which should participate in CORSIA</w:t>
      </w:r>
    </w:p>
    <w:p>
      <w:pPr>
        <w:pStyle w:val="BodyText"/>
      </w:pPr>
      <w:r>
        <w:t xml:space="preserve">162 ICAO, Assembly Resolution A41-22, point 11, 2022.</w:t>
      </w:r>
      <w:r>
        <w:t xml:space="preserve"> </w:t>
      </w:r>
      <w:r>
        <w:t xml:space="preserve">163 Originally, individual growth was supposed to taken into account from 2030 with 20% weight and from 2033</w:t>
      </w:r>
      <w:r>
        <w:t xml:space="preserve"> </w:t>
      </w:r>
      <w:r>
        <w:t xml:space="preserve">with 70%, but at the ICAO Assembly in 2022 the application was delayed to 2033 with 15% weight.</w:t>
      </w:r>
      <w:r>
        <w:t xml:space="preserve"> </w:t>
      </w:r>
      <w:r>
        <w:t xml:space="preserve">164 2021: CORSIA Annual Sector Growth Factor (SGF); 2022: 2022 CORSIA Annual Sector Growth Factor</w:t>
      </w:r>
      <w:r>
        <w:t xml:space="preserve"> </w:t>
      </w:r>
      <w:r>
        <w:t xml:space="preserve">(SGF); 2023: 2023 CORSIA Annual Sector Growth Factor (SGF).</w:t>
      </w:r>
      <w:r>
        <w:t xml:space="preserve"> </w:t>
      </w:r>
      <w:r>
        <w:t xml:space="preserve">165 CORSIA-Annual-SGF2024-4ed-Rev1-2025.pdf.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when it becomes ‘mandatory’ to implement the scheme166. Overall, the EU encourages all</w:t>
      </w:r>
      <w:r>
        <w:t xml:space="preserve"> </w:t>
      </w:r>
      <w:r>
        <w:t xml:space="preserve">countries to participate.</w:t>
      </w:r>
      <w:r>
        <w:t xml:space="preserve"> </w:t>
      </w:r>
      <w:r>
        <w:t xml:space="preserve">The assessment mandated by the ETS Directive sets out clear parameters for the calculation of</w:t>
      </w:r>
      <w:r>
        <w:t xml:space="preserve"> </w:t>
      </w:r>
      <w:r>
        <w:t xml:space="preserve">the 70% threshold, using the most recent available data. The numerator counts international</w:t>
      </w:r>
      <w:r>
        <w:t xml:space="preserve"> </w:t>
      </w:r>
      <w:r>
        <w:t xml:space="preserve">aviation emissions represented by “states listed in the implementing act adopted pursuant to</w:t>
      </w:r>
      <w:r>
        <w:t xml:space="preserve"> </w:t>
      </w:r>
      <w:r>
        <w:t xml:space="preserve">Article 25a(3)”, meaning states other than EEA countries, Switzerland and the United</w:t>
      </w:r>
      <w:r>
        <w:t xml:space="preserve"> </w:t>
      </w:r>
      <w:r>
        <w:t xml:space="preserve">Kingdom. The numerator therefore includes emissions from routes between the States listed in</w:t>
      </w:r>
      <w:r>
        <w:t xml:space="preserve"> </w:t>
      </w:r>
      <w:r>
        <w:t xml:space="preserve">the implementing act, as well as routes between an EEA Member State or Switzerland or the</w:t>
      </w:r>
      <w:r>
        <w:t xml:space="preserve"> </w:t>
      </w:r>
      <w:r>
        <w:t xml:space="preserve">United Kingdom and these states. The assessment follows the route-based principle, i.e. </w:t>
      </w:r>
      <w:r>
        <w:t xml:space="preserve"> </w:t>
      </w:r>
      <w:r>
        <w:t xml:space="preserve">assuming that any flight on these routes is subject to CORSIA offsetting, even if it is operated</w:t>
      </w:r>
      <w:r>
        <w:t xml:space="preserve"> </w:t>
      </w:r>
      <w:r>
        <w:t xml:space="preserve">by a carrier hailing from a non-participating state167. This prevents underestimation. The</w:t>
      </w:r>
      <w:r>
        <w:t xml:space="preserve"> </w:t>
      </w:r>
      <w:r>
        <w:t xml:space="preserve">denominator of this calculation is all “international aviation emissions”, meaning all emissions</w:t>
      </w:r>
      <w:r>
        <w:t xml:space="preserve"> </w:t>
      </w:r>
      <w:r>
        <w:t xml:space="preserve">on routes between two ICAO countries. Figures published168 by the ICAO Secretariat are used</w:t>
      </w:r>
      <w:r>
        <w:t xml:space="preserve"> </w:t>
      </w:r>
      <w:r>
        <w:t xml:space="preserve">for this calculation, which are either directly reported by countries, or else gap-filled by the</w:t>
      </w:r>
      <w:r>
        <w:t xml:space="preserve"> </w:t>
      </w:r>
      <w:r>
        <w:t xml:space="preserve">ICAO Secretariat according to an agreed methodology. The calculation is as follows:</w:t>
      </w:r>
      <w:r>
        <w:t xml:space="preserve"> </w:t>
      </w:r>
      <w:r>
        <w:t xml:space="preserve">CO2 emissions relating to non −European States on routes between countries participating in CORSIA offsetting</w:t>
      </w:r>
      <w:r>
        <w:t xml:space="preserve"> </w:t>
      </w:r>
      <w:r>
        <w:t xml:space="preserve">CO2 emissions on international routes</w:t>
      </w:r>
    </w:p>
    <w:p>
      <w:pPr>
        <w:pStyle w:val="BodyText"/>
      </w:pPr>
      <w:r>
        <w:t xml:space="preserve">CORSIA implementation by third countries in national law: The submission of ICAO to</w:t>
      </w:r>
      <w:r>
        <w:t xml:space="preserve"> </w:t>
      </w:r>
      <w:r>
        <w:t xml:space="preserve">the UNFCCC COP30169 expects 134 countries to participate in CORSIA offsetting in 2027.</w:t>
      </w:r>
      <w:r>
        <w:t xml:space="preserve"> </w:t>
      </w:r>
      <w:r>
        <w:t xml:space="preserve">This includes the 130 countries volunteered for 2026, and also Brazil, Russia, India and China.</w:t>
      </w:r>
      <w:r>
        <w:br/>
      </w:r>
      <w:r>
        <w:t xml:space="preserve">Concerning the biggest emitters, China (12.35% of 2018 global Revenue Tonne Kilometre or</w:t>
      </w:r>
      <w:r>
        <w:t xml:space="preserve"> </w:t>
      </w:r>
      <w:r>
        <w:t xml:space="preserve">RTK) has never publicly confirmed its intention to participate in CORSIA offsetting. To date,</w:t>
      </w:r>
      <w:r>
        <w:t xml:space="preserve"> </w:t>
      </w:r>
      <w:r>
        <w:t xml:space="preserve">no formal legislative processes or regulatory activities could be traced on CORSIA compliance.</w:t>
      </w:r>
      <w:r>
        <w:br/>
      </w:r>
      <w:r>
        <w:t xml:space="preserve">China openly challenged the fairness of CORSIA several times. In 2016170, China considered</w:t>
      </w:r>
      <w:r>
        <w:t xml:space="preserve"> </w:t>
      </w:r>
      <w:r>
        <w:t xml:space="preserve">carbon neutral growth, the basic principle of CORSIA, “is short of scientific justification,</w:t>
      </w:r>
      <w:r>
        <w:t xml:space="preserve"> </w:t>
      </w:r>
      <w:r>
        <w:t xml:space="preserve">fairness and feasibility” and is “constituting de facto prejudices against developing countries</w:t>
      </w:r>
      <w:r>
        <w:t xml:space="preserve"> </w:t>
      </w:r>
      <w:r>
        <w:t xml:space="preserve">in their growth of international air transport in the future”. China also questioned ICAO’s</w:t>
      </w:r>
      <w:r>
        <w:t xml:space="preserve"> </w:t>
      </w:r>
      <w:r>
        <w:t xml:space="preserve">jurisdiction to set standards for emission units in its 2016 and 2019 Reservations171 (“ICAO</w:t>
      </w:r>
      <w:r>
        <w:t xml:space="preserve"> </w:t>
      </w:r>
      <w:r>
        <w:t xml:space="preserve">can recommend offsetting products for preferred consideration, but should not make decisions</w:t>
      </w:r>
      <w:r>
        <w:t xml:space="preserve"> </w:t>
      </w:r>
      <w:r>
        <w:t xml:space="preserve">for sovereign States”) and stated that units established by the UNFCCC should be used (“As</w:t>
      </w:r>
      <w:r>
        <w:t xml:space="preserve"> </w:t>
      </w:r>
      <w:r>
        <w:t xml:space="preserve">the UNFCCC is the main arena for global actions against climate change, States should be</w:t>
      </w:r>
      <w:r>
        <w:t xml:space="preserve"> </w:t>
      </w:r>
      <w:r>
        <w:t xml:space="preserve">encouraged to give priority to the use of emission units endorsed by UNFCCC and the Paris</w:t>
      </w:r>
      <w:r>
        <w:t xml:space="preserve"> </w:t>
      </w:r>
      <w:r>
        <w:t xml:space="preserve">Agreement. There is no need for ICAO Council to make different decisions in this regard.”). In</w:t>
      </w:r>
    </w:p>
    <w:p>
      <w:pPr>
        <w:pStyle w:val="BodyText"/>
      </w:pPr>
      <w:r>
        <w:t xml:space="preserve">166 Countries had the largest share of international aviation activity in 2018 measured in ‘revenue tonne</w:t>
      </w:r>
      <w:r>
        <w:t xml:space="preserve"> </w:t>
      </w:r>
      <w:r>
        <w:t xml:space="preserve">kilometres’, meaning how much paying cargo or passengers an airline moved, and how far. These 34 States</w:t>
      </w:r>
      <w:r>
        <w:t xml:space="preserve"> </w:t>
      </w:r>
      <w:r>
        <w:t xml:space="preserve">are listed in International-RTK-rankings_2018_SIDS_LDC_LLDC.pdf.</w:t>
      </w:r>
      <w:r>
        <w:t xml:space="preserve"> </w:t>
      </w:r>
      <w:r>
        <w:t xml:space="preserve">167 CORSIA’s route-based approach means that wherever the airline is based, it should always be subject to</w:t>
      </w:r>
      <w:r>
        <w:t xml:space="preserve"> </w:t>
      </w:r>
      <w:r>
        <w:t xml:space="preserve">offsetting requirement on routes between two participating states. The airline’s ‘home country’ is the only</w:t>
      </w:r>
      <w:r>
        <w:t xml:space="preserve"> </w:t>
      </w:r>
      <w:r>
        <w:t xml:space="preserve">responsible for the airline’s CORSIA compliance. For example: Airline A from country A which is exempt</w:t>
      </w:r>
      <w:r>
        <w:t xml:space="preserve"> </w:t>
      </w:r>
      <w:r>
        <w:t xml:space="preserve">from CORSIA should still participate in offsetting when it flies covered routes between participating</w:t>
      </w:r>
      <w:r>
        <w:t xml:space="preserve"> </w:t>
      </w:r>
      <w:r>
        <w:t xml:space="preserve">countries B and C. Country A is meant to be responsible to ensure airline A’s compliance on these flights,</w:t>
      </w:r>
      <w:r>
        <w:t xml:space="preserve"> </w:t>
      </w:r>
      <w:r>
        <w:t xml:space="preserve">for there to be a level-playing field.</w:t>
      </w:r>
      <w:r>
        <w:t xml:space="preserve"> </w:t>
      </w:r>
      <w:r>
        <w:t xml:space="preserve">168 The ICAO Secretariat publishes this document on an annual basis. For 2024, it was published in October,</w:t>
      </w:r>
      <w:r>
        <w:t xml:space="preserve"> </w:t>
      </w:r>
      <w:r>
        <w:t xml:space="preserve">entitled “Total Annual CO2 Emissions and Information for Aeroplane Operators” Part III.</w:t>
      </w:r>
      <w:r>
        <w:br/>
      </w:r>
      <w:r>
        <w:t xml:space="preserve">169 SBSTA63-ICAO-submission_Final2.pdf.</w:t>
      </w:r>
      <w:r>
        <w:t xml:space="preserve"> </w:t>
      </w:r>
      <w:r>
        <w:t xml:space="preserve">170 2016 Reservation: China_en.pdf.</w:t>
      </w:r>
      <w:r>
        <w:t xml:space="preserve"> </w:t>
      </w:r>
      <w:r>
        <w:t xml:space="preserve">171 2019 Reservation: china_EN.pdf.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2019, China (together with Russia) called carbon neutral growth “unfair and unequal”172. In</w:t>
      </w:r>
      <w:r>
        <w:t xml:space="preserve"> </w:t>
      </w:r>
      <w:r>
        <w:t xml:space="preserve">its 2019 Reservation China challenged again the principle of carbon neutral growth: “China</w:t>
      </w:r>
      <w:r>
        <w:t xml:space="preserve"> </w:t>
      </w:r>
      <w:r>
        <w:t xml:space="preserve">opposes to using the goal of carbon neutral growth from 2020 as the baseline of CORSIA. We</w:t>
      </w:r>
      <w:r>
        <w:t xml:space="preserve"> </w:t>
      </w:r>
      <w:r>
        <w:t xml:space="preserve">affirm that States should determine the CORSIA baseline by themselves and reinforce their</w:t>
      </w:r>
      <w:r>
        <w:t xml:space="preserve"> </w:t>
      </w:r>
      <w:r>
        <w:t xml:space="preserve">actions gradually based on national circumstances.” China also notified differences to</w:t>
      </w:r>
      <w:r>
        <w:t xml:space="preserve"> </w:t>
      </w:r>
      <w:r>
        <w:t xml:space="preserve">CORSIA173, where they reserved the right to decide on their participation in the offsetting. In</w:t>
      </w:r>
      <w:r>
        <w:t xml:space="preserve"> </w:t>
      </w:r>
      <w:r>
        <w:t xml:space="preserve">this 2019 Reservation, China questioned the exclusivity of CORSIA: “ICAO has no right to</w:t>
      </w:r>
      <w:r>
        <w:t xml:space="preserve"> </w:t>
      </w:r>
      <w:r>
        <w:t xml:space="preserve">prohibit Member States from using other market measures for addressing aviation emission.”.</w:t>
      </w:r>
      <w:r>
        <w:t xml:space="preserve"> </w:t>
      </w:r>
      <w:r>
        <w:t xml:space="preserve">China repeatedly expressed their wish to acknowledge the common but differentiated</w:t>
      </w:r>
      <w:r>
        <w:t xml:space="preserve"> </w:t>
      </w:r>
      <w:r>
        <w:t xml:space="preserve">responsibilities (CBDR) principle for CORSIA as well, a principle the application of which the</w:t>
      </w:r>
      <w:r>
        <w:t xml:space="preserve"> </w:t>
      </w:r>
      <w:r>
        <w:t xml:space="preserve">US continuously refused in ICAO. In its 2019 Reservation, China considered that “emission</w:t>
      </w:r>
      <w:r>
        <w:t xml:space="preserve"> </w:t>
      </w:r>
      <w:r>
        <w:t xml:space="preserve">reduction in international aviation is an integral part of the global climate governance”. In the</w:t>
      </w:r>
      <w:r>
        <w:t xml:space="preserve"> </w:t>
      </w:r>
      <w:r>
        <w:t xml:space="preserve">2022 Reservation174 China reiterated this statement, and its wish to apply CBDR, while</w:t>
      </w:r>
      <w:r>
        <w:t xml:space="preserve"> </w:t>
      </w:r>
      <w:r>
        <w:t xml:space="preserve">announcing reservations towards the goal of carbon neutral growth and also towards the net</w:t>
      </w:r>
      <w:r>
        <w:t xml:space="preserve"> </w:t>
      </w:r>
      <w:r>
        <w:t xml:space="preserve">zero carbon emissions by 2050, meaning a reservation towards the full text of the Resolution</w:t>
      </w:r>
      <w:r>
        <w:t xml:space="preserve"> </w:t>
      </w:r>
      <w:r>
        <w:t xml:space="preserve">on CORSIA. The latest expression of China’s wish to apply CBDR was in their submission to</w:t>
      </w:r>
      <w:r>
        <w:t xml:space="preserve"> </w:t>
      </w:r>
      <w:r>
        <w:t xml:space="preserve">the ICAO Assembly session in September 2025175. In the same submission, China proposed an</w:t>
      </w:r>
      <w:r>
        <w:t xml:space="preserve"> </w:t>
      </w:r>
      <w:r>
        <w:t xml:space="preserve">initiative called Green Air Silk Road176 and insisted that CORSIA implementation is voluntary,</w:t>
      </w:r>
      <w:r>
        <w:t xml:space="preserve"> </w:t>
      </w:r>
      <w:r>
        <w:t xml:space="preserve">involving voluntarily defining the baseline and the eligible credits for offsetting. In accordance</w:t>
      </w:r>
      <w:r>
        <w:t xml:space="preserve"> </w:t>
      </w:r>
      <w:r>
        <w:t xml:space="preserve">with this submission, China submitted a Reservation to the Assembly resolutions on climate</w:t>
      </w:r>
      <w:r>
        <w:t xml:space="preserve"> </w:t>
      </w:r>
      <w:r>
        <w:t xml:space="preserve">change and CORSIA177, where it significantly reduced the number of reservations. Unlike</w:t>
      </w:r>
      <w:r>
        <w:t xml:space="preserve"> </w:t>
      </w:r>
      <w:r>
        <w:t xml:space="preserve">previous reservations, this latest reservation is not against the CORSIA Resolution A42-22 in</w:t>
      </w:r>
      <w:r>
        <w:t xml:space="preserve"> </w:t>
      </w:r>
      <w:r>
        <w:t xml:space="preserve">its entirety, but it maintains reservations towards the key principles of CORSIA like carbon</w:t>
      </w:r>
      <w:r>
        <w:t xml:space="preserve"> </w:t>
      </w:r>
      <w:r>
        <w:t xml:space="preserve">neutral growth or the exclusive use of CORSIA eligible units. In 2018, China submitted to</w:t>
      </w:r>
      <w:r>
        <w:t xml:space="preserve"> </w:t>
      </w:r>
      <w:r>
        <w:t xml:space="preserve">ICAO differences listing diverging implementation of monitoring, reporting and verification</w:t>
      </w:r>
      <w:r>
        <w:t xml:space="preserve"> </w:t>
      </w:r>
      <w:r>
        <w:t xml:space="preserve">rules, on definition of sustainable aviation fuels, on emission unit definition and on the timeline</w:t>
      </w:r>
      <w:r>
        <w:t xml:space="preserve"> </w:t>
      </w:r>
      <w:r>
        <w:t xml:space="preserve">for implementation, among others, also stating that China will decide on its own when it will</w:t>
      </w:r>
      <w:r>
        <w:t xml:space="preserve"> </w:t>
      </w:r>
      <w:r>
        <w:t xml:space="preserve">join CORSIA (submitted differences are not publicly available).</w:t>
      </w:r>
      <w:r>
        <w:t xml:space="preserve"> </w:t>
      </w:r>
      <w:r>
        <w:t xml:space="preserve">The US (11.35% of 2018 global RTK) has no legally binding implementation in place. The US</w:t>
      </w:r>
      <w:r>
        <w:t xml:space="preserve"> </w:t>
      </w:r>
      <w:r>
        <w:t xml:space="preserve">Federal Aviation Administration (FAA) reports emissions of all aircraft operators that are to</w:t>
      </w:r>
      <w:r>
        <w:t xml:space="preserve"> </w:t>
      </w:r>
      <w:r>
        <w:t xml:space="preserve">report under the CORSIA rules to ICAO, but airlines are not obliged under US law to report to</w:t>
      </w:r>
      <w:r>
        <w:t xml:space="preserve"> </w:t>
      </w:r>
      <w:r>
        <w:t xml:space="preserve">FAA, thus the FAA estimates the emissions for those who do not report. Accordingly, CORSIA</w:t>
      </w:r>
      <w:r>
        <w:t xml:space="preserve"> </w:t>
      </w:r>
      <w:r>
        <w:t xml:space="preserve">is explicitly voluntary in the US178, where there is no implementation of the offsetting in their</w:t>
      </w:r>
      <w:r>
        <w:t xml:space="preserve"> </w:t>
      </w:r>
      <w:r>
        <w:t xml:space="preserve">national law179, neither can any relevant legislative initiative be identified, although the US has</w:t>
      </w:r>
    </w:p>
    <w:p>
      <w:pPr>
        <w:pStyle w:val="BodyText"/>
      </w:pPr>
      <w:r>
        <w:t xml:space="preserve">172 Submission of China and Russia to the 40th session of the ICAO Assembly, 2019 Perspectives on the fair and</w:t>
      </w:r>
      <w:r>
        <w:t xml:space="preserve"> </w:t>
      </w:r>
      <w:r>
        <w:t xml:space="preserve">equitable CORSIA implementation pathway, 2019.</w:t>
      </w:r>
      <w:r>
        <w:t xml:space="preserve"> </w:t>
      </w:r>
      <w:r>
        <w:t xml:space="preserve">173 Text not publicly available, but referred to in China’s 2019 Reservation.</w:t>
      </w:r>
      <w:r>
        <w:t xml:space="preserve"> </w:t>
      </w:r>
      <w:r>
        <w:t xml:space="preserve">174 2022 Reservation: China_EN.pdf.</w:t>
      </w:r>
      <w:r>
        <w:t xml:space="preserve"> </w:t>
      </w:r>
      <w:r>
        <w:t xml:space="preserve">175 Submission of China to the 42nd session of the ICAO Assembly 2025: The Assembly is invited to recognize</w:t>
      </w:r>
      <w:r>
        <w:t xml:space="preserve"> </w:t>
      </w:r>
      <w:r>
        <w:t xml:space="preserve">that international aviation emissions reduction is an important part of global effort to address climate change,</w:t>
      </w:r>
      <w:r>
        <w:t xml:space="preserve"> </w:t>
      </w:r>
      <w:r>
        <w:t xml:space="preserve">and it should follow the principles of equity, common but differentiated responsibilities, and respective</w:t>
      </w:r>
      <w:r>
        <w:t xml:space="preserve"> </w:t>
      </w:r>
      <w:r>
        <w:t xml:space="preserve">capabilities, with States making national determined contributions based on their national circumstances and</w:t>
      </w:r>
      <w:r>
        <w:t xml:space="preserve"> </w:t>
      </w:r>
      <w:r>
        <w:t xml:space="preserve">stages of development”.</w:t>
      </w:r>
      <w:r>
        <w:br/>
      </w:r>
      <w:r>
        <w:t xml:space="preserve">176 DGCA/60 - DP/07/14</w:t>
      </w:r>
      <w:r>
        <w:t xml:space="preserve"> </w:t>
      </w:r>
      <w:r>
        <w:t xml:space="preserve">177 2025 Reservation: China_EN.pdf</w:t>
      </w:r>
      <w:r>
        <w:t xml:space="preserve"> </w:t>
      </w:r>
      <w:r>
        <w:t xml:space="preserve">178 Notice of CORSIA Monitoring, Reporting, and Verification Program: “Use of the term “will” in this</w:t>
      </w:r>
      <w:r>
        <w:t xml:space="preserve"> </w:t>
      </w:r>
      <w:r>
        <w:t xml:space="preserve">document is aspirational only and is not intended to be read as imposing any obligation or right on either the</w:t>
      </w:r>
      <w:r>
        <w:t xml:space="preserve"> </w:t>
      </w:r>
      <w:r>
        <w:t xml:space="preserve">FAA or Program Participants.”</w:t>
      </w:r>
      <w:r>
        <w:t xml:space="preserve"> </w:t>
      </w:r>
      <w:r>
        <w:t xml:space="preserve">179 “The requirement to monitor, report, and verify CO2 emissions is independent from offsetting,” and</w:t>
      </w:r>
      <w:r>
        <w:t xml:space="preserve"> </w:t>
      </w:r>
      <w:r>
        <w:t xml:space="preserve">“offsetting of emissions under CORSIA, which may require rulemaking or other action, will be addressed at</w:t>
      </w:r>
      <w:r>
        <w:t xml:space="preserve"> </w:t>
      </w:r>
      <w:r>
        <w:t xml:space="preserve">a future time.”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never officially filed a reservation on the ICAO resolutions on CORSIA itself. At ICAO, the</w:t>
      </w:r>
      <w:r>
        <w:t xml:space="preserve"> </w:t>
      </w:r>
      <w:r>
        <w:t xml:space="preserve">US has the standing position of refusing the application of CBDR viewing it as inconsistent</w:t>
      </w:r>
      <w:r>
        <w:t xml:space="preserve"> </w:t>
      </w:r>
      <w:r>
        <w:t xml:space="preserve">with the Chicago Convention’s non-discrimination provisions for international aviation. The</w:t>
      </w:r>
      <w:r>
        <w:t xml:space="preserve"> </w:t>
      </w:r>
      <w:r>
        <w:t xml:space="preserve">US expressed this objection first in their reservation in 2013180: “For reasons that are well</w:t>
      </w:r>
      <w:r>
        <w:t xml:space="preserve"> </w:t>
      </w:r>
      <w:r>
        <w:t xml:space="preserve">known, the United States does not consider that the principles of the United Nations</w:t>
      </w:r>
      <w:r>
        <w:t xml:space="preserve"> </w:t>
      </w:r>
      <w:r>
        <w:t xml:space="preserve">Framework Convention on Climate Change, including the principle of «common but</w:t>
      </w:r>
      <w:r>
        <w:t xml:space="preserve"> </w:t>
      </w:r>
      <w:r>
        <w:t xml:space="preserve">differentiated responsibilities and respective capabilities» apply to ICAO, which is governed</w:t>
      </w:r>
      <w:r>
        <w:t xml:space="preserve"> </w:t>
      </w:r>
      <w:r>
        <w:t xml:space="preserve">by its own legal regime”. This was confirmed again in 2016181 and repeated this again in</w:t>
      </w:r>
      <w:r>
        <w:t xml:space="preserve"> </w:t>
      </w:r>
      <w:r>
        <w:t xml:space="preserve">2019182. At the latest ICAO Assembly session in September 2025, the US referenced their</w:t>
      </w:r>
      <w:r>
        <w:t xml:space="preserve"> </w:t>
      </w:r>
      <w:r>
        <w:t xml:space="preserve">objection to the application of this principle183. At the latest Assembly session, the US</w:t>
      </w:r>
      <w:r>
        <w:t xml:space="preserve"> </w:t>
      </w:r>
      <w:r>
        <w:t xml:space="preserve">expressed its explicit wish that ICAO returns to its core responsibilities, because ICAO “has</w:t>
      </w:r>
      <w:r>
        <w:t xml:space="preserve"> </w:t>
      </w:r>
      <w:r>
        <w:t xml:space="preserve">extended itself far beyond its proper mandate - wasting critical resources on social programs</w:t>
      </w:r>
      <w:r>
        <w:t xml:space="preserve"> </w:t>
      </w:r>
      <w:r>
        <w:t xml:space="preserve">or climate financing initiatives work that has nothing to do with the safety, security, and</w:t>
      </w:r>
      <w:r>
        <w:t xml:space="preserve"> </w:t>
      </w:r>
      <w:r>
        <w:t xml:space="preserve">efficiency of the global air transportation system.”, and therefore making the US contribution</w:t>
      </w:r>
      <w:r>
        <w:t xml:space="preserve"> </w:t>
      </w:r>
      <w:r>
        <w:t xml:space="preserve">to the ICAO budget dependent on the fulfilment of these core responsibilities184. The US</w:t>
      </w:r>
      <w:r>
        <w:t xml:space="preserve"> </w:t>
      </w:r>
      <w:r>
        <w:t xml:space="preserve">approach towards CORSIA and ICAO’s climate policy is also influenced by its most recent</w:t>
      </w:r>
      <w:r>
        <w:t xml:space="preserve"> </w:t>
      </w:r>
      <w:r>
        <w:t xml:space="preserve">National Security Strategy that states “We reject the disastrous “climate change” and “Net</w:t>
      </w:r>
      <w:r>
        <w:t xml:space="preserve"> </w:t>
      </w:r>
      <w:r>
        <w:t xml:space="preserve">Zero” ideologies that have so greatly harmed Europe, threaten the United States, and subsidize</w:t>
      </w:r>
      <w:r>
        <w:t xml:space="preserve"> </w:t>
      </w:r>
      <w:r>
        <w:t xml:space="preserve">our adversaries.”185 ICAO’s Long-Term Aspirational Goal ‘LTAG’ is a net-zero emissions</w:t>
      </w:r>
      <w:r>
        <w:t xml:space="preserve"> </w:t>
      </w:r>
      <w:r>
        <w:t xml:space="preserve">target. In January 2026, President Trump ordered the US administration to withdraw from the</w:t>
      </w:r>
      <w:r>
        <w:t xml:space="preserve"> </w:t>
      </w:r>
      <w:r>
        <w:t xml:space="preserve">United Nations Framework Convention on Climate Change (UNFCCC) and the</w:t>
      </w:r>
      <w:r>
        <w:t xml:space="preserve"> </w:t>
      </w:r>
      <w:r>
        <w:t xml:space="preserve">Intergovernmental Panel on Climate Change (IPCC), UN’s scientific body.</w:t>
      </w:r>
      <w:r>
        <w:t xml:space="preserve"> </w:t>
      </w:r>
      <w:r>
        <w:t xml:space="preserve">The Russian Federation (2.91% of 2018 global RTK) has never reported emissions to the ICAO</w:t>
      </w:r>
      <w:r>
        <w:t xml:space="preserve"> </w:t>
      </w:r>
      <w:r>
        <w:t xml:space="preserve">Secretariat. Russia announced its reservation towards the entire idea of a global market-based</w:t>
      </w:r>
      <w:r>
        <w:t xml:space="preserve"> </w:t>
      </w:r>
      <w:r>
        <w:t xml:space="preserve">measure in 2016186: “the Russian Federation does not see a way to announce its participation</w:t>
      </w:r>
      <w:r>
        <w:t xml:space="preserve"> </w:t>
      </w:r>
      <w:r>
        <w:t xml:space="preserve">in the proposed version of GMBM implementation”. Russia expressed the same refusal at the</w:t>
      </w:r>
      <w:r>
        <w:t xml:space="preserve"> </w:t>
      </w:r>
      <w:r>
        <w:t xml:space="preserve">Assembly session in 2019: “The Russian Federation declares that it does not find affordable</w:t>
      </w:r>
      <w:r>
        <w:t xml:space="preserve"> </w:t>
      </w:r>
      <w:r>
        <w:t xml:space="preserve">to join this Resolution as whole” and intends to file differences to the SARPs when it finds it</w:t>
      </w:r>
      <w:r>
        <w:t xml:space="preserve"> </w:t>
      </w:r>
      <w:r>
        <w:t xml:space="preserve">fit187. After the 41st session of the ICAO Assembly it stated again that “the Russian Federation</w:t>
      </w:r>
      <w:r>
        <w:t xml:space="preserve"> </w:t>
      </w:r>
      <w:r>
        <w:t xml:space="preserve">does not consider itself bound by the provisions of the […] ICAO Assembly resolution [on</w:t>
      </w:r>
      <w:r>
        <w:t xml:space="preserve"> </w:t>
      </w:r>
      <w:r>
        <w:t xml:space="preserve">CORSIA]”188. Accordingly, it is not expected that Russia would apply the MRV or the</w:t>
      </w:r>
      <w:r>
        <w:t xml:space="preserve"> </w:t>
      </w:r>
      <w:r>
        <w:t xml:space="preserve">offsetting of CORSIA to their airlines unless circumstances would significantly change.</w:t>
      </w:r>
      <w:r>
        <w:t xml:space="preserve"> </w:t>
      </w:r>
      <w:r>
        <w:t xml:space="preserve">For other biggest emitters, Brazil (0.78% of 2018 global RTK) has legislation in place for the</w:t>
      </w:r>
      <w:r>
        <w:t xml:space="preserve"> </w:t>
      </w:r>
      <w:r>
        <w:t xml:space="preserve">mandatory CORSIA MRV from 2022 and also for offsetting from 2027 (Agência Nacional</w:t>
      </w:r>
      <w:r>
        <w:t xml:space="preserve"> </w:t>
      </w:r>
      <w:r>
        <w:t xml:space="preserve">de Aviação Civil (ANAC) 743 of 15 May 2024). India (1.35% of 2018 global RTK) has</w:t>
      </w:r>
      <w:r>
        <w:t xml:space="preserve"> </w:t>
      </w:r>
      <w:r>
        <w:t xml:space="preserve">legislation in place for both the MRV and for the offsetting as of 2027 (Civil Aviation</w:t>
      </w:r>
      <w:r>
        <w:t xml:space="preserve"> </w:t>
      </w:r>
      <w:r>
        <w:t xml:space="preserve">Requirements, Section 10 – Aviation Environmental Protection, Series ‘C,’ Part I 2018).</w:t>
      </w:r>
      <w:r>
        <w:br/>
      </w:r>
      <w:r>
        <w:t xml:space="preserve">Share of emissions covered by CORSIA offsetting obligation: ETS Directive Article 28b(3),</w:t>
      </w:r>
      <w:r>
        <w:t xml:space="preserve"> </w:t>
      </w:r>
      <w:r>
        <w:t xml:space="preserve">point (b) describes the test to evaluate the level of participation in CORSIA. This point requires</w:t>
      </w:r>
    </w:p>
    <w:p>
      <w:pPr>
        <w:pStyle w:val="BodyText"/>
      </w:pPr>
      <w:r>
        <w:t xml:space="preserve">180 2013 Reservation: United_States_en.pdf.</w:t>
      </w:r>
      <w:r>
        <w:t xml:space="preserve"> </w:t>
      </w:r>
      <w:r>
        <w:t xml:space="preserve">181 2016 Reservation: United_States_en.pdf.</w:t>
      </w:r>
      <w:r>
        <w:t xml:space="preserve"> </w:t>
      </w:r>
      <w:r>
        <w:t xml:space="preserve">182 2019 Reservation: USA_en.pdf.</w:t>
      </w:r>
      <w:r>
        <w:t xml:space="preserve"> </w:t>
      </w:r>
      <w:r>
        <w:t xml:space="preserve">183 HarmonyHub at 2:11:10 and ICAO minutes.</w:t>
      </w:r>
      <w:r>
        <w:t xml:space="preserve"> </w:t>
      </w:r>
      <w:r>
        <w:t xml:space="preserve">184 U.S. Transportation Secretary Sean P. Duffy to Deliver Speech Highlighting U.S. Priorities at ICAO | US</w:t>
      </w:r>
      <w:r>
        <w:t xml:space="preserve"> </w:t>
      </w:r>
      <w:r>
        <w:t xml:space="preserve">Department of Transportation</w:t>
      </w:r>
      <w:r>
        <w:t xml:space="preserve"> </w:t>
      </w:r>
      <w:r>
        <w:t xml:space="preserve">185 2025-National-Security-Strategy.pdf</w:t>
      </w:r>
      <w:r>
        <w:t xml:space="preserve"> </w:t>
      </w:r>
      <w:r>
        <w:t xml:space="preserve">186 2016 Reservation: Russian_Federation_en.pdf.</w:t>
      </w:r>
      <w:r>
        <w:t xml:space="preserve"> </w:t>
      </w:r>
      <w:r>
        <w:t xml:space="preserve">187 2019 Reservation: russia_EN.pdf.</w:t>
      </w:r>
      <w:r>
        <w:t xml:space="preserve"> </w:t>
      </w:r>
      <w:r>
        <w:t xml:space="preserve">188 2022 Reservation: Russia_EN.pdf.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that the “most recent available data” is used for this purpose. Therefore, the data from the</w:t>
      </w:r>
      <w:r>
        <w:t xml:space="preserve"> </w:t>
      </w:r>
      <w:r>
        <w:t xml:space="preserve">CORSIA Central Registry (CCR) for the reporting year 2024189 is used. Level of participation</w:t>
      </w:r>
      <w:r>
        <w:t xml:space="preserve"> </w:t>
      </w:r>
      <w:r>
        <w:t xml:space="preserve">of ICAO contracting States applies only to the year for which those States participate in. In</w:t>
      </w:r>
      <w:r>
        <w:t xml:space="preserve"> </w:t>
      </w:r>
      <w:r>
        <w:t xml:space="preserve">2024, 93 States were considered to be applying CORSIA for the purpose of the ETS Directive</w:t>
      </w:r>
      <w:r>
        <w:t xml:space="preserve"> </w:t>
      </w:r>
      <w:r>
        <w:t xml:space="preserve">and were included on the list adopted pursuant to Article 25a(3) of the ETS Directive190. Table</w:t>
      </w:r>
      <w:r>
        <w:t xml:space="preserve"> </w:t>
      </w:r>
      <w:r>
        <w:t xml:space="preserve">19 shows the relevant total emissions for 2024 to be applied in the calculation. Using these</w:t>
      </w:r>
      <w:r>
        <w:t xml:space="preserve"> </w:t>
      </w:r>
      <w:r>
        <w:t xml:space="preserve">figures, the level of participation in 2024 stands at 51% coverage of international aviation</w:t>
      </w:r>
      <w:r>
        <w:t xml:space="preserve"> </w:t>
      </w:r>
      <w:r>
        <w:t xml:space="preserve">emissions. Accordingly, the condition is not fulfilled. As shown in Table 19, the result is the</w:t>
      </w:r>
      <w:r>
        <w:t xml:space="preserve"> </w:t>
      </w:r>
      <w:r>
        <w:t xml:space="preserve">same if the 2024 emissions data is used with 2026 participation (that is already known).</w:t>
      </w:r>
      <w:r>
        <w:t xml:space="preserve"> </w:t>
      </w:r>
      <w:r>
        <w:t xml:space="preserve">Table 19:</w:t>
      </w:r>
      <w:r>
        <w:t xml:space="preserve"> </w:t>
      </w:r>
      <w:r>
        <w:t xml:space="preserve">CORSIA test results based on level of participation</w:t>
      </w:r>
      <w:r>
        <w:t xml:space="preserve"> </w:t>
      </w:r>
      <w:r>
        <w:t xml:space="preserve">Total CO2 emissions on international routes in 2024 MtCO2: 597</w:t>
      </w:r>
      <w:r>
        <w:t xml:space="preserve"> </w:t>
      </w:r>
      <w:r>
        <w:t xml:space="preserve">Level of participation</w:t>
      </w:r>
      <w:r>
        <w:t xml:space="preserve"> </w:t>
      </w:r>
      <w:r>
        <w:t xml:space="preserve">Results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(million tCO2)</w:t>
      </w:r>
      <w:r>
        <w:t xml:space="preserve"> </w:t>
      </w:r>
      <w:r>
        <w:t xml:space="preserve">Impact of States Participating</w:t>
      </w:r>
      <w:r>
        <w:t xml:space="preserve"> </w:t>
      </w:r>
      <w:r>
        <w:t xml:space="preserve">Best Case Scenario (BCS): 2026</w:t>
      </w:r>
      <w:r>
        <w:t xml:space="preserve"> </w:t>
      </w:r>
      <w:r>
        <w:t xml:space="preserve">volunteer list + all mandatory countries</w:t>
      </w:r>
      <w:r>
        <w:t xml:space="preserve"> </w:t>
      </w:r>
      <w:r>
        <w:t xml:space="preserve">446</w:t>
      </w:r>
      <w:r>
        <w:t xml:space="preserve"> </w:t>
      </w:r>
      <w:r>
        <w:t xml:space="preserve">75%</w:t>
      </w:r>
      <w:r>
        <w:t xml:space="preserve"> </w:t>
      </w:r>
      <w:r>
        <w:t xml:space="preserve">BCS without United States</w:t>
      </w:r>
      <w:r>
        <w:t xml:space="preserve"> </w:t>
      </w:r>
      <w:r>
        <w:t xml:space="preserve">288</w:t>
      </w:r>
      <w:r>
        <w:t xml:space="preserve"> </w:t>
      </w:r>
      <w:r>
        <w:t xml:space="preserve">48%</w:t>
      </w:r>
      <w:r>
        <w:t xml:space="preserve"> </w:t>
      </w:r>
      <w:r>
        <w:t xml:space="preserve">BCS without United States and China</w:t>
      </w:r>
      <w:r>
        <w:t xml:space="preserve"> </w:t>
      </w:r>
      <w:r>
        <w:t xml:space="preserve">208</w:t>
      </w:r>
      <w:r>
        <w:t xml:space="preserve"> </w:t>
      </w:r>
      <w:r>
        <w:t xml:space="preserve">35%</w:t>
      </w:r>
      <w:r>
        <w:t xml:space="preserve"> </w:t>
      </w:r>
      <w:r>
        <w:t xml:space="preserve">BCS without Russian Federation</w:t>
      </w:r>
      <w:r>
        <w:t xml:space="preserve"> </w:t>
      </w:r>
      <w:r>
        <w:t xml:space="preserve">438</w:t>
      </w:r>
      <w:r>
        <w:t xml:space="preserve"> </w:t>
      </w:r>
      <w:r>
        <w:t xml:space="preserve">73%</w:t>
      </w:r>
      <w:r>
        <w:t xml:space="preserve"> </w:t>
      </w:r>
      <w:r>
        <w:t xml:space="preserve">BCS without China</w:t>
      </w:r>
      <w:r>
        <w:t xml:space="preserve"> </w:t>
      </w:r>
      <w:r>
        <w:t xml:space="preserve">344</w:t>
      </w:r>
      <w:r>
        <w:t xml:space="preserve"> </w:t>
      </w:r>
      <w:r>
        <w:t xml:space="preserve">58%</w:t>
      </w:r>
      <w:r>
        <w:t xml:space="preserve"> </w:t>
      </w:r>
      <w:r>
        <w:t xml:space="preserve">2026 volunteer list</w:t>
      </w:r>
      <w:r>
        <w:t xml:space="preserve"> </w:t>
      </w:r>
      <w:r>
        <w:t xml:space="preserve">302</w:t>
      </w:r>
      <w:r>
        <w:t xml:space="preserve"> </w:t>
      </w:r>
      <w:r>
        <w:t xml:space="preserve">51%</w:t>
      </w:r>
      <w:r>
        <w:t xml:space="preserve"> </w:t>
      </w:r>
      <w:r>
        <w:t xml:space="preserve">Source: Commission analysis based on CCR 2024 emissions</w:t>
      </w:r>
      <w:r>
        <w:t xml:space="preserve"> </w:t>
      </w:r>
      <w:r>
        <w:t xml:space="preserve">Quality of offset credits: The quality of the carbon credits under CORSIA was initially</w:t>
      </w:r>
      <w:r>
        <w:t xml:space="preserve"> </w:t>
      </w:r>
      <w:r>
        <w:t xml:space="preserve">assessed pursuant to Article 28b of the ETS Directive in Annex 10 of the 2021 Commission</w:t>
      </w:r>
      <w:r>
        <w:t xml:space="preserve"> </w:t>
      </w:r>
      <w:r>
        <w:t xml:space="preserve">Impact Assessment191. In line with the Emissions Unit Criteria (EUC)192, to fulfil the CORSIA</w:t>
      </w:r>
      <w:r>
        <w:t xml:space="preserve"> </w:t>
      </w:r>
      <w:r>
        <w:t xml:space="preserve">requirements, the credits must: represent emission reductions that would not have occurred</w:t>
      </w:r>
      <w:r>
        <w:t xml:space="preserve"> </w:t>
      </w:r>
      <w:r>
        <w:t xml:space="preserve">otherwise (additionality); be accurately measured, reported, and verified (MRV); be</w:t>
      </w:r>
      <w:r>
        <w:t xml:space="preserve"> </w:t>
      </w:r>
      <w:r>
        <w:t xml:space="preserve">permanent; ensure that they will not lead to any increase in emissions elsewhere (carbon</w:t>
      </w:r>
      <w:r>
        <w:t xml:space="preserve"> </w:t>
      </w:r>
      <w:r>
        <w:t xml:space="preserve">leakage); and only be claimed once towards any climate target (avoidance of double counting).</w:t>
      </w:r>
      <w:r>
        <w:t xml:space="preserve"> </w:t>
      </w:r>
      <w:r>
        <w:t xml:space="preserve">These criteria are cumulative.</w:t>
      </w:r>
      <w:r>
        <w:br/>
      </w:r>
      <w:r>
        <w:t xml:space="preserve">The 2021 assessment clarified the central role of the Technical Advisory Body (TAB) as the</w:t>
      </w:r>
      <w:r>
        <w:t xml:space="preserve"> </w:t>
      </w:r>
      <w:r>
        <w:t xml:space="preserve">ICAO expert group that evaluates and recommends to the ICAO Council the eligibility of</w:t>
      </w:r>
      <w:r>
        <w:t xml:space="preserve"> </w:t>
      </w:r>
      <w:r>
        <w:t xml:space="preserve">programmes to generate CORSIA-eligible credits. It has also identified a number of</w:t>
      </w:r>
      <w:r>
        <w:t xml:space="preserve"> </w:t>
      </w:r>
      <w:r>
        <w:t xml:space="preserve">shortcomings undermining the quality of the approved credits.</w:t>
      </w:r>
      <w:r>
        <w:br/>
      </w:r>
      <w:r>
        <w:t xml:space="preserve">Some of these shortcomings have structural nature (e.g., Emission Unit Criteria applied by</w:t>
      </w:r>
      <w:r>
        <w:t xml:space="preserve"> </w:t>
      </w:r>
      <w:r>
        <w:t xml:space="preserve">TAB on programme level, rather than on project or type of activity level) and are still</w:t>
      </w:r>
      <w:r>
        <w:t xml:space="preserve"> </w:t>
      </w:r>
      <w:r>
        <w:t xml:space="preserve">unaddressed. It is to be noted that no revision of CORSIA’s EUC took place so far, in the ICAO</w:t>
      </w:r>
      <w:r>
        <w:t xml:space="preserve"> </w:t>
      </w:r>
      <w:r>
        <w:t xml:space="preserve">triennial periodic review, in 2022 and 2025193. The associated guidelines have however been</w:t>
      </w:r>
    </w:p>
    <w:p>
      <w:pPr>
        <w:pStyle w:val="BodyText"/>
      </w:pPr>
      <w:r>
        <w:t xml:space="preserve">189 ICAO,, Reporting year: 2024</w:t>
      </w:r>
      <w:r>
        <w:br/>
      </w:r>
      <w:r>
        <w:t xml:space="preserve">190 ICAO’s Chapter 3 State Pairs lists 126 States for 2024, while Commission Implementing Regulation (EU)</w:t>
      </w:r>
      <w:r>
        <w:t xml:space="preserve"> </w:t>
      </w:r>
      <w:r>
        <w:t xml:space="preserve">2024/2850 of 11 November 2024 on the list of States which are considered to be applying CORSIA for the</w:t>
      </w:r>
      <w:r>
        <w:t xml:space="preserve"> </w:t>
      </w:r>
      <w:r>
        <w:t xml:space="preserve">purposes of Directive 2003/87/EC in 2024 lists 93 states.</w:t>
      </w:r>
      <w:r>
        <w:t xml:space="preserve"> </w:t>
      </w:r>
      <w:r>
        <w:t xml:space="preserve">191 SWD(2021) 603 final.</w:t>
      </w:r>
      <w:r>
        <w:t xml:space="preserve"> </w:t>
      </w:r>
      <w:r>
        <w:t xml:space="preserve">192 ICAO document - CORSIA Emissions Unit Eligibility Criteria, March 2019.</w:t>
      </w:r>
      <w:r>
        <w:t xml:space="preserve"> </w:t>
      </w:r>
      <w:r>
        <w:t xml:space="preserve">193 CORSIA Periodic Review.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updated and embedded into the TAB application form. At the CAEP/13 meeting the results on</w:t>
      </w:r>
      <w:r>
        <w:t xml:space="preserve"> </w:t>
      </w:r>
      <w:r>
        <w:t xml:space="preserve">Article 6.2 and Article 6.4 of the Paris Agreement at the UNFCCC COP29 were discussed and</w:t>
      </w:r>
      <w:r>
        <w:t xml:space="preserve"> </w:t>
      </w:r>
      <w:r>
        <w:t xml:space="preserve">it was agreed that task C.04 (EUC Management) will present its recommendations in SG2026</w:t>
      </w:r>
      <w:r>
        <w:t xml:space="preserve"> </w:t>
      </w:r>
      <w:r>
        <w:t xml:space="preserve">(October 2026), in order to ensure that relevant developments under the Paris Agreement are</w:t>
      </w:r>
      <w:r>
        <w:t xml:space="preserve"> </w:t>
      </w:r>
      <w:r>
        <w:t xml:space="preserve">taken into consideration by the Emissions Unit Criteria and/or the related Guidelines for</w:t>
      </w:r>
      <w:r>
        <w:t xml:space="preserve"> </w:t>
      </w:r>
      <w:r>
        <w:t xml:space="preserve">Criteria Interpretation.</w:t>
      </w:r>
      <w:r>
        <w:br/>
      </w:r>
      <w:r>
        <w:t xml:space="preserve">Other, newer shortcomings relate to how ICAO accounts for the developments on offset credits</w:t>
      </w:r>
      <w:r>
        <w:t xml:space="preserve"> </w:t>
      </w:r>
      <w:r>
        <w:t xml:space="preserve">in other UN fora, for instance, the progress of international climate negotiations on</w:t>
      </w:r>
      <w:r>
        <w:t xml:space="preserve"> </w:t>
      </w:r>
      <w:r>
        <w:t xml:space="preserve">operationalisation of Article 6 and related provisions of the Paris Agreement.</w:t>
      </w:r>
      <w:r>
        <w:t xml:space="preserve"> </w:t>
      </w:r>
      <w:r>
        <w:t xml:space="preserve">The 2021 UNFCCC Glasgow Climate Conference (COP26) agreed on a set of rules for Article</w:t>
      </w:r>
      <w:r>
        <w:t xml:space="preserve"> </w:t>
      </w:r>
      <w:r>
        <w:t xml:space="preserve">6. Accordingly, TAB updated its interpretation194 of the CORSIA criteria to reflect the Article</w:t>
      </w:r>
      <w:r>
        <w:t xml:space="preserve"> </w:t>
      </w:r>
      <w:r>
        <w:t xml:space="preserve">6 operationalisation, complementing the information195 contained in the EUCs, and the</w:t>
      </w:r>
      <w:r>
        <w:t xml:space="preserve"> </w:t>
      </w:r>
      <w:r>
        <w:t xml:space="preserve">Guidelines for Criteria Interpretation196. TAB recommended that the CORSIA written</w:t>
      </w:r>
      <w:r>
        <w:t xml:space="preserve"> </w:t>
      </w:r>
      <w:r>
        <w:t xml:space="preserve">attestations197 from project host countries national focal points should correspond to the content</w:t>
      </w:r>
      <w:r>
        <w:t xml:space="preserve"> </w:t>
      </w:r>
      <w:r>
        <w:t xml:space="preserve">of the authorizations as agreed under Article 6. This alignment demonstrated the ICAO</w:t>
      </w:r>
      <w:r>
        <w:t xml:space="preserve"> </w:t>
      </w:r>
      <w:r>
        <w:t xml:space="preserve">willingness for coherent approach towards double counting even if it did not prevent the risk</w:t>
      </w:r>
      <w:r>
        <w:t xml:space="preserve"> </w:t>
      </w:r>
      <w:r>
        <w:t xml:space="preserve">of host countries double claiming the emission reductions, the latter going beyond the</w:t>
      </w:r>
      <w:r>
        <w:t xml:space="preserve"> </w:t>
      </w:r>
      <w:r>
        <w:t xml:space="preserve">capacities of the UN to regulate how countries implement their climate targets.</w:t>
      </w:r>
      <w:r>
        <w:t xml:space="preserve"> </w:t>
      </w:r>
      <w:r>
        <w:t xml:space="preserve">Another prominent example is the definition of the baselines of the projects generating carbon</w:t>
      </w:r>
      <w:r>
        <w:t xml:space="preserve"> </w:t>
      </w:r>
      <w:r>
        <w:t xml:space="preserve">credits. At COP26, countries agreed that baselines must be conservative and below ‘business</w:t>
      </w:r>
      <w:r>
        <w:t xml:space="preserve"> </w:t>
      </w:r>
      <w:r>
        <w:t xml:space="preserve">as usual’ emission projections. In 2022, TAB resolved to interpret the reference to</w:t>
      </w:r>
      <w:r>
        <w:t xml:space="preserve"> </w:t>
      </w:r>
      <w:r>
        <w:t xml:space="preserve">“conservative” in CORSIA criteria accordingly. The ICAO Council agreed to update the</w:t>
      </w:r>
      <w:r>
        <w:t xml:space="preserve"> </w:t>
      </w:r>
      <w:r>
        <w:t xml:space="preserve">Guidelines for Criteria Interpretation, meaning the requirement on baselines is a mandatory</w:t>
      </w:r>
      <w:r>
        <w:t xml:space="preserve"> </w:t>
      </w:r>
      <w:r>
        <w:t xml:space="preserve">provision.</w:t>
      </w:r>
      <w:r>
        <w:br/>
      </w:r>
      <w:r>
        <w:t xml:space="preserve">While the finalisation of the Article 6 rulebook took place at COP29, there is still some on-</w:t>
      </w:r>
      <w:r>
        <w:t xml:space="preserve"> </w:t>
      </w:r>
      <w:r>
        <w:t xml:space="preserve">going work (e.g. consolidated registry for the centralised trading mechanism under Article 6.4</w:t>
      </w:r>
      <w:r>
        <w:t xml:space="preserve"> </w:t>
      </w:r>
      <w:r>
        <w:t xml:space="preserve">- the Paris Agreement Crediting Mechanism, PACM). TAB resolved to monitor on a regular</w:t>
      </w:r>
      <w:r>
        <w:t xml:space="preserve"> </w:t>
      </w:r>
      <w:r>
        <w:t xml:space="preserve">basis all Article 6 developments, and these should continue to inform further the TAB</w:t>
      </w:r>
      <w:r>
        <w:t xml:space="preserve"> </w:t>
      </w:r>
      <w:r>
        <w:t xml:space="preserve">interpretations, but in practice, these interpretations are not applied consistently.</w:t>
      </w:r>
      <w:r>
        <w:br/>
      </w:r>
      <w:r>
        <w:t xml:space="preserve">Despite full operationalisation of the PACM (including adoption of foundational standards,</w:t>
      </w:r>
      <w:r>
        <w:t xml:space="preserve"> </w:t>
      </w:r>
      <w:r>
        <w:t xml:space="preserve">first crediting methodologies, governance, interim registry, etc.), its eligibility to supply</w:t>
      </w:r>
      <w:r>
        <w:t xml:space="preserve"> </w:t>
      </w:r>
      <w:r>
        <w:t xml:space="preserve">CORSIA eligible credits, is still to be decided upon in the upcoming meetings of the ICAO</w:t>
      </w:r>
      <w:r>
        <w:t xml:space="preserve"> </w:t>
      </w:r>
      <w:r>
        <w:t xml:space="preserve">Council. The TAB is tasked to report back on its progress of its assessment of the PACM in</w:t>
      </w:r>
      <w:r>
        <w:t xml:space="preserve"> </w:t>
      </w:r>
      <w:r>
        <w:t xml:space="preserve">the 239th session of the Council (November 2026). Until now, the ICAO Council approved ten</w:t>
      </w:r>
      <w:r>
        <w:t xml:space="preserve"> </w:t>
      </w:r>
      <w:r>
        <w:t xml:space="preserve">programmes to supply CORSIA eligible credits for the 2024-2026 compliance period (first</w:t>
      </w:r>
      <w:r>
        <w:t xml:space="preserve"> </w:t>
      </w:r>
      <w:r>
        <w:t xml:space="preserve">phase of CORSIA)198, and more recently, in November 2025, it approved the first four</w:t>
      </w:r>
      <w:r>
        <w:t xml:space="preserve"> </w:t>
      </w:r>
      <w:r>
        <w:t xml:space="preserve">programmes for the first three years (2027-2029) of the second phase of CORSIA (2027-</w:t>
      </w:r>
    </w:p>
    <w:p>
      <w:pPr>
        <w:pStyle w:val="BodyText"/>
      </w:pPr>
      <w:r>
        <w:t xml:space="preserve">194 Clarifications_March-2025.pdf .</w:t>
      </w:r>
      <w:r>
        <w:t xml:space="preserve"> </w:t>
      </w:r>
      <w:r>
        <w:t xml:space="preserve">195 ICAO document - CORSIA Emissions Unit Eligibility Criteria, March 2019.</w:t>
      </w:r>
      <w:r>
        <w:t xml:space="preserve"> </w:t>
      </w:r>
      <w:r>
        <w:t xml:space="preserve">196 Guidelines for Criteria Interpretation is available in the Application Form, Appendix A - Supplementary</w:t>
      </w:r>
      <w:r>
        <w:t xml:space="preserve"> </w:t>
      </w:r>
      <w:r>
        <w:t xml:space="preserve">Information on the TAB.</w:t>
      </w:r>
      <w:r>
        <w:t xml:space="preserve"> </w:t>
      </w:r>
      <w:r>
        <w:t xml:space="preserve">197 The attestations should specify any steps taken, to prevent mitigation associated with units used by operators</w:t>
      </w:r>
      <w:r>
        <w:t xml:space="preserve"> </w:t>
      </w:r>
      <w:r>
        <w:t xml:space="preserve">under CORSIA from also being claimed toward a host country’s national mitigation target(s)/pledge(s).</w:t>
      </w:r>
      <w:r>
        <w:t xml:space="preserve"> </w:t>
      </w:r>
      <w:r>
        <w:t xml:space="preserve">198 The eligible programmes for the first phase are: American Carbon Registry (ACR), Architecture for REDD+</w:t>
      </w:r>
      <w:r>
        <w:t xml:space="preserve"> </w:t>
      </w:r>
      <w:r>
        <w:t xml:space="preserve">Transactions (ART), BioCarbon Fund Initiative for Sustainable Forest Landscapes (ISFL), Climate Action</w:t>
      </w:r>
      <w:r>
        <w:t xml:space="preserve"> </w:t>
      </w:r>
      <w:r>
        <w:t xml:space="preserve">Reserve (CAR), Forest Carbon Partnership Facility (FCPF), Global Carbon Council (GCC), Gold Standard</w:t>
      </w:r>
      <w:r>
        <w:t xml:space="preserve"> </w:t>
      </w:r>
      <w:r>
        <w:t xml:space="preserve">(GS), Isometric, Thailand Verified Emissions Reductions Programme (T-VER), Verra Verified Carbon</w:t>
      </w:r>
      <w:r>
        <w:t xml:space="preserve"> </w:t>
      </w:r>
      <w:r>
        <w:t xml:space="preserve">Standard (VCS).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2035)199. As there was no offsetting required during the pilot phase of CORSIA (2021-2023),</w:t>
      </w:r>
      <w:r>
        <w:t xml:space="preserve"> </w:t>
      </w:r>
      <w:r>
        <w:t xml:space="preserve">our assessment is therefore not focused on this pilot phase.</w:t>
      </w:r>
      <w:r>
        <w:br/>
      </w:r>
      <w:r>
        <w:t xml:space="preserve">Three of the eligible programmes, Architecture for REDD+200 Transactions (ART), Gold</w:t>
      </w:r>
      <w:r>
        <w:t xml:space="preserve"> </w:t>
      </w:r>
      <w:r>
        <w:t xml:space="preserve">Standard (GS) and Verra Verified Carbon Standard (VCS), issued the first CORSIA-eligible</w:t>
      </w:r>
      <w:r>
        <w:t xml:space="preserve"> </w:t>
      </w:r>
      <w:r>
        <w:t xml:space="preserve">carbon credits, respectively for High-Forest Low-Deforestation (HFLD) activities201 by ART</w:t>
      </w:r>
      <w:r>
        <w:t xml:space="preserve"> </w:t>
      </w:r>
      <w:r>
        <w:t xml:space="preserve">and mostly for cookstoves projects by GS and VCS202. At present, these credits are the only</w:t>
      </w:r>
      <w:r>
        <w:t xml:space="preserve"> </w:t>
      </w:r>
      <w:r>
        <w:t xml:space="preserve">eligible credits that are available for CORSIA compliance (part of eligible CORSIA</w:t>
      </w:r>
      <w:r>
        <w:t xml:space="preserve"> </w:t>
      </w:r>
      <w:r>
        <w:t xml:space="preserve">programme and subject to Article 6 authorization letter), but there are many jurisdictions that</w:t>
      </w:r>
      <w:r>
        <w:t xml:space="preserve"> </w:t>
      </w:r>
      <w:r>
        <w:t xml:space="preserve">are in the process of registering HFLD activities under ART and that could retroactively</w:t>
      </w:r>
      <w:r>
        <w:t xml:space="preserve"> </w:t>
      </w:r>
      <w:r>
        <w:t xml:space="preserve">generate a larger number of eligible carbon credits203. In addition, Forrest Carbon Partnership</w:t>
      </w:r>
      <w:r>
        <w:t xml:space="preserve"> </w:t>
      </w:r>
      <w:r>
        <w:t xml:space="preserve">Facility also allows for HFLD crediting. Similarly, there are many cookstoves projects under</w:t>
      </w:r>
      <w:r>
        <w:t xml:space="preserve"> </w:t>
      </w:r>
      <w:r>
        <w:t xml:space="preserve">the different programmes.</w:t>
      </w:r>
      <w:r>
        <w:t xml:space="preserve"> </w:t>
      </w:r>
      <w:r>
        <w:t xml:space="preserve">Following the above-described ICAO’s developments on CORSIA credits since the 2021</w:t>
      </w:r>
      <w:r>
        <w:t xml:space="preserve"> </w:t>
      </w:r>
      <w:r>
        <w:t xml:space="preserve">assessment, and with confirmed compliance demand from the first phase of CORSIA, the</w:t>
      </w:r>
      <w:r>
        <w:t xml:space="preserve"> </w:t>
      </w:r>
      <w:r>
        <w:t xml:space="preserve">assessment on the offsets quality focuses on examining the quality of mitigation activities204.</w:t>
      </w:r>
      <w:r>
        <w:t xml:space="preserve"> </w:t>
      </w:r>
      <w:r>
        <w:t xml:space="preserve">To inform the assessment the aviation support study relies on the EU Carbon Credit</w:t>
      </w:r>
      <w:r>
        <w:t xml:space="preserve"> </w:t>
      </w:r>
      <w:r>
        <w:t xml:space="preserve">Environmental Integrity (CENVI) model205, to which we add the latest ICAO and UNFCCC</w:t>
      </w:r>
      <w:r>
        <w:t xml:space="preserve"> </w:t>
      </w:r>
      <w:r>
        <w:t xml:space="preserve">documentation available206. These two types of activities (HFLD and cookstoves) are also the</w:t>
      </w:r>
      <w:r>
        <w:t xml:space="preserve"> </w:t>
      </w:r>
      <w:r>
        <w:t xml:space="preserve">ones that can account for large share of potential issuance in the future. Cookstoves projects</w:t>
      </w:r>
      <w:r>
        <w:t xml:space="preserve"> </w:t>
      </w:r>
      <w:r>
        <w:t xml:space="preserve">under the Gold Standard207 have the highest estimated share of total issuance potential amongst</w:t>
      </w:r>
      <w:r>
        <w:t xml:space="preserve"> </w:t>
      </w:r>
      <w:r>
        <w:t xml:space="preserve">all activities under CORSIA first phase and first three years of the second phase (25%), while</w:t>
      </w:r>
      <w:r>
        <w:t xml:space="preserve"> </w:t>
      </w:r>
      <w:r>
        <w:t xml:space="preserve">HFLD has 4%, but as indicated previously this percentage can grow significantly in coming</w:t>
      </w:r>
      <w:r>
        <w:t xml:space="preserve"> </w:t>
      </w:r>
      <w:r>
        <w:t xml:space="preserve">years.</w:t>
      </w:r>
      <w:r>
        <w:br/>
      </w:r>
      <w:r>
        <w:t xml:space="preserve">Our assessment of the environmental integrity of CORSIA-eligible offset credits reveals</w:t>
      </w:r>
      <w:r>
        <w:t xml:space="preserve"> </w:t>
      </w:r>
      <w:r>
        <w:t xml:space="preserve">significant challenges when considering the types of activities identified above and</w:t>
      </w:r>
      <w:r>
        <w:t xml:space="preserve"> </w:t>
      </w:r>
      <w:r>
        <w:t xml:space="preserve">methodologies used. Despite efforts to align CORSIA criteria with international standards and</w:t>
      </w:r>
      <w:r>
        <w:t xml:space="preserve"> </w:t>
      </w:r>
      <w:r>
        <w:t xml:space="preserve">Article 6 of the Paris Agreement, important shortcomings persist, particularly in the areas of</w:t>
      </w:r>
      <w:r>
        <w:t xml:space="preserve"> </w:t>
      </w:r>
      <w:r>
        <w:t xml:space="preserve">baseline conservativeness. HFLD activities in Guyana are characterised by baseline</w:t>
      </w:r>
      <w:r>
        <w:t xml:space="preserve"> </w:t>
      </w:r>
      <w:r>
        <w:t xml:space="preserve">methodologies that inadequately reflect conservative emission projections, posing a risk of</w:t>
      </w:r>
      <w:r>
        <w:t xml:space="preserve"> </w:t>
      </w:r>
      <w:r>
        <w:t xml:space="preserve">overestimating emission reductions. This is also confirmed by the UNFCCC Report on the</w:t>
      </w:r>
      <w:r>
        <w:t xml:space="preserve"> </w:t>
      </w:r>
      <w:r>
        <w:t xml:space="preserve">technical expert review under Article 6.2 of Guyana208. Similarly, cookstoves activities under</w:t>
      </w:r>
      <w:r>
        <w:t xml:space="preserve"> </w:t>
      </w:r>
      <w:r>
        <w:t xml:space="preserve">some of the already applied methodologies suffer from inaccuracies in calculating non-</w:t>
      </w:r>
    </w:p>
    <w:p>
      <w:pPr>
        <w:pStyle w:val="BodyText"/>
      </w:pPr>
      <w:r>
        <w:t xml:space="preserve">199 American Carbon Registry (ACR), Architecture for REDD+ Transactions (ART), Gold Standard (GS), Verra</w:t>
      </w:r>
      <w:r>
        <w:t xml:space="preserve"> </w:t>
      </w:r>
      <w:r>
        <w:t xml:space="preserve">Verified Carbon Standard (VCS). More information here: CORSIA Eligible Emissions Units, April 2026.</w:t>
      </w:r>
      <w:r>
        <w:t xml:space="preserve"> </w:t>
      </w:r>
      <w:r>
        <w:t xml:space="preserve">200 Reducing emissions from deforestation and forest degradation.</w:t>
      </w:r>
      <w:r>
        <w:t xml:space="preserve"> </w:t>
      </w:r>
      <w:r>
        <w:t xml:space="preserve">201 Guyana Announces World’s First Carbon Credits for Use in UN Airline Compliance Programme.</w:t>
      </w:r>
      <w:r>
        <w:t xml:space="preserve"> </w:t>
      </w:r>
      <w:r>
        <w:t xml:space="preserve">202 Gold Standard Labels First Credits as Eligible for CORSIA Compliance | GS.; Verra Applies First CORSIA</w:t>
      </w:r>
      <w:r>
        <w:t xml:space="preserve"> </w:t>
      </w:r>
      <w:r>
        <w:t xml:space="preserve">Labels to Credits - Verra</w:t>
      </w:r>
      <w:r>
        <w:t xml:space="preserve"> </w:t>
      </w:r>
      <w:r>
        <w:t xml:space="preserve">203 ART Winter 2025 Newsletter - ART Architecture for REDD+ Transactions.</w:t>
      </w:r>
      <w:r>
        <w:t xml:space="preserve"> </w:t>
      </w:r>
      <w:r>
        <w:t xml:space="preserve">204 Mitigation activities that started their first crediting period on or after 1 January 2016, in respect of mitigation</w:t>
      </w:r>
      <w:r>
        <w:t xml:space="preserve"> </w:t>
      </w:r>
      <w:r>
        <w:t xml:space="preserve">outcomes that occur between 1 January 2021 and 31 December 2026.</w:t>
      </w:r>
      <w:r>
        <w:t xml:space="preserve"> </w:t>
      </w:r>
      <w:r>
        <w:t xml:space="preserve">205 CENVI model is developed under the Horizon Europe project “ACHIEVE – Achieving High-Integrity</w:t>
      </w:r>
      <w:r>
        <w:t xml:space="preserve"> </w:t>
      </w:r>
      <w:r>
        <w:t xml:space="preserve">Voluntary Climate Action”, Home ‣ ACHIEVE and focuses on additionality, robust quantification of</w:t>
      </w:r>
      <w:r>
        <w:t xml:space="preserve"> </w:t>
      </w:r>
      <w:r>
        <w:t xml:space="preserve">emission reductions or removals, permanence, and avoiding double issuance. The CENVI criteria are derived</w:t>
      </w:r>
      <w:r>
        <w:t xml:space="preserve"> </w:t>
      </w:r>
      <w:r>
        <w:t xml:space="preserve">from the criteria established under CORSIA, the ICVCM (Integrity Council for the Voluntary Carbon Market)</w:t>
      </w:r>
      <w:r>
        <w:t xml:space="preserve"> </w:t>
      </w:r>
      <w:r>
        <w:t xml:space="preserve">ICVCM Leading the way to a high integrity Voluntary Carbon Market and the CCQI (Carbon Credit Quality</w:t>
      </w:r>
      <w:r>
        <w:t xml:space="preserve"> </w:t>
      </w:r>
      <w:r>
        <w:t xml:space="preserve">Initiative) The Carbon Credit Quality Initiative - Home.</w:t>
      </w:r>
      <w:r>
        <w:t xml:space="preserve"> </w:t>
      </w:r>
      <w:r>
        <w:t xml:space="preserve">206 The ICAO publicly available material related to CORSIA and TAB; the UNFCCC Technical expert reviews</w:t>
      </w:r>
      <w:r>
        <w:t xml:space="preserve"> </w:t>
      </w:r>
      <w:r>
        <w:t xml:space="preserve">under Article 6.2.</w:t>
      </w:r>
      <w:r>
        <w:t xml:space="preserve"> </w:t>
      </w:r>
      <w:r>
        <w:t xml:space="preserve">207 Gold Standard | GS</w:t>
      </w:r>
      <w:r>
        <w:t xml:space="preserve"> </w:t>
      </w:r>
      <w:r>
        <w:t xml:space="preserve">208 UNFCCC, Report on the technical expert review under Article 6, paragraph 2, of the Paris Agreement, 2025.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renewable biomass fractions and conversion factors, potentially inflating their mitigation</w:t>
      </w:r>
      <w:r>
        <w:t xml:space="preserve"> </w:t>
      </w:r>
      <w:r>
        <w:t xml:space="preserve">impact. The lack of sufficiently robust methodologies to address these issues undermines the</w:t>
      </w:r>
      <w:r>
        <w:t xml:space="preserve"> </w:t>
      </w:r>
      <w:r>
        <w:t xml:space="preserve">credibility of the credits within CORSIA.</w:t>
      </w:r>
      <w:r>
        <w:br/>
      </w:r>
      <w:r>
        <w:t xml:space="preserve">In addition, the support aviation study delves in greater detail in the mitigation activity types</w:t>
      </w:r>
      <w:r>
        <w:t xml:space="preserve"> </w:t>
      </w:r>
      <w:r>
        <w:t xml:space="preserve">that account for large share of carbon credits with findings confirming the environmental</w:t>
      </w:r>
      <w:r>
        <w:t xml:space="preserve"> </w:t>
      </w:r>
      <w:r>
        <w:t xml:space="preserve">integrity risks observed in HFLD and cookstoves, for the majority of the current CORSIA</w:t>
      </w:r>
      <w:r>
        <w:t xml:space="preserve"> </w:t>
      </w:r>
      <w:r>
        <w:t xml:space="preserve">eligible credits209.</w:t>
      </w:r>
      <w:r>
        <w:t xml:space="preserve"> </w:t>
      </w:r>
      <w:r>
        <w:t xml:space="preserve">Sustaining environmental integrity requires using crediting methodologies better aligned with</w:t>
      </w:r>
      <w:r>
        <w:t xml:space="preserve"> </w:t>
      </w:r>
      <w:r>
        <w:t xml:space="preserve">best practice in existing carbon crediting programmes such as the PACM, empirical data and</w:t>
      </w:r>
      <w:r>
        <w:t xml:space="preserve"> </w:t>
      </w:r>
      <w:r>
        <w:t xml:space="preserve">ensuring rigorous oversight of project implementations. This would also require updates to the</w:t>
      </w:r>
      <w:r>
        <w:t xml:space="preserve"> </w:t>
      </w:r>
      <w:r>
        <w:t xml:space="preserve">EUC, more rigorous application of the TAB interpretations by the TAB, higher scrutiny by</w:t>
      </w:r>
      <w:r>
        <w:t xml:space="preserve"> </w:t>
      </w:r>
      <w:r>
        <w:t xml:space="preserve">ICAO Council of the TAB recommendations and possible diverging opinions, and overall,</w:t>
      </w:r>
      <w:r>
        <w:t xml:space="preserve"> </w:t>
      </w:r>
      <w:r>
        <w:t xml:space="preserve">higher resources being attributed to the TAB to undertake its programme analysis.</w:t>
      </w:r>
      <w:r>
        <w:br/>
      </w:r>
      <w:r>
        <w:t xml:space="preserve">Long-Term Aspirational Goal (LTAG): In October 2022 the ICAO Assembly adopted the</w:t>
      </w:r>
      <w:r>
        <w:t xml:space="preserve"> </w:t>
      </w:r>
      <w:r>
        <w:t xml:space="preserve">LTAG through Resolution A41-21, establishing a net-zero carbon emissions goal by 2050 for</w:t>
      </w:r>
      <w:r>
        <w:t xml:space="preserve"> </w:t>
      </w:r>
      <w:r>
        <w:t xml:space="preserve">international aviation210. The LTAG is based on a report by ICAO’s Committee on Aviation</w:t>
      </w:r>
      <w:r>
        <w:t xml:space="preserve"> </w:t>
      </w:r>
      <w:r>
        <w:t xml:space="preserve">Environmental Protection (CAEP)211, which provides a sectoral emissions outlook for different</w:t>
      </w:r>
      <w:r>
        <w:t xml:space="preserve"> </w:t>
      </w:r>
      <w:r>
        <w:t xml:space="preserve">scenarios (IS0-IS3) of deployment of in-sector decarbonisation measures (i.e. SAF adoption,</w:t>
      </w:r>
      <w:r>
        <w:t xml:space="preserve"> </w:t>
      </w:r>
      <w:r>
        <w:t xml:space="preserve">aircraft technology and operational efficiency improvements), requiring different uptakes of</w:t>
      </w:r>
      <w:r>
        <w:t xml:space="preserve"> </w:t>
      </w:r>
      <w:r>
        <w:t xml:space="preserve">out-of-sector measures (i.e. market-based measures) to reach net-zero. The A41-21 Resolution</w:t>
      </w:r>
      <w:r>
        <w:t xml:space="preserve"> </w:t>
      </w:r>
      <w:r>
        <w:t xml:space="preserve">explicitly states that LTAG</w:t>
      </w:r>
      <w:r>
        <w:t xml:space="preserve"> </w:t>
      </w:r>
      <w:r>
        <w:t xml:space="preserve">“does not attribute specific obligations or commitments in the form</w:t>
      </w:r>
      <w:r>
        <w:t xml:space="preserve"> </w:t>
      </w:r>
      <w:r>
        <w:t xml:space="preserve">of emissions reduction goals to individual States”</w:t>
      </w:r>
      <w:r>
        <w:t xml:space="preserve">, meaning that LTAG is an aspirational</w:t>
      </w:r>
      <w:r>
        <w:t xml:space="preserve"> </w:t>
      </w:r>
      <w:r>
        <w:t xml:space="preserve">framework rather than a binding commitment.</w:t>
      </w:r>
      <w:r>
        <w:t xml:space="preserve"> </w:t>
      </w:r>
      <w:r>
        <w:t xml:space="preserve">Critically, the A41-21 Resolution explicitly requires the ICAO Council to regularly monitor</w:t>
      </w:r>
      <w:r>
        <w:t xml:space="preserve"> </w:t>
      </w:r>
      <w:r>
        <w:t xml:space="preserve">implementation processes across all elements of the basket of measures towards achieving</w:t>
      </w:r>
      <w:r>
        <w:t xml:space="preserve"> </w:t>
      </w:r>
      <w:r>
        <w:t xml:space="preserve">LTAG. The 42nd ICAO Assembly reaffirmed work to achieve the global average fuel-</w:t>
      </w:r>
      <w:r>
        <w:t xml:space="preserve"> </w:t>
      </w:r>
      <w:r>
        <w:t xml:space="preserve">efficiency improvement of 2% per annum from 2021 to 2050 and, in addition, endorsed a global</w:t>
      </w:r>
      <w:r>
        <w:t xml:space="preserve"> </w:t>
      </w:r>
      <w:r>
        <w:t xml:space="preserve">aspirational vision to reduce CO₂ emissions by 5% by 2030 through the use of SAF, low-carbon</w:t>
      </w:r>
      <w:r>
        <w:t xml:space="preserve"> </w:t>
      </w:r>
      <w:r>
        <w:t xml:space="preserve">aviation fuels (LCAF) and other cleaner energies212. Such provisions form the two interim</w:t>
      </w:r>
      <w:r>
        <w:t xml:space="preserve"> </w:t>
      </w:r>
      <w:r>
        <w:t xml:space="preserve">targets to LTAG 2050 net-zero goal.</w:t>
      </w:r>
      <w:r>
        <w:t xml:space="preserve"> </w:t>
      </w:r>
      <w:r>
        <w:t xml:space="preserve">ICAO’s LTAG framework employs a state-led monitoring approach, combining voluntary</w:t>
      </w:r>
      <w:r>
        <w:t xml:space="preserve"> </w:t>
      </w:r>
      <w:r>
        <w:t xml:space="preserve">State Action Plans (SAPs) reporting with scenario-based progress tracking. The Conference on</w:t>
      </w:r>
      <w:r>
        <w:t xml:space="preserve"> </w:t>
      </w:r>
      <w:r>
        <w:t xml:space="preserve">Aviation and Alternative Fuels (CAAF) serves as the primary forum for reviewing progress</w:t>
      </w:r>
      <w:r>
        <w:t xml:space="preserve"> </w:t>
      </w:r>
      <w:r>
        <w:t xml:space="preserve">and adjusting ambition levels, with the next CAAF/4 scheduled for 2028. At its 42nd Session,</w:t>
      </w:r>
      <w:r>
        <w:t xml:space="preserve"> </w:t>
      </w:r>
      <w:r>
        <w:t xml:space="preserve">the ICAO Assembly adopted Resolution A42-21, implementing a LTAG Monitoring and</w:t>
      </w:r>
      <w:r>
        <w:t xml:space="preserve"> </w:t>
      </w:r>
      <w:r>
        <w:t xml:space="preserve">Reporting (LMR) methodology to track past and future progress toward the LTAG, leveraging</w:t>
      </w:r>
      <w:r>
        <w:t xml:space="preserve"> </w:t>
      </w:r>
      <w:r>
        <w:t xml:space="preserve">existing ICAO information streams including the annual LTAG Stocktaking, and SAPs. The</w:t>
      </w:r>
      <w:r>
        <w:t xml:space="preserve"> </w:t>
      </w:r>
      <w:r>
        <w:t xml:space="preserve">LMR methodology aims to introduce a tiered, backward- and forward-looking assessment</w:t>
      </w:r>
    </w:p>
    <w:p>
      <w:pPr>
        <w:pStyle w:val="BodyText"/>
      </w:pPr>
      <w:r>
        <w:t xml:space="preserve">209 The support study assesses the integrity risks for 39 out of the 252 carbon credit categories as eligible under</w:t>
      </w:r>
      <w:r>
        <w:t xml:space="preserve"> </w:t>
      </w:r>
      <w:r>
        <w:t xml:space="preserve">CORSIA. They correspond to 56% of the issuance potential for CORSIA’s first phase. None of the carbon</w:t>
      </w:r>
      <w:r>
        <w:t xml:space="preserve"> </w:t>
      </w:r>
      <w:r>
        <w:t xml:space="preserve">credit categories are assessed to have low integrity risks. Only 15% of the issuance potential is classified as</w:t>
      </w:r>
      <w:r>
        <w:t xml:space="preserve"> </w:t>
      </w:r>
      <w:r>
        <w:t xml:space="preserve">medium risk and 15% is classified as high risk. The majority of the issuance potential (70%) is classified in</w:t>
      </w:r>
      <w:r>
        <w:t xml:space="preserve"> </w:t>
      </w:r>
      <w:r>
        <w:t xml:space="preserve">the support study as very high risk.</w:t>
      </w:r>
      <w:r>
        <w:t xml:space="preserve"> </w:t>
      </w:r>
      <w:r>
        <w:t xml:space="preserve">210 ICAO, Resolution A41-21: Consolidated statement of continuing ICAO policies and practices related to</w:t>
      </w:r>
      <w:r>
        <w:t xml:space="preserve"> </w:t>
      </w:r>
      <w:r>
        <w:t xml:space="preserve">environmental protection - Climate Change, 2023.</w:t>
      </w:r>
      <w:r>
        <w:br/>
      </w:r>
      <w:r>
        <w:t xml:space="preserve">211 ICAO CAEP, Report on the feasibility of a long-term aspirational goal (LTAG) for international civil aviation</w:t>
      </w:r>
      <w:r>
        <w:t xml:space="preserve"> </w:t>
      </w:r>
      <w:r>
        <w:t xml:space="preserve">CO2 emission reductions, 2022.</w:t>
      </w:r>
      <w:r>
        <w:t xml:space="preserve"> </w:t>
      </w:r>
      <w:r>
        <w:t xml:space="preserve">212 ICAO, Resolution A42-21: Consolidated statement of continuing ICAO policies and practices related to</w:t>
      </w:r>
      <w:r>
        <w:t xml:space="preserve"> </w:t>
      </w:r>
      <w:r>
        <w:t xml:space="preserve">environmental protection - Climate change, 2025.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system to evaluate historical emissions performance against projected trends and update future</w:t>
      </w:r>
      <w:r>
        <w:t xml:space="preserve"> </w:t>
      </w:r>
      <w:r>
        <w:t xml:space="preserve">decarbonisation pathways based on the latest data. The LMR framework will also monitor</w:t>
      </w:r>
      <w:r>
        <w:t xml:space="preserve"> </w:t>
      </w:r>
      <w:r>
        <w:t xml:space="preserve">implementation support and financing, and review delivery of the 2030 global aspirational</w:t>
      </w:r>
      <w:r>
        <w:t xml:space="preserve"> </w:t>
      </w:r>
      <w:r>
        <w:t xml:space="preserve">vision and the CAAF/3 Global Framework. The methodology will be implemented in phases,</w:t>
      </w:r>
      <w:r>
        <w:t xml:space="preserve"> </w:t>
      </w:r>
      <w:r>
        <w:t xml:space="preserve">with the first assessment report to be delivered to the 43rd ICAO Assembly in 2028.</w:t>
      </w:r>
      <w:r>
        <w:t xml:space="preserve"> </w:t>
      </w:r>
      <w:r>
        <w:t xml:space="preserve">The 2022 LTAG report outlines three integrated scenarios (IS) “IS1”, “IS2”, and “IS3” that are</w:t>
      </w:r>
      <w:r>
        <w:t xml:space="preserve"> </w:t>
      </w:r>
      <w:r>
        <w:t xml:space="preserve">based on cumulative emissions reductions through in-sector decarbonisation measures by</w:t>
      </w:r>
      <w:r>
        <w:t xml:space="preserve"> </w:t>
      </w:r>
      <w:r>
        <w:t xml:space="preserve">2050, compared to the baseline “IS0” scenario, of: 39%, 68%, and 87%, respectively. While</w:t>
      </w:r>
      <w:r>
        <w:t xml:space="preserve"> </w:t>
      </w:r>
      <w:r>
        <w:t xml:space="preserve">the uptake of alternative fuels is at the core of all scenarios, the LTAG report acknowledges</w:t>
      </w:r>
      <w:r>
        <w:t xml:space="preserve"> </w:t>
      </w:r>
      <w:r>
        <w:t xml:space="preserve">the limits of in-sector measures and the need to address residual emissions through out-of-</w:t>
      </w:r>
      <w:r>
        <w:t xml:space="preserve"> </w:t>
      </w:r>
      <w:r>
        <w:t xml:space="preserve">sector solutions such as carbon removal technologies or high-quality offsets. The LTAG</w:t>
      </w:r>
      <w:r>
        <w:t xml:space="preserve"> </w:t>
      </w:r>
      <w:r>
        <w:t xml:space="preserve">projects cumulative CO₂ emissions from international aviation between 2020 and 2050 at</w:t>
      </w:r>
      <w:r>
        <w:t xml:space="preserve"> </w:t>
      </w:r>
      <w:r>
        <w:t xml:space="preserve">approximately 23 Gt (IS1), 17 Gt (IS2), and 12 Gt (IS3), respectively, which compare to the</w:t>
      </w:r>
      <w:r>
        <w:t xml:space="preserve"> </w:t>
      </w:r>
      <w:r>
        <w:t xml:space="preserve">whole-economy 1.5°C (50% probability) and 2°C (67% probability) Paris-aligned carbon</w:t>
      </w:r>
      <w:r>
        <w:t xml:space="preserve"> </w:t>
      </w:r>
      <w:r>
        <w:t xml:space="preserve">budgets of 500 Gt CO₂ and 1150 Gt CO₂, respectively. Table 20 compares IS cumulative</w:t>
      </w:r>
      <w:r>
        <w:t xml:space="preserve"> </w:t>
      </w:r>
      <w:r>
        <w:t xml:space="preserve">emissions with the estimated carbon budgets for international aviation (2020–2050) consistent</w:t>
      </w:r>
      <w:r>
        <w:t xml:space="preserve"> </w:t>
      </w:r>
      <w:r>
        <w:t xml:space="preserve">with 1.5 °C and 2 °C temperature targets213.</w:t>
      </w:r>
      <w:r>
        <w:t xml:space="preserve"> </w:t>
      </w:r>
      <w:r>
        <w:t xml:space="preserve">Table 20:</w:t>
      </w:r>
      <w:r>
        <w:t xml:space="preserve"> </w:t>
      </w:r>
      <w:r>
        <w:t xml:space="preserve">Difference between ICAO LTAG Integrated Scenarios’ cumulative emissions and</w:t>
      </w:r>
      <w:r>
        <w:t xml:space="preserve"> </w:t>
      </w:r>
      <w:r>
        <w:t xml:space="preserve">Paris-aligned carbon budgets.</w:t>
      </w:r>
    </w:p>
    <w:p>
      <w:pPr>
        <w:pStyle w:val="BodyText"/>
      </w:pPr>
      <w:r>
        <w:t xml:space="preserve">Gt CO₂</w:t>
      </w:r>
      <w:r>
        <w:t xml:space="preserve"> </w:t>
      </w:r>
      <w:r>
        <w:t xml:space="preserve">Difference between Paris-aligned budgets and LTAG ISs cumulative</w:t>
      </w:r>
      <w:r>
        <w:t xml:space="preserve"> </w:t>
      </w:r>
      <w:r>
        <w:t xml:space="preserve">emissions in Gt CO₂</w:t>
      </w:r>
      <w:r>
        <w:t xml:space="preserve"> </w:t>
      </w:r>
      <w:r>
        <w:t xml:space="preserve">(Budget % coverage)</w:t>
      </w:r>
      <w:r>
        <w:t xml:space="preserve"> </w:t>
      </w:r>
      <w:r>
        <w:t xml:space="preserve">Scenario</w:t>
      </w:r>
      <w:r>
        <w:t xml:space="preserve"> </w:t>
      </w:r>
      <w:r>
        <w:t xml:space="preserve">Compared to 1.5°C Budget</w:t>
      </w:r>
      <w:r>
        <w:t xml:space="preserve"> </w:t>
      </w:r>
      <w:r>
        <w:t xml:space="preserve">Compared to 2°C Budget</w:t>
      </w:r>
      <w:r>
        <w:t xml:space="preserve"> </w:t>
      </w:r>
      <w:r>
        <w:t xml:space="preserve">2% share</w:t>
      </w:r>
      <w:r>
        <w:t xml:space="preserve"> </w:t>
      </w:r>
      <w:r>
        <w:t xml:space="preserve">2.4%</w:t>
      </w:r>
      <w:r>
        <w:t xml:space="preserve"> </w:t>
      </w:r>
      <w:r>
        <w:t xml:space="preserve">share</w:t>
      </w:r>
      <w:r>
        <w:t xml:space="preserve"> </w:t>
      </w:r>
      <w:r>
        <w:t xml:space="preserve">3.9%</w:t>
      </w:r>
      <w:r>
        <w:t xml:space="preserve"> </w:t>
      </w:r>
      <w:r>
        <w:t xml:space="preserve">share</w:t>
      </w:r>
      <w:r>
        <w:t xml:space="preserve"> </w:t>
      </w:r>
      <w:r>
        <w:t xml:space="preserve">2% share</w:t>
      </w:r>
      <w:r>
        <w:t xml:space="preserve"> </w:t>
      </w:r>
      <w:r>
        <w:t xml:space="preserve">2.4%</w:t>
      </w:r>
      <w:r>
        <w:t xml:space="preserve"> </w:t>
      </w:r>
      <w:r>
        <w:t xml:space="preserve">share</w:t>
      </w:r>
      <w:r>
        <w:t xml:space="preserve"> </w:t>
      </w:r>
      <w:r>
        <w:t xml:space="preserve">3.9%</w:t>
      </w:r>
      <w:r>
        <w:t xml:space="preserve"> </w:t>
      </w:r>
      <w:r>
        <w:t xml:space="preserve">share</w:t>
      </w:r>
      <w:r>
        <w:t xml:space="preserve"> </w:t>
      </w:r>
      <w:r>
        <w:t xml:space="preserve">IS1</w:t>
      </w:r>
      <w:r>
        <w:br/>
      </w:r>
      <w:r>
        <w:t xml:space="preserve">23</w:t>
      </w:r>
      <w:r>
        <w:t xml:space="preserve"> </w:t>
      </w:r>
      <w:r>
        <w:t xml:space="preserve">16.5 – 17</w:t>
      </w:r>
      <w:r>
        <w:br/>
      </w:r>
      <w:r>
        <w:t xml:space="preserve">(350 –</w:t>
      </w:r>
      <w:r>
        <w:t xml:space="preserve"> </w:t>
      </w:r>
      <w:r>
        <w:t xml:space="preserve">380%)</w:t>
      </w:r>
      <w:r>
        <w:t xml:space="preserve"> </w:t>
      </w:r>
      <w:r>
        <w:t xml:space="preserve">15.2 –</w:t>
      </w:r>
      <w:r>
        <w:t xml:space="preserve"> </w:t>
      </w:r>
      <w:r>
        <w:t xml:space="preserve">15.8</w:t>
      </w:r>
      <w:r>
        <w:br/>
      </w:r>
      <w:r>
        <w:t xml:space="preserve">(295 –</w:t>
      </w:r>
      <w:r>
        <w:t xml:space="preserve"> </w:t>
      </w:r>
      <w:r>
        <w:t xml:space="preserve">320%)</w:t>
      </w:r>
      <w:r>
        <w:t xml:space="preserve"> </w:t>
      </w:r>
      <w:r>
        <w:t xml:space="preserve">10.3 –</w:t>
      </w:r>
      <w:r>
        <w:t xml:space="preserve"> </w:t>
      </w:r>
      <w:r>
        <w:t xml:space="preserve">11.3</w:t>
      </w:r>
      <w:r>
        <w:br/>
      </w:r>
      <w:r>
        <w:t xml:space="preserve">(180 –</w:t>
      </w:r>
      <w:r>
        <w:t xml:space="preserve"> </w:t>
      </w:r>
      <w:r>
        <w:t xml:space="preserve">200%)</w:t>
      </w:r>
      <w:r>
        <w:t xml:space="preserve"> </w:t>
      </w:r>
      <w:r>
        <w:t xml:space="preserve">8.1 – 9.2</w:t>
      </w:r>
      <w:r>
        <w:br/>
      </w:r>
      <w:r>
        <w:t xml:space="preserve">(150 –</w:t>
      </w:r>
      <w:r>
        <w:t xml:space="preserve"> </w:t>
      </w:r>
      <w:r>
        <w:t xml:space="preserve">170%)</w:t>
      </w:r>
      <w:r>
        <w:t xml:space="preserve"> </w:t>
      </w:r>
      <w:r>
        <w:t xml:space="preserve">5.1 – 6.4</w:t>
      </w:r>
      <w:r>
        <w:br/>
      </w:r>
      <w:r>
        <w:t xml:space="preserve">(130 –</w:t>
      </w:r>
      <w:r>
        <w:t xml:space="preserve"> </w:t>
      </w:r>
      <w:r>
        <w:t xml:space="preserve">140%)</w:t>
      </w:r>
      <w:r>
        <w:t xml:space="preserve"> </w:t>
      </w:r>
      <w:r>
        <w:t xml:space="preserve">-6.2 – -3.9</w:t>
      </w:r>
      <w:r>
        <w:br/>
      </w:r>
      <w:r>
        <w:t xml:space="preserve">(80 –</w:t>
      </w:r>
      <w:r>
        <w:t xml:space="preserve"> </w:t>
      </w:r>
      <w:r>
        <w:t xml:space="preserve">85%)</w:t>
      </w:r>
      <w:r>
        <w:t xml:space="preserve"> </w:t>
      </w:r>
      <w:r>
        <w:t xml:space="preserve">IS2</w:t>
      </w:r>
      <w:r>
        <w:br/>
      </w:r>
      <w:r>
        <w:t xml:space="preserve">17</w:t>
      </w:r>
      <w:r>
        <w:t xml:space="preserve"> </w:t>
      </w:r>
      <w:r>
        <w:t xml:space="preserve">10.5 – 11</w:t>
      </w:r>
      <w:r>
        <w:br/>
      </w:r>
      <w:r>
        <w:t xml:space="preserve">(260 –</w:t>
      </w:r>
      <w:r>
        <w:t xml:space="preserve"> </w:t>
      </w:r>
      <w:r>
        <w:t xml:space="preserve">280%)</w:t>
      </w:r>
      <w:r>
        <w:t xml:space="preserve"> </w:t>
      </w:r>
      <w:r>
        <w:t xml:space="preserve">9.2 – 9.8</w:t>
      </w:r>
      <w:r>
        <w:br/>
      </w:r>
      <w:r>
        <w:t xml:space="preserve">(220 –</w:t>
      </w:r>
      <w:r>
        <w:t xml:space="preserve"> </w:t>
      </w:r>
      <w:r>
        <w:t xml:space="preserve">240%)</w:t>
      </w:r>
      <w:r>
        <w:t xml:space="preserve"> </w:t>
      </w:r>
      <w:r>
        <w:t xml:space="preserve">4.3 – 5.3</w:t>
      </w:r>
      <w:r>
        <w:br/>
      </w:r>
      <w:r>
        <w:t xml:space="preserve">(130 –</w:t>
      </w:r>
      <w:r>
        <w:t xml:space="preserve"> </w:t>
      </w:r>
      <w:r>
        <w:t xml:space="preserve">145%)</w:t>
      </w:r>
      <w:r>
        <w:t xml:space="preserve"> </w:t>
      </w:r>
      <w:r>
        <w:t xml:space="preserve">2 – 3.2</w:t>
      </w:r>
      <w:r>
        <w:br/>
      </w:r>
      <w:r>
        <w:t xml:space="preserve">(110 –</w:t>
      </w:r>
      <w:r>
        <w:t xml:space="preserve"> </w:t>
      </w:r>
      <w:r>
        <w:t xml:space="preserve">120%)</w:t>
      </w:r>
      <w:r>
        <w:t xml:space="preserve"> </w:t>
      </w:r>
      <w:r>
        <w:t xml:space="preserve">-0.9 – 0.4</w:t>
      </w:r>
      <w:r>
        <w:br/>
      </w:r>
      <w:r>
        <w:t xml:space="preserve">(95 –</w:t>
      </w:r>
      <w:r>
        <w:t xml:space="preserve"> </w:t>
      </w:r>
      <w:r>
        <w:t xml:space="preserve">103%)</w:t>
      </w:r>
      <w:r>
        <w:t xml:space="preserve"> </w:t>
      </w:r>
      <w:r>
        <w:t xml:space="preserve">-12.2 – 9.9</w:t>
      </w:r>
      <w:r>
        <w:br/>
      </w:r>
      <w:r>
        <w:t xml:space="preserve">(70 –</w:t>
      </w:r>
      <w:r>
        <w:t xml:space="preserve"> </w:t>
      </w:r>
      <w:r>
        <w:t xml:space="preserve">60%)</w:t>
      </w:r>
      <w:r>
        <w:t xml:space="preserve"> </w:t>
      </w:r>
      <w:r>
        <w:t xml:space="preserve">IS3</w:t>
      </w:r>
      <w:r>
        <w:t xml:space="preserve"> </w:t>
      </w:r>
      <w:r>
        <w:t xml:space="preserve">12</w:t>
      </w:r>
      <w:r>
        <w:t xml:space="preserve"> </w:t>
      </w:r>
      <w:r>
        <w:t xml:space="preserve">5.5 – 6</w:t>
      </w:r>
      <w:r>
        <w:br/>
      </w:r>
      <w:r>
        <w:t xml:space="preserve">(185 –</w:t>
      </w:r>
      <w:r>
        <w:t xml:space="preserve"> </w:t>
      </w:r>
      <w:r>
        <w:t xml:space="preserve">200%)</w:t>
      </w:r>
      <w:r>
        <w:t xml:space="preserve"> </w:t>
      </w:r>
      <w:r>
        <w:t xml:space="preserve">4.2 – 4.8</w:t>
      </w:r>
      <w:r>
        <w:br/>
      </w:r>
      <w:r>
        <w:t xml:space="preserve">(150 –</w:t>
      </w:r>
      <w:r>
        <w:t xml:space="preserve"> </w:t>
      </w:r>
      <w:r>
        <w:t xml:space="preserve">170%)</w:t>
      </w:r>
      <w:r>
        <w:t xml:space="preserve"> </w:t>
      </w:r>
      <w:r>
        <w:t xml:space="preserve">-0.7 – 0.3</w:t>
      </w:r>
      <w:r>
        <w:br/>
      </w:r>
      <w:r>
        <w:t xml:space="preserve">(95 –</w:t>
      </w:r>
      <w:r>
        <w:t xml:space="preserve"> </w:t>
      </w:r>
      <w:r>
        <w:t xml:space="preserve">100%)</w:t>
      </w:r>
      <w:r>
        <w:t xml:space="preserve"> </w:t>
      </w:r>
      <w:r>
        <w:t xml:space="preserve">-3 – -1.8</w:t>
      </w:r>
      <w:r>
        <w:br/>
      </w:r>
      <w:r>
        <w:t xml:space="preserve">(80 –</w:t>
      </w:r>
      <w:r>
        <w:t xml:space="preserve"> </w:t>
      </w:r>
      <w:r>
        <w:t xml:space="preserve">90%)</w:t>
      </w:r>
      <w:r>
        <w:t xml:space="preserve"> </w:t>
      </w:r>
      <w:r>
        <w:t xml:space="preserve">-5.9 – -</w:t>
      </w:r>
      <w:r>
        <w:t xml:space="preserve"> </w:t>
      </w:r>
      <w:r>
        <w:t xml:space="preserve">4.6</w:t>
      </w:r>
      <w:r>
        <w:br/>
      </w:r>
      <w:r>
        <w:t xml:space="preserve">(70 –</w:t>
      </w:r>
      <w:r>
        <w:t xml:space="preserve"> </w:t>
      </w:r>
      <w:r>
        <w:t xml:space="preserve">70%)</w:t>
      </w:r>
      <w:r>
        <w:t xml:space="preserve"> </w:t>
      </w:r>
      <w:r>
        <w:t xml:space="preserve">-17.2 – -</w:t>
      </w:r>
      <w:r>
        <w:t xml:space="preserve"> </w:t>
      </w:r>
      <w:r>
        <w:t xml:space="preserve">14.9</w:t>
      </w:r>
      <w:r>
        <w:br/>
      </w:r>
      <w:r>
        <w:t xml:space="preserve">(40 –</w:t>
      </w:r>
      <w:r>
        <w:t xml:space="preserve"> </w:t>
      </w:r>
      <w:r>
        <w:t xml:space="preserve">45%)</w:t>
      </w:r>
      <w:r>
        <w:t xml:space="preserve"> </w:t>
      </w:r>
      <w:r>
        <w:t xml:space="preserve">Table 20 suggests that the uptake of in-sector measures foreseen in the LTAG may be</w:t>
      </w:r>
      <w:r>
        <w:t xml:space="preserve"> </w:t>
      </w:r>
      <w:r>
        <w:t xml:space="preserve">insufficient to place international aviation on a 1.5 °C trajectory by 2050; any “1.5 °C-</w:t>
      </w:r>
      <w:r>
        <w:t xml:space="preserve"> </w:t>
      </w:r>
      <w:r>
        <w:t xml:space="preserve">compatible” outcome will require substantial removals or out-of-sector measures in addition to</w:t>
      </w:r>
      <w:r>
        <w:t xml:space="preserve"> </w:t>
      </w:r>
      <w:r>
        <w:t xml:space="preserve">IS3-level transformation, as well as concessions in terms of carbon budget spending to the</w:t>
      </w:r>
      <w:r>
        <w:t xml:space="preserve"> </w:t>
      </w:r>
      <w:r>
        <w:t xml:space="preserve">aviation sector. IS3 is the minimum ambition consistent with a 2 °C pathway, while IS2 can</w:t>
      </w:r>
      <w:r>
        <w:t xml:space="preserve"> </w:t>
      </w:r>
      <w:r>
        <w:t xml:space="preserve">only be reconciled with a 2°C Paris pathway if the current share (2.4%) or higher share (3.9%)</w:t>
      </w:r>
      <w:r>
        <w:t xml:space="preserve"> </w:t>
      </w:r>
      <w:r>
        <w:t xml:space="preserve">of total emissions for aviation is assumed. Residual emissions under IS3 in 2050 are</w:t>
      </w:r>
      <w:r>
        <w:t xml:space="preserve"> </w:t>
      </w:r>
      <w:r>
        <w:t xml:space="preserve">comparable to CORSIA’s projected offset volumes (140 and 225 Mt CO₂ per year by 2035</w:t>
      </w:r>
      <w:r>
        <w:t xml:space="preserve"> </w:t>
      </w:r>
      <w:r>
        <w:t xml:space="preserve">assuming broad implementation). ICAO estimates that cumulatively between 2024 and 2035,</w:t>
      </w:r>
    </w:p>
    <w:p>
      <w:pPr>
        <w:pStyle w:val="BodyText"/>
      </w:pPr>
      <w:r>
        <w:t xml:space="preserve">213 The Paris-aligned carbon budget for international aviation has been estimated based on alternative aviation’s</w:t>
      </w:r>
      <w:r>
        <w:t xml:space="preserve"> </w:t>
      </w:r>
      <w:r>
        <w:t xml:space="preserve">shares to the Paris-aligned carbon budgets (2%, 2.4%, 3.9%) and a 60–65 % range for the share of</w:t>
      </w:r>
      <w:r>
        <w:t xml:space="preserve"> </w:t>
      </w:r>
      <w:r>
        <w:t xml:space="preserve">international aviation in total aviation CO₂. Please see the support study for detail.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with broad State implementation, CORSIA could offset up to 1.5 Gt CO₂214. However, there</w:t>
      </w:r>
      <w:r>
        <w:t xml:space="preserve"> </w:t>
      </w:r>
      <w:r>
        <w:t xml:space="preserve">are uncertainties around CORSIA’s ambition and accountability (see section 5 above and</w:t>
      </w:r>
      <w:r>
        <w:t xml:space="preserve"> </w:t>
      </w:r>
      <w:r>
        <w:t xml:space="preserve">below). CORSIA, in its current form, is not structured to deliver the deep in-sector</w:t>
      </w:r>
      <w:r>
        <w:t xml:space="preserve"> </w:t>
      </w:r>
      <w:r>
        <w:t xml:space="preserve">decarbonisation underpinning the LTAG scenarios, because it is far cheaper for airlines to use</w:t>
      </w:r>
      <w:r>
        <w:t xml:space="preserve"> </w:t>
      </w:r>
      <w:r>
        <w:t xml:space="preserve">offset credits (out-of-sector emissions reductions) rather than CORSIA eligible fuels (CEFs,</w:t>
      </w:r>
      <w:r>
        <w:t xml:space="preserve"> </w:t>
      </w:r>
      <w:r>
        <w:t xml:space="preserve">which directly reduce emissions in the sector). This is because carbon credits are magnitudes</w:t>
      </w:r>
      <w:r>
        <w:t xml:space="preserve"> </w:t>
      </w:r>
      <w:r>
        <w:t xml:space="preserve">cheaper than CEF215. The emissions reductions in the LTAG rely mainly on SAF use. ICAO’s</w:t>
      </w:r>
      <w:r>
        <w:t xml:space="preserve"> </w:t>
      </w:r>
      <w:r>
        <w:t xml:space="preserve">recently established support instruments – the ACT-SAF programme and Finvest Hub initiative</w:t>
      </w:r>
      <w:r>
        <w:t xml:space="preserve"> </w:t>
      </w:r>
      <w:r>
        <w:t xml:space="preserve">from the 42nd Assembly – aim to stimulate SAF capacity. As of June 2025, 109 ACT-SAF</w:t>
      </w:r>
      <w:r>
        <w:t xml:space="preserve"> </w:t>
      </w:r>
      <w:r>
        <w:t xml:space="preserve">partner States and 146 partner organizations joined the programme. The ACT-SAF programme</w:t>
      </w:r>
      <w:r>
        <w:t xml:space="preserve"> </w:t>
      </w:r>
      <w:r>
        <w:t xml:space="preserve">comprises twenty-three SAF feasibility and implementation studies, with contributions from</w:t>
      </w:r>
      <w:r>
        <w:t xml:space="preserve"> </w:t>
      </w:r>
      <w:r>
        <w:t xml:space="preserve">France, the Netherlands, the European Union, United Kingdom, and Airbus. Further initiatives</w:t>
      </w:r>
      <w:r>
        <w:t xml:space="preserve"> </w:t>
      </w:r>
      <w:r>
        <w:t xml:space="preserve">are planned by Austria, Côte d’Ivoire, Italy, Republic of Korea, and Switzerland. The Finvest</w:t>
      </w:r>
      <w:r>
        <w:t xml:space="preserve"> </w:t>
      </w:r>
      <w:r>
        <w:t xml:space="preserve">Hub aims to facilitate access to financing for SAF projects, and was launched in September</w:t>
      </w:r>
      <w:r>
        <w:t xml:space="preserve"> </w:t>
      </w:r>
      <w:r>
        <w:t xml:space="preserve">2025. In addition, achieving the LTAG 2050 net-zero target requires sustained and expanded</w:t>
      </w:r>
      <w:r>
        <w:t xml:space="preserve"> </w:t>
      </w:r>
      <w:r>
        <w:t xml:space="preserve">out-of-sector carbon removal mechanisms also after 2035, necessitating carbon removal</w:t>
      </w:r>
      <w:r>
        <w:t xml:space="preserve"> </w:t>
      </w:r>
      <w:r>
        <w:t xml:space="preserve">technologies, infrastructure development and robust governance frameworks to ensure high-</w:t>
      </w:r>
      <w:r>
        <w:t xml:space="preserve"> </w:t>
      </w:r>
      <w:r>
        <w:t xml:space="preserve">quality offsets. The current level of activity across the key LTAG decarbonisation pillars –</w:t>
      </w:r>
      <w:r>
        <w:t xml:space="preserve"> </w:t>
      </w:r>
      <w:r>
        <w:t xml:space="preserve">SAF uptake, technology design and efficiency, operational improvements – remains</w:t>
      </w:r>
      <w:r>
        <w:t xml:space="preserve"> </w:t>
      </w:r>
      <w:r>
        <w:t xml:space="preserve">misaligned with IS2 and IS3 requirements according to the aviation support study. Policy</w:t>
      </w:r>
      <w:r>
        <w:t xml:space="preserve"> </w:t>
      </w:r>
      <w:r>
        <w:t xml:space="preserve">commitments and investments made in this decade will be critical in determining whether</w:t>
      </w:r>
      <w:r>
        <w:t xml:space="preserve"> </w:t>
      </w:r>
      <w:r>
        <w:t xml:space="preserve">international aviation is on a credible trajectory toward net-zero by 2050.</w:t>
      </w:r>
      <w:r>
        <w:br/>
      </w:r>
      <w:r>
        <w:t xml:space="preserve">CORSIA Eligible Fuels (CEF) are fuels complying with CORSIA Sustainability Criteria and</w:t>
      </w:r>
      <w:r>
        <w:t xml:space="preserve"> </w:t>
      </w:r>
      <w:r>
        <w:t xml:space="preserve">certified by an ICAO-approved Sustainability Certification Scheme (SCS). By utilising CEFs,</w:t>
      </w:r>
      <w:r>
        <w:t xml:space="preserve"> </w:t>
      </w:r>
      <w:r>
        <w:t xml:space="preserve">aircraft operators are entitled to claim emissions reductions and reduce offsetting</w:t>
      </w:r>
      <w:r>
        <w:t xml:space="preserve"> </w:t>
      </w:r>
      <w:r>
        <w:t xml:space="preserve">requirements.</w:t>
      </w:r>
      <w:r>
        <w:br/>
      </w:r>
      <w:r>
        <w:t xml:space="preserve">CEF rules become implementable upon adoption: once revised requirements or sustainability</w:t>
      </w:r>
      <w:r>
        <w:t xml:space="preserve"> </w:t>
      </w:r>
      <w:r>
        <w:t xml:space="preserve">criteria are introduced by ICAO, they must be applied in full by all participating operators and</w:t>
      </w:r>
      <w:r>
        <w:t xml:space="preserve"> </w:t>
      </w:r>
      <w:r>
        <w:t xml:space="preserve">states enforcing CORSIA, with compliance verified through certification and monitoring,</w:t>
      </w:r>
      <w:r>
        <w:t xml:space="preserve"> </w:t>
      </w:r>
      <w:r>
        <w:t xml:space="preserve">reporting and verification (MRV) procedures. CORSIA sets requirements for international</w:t>
      </w:r>
      <w:r>
        <w:t xml:space="preserve"> </w:t>
      </w:r>
      <w:r>
        <w:t xml:space="preserve">aviation with implementation relying on each ICAO Member State MRV to ensure the integrity</w:t>
      </w:r>
      <w:r>
        <w:t xml:space="preserve"> </w:t>
      </w:r>
      <w:r>
        <w:t xml:space="preserve">of CEF sustainability claims. While the framework establishes harmonised standards for MRV,</w:t>
      </w:r>
      <w:r>
        <w:t xml:space="preserve"> </w:t>
      </w:r>
      <w:r>
        <w:t xml:space="preserve">individual countries have the flexibility to interpret and apply these measures according to their</w:t>
      </w:r>
      <w:r>
        <w:t xml:space="preserve"> </w:t>
      </w:r>
      <w:r>
        <w:t xml:space="preserve">own national circumstances, which can result in variable approaches.</w:t>
      </w:r>
      <w:r>
        <w:br/>
      </w:r>
      <w:r>
        <w:t xml:space="preserve">CORSIA sustainability criteria were approved by the ICAO Council in June 2019 for the pilot</w:t>
      </w:r>
      <w:r>
        <w:t xml:space="preserve"> </w:t>
      </w:r>
      <w:r>
        <w:t xml:space="preserve">phase (2021-23) and expanded in November 2021 for Sustainable Aviation Fuels (SAF)</w:t>
      </w:r>
      <w:r>
        <w:t xml:space="preserve"> </w:t>
      </w:r>
      <w:r>
        <w:t xml:space="preserve">produced from January 2022, and in November 2022 for Low-Carbon Aviation Fuels (LCAF)</w:t>
      </w:r>
      <w:r>
        <w:t xml:space="preserve"> </w:t>
      </w:r>
      <w:r>
        <w:t xml:space="preserve">produced from January 2024. As of the 2024-26 CORSIA phase, 14 sustainability themes apply</w:t>
      </w:r>
      <w:r>
        <w:t xml:space="preserve"> </w:t>
      </w:r>
      <w:r>
        <w:t xml:space="preserve">to SAF and LCAF216.</w:t>
      </w:r>
    </w:p>
    <w:p>
      <w:pPr>
        <w:pStyle w:val="BodyText"/>
      </w:pPr>
      <w:r>
        <w:t xml:space="preserve">214 ICAO Executive Committee, Assembly - 42nd session Agenda Item 17: Environmental Protection – Carbon</w:t>
      </w:r>
      <w:r>
        <w:t xml:space="preserve"> </w:t>
      </w:r>
      <w:r>
        <w:t xml:space="preserve">Offsetting and Reduction Scheme for International Aviation (CORSIA), 2025</w:t>
      </w:r>
      <w:r>
        <w:t xml:space="preserve"> </w:t>
      </w:r>
      <w:r>
        <w:t xml:space="preserve">215 See subsection 6.1.1.5 of the Impact Assessment for a price comparison. While the uptake of CORSIA eligible</w:t>
      </w:r>
      <w:r>
        <w:t xml:space="preserve"> </w:t>
      </w:r>
      <w:r>
        <w:t xml:space="preserve">fuels (CEFs) is expected to contribute to up to 30% of the overall neutralisation of CO2 emissions (~0.4 Gt</w:t>
      </w:r>
      <w:r>
        <w:t xml:space="preserve"> </w:t>
      </w:r>
      <w:r>
        <w:t xml:space="preserve">CO₂ in the highest CEF deployment scenario compatible with LTAG’s IS3) required by CORSIA between</w:t>
      </w:r>
      <w:r>
        <w:t xml:space="preserve"> </w:t>
      </w:r>
      <w:r>
        <w:t xml:space="preserve">2024 and 2035, the effectiveness and credibility of the mechanism relies on the availability and integrity of</w:t>
      </w:r>
      <w:r>
        <w:t xml:space="preserve"> </w:t>
      </w:r>
      <w:r>
        <w:t xml:space="preserve">offsets, with the cheapest LTAG decarbonisation pathway exclusively relying on offsets for neutralising</w:t>
      </w:r>
      <w:r>
        <w:t xml:space="preserve"> </w:t>
      </w:r>
      <w:r>
        <w:t xml:space="preserve">emissions.</w:t>
      </w:r>
      <w:r>
        <w:t xml:space="preserve"> </w:t>
      </w:r>
      <w:r>
        <w:t xml:space="preserve">216 Sustainability themes and related criteria are found in ICAO official document “CORSIA Sustainability</w:t>
      </w:r>
      <w:r>
        <w:t xml:space="preserve"> </w:t>
      </w:r>
      <w:r>
        <w:t xml:space="preserve">Criteria for CEF”.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CORSIA relies on ICAO-approved certification schemes to verify sustainability across the fuel</w:t>
      </w:r>
      <w:r>
        <w:t xml:space="preserve"> </w:t>
      </w:r>
      <w:r>
        <w:t xml:space="preserve">supply chain, with regular audits and transparent chain-of-custody tracking for all certified</w:t>
      </w:r>
      <w:r>
        <w:t xml:space="preserve"> </w:t>
      </w:r>
      <w:r>
        <w:t xml:space="preserve">fuels. CORSIA has been consistently expanding its certification schemes over its</w:t>
      </w:r>
      <w:r>
        <w:t xml:space="preserve"> </w:t>
      </w:r>
      <w:r>
        <w:t xml:space="preserve">implementation phases. The fuel lifecycle (LCA) methodology was first adopted in 2019 with</w:t>
      </w:r>
      <w:r>
        <w:t xml:space="preserve"> </w:t>
      </w:r>
      <w:r>
        <w:t xml:space="preserve">regular updates217 to assess the performance and sustainability profiles of feedstock and</w:t>
      </w:r>
      <w:r>
        <w:t xml:space="preserve"> </w:t>
      </w:r>
      <w:r>
        <w:t xml:space="preserve">conversion technologies. CORSIA recognises conversion pathways compliant with relevant</w:t>
      </w:r>
      <w:r>
        <w:t xml:space="preserve"> </w:t>
      </w:r>
      <w:r>
        <w:t xml:space="preserve">American Society for Testing and Materials (ASTM) standards (ICAO, 2023). Feedstocks</w:t>
      </w:r>
      <w:r>
        <w:t xml:space="preserve"> </w:t>
      </w:r>
      <w:r>
        <w:t xml:space="preserve">classification determines the starting point of the LCA, including indirect effects, and</w:t>
      </w:r>
      <w:r>
        <w:t xml:space="preserve"> </w:t>
      </w:r>
      <w:r>
        <w:t xml:space="preserve">comprises primary products and co-products; by-products; wastes, and residues.</w:t>
      </w:r>
      <w:r>
        <w:br/>
      </w:r>
      <w:r>
        <w:t xml:space="preserve">CORSIA mandates a minimum 10% life cycle GHG emission reduction requirement for CEF</w:t>
      </w:r>
      <w:r>
        <w:t xml:space="preserve"> </w:t>
      </w:r>
      <w:r>
        <w:t xml:space="preserve">compared to the fossil jet fuel baseline (89 gCO2e/MJ) (ICAO, 2024), comprising direct and</w:t>
      </w:r>
      <w:r>
        <w:t xml:space="preserve"> </w:t>
      </w:r>
      <w:r>
        <w:t xml:space="preserve">indirect emissions.</w:t>
      </w:r>
      <w:r>
        <w:br/>
      </w:r>
      <w:r>
        <w:t xml:space="preserve">Inevitably, CORSIA’s global scope requires global representativeness thus broader variability</w:t>
      </w:r>
      <w:r>
        <w:t xml:space="preserve"> </w:t>
      </w:r>
      <w:r>
        <w:t xml:space="preserve">of fuel’s carbon intensity but also the assumption that CEF are uplifted close to point of</w:t>
      </w:r>
      <w:r>
        <w:t xml:space="preserve"> </w:t>
      </w:r>
      <w:r>
        <w:t xml:space="preserve">production and thus the exclusion of emissions from CEF imports. This assumption is not</w:t>
      </w:r>
      <w:r>
        <w:t xml:space="preserve"> </w:t>
      </w:r>
      <w:r>
        <w:t xml:space="preserve">representative for the EU, a feedstock and fuel/energy net importer. Due to the lack of</w:t>
      </w:r>
      <w:r>
        <w:t xml:space="preserve"> </w:t>
      </w:r>
      <w:r>
        <w:t xml:space="preserve">calculated EU-relevant aviation fuel-specific default factors, CORSIA’s explicit SAF default</w:t>
      </w:r>
      <w:r>
        <w:t xml:space="preserve"> </w:t>
      </w:r>
      <w:r>
        <w:t xml:space="preserve">values are compared with the road-type biofuel default factors from RED III. This comparison</w:t>
      </w:r>
      <w:r>
        <w:t xml:space="preserve"> </w:t>
      </w:r>
      <w:r>
        <w:t xml:space="preserve">highlights differences with CORSIA’s aviation fuel dedicated values.</w:t>
      </w:r>
      <w:r>
        <w:br/>
      </w:r>
      <w:r>
        <w:t xml:space="preserve">CORSIA details sustainability requirements for the protection and the accessibility of - among</w:t>
      </w:r>
      <w:r>
        <w:t xml:space="preserve"> </w:t>
      </w:r>
      <w:r>
        <w:t xml:space="preserve">others – water, soil, and air resources, the handling of chemicals as well as conservation of</w:t>
      </w:r>
      <w:r>
        <w:t xml:space="preserve"> </w:t>
      </w:r>
      <w:r>
        <w:t xml:space="preserve">biodiversity and ecosystem services. ReFuelEU Aviation, and RED – and hence EU ETS –</w:t>
      </w:r>
      <w:r>
        <w:t xml:space="preserve"> </w:t>
      </w:r>
      <w:r>
        <w:t xml:space="preserve">also look at GHG emissions reductions and land-use changes218. Overall, CORSIA’s</w:t>
      </w:r>
      <w:r>
        <w:t xml:space="preserve"> </w:t>
      </w:r>
      <w:r>
        <w:t xml:space="preserve">sustainability framework for eligible fuels is robust in its breadth of coverage and certification</w:t>
      </w:r>
      <w:r>
        <w:t xml:space="preserve"> </w:t>
      </w:r>
      <w:r>
        <w:t xml:space="preserve">requirements. The framework’s effectiveness in delivering net benefits depends on robust</w:t>
      </w:r>
      <w:r>
        <w:t xml:space="preserve"> </w:t>
      </w:r>
      <w:r>
        <w:t xml:space="preserve">implementation and ongoing reviews, including the reliable accounting of emissions from</w:t>
      </w:r>
      <w:r>
        <w:t xml:space="preserve"> </w:t>
      </w:r>
      <w:r>
        <w:t xml:space="preserve">indirect land use change.</w:t>
      </w:r>
      <w:r>
        <w:br/>
      </w:r>
      <w:r>
        <w:t xml:space="preserve">CORSIA’s route-based approach means that only flights between participating states are</w:t>
      </w:r>
      <w:r>
        <w:t xml:space="preserve"> </w:t>
      </w:r>
      <w:r>
        <w:t xml:space="preserve">subject to offsetting requirements. Conversely, the gradual approach, along with the</w:t>
      </w:r>
      <w:r>
        <w:t xml:space="preserve"> </w:t>
      </w:r>
      <w:r>
        <w:t xml:space="preserve">opportunity to offset emissions out of the aviation sector purchasing carbon credits at lower</w:t>
      </w:r>
      <w:r>
        <w:t xml:space="preserve"> </w:t>
      </w:r>
      <w:r>
        <w:t xml:space="preserve">abatement costs per tonne of CO2e compared to CEF uptake may not incentivise early adoption</w:t>
      </w:r>
      <w:r>
        <w:t xml:space="preserve"> </w:t>
      </w:r>
      <w:r>
        <w:t xml:space="preserve">of CEF.</w:t>
      </w:r>
      <w:r>
        <w:t xml:space="preserve"> </w:t>
      </w:r>
      <w:r>
        <w:t xml:space="preserve">5.2. Accountability</w:t>
      </w:r>
      <w:r>
        <w:t xml:space="preserve"> </w:t>
      </w:r>
      <w:r>
        <w:t xml:space="preserve">No Enforceability: The legal instrument by ICAO for CORSIA, the Standard and</w:t>
      </w:r>
      <w:r>
        <w:t xml:space="preserve"> </w:t>
      </w:r>
      <w:r>
        <w:t xml:space="preserve">Recommended Practices (SARPs)219, and its degree of legal strength is described in the 2021</w:t>
      </w:r>
      <w:r>
        <w:t xml:space="preserve"> </w:t>
      </w:r>
      <w:r>
        <w:t xml:space="preserve">Impact Assessment220. CORSIA is based on a resolution adopted by the ICAO Assembly,</w:t>
      </w:r>
      <w:r>
        <w:t xml:space="preserve"> </w:t>
      </w:r>
      <w:r>
        <w:t xml:space="preserve">which is not binding unless implemented in national law, and the same goes for the detailed</w:t>
      </w:r>
    </w:p>
    <w:p>
      <w:pPr>
        <w:pStyle w:val="BodyText"/>
      </w:pPr>
      <w:r>
        <w:t xml:space="preserve">217 https://www.icao.int/CORSIA/corsia-eligible-fuels</w:t>
      </w:r>
      <w:r>
        <w:t xml:space="preserve"> </w:t>
      </w:r>
      <w:r>
        <w:t xml:space="preserve">218 For a comparison between the Environmental Sustainability Themes in CORSIA and the European legal</w:t>
      </w:r>
      <w:r>
        <w:t xml:space="preserve"> </w:t>
      </w:r>
      <w:r>
        <w:t xml:space="preserve">framework for SAF, please refer to the support study.</w:t>
      </w:r>
      <w:r>
        <w:t xml:space="preserve"> </w:t>
      </w:r>
      <w:r>
        <w:t xml:space="preserve">219 SARPs are the technical specifications adopted by the ICAO Council in accordance with Article 37 of the</w:t>
      </w:r>
      <w:r>
        <w:t xml:space="preserve"> </w:t>
      </w:r>
      <w:r>
        <w:t xml:space="preserve">Chicago Convention in order to achieve</w:t>
      </w:r>
      <w:r>
        <w:t xml:space="preserve"> </w:t>
      </w:r>
      <w:r>
        <w:t xml:space="preserve">“the highest practicable degree of uniformity in regulations,</w:t>
      </w:r>
      <w:r>
        <w:t xml:space="preserve"> </w:t>
      </w:r>
      <w:r>
        <w:t xml:space="preserve">standards, procedures and organization in relation to aircraft, personnel, airways and auxiliary services in</w:t>
      </w:r>
      <w:r>
        <w:t xml:space="preserve"> </w:t>
      </w:r>
      <w:r>
        <w:t xml:space="preserve">all matters in which such uniformity will facilitate and improve air navigation”</w:t>
      </w:r>
      <w:r>
        <w:t xml:space="preserve">. Annex 16 of the Chicago</w:t>
      </w:r>
      <w:r>
        <w:t xml:space="preserve"> </w:t>
      </w:r>
      <w:r>
        <w:t xml:space="preserve">Convention is dealing with Environmental Protection, and its Volume IV, with CORSIA. Today, ICAO</w:t>
      </w:r>
      <w:r>
        <w:t xml:space="preserve"> </w:t>
      </w:r>
      <w:r>
        <w:t xml:space="preserve">manages not less than 12,000 SARPs across the 19 Annexes of the Chicago Convention.</w:t>
      </w:r>
      <w:r>
        <w:t xml:space="preserve"> </w:t>
      </w:r>
      <w:r>
        <w:t xml:space="preserve">220 SWD(2021) 603 final.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rules in the form of ICAO Standards and Recommended Practices221. National implementation</w:t>
      </w:r>
      <w:r>
        <w:t xml:space="preserve"> </w:t>
      </w:r>
      <w:r>
        <w:t xml:space="preserve">varies widely (see detail in the aviation support study). Although for 2026, 130 countries</w:t>
      </w:r>
      <w:r>
        <w:t xml:space="preserve"> </w:t>
      </w:r>
      <w:r>
        <w:t xml:space="preserve">(accounting for 363Mt albeit including intra-EEA flights and flights between the EEA and</w:t>
      </w:r>
      <w:r>
        <w:t xml:space="preserve"> </w:t>
      </w:r>
      <w:r>
        <w:t xml:space="preserve">Switzerland and the UK CO2 emissions in 2024) volunteered for the implementation of</w:t>
      </w:r>
      <w:r>
        <w:t xml:space="preserve"> </w:t>
      </w:r>
      <w:r>
        <w:t xml:space="preserve">CORSIA, big emitters, like China, Russia or India, representing a significant share of global</w:t>
      </w:r>
      <w:r>
        <w:t xml:space="preserve"> </w:t>
      </w:r>
      <w:r>
        <w:t xml:space="preserve">aviation emissions, do not participate yet. Most of them did not indicate their intention either</w:t>
      </w:r>
      <w:r>
        <w:t xml:space="preserve"> </w:t>
      </w:r>
      <w:r>
        <w:t xml:space="preserve">to implement CORSIA in their national legal system (Russia for example signalled its intention</w:t>
      </w:r>
      <w:r>
        <w:t xml:space="preserve"> </w:t>
      </w:r>
      <w:r>
        <w:t xml:space="preserve">not to participate). As the implementation of CORSIA depends on legislative action by third</w:t>
      </w:r>
      <w:r>
        <w:t xml:space="preserve"> </w:t>
      </w:r>
      <w:r>
        <w:t xml:space="preserve">countries, this means uncertainty and needs to be kept under scrutiny. Continued participation</w:t>
      </w:r>
      <w:r>
        <w:t xml:space="preserve"> </w:t>
      </w:r>
      <w:r>
        <w:t xml:space="preserve">in CORSIA is also not guaranteed, as countries can withdraw from it222. In comparison, the EU</w:t>
      </w:r>
      <w:r>
        <w:t xml:space="preserve"> </w:t>
      </w:r>
      <w:r>
        <w:t xml:space="preserve">ETS applies in a consistent manner across all EU Member States, irrespective of the nationality</w:t>
      </w:r>
      <w:r>
        <w:t xml:space="preserve"> </w:t>
      </w:r>
      <w:r>
        <w:t xml:space="preserve">of the aircraft operator and it is enforced through effective financial penalties that also require</w:t>
      </w:r>
      <w:r>
        <w:t xml:space="preserve"> </w:t>
      </w:r>
      <w:r>
        <w:t xml:space="preserve">the environment shortfall to be made up. By contrast, ICAO has no instruments at its disposal</w:t>
      </w:r>
      <w:r>
        <w:t xml:space="preserve"> </w:t>
      </w:r>
      <w:r>
        <w:t xml:space="preserve">to enforce compliance, and thus no penalties can be enforced by ICAO (the CORSIA SARPS</w:t>
      </w:r>
      <w:r>
        <w:t xml:space="preserve"> </w:t>
      </w:r>
      <w:r>
        <w:t xml:space="preserve">explicitly state223 that only the ‘home State’ of the airline can enforce CORSIA).</w:t>
      </w:r>
      <w:r>
        <w:br/>
      </w:r>
      <w:r>
        <w:t xml:space="preserve">Accordingly, without national legislation in place, CORSIA remains voluntary in that country,</w:t>
      </w:r>
      <w:r>
        <w:t xml:space="preserve"> </w:t>
      </w:r>
      <w:r>
        <w:t xml:space="preserve">even if the ICAO Resolution would mention mandatory participation for that country224, raising</w:t>
      </w:r>
      <w:r>
        <w:t xml:space="preserve"> </w:t>
      </w:r>
      <w:r>
        <w:t xml:space="preserve">level playing field issues with countries having implemented CORSIA in a legally binding</w:t>
      </w:r>
      <w:r>
        <w:t xml:space="preserve"> </w:t>
      </w:r>
      <w:r>
        <w:t xml:space="preserve">manner. For assessing the binding nature of CORSIA it is also to note that certain important</w:t>
      </w:r>
      <w:r>
        <w:t xml:space="preserve"> </w:t>
      </w:r>
      <w:r>
        <w:t xml:space="preserve">elements of the compliance framework, like the baseline for calculating the Sector Growth</w:t>
      </w:r>
      <w:r>
        <w:t xml:space="preserve"> </w:t>
      </w:r>
      <w:r>
        <w:t xml:space="preserve">Factor, or “mandating” countries above the 0.5% share of 2018 RTK to participate in the</w:t>
      </w:r>
      <w:r>
        <w:t xml:space="preserve"> </w:t>
      </w:r>
      <w:r>
        <w:t xml:space="preserve">offsetting, are not part of the SARPs, but are defined rather in Assembly Resolutions225. As</w:t>
      </w:r>
      <w:r>
        <w:t xml:space="preserve"> </w:t>
      </w:r>
      <w:r>
        <w:t xml:space="preserve">above, Assembly Resolutions have different binding nature than standards. Previous</w:t>
      </w:r>
      <w:r>
        <w:t xml:space="preserve"> </w:t>
      </w:r>
      <w:r>
        <w:t xml:space="preserve">assessments remain valid, as CORSIA has not changed: the enforceability of ETS is higher</w:t>
      </w:r>
      <w:r>
        <w:t xml:space="preserve"> </w:t>
      </w:r>
      <w:r>
        <w:t xml:space="preserve">than that of CORSIA.</w:t>
      </w:r>
      <w:r>
        <w:t xml:space="preserve"> </w:t>
      </w:r>
      <w:r>
        <w:t xml:space="preserve">Transparency: The lack of freedom of information policy and global mechanism for public</w:t>
      </w:r>
      <w:r>
        <w:t xml:space="preserve"> </w:t>
      </w:r>
      <w:r>
        <w:t xml:space="preserve">request of information is described in the previous Impact Assessment Report226. Analysis of</w:t>
      </w:r>
      <w:r>
        <w:t xml:space="preserve"> </w:t>
      </w:r>
      <w:r>
        <w:t xml:space="preserve">ICAO’s February 2025 Committee on Aviation Environmental Protection (CAEP) meeting</w:t>
      </w:r>
      <w:r>
        <w:t xml:space="preserve"> </w:t>
      </w:r>
      <w:r>
        <w:t xml:space="preserve">highlights issues with transparency227. Delegates, who include representatives of States,</w:t>
      </w:r>
      <w:r>
        <w:t xml:space="preserve"> </w:t>
      </w:r>
      <w:r>
        <w:t xml:space="preserve">industry, other international bodies and NGOs, must sign a non-disclosure agreement to</w:t>
      </w:r>
      <w:r>
        <w:t xml:space="preserve"> </w:t>
      </w:r>
      <w:r>
        <w:t xml:space="preserve">participate, prohibiting them from sharing any documents with external parties. Delegates are</w:t>
      </w:r>
      <w:r>
        <w:t xml:space="preserve"> </w:t>
      </w:r>
      <w:r>
        <w:t xml:space="preserve">exposed to unlimited financial liability if found to break these conditions. CAEP working</w:t>
      </w:r>
      <w:r>
        <w:t xml:space="preserve"> </w:t>
      </w:r>
      <w:r>
        <w:t xml:space="preserve">papers are released once the ICAO Assembly takes a decision, i.e. when it is too late to</w:t>
      </w:r>
      <w:r>
        <w:t xml:space="preserve"> </w:t>
      </w:r>
      <w:r>
        <w:t xml:space="preserve">influence the decision-making process. The same applies for key meeting documents, many</w:t>
      </w:r>
    </w:p>
    <w:p>
      <w:pPr>
        <w:pStyle w:val="BodyText"/>
      </w:pPr>
      <w:r>
        <w:t xml:space="preserve">221 Study for the Directorate General Climate Action of the EU Commission, Possible legal arrangements to</w:t>
      </w:r>
      <w:r>
        <w:t xml:space="preserve"> </w:t>
      </w:r>
      <w:r>
        <w:t xml:space="preserve">implement a global market based measure for international aviation emissions, 2025.</w:t>
      </w:r>
      <w:r>
        <w:t xml:space="preserve"> </w:t>
      </w:r>
      <w:r>
        <w:t xml:space="preserve">222 Mauritius withdrew from voluntary participation in CORSIA from 1 January 2026: CORSIA States for</w:t>
      </w:r>
      <w:r>
        <w:t xml:space="preserve"> </w:t>
      </w:r>
      <w:r>
        <w:t xml:space="preserve">Chapter 3 State Pairs</w:t>
      </w:r>
      <w:r>
        <w:t xml:space="preserve"> </w:t>
      </w:r>
      <w:r>
        <w:t xml:space="preserve">223 ICAO International Standards and Recommended Practices, Point 1.3.2. Annex 16 to the Convention on</w:t>
      </w:r>
      <w:r>
        <w:t xml:space="preserve"> </w:t>
      </w:r>
      <w:r>
        <w:t xml:space="preserve">International Civil Aviation -Environmental Protection-Volume IV, July 2023.</w:t>
      </w:r>
      <w:r>
        <w:br/>
      </w:r>
      <w:r>
        <w:t xml:space="preserve">224 ICAO Resolution A41-22 states in point 9.e.: “Second phase applies from 2027 through 2035 to all States</w:t>
      </w:r>
      <w:r>
        <w:t xml:space="preserve"> </w:t>
      </w:r>
      <w:r>
        <w:t xml:space="preserve">that have an individual share of international aviation activities in RTKs in year 2018 above 0.5 per cent of</w:t>
      </w:r>
      <w:r>
        <w:t xml:space="preserve"> </w:t>
      </w:r>
      <w:r>
        <w:t xml:space="preserve">total RTKs or whose cumulative share in the list of States from the highest to the lowest amount of RTKs</w:t>
      </w:r>
      <w:r>
        <w:t xml:space="preserve"> </w:t>
      </w:r>
      <w:r>
        <w:t xml:space="preserve">reaches 90 per cent of total RTKs, except Least Developed Countries (LDCs), Small Island Developing States</w:t>
      </w:r>
      <w:r>
        <w:t xml:space="preserve"> </w:t>
      </w:r>
      <w:r>
        <w:t xml:space="preserve">(SIDS) and Land Locked Developing Countries (LLDCs)</w:t>
      </w:r>
      <w:r>
        <w:t xml:space="preserve"> </w:t>
      </w:r>
      <w:r>
        <w:t xml:space="preserve">225 These elements are mentioned in the SARPs as “Note”, and Notes do not constitute part of the SARPs, as</w:t>
      </w:r>
      <w:r>
        <w:t xml:space="preserve"> </w:t>
      </w:r>
      <w:r>
        <w:t xml:space="preserve">stated in the SARPs themselves.</w:t>
      </w:r>
      <w:r>
        <w:t xml:space="preserve"> </w:t>
      </w:r>
      <w:r>
        <w:t xml:space="preserve">226 Aviation ETS Impact Assessment (SWD(2021)603).</w:t>
      </w:r>
      <w:r>
        <w:t xml:space="preserve"> </w:t>
      </w:r>
      <w:r>
        <w:t xml:space="preserve">227 Influencemap.org, Corporate Capture and the UN International Civil Aviation Organization; Continued</w:t>
      </w:r>
      <w:r>
        <w:t xml:space="preserve"> </w:t>
      </w:r>
      <w:r>
        <w:t xml:space="preserve">Corporate Influence at the United Nations’ Aviation Agency: An Update of InfluenceMap’s 2022 Report,</w:t>
      </w:r>
      <w:r>
        <w:t xml:space="preserve"> </w:t>
      </w:r>
      <w:r>
        <w:t xml:space="preserve">2025.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official negotiation documents and documentation on climate-related topics and policies</w:t>
      </w:r>
      <w:r>
        <w:t xml:space="preserve"> </w:t>
      </w:r>
      <w:r>
        <w:t xml:space="preserve">presented during the CAEP meetings, and which make recommendations to the Assembly.</w:t>
      </w:r>
      <w:r>
        <w:t xml:space="preserve"> </w:t>
      </w:r>
      <w:r>
        <w:t xml:space="preserve">Furthermore, ICAO’s report on the February 2025 CAEP meeting costs $605 (EUR 526228).</w:t>
      </w:r>
      <w:r>
        <w:t xml:space="preserve"> </w:t>
      </w:r>
      <w:r>
        <w:t xml:space="preserve">The media cannot attend CAEP meetings or working group negotiations, whereas e.g. IMO</w:t>
      </w:r>
      <w:r>
        <w:t xml:space="preserve"> </w:t>
      </w:r>
      <w:r>
        <w:t xml:space="preserve">allows and expressly encourages this for its Marine Environment Protection Committee</w:t>
      </w:r>
      <w:r>
        <w:t xml:space="preserve"> </w:t>
      </w:r>
      <w:r>
        <w:t xml:space="preserve">meetings229. While the names of delegates are known, their employment or affiliations are not</w:t>
      </w:r>
      <w:r>
        <w:t xml:space="preserve"> </w:t>
      </w:r>
      <w:r>
        <w:t xml:space="preserve">disclosed, although state delegations can and do include representatives of the aviation</w:t>
      </w:r>
      <w:r>
        <w:t xml:space="preserve"> </w:t>
      </w:r>
      <w:r>
        <w:t xml:space="preserve">industry. The lack of transparency reduces opportunities for external scrutiny and</w:t>
      </w:r>
      <w:r>
        <w:t xml:space="preserve"> </w:t>
      </w:r>
      <w:r>
        <w:t xml:space="preserve">accountability and exacerbates the risk of policy capture. The aviation support study contains</w:t>
      </w:r>
      <w:r>
        <w:t xml:space="preserve"> </w:t>
      </w:r>
      <w:r>
        <w:t xml:space="preserve">suggestions to address this.</w:t>
      </w:r>
      <w:r>
        <w:br/>
      </w:r>
      <w:r>
        <w:t xml:space="preserve">Despite ICAO publication of findings from TAB responsible for making recommendations to</w:t>
      </w:r>
      <w:r>
        <w:t xml:space="preserve"> </w:t>
      </w:r>
      <w:r>
        <w:t xml:space="preserve">the ICAO Council on CORSIA emission units, important information such as the quality of</w:t>
      </w:r>
      <w:r>
        <w:t xml:space="preserve"> </w:t>
      </w:r>
      <w:r>
        <w:t xml:space="preserve">credits, details of projects being supported, and histories of the offset projects are not available</w:t>
      </w:r>
      <w:r>
        <w:t xml:space="preserve"> </w:t>
      </w:r>
      <w:r>
        <w:t xml:space="preserve">in the published document. Without accessible information on programme implementation,</w:t>
      </w:r>
      <w:r>
        <w:t xml:space="preserve"> </w:t>
      </w:r>
      <w:r>
        <w:t xml:space="preserve">offset quality, and compliance verification, stakeholders cannot independently judge the</w:t>
      </w:r>
      <w:r>
        <w:t xml:space="preserve"> </w:t>
      </w:r>
      <w:r>
        <w:t xml:space="preserve">climate performance of CORSIA offset credits230.</w:t>
      </w:r>
      <w:r>
        <w:t xml:space="preserve"> </w:t>
      </w:r>
      <w:r>
        <w:t xml:space="preserve">Overall, lack of transparency stems from inherent ICAO processes and the transparency</w:t>
      </w:r>
      <w:r>
        <w:t xml:space="preserve"> </w:t>
      </w:r>
      <w:r>
        <w:t xml:space="preserve">governance rather than from CORSIA rules. The system performs well in data quality and</w:t>
      </w:r>
      <w:r>
        <w:t xml:space="preserve"> </w:t>
      </w:r>
      <w:r>
        <w:t xml:space="preserve">reliability with robust verification processes and standardised methodologies. In 2025, 128</w:t>
      </w:r>
      <w:r>
        <w:t xml:space="preserve"> </w:t>
      </w:r>
      <w:r>
        <w:t xml:space="preserve">countries reported international aviation CO2 emissions to ICAO, and ICAO has capabilities to</w:t>
      </w:r>
      <w:r>
        <w:t xml:space="preserve"> </w:t>
      </w:r>
      <w:r>
        <w:t xml:space="preserve">perform gap-filling in case of non-submission231. Information availability on CORSIA</w:t>
      </w:r>
      <w:r>
        <w:t xml:space="preserve"> </w:t>
      </w:r>
      <w:r>
        <w:t xml:space="preserve">implementation and compliance is good despite scattered offset program data and undisclosed</w:t>
      </w:r>
      <w:r>
        <w:t xml:space="preserve"> </w:t>
      </w:r>
      <w:r>
        <w:t xml:space="preserve">technical group documents.</w:t>
      </w:r>
      <w:r>
        <w:t xml:space="preserve"> </w:t>
      </w:r>
      <w:r>
        <w:t xml:space="preserve">6. ANALYSIS PURSUANT TO ARTICLE 30(8)</w:t>
      </w:r>
      <w:r>
        <w:t xml:space="preserve"> </w:t>
      </w:r>
      <w:r>
        <w:t xml:space="preserve">Article 30(8) of the ETS Directive requires analysis of environmental and climate impacts of</w:t>
      </w:r>
      <w:r>
        <w:t xml:space="preserve"> </w:t>
      </w:r>
      <w:r>
        <w:t xml:space="preserve">short-haul flights, private- and business jets, social impacts and connectivity. For further detail</w:t>
      </w:r>
      <w:r>
        <w:t xml:space="preserve"> </w:t>
      </w:r>
      <w:r>
        <w:t xml:space="preserve">see the aviation support study. This section focuses on short-haul and connectivity, while</w:t>
      </w:r>
      <w:r>
        <w:t xml:space="preserve"> </w:t>
      </w:r>
      <w:r>
        <w:t xml:space="preserve">private and business jets are covered in section 7 below, and the impact assessment covers</w:t>
      </w:r>
      <w:r>
        <w:t xml:space="preserve"> </w:t>
      </w:r>
      <w:r>
        <w:t xml:space="preserve">social impacts in subsection 6.3.1.4.</w:t>
      </w:r>
      <w:r>
        <w:br/>
      </w:r>
      <w:r>
        <w:t xml:space="preserve">6.1. Short-Haul Flights and Their Impacts</w:t>
      </w:r>
      <w:r>
        <w:t xml:space="preserve"> </w:t>
      </w:r>
      <w:r>
        <w:t xml:space="preserve">In 2019, about half of EEA departing flights (3.7m) were up to 1,000 km long. Short-haul</w:t>
      </w:r>
      <w:r>
        <w:t xml:space="preserve"> </w:t>
      </w:r>
      <w:r>
        <w:t xml:space="preserve">flights in the EEA are expected to increase by one-fourth by 2040 compared to 2025 levels232.</w:t>
      </w:r>
      <w:r>
        <w:t xml:space="preserve"> </w:t>
      </w:r>
      <w:r>
        <w:t xml:space="preserve">Smaller airports233 have a higher share of short flights.</w:t>
      </w:r>
      <w:r>
        <w:t xml:space="preserve"> </w:t>
      </w:r>
      <w:r>
        <w:t xml:space="preserve">Environmental and Climate Impacts: In 2019, flights under 1,000 km produced 18% of CO2</w:t>
      </w:r>
      <w:r>
        <w:t xml:space="preserve"> </w:t>
      </w:r>
      <w:r>
        <w:t xml:space="preserve">emissions of departing flights from EU/EEA airports. The shorter the flight, the higher the CO2</w:t>
      </w:r>
      <w:r>
        <w:t xml:space="preserve"> </w:t>
      </w:r>
      <w:r>
        <w:t xml:space="preserve">emissions intensity per passenger km, due to higher fuel required for take-off and climb. These</w:t>
      </w:r>
      <w:r>
        <w:t xml:space="preserve"> </w:t>
      </w:r>
      <w:r>
        <w:t xml:space="preserve">flights generated approximately 112t of NOx and 300t of particulate matter, which contribute</w:t>
      </w:r>
      <w:r>
        <w:t xml:space="preserve"> </w:t>
      </w:r>
      <w:r>
        <w:t xml:space="preserve">to both pollution and warming effects. Data show that the ETS covers 96% of short-haul</w:t>
      </w:r>
    </w:p>
    <w:p>
      <w:pPr>
        <w:pStyle w:val="BodyText"/>
      </w:pPr>
      <w:r>
        <w:t xml:space="preserve">228 Exchange rate on 21/11/2025</w:t>
      </w:r>
      <w:r>
        <w:t xml:space="preserve"> </w:t>
      </w:r>
      <w:r>
        <w:t xml:space="preserve">229 International Maritime Organization, Attending IMO Meetings.</w:t>
      </w:r>
      <w:r>
        <w:t xml:space="preserve"> </w:t>
      </w:r>
      <w:r>
        <w:t xml:space="preserve">230 Source: support study.</w:t>
      </w:r>
      <w:r>
        <w:t xml:space="preserve"> </w:t>
      </w:r>
      <w:r>
        <w:t xml:space="preserve">231 ICAO submission to UNFCCC SBSTA63.</w:t>
      </w:r>
      <w:r>
        <w:t xml:space="preserve"> </w:t>
      </w:r>
      <w:r>
        <w:t xml:space="preserve">232 Source: support study.</w:t>
      </w:r>
      <w:r>
        <w:t xml:space="preserve"> </w:t>
      </w:r>
      <w:r>
        <w:t xml:space="preserve">233 The share of airports counting more than 80% of their flights being shorter than 1,000km is 54% for small</w:t>
      </w:r>
      <w:r>
        <w:t xml:space="preserve"> </w:t>
      </w:r>
      <w:r>
        <w:t xml:space="preserve">airports and 13% for larger airports. “Smaller airport” here refers to an airport that is not defined as a “Union</w:t>
      </w:r>
      <w:r>
        <w:t xml:space="preserve"> </w:t>
      </w:r>
      <w:r>
        <w:t xml:space="preserve">airport” as set out in Article 3 of Regulation (EU) 2023/2405 (ReFuelEU Aviation).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emissions. Studies234 of different short-haul flight segments find higher emissions cuts on these</w:t>
      </w:r>
      <w:r>
        <w:t xml:space="preserve"> </w:t>
      </w:r>
      <w:r>
        <w:t xml:space="preserve">routes since the introduction of the ETS.</w:t>
      </w:r>
      <w:r>
        <w:br/>
      </w:r>
      <w:r>
        <w:t xml:space="preserve">The potential for modal shift (substitution) depends on the distance covered by the flight.</w:t>
      </w:r>
      <w:r>
        <w:t xml:space="preserve"> </w:t>
      </w:r>
      <w:r>
        <w:t xml:space="preserve">Approximately one fifth of flights in major European aviation markets (France, Germany, Italy,</w:t>
      </w:r>
      <w:r>
        <w:t xml:space="preserve"> </w:t>
      </w:r>
      <w:r>
        <w:t xml:space="preserve">and Spain) have high substitutability potential (distances less than 400 km), about three fifths</w:t>
      </w:r>
      <w:r>
        <w:t xml:space="preserve"> </w:t>
      </w:r>
      <w:r>
        <w:t xml:space="preserve">have medium potential (400-800 km), and one fifth have low potential (over 800 km). Spain</w:t>
      </w:r>
      <w:r>
        <w:t xml:space="preserve"> </w:t>
      </w:r>
      <w:r>
        <w:t xml:space="preserve">stands out with a higher share of flights under 400km, reaching nearly half of short-haul flights,</w:t>
      </w:r>
      <w:r>
        <w:t xml:space="preserve"> </w:t>
      </w:r>
      <w:r>
        <w:t xml:space="preserve">largely due to inter-island trips, a similar pattern seen in Greece (but replacing those by sea</w:t>
      </w:r>
      <w:r>
        <w:t xml:space="preserve"> </w:t>
      </w:r>
      <w:r>
        <w:t xml:space="preserve">would increase transportation time). Mitigation measures presented hereafter do not propose</w:t>
      </w:r>
      <w:r>
        <w:t xml:space="preserve"> </w:t>
      </w:r>
      <w:r>
        <w:t xml:space="preserve">Commission action and fall outside the scope of the Taxonomy235.</w:t>
      </w:r>
      <w:r>
        <w:t xml:space="preserve"> </w:t>
      </w:r>
      <w:r>
        <w:t xml:space="preserve">High-Speed Rail (HSR) dramatically reduces passenger usage of short-haul flights. An</w:t>
      </w:r>
      <w:r>
        <w:t xml:space="preserve"> </w:t>
      </w:r>
      <w:r>
        <w:t xml:space="preserve">opening of competing HSR routes can reduce air travel by up to 80%, and by 50-60% on routes</w:t>
      </w:r>
      <w:r>
        <w:t xml:space="preserve"> </w:t>
      </w:r>
      <w:r>
        <w:t xml:space="preserve">exceeding three hours. The presence of multiple operators on the same route leads to higher</w:t>
      </w:r>
      <w:r>
        <w:t xml:space="preserve"> </w:t>
      </w:r>
      <w:r>
        <w:t xml:space="preserve">frequency, greater capacity, and differential pricing. However, HSR is generally more</w:t>
      </w:r>
      <w:r>
        <w:t xml:space="preserve"> </w:t>
      </w:r>
      <w:r>
        <w:t xml:space="preserve">expensive than flying, especially on international routes. Case studies included France’s ban</w:t>
      </w:r>
      <w:r>
        <w:t xml:space="preserve"> </w:t>
      </w:r>
      <w:r>
        <w:t xml:space="preserve">for routes where a similar train journey of less than 2 hours and 30 minutes is possible. The</w:t>
      </w:r>
      <w:r>
        <w:t xml:space="preserve"> </w:t>
      </w:r>
      <w:r>
        <w:t xml:space="preserve">European Commission’s high-speed rail plan should also support modal shift, e.g. with the</w:t>
      </w:r>
      <w:r>
        <w:t xml:space="preserve"> </w:t>
      </w:r>
      <w:r>
        <w:t xml:space="preserve">action to connect all European capitals and areas of over 250k inhabitants by 2040236. Finally,</w:t>
      </w:r>
      <w:r>
        <w:t xml:space="preserve"> </w:t>
      </w:r>
      <w:r>
        <w:t xml:space="preserve">the climate gain for HSR is excellent, with a ratio of 1-to-37 (i.e. per-passenger kilometre</w:t>
      </w:r>
      <w:r>
        <w:t xml:space="preserve"> </w:t>
      </w:r>
      <w:r>
        <w:t xml:space="preserve">emissions are 37 times lower than for aviation). Ferries offer a crucial alternative on island</w:t>
      </w:r>
      <w:r>
        <w:t xml:space="preserve"> </w:t>
      </w:r>
      <w:r>
        <w:t xml:space="preserve">routes. They are more effective when integrated into multimodal routes and when direct</w:t>
      </w:r>
      <w:r>
        <w:t xml:space="preserve"> </w:t>
      </w:r>
      <w:r>
        <w:t xml:space="preserve">offshore connections are available. The environmental benefits of ferries are positive, ranging</w:t>
      </w:r>
      <w:r>
        <w:t xml:space="preserve"> </w:t>
      </w:r>
      <w:r>
        <w:t xml:space="preserve">from a climate gain ratio of 1-to-1.5 to 1-to-10. Future technological improvements, such as</w:t>
      </w:r>
      <w:r>
        <w:t xml:space="preserve"> </w:t>
      </w:r>
      <w:r>
        <w:t xml:space="preserve">electrification, could enhance this ratio to 1-to-37.</w:t>
      </w:r>
      <w:r>
        <w:t xml:space="preserve"> </w:t>
      </w:r>
      <w:r>
        <w:t xml:space="preserve">Sustainable Aviation Fuels (SAF): At smaller airports where short-haul flights dominate,</w:t>
      </w:r>
      <w:r>
        <w:t xml:space="preserve"> </w:t>
      </w:r>
      <w:r>
        <w:t xml:space="preserve">there is full ETS-financed SAF support covering 100% of the remaining price difference</w:t>
      </w:r>
      <w:r>
        <w:t xml:space="preserve"> </w:t>
      </w:r>
      <w:r>
        <w:t xml:space="preserve">between SAF and fossil kerosene. Prioritising modal shift where rail in particular provides an</w:t>
      </w:r>
      <w:r>
        <w:t xml:space="preserve"> </w:t>
      </w:r>
      <w:r>
        <w:t xml:space="preserve">appropriate level of service could free up limited SAF supply237. SAF use improves the climate</w:t>
      </w:r>
      <w:r>
        <w:t xml:space="preserve"> </w:t>
      </w:r>
      <w:r>
        <w:t xml:space="preserve">gain, at about 1-to-3 for biofuels and 1-to-4 for synthetic fuels (source: aviation support study).</w:t>
      </w:r>
      <w:r>
        <w:t xml:space="preserve"> </w:t>
      </w:r>
      <w:r>
        <w:t xml:space="preserve">Electric and Hydrogen Flights are technologies with lower energy density compared to fossil</w:t>
      </w:r>
      <w:r>
        <w:t xml:space="preserve"> </w:t>
      </w:r>
      <w:r>
        <w:t xml:space="preserve">kerosene or SAF. Electric planes currently allow for a limited number of seats (19 or less) and</w:t>
      </w:r>
      <w:r>
        <w:t xml:space="preserve"> </w:t>
      </w:r>
      <w:r>
        <w:t xml:space="preserve">flight time (up to 45 minutes)238. This means electric planes are specifically relevant to the very</w:t>
      </w:r>
      <w:r>
        <w:t xml:space="preserve"> </w:t>
      </w:r>
      <w:r>
        <w:t xml:space="preserve">short-haul market (e.g., flights within outermost regions and island archipelagos239) or</w:t>
      </w:r>
      <w:r>
        <w:t xml:space="preserve"> </w:t>
      </w:r>
      <w:r>
        <w:t xml:space="preserve">unmanned aircrafts (e.g. cargo/mail in remote regions, military). Hybrid electric-kerosene</w:t>
      </w:r>
      <w:r>
        <w:t xml:space="preserve"> </w:t>
      </w:r>
      <w:r>
        <w:t xml:space="preserve">planes show more potential in terms of seats and length of flights, with a target range of up to</w:t>
      </w:r>
    </w:p>
    <w:p>
      <w:pPr>
        <w:pStyle w:val="BodyText"/>
      </w:pPr>
      <w:r>
        <w:t xml:space="preserve">234 Kang, Yicheng &amp; Liao, Sha &amp; Jiang, Changmin &amp; D’Alfonso, Tiziana, Transportation Research Part A:</w:t>
      </w:r>
      <w:r>
        <w:t xml:space="preserve"> </w:t>
      </w:r>
      <w:r>
        <w:t xml:space="preserve">Policy and Practice, Elsevier, vol. 162(C), pages 236-252, Synthetic control methods for policy analysis:</w:t>
      </w:r>
      <w:r>
        <w:t xml:space="preserve"> </w:t>
      </w:r>
      <w:r>
        <w:t xml:space="preserve">Evaluating the effect of the European Emission Trading System on aviation supply, 2022.</w:t>
      </w:r>
    </w:p>
    <w:p>
      <w:pPr>
        <w:pStyle w:val="BodyText"/>
      </w:pPr>
      <w:r>
        <w:t xml:space="preserve">Fageda, X., &amp; Teixidó, J. J., Journal of Environmental Economics and Management, 111, 102591, Pricing</w:t>
      </w:r>
      <w:r>
        <w:t xml:space="preserve"> </w:t>
      </w:r>
      <w:r>
        <w:t xml:space="preserve">carbon in the aviation sector: Evidence from the European emissions trading system, 2022.</w:t>
      </w:r>
      <w:r>
        <w:t xml:space="preserve"> </w:t>
      </w:r>
      <w:r>
        <w:t xml:space="preserve">235 See Commission response to Aarhus review request ref. IR/2024/870406.</w:t>
      </w:r>
      <w:r>
        <w:t xml:space="preserve"> </w:t>
      </w:r>
      <w:r>
        <w:t xml:space="preserve">236 The high-speed rail plan sets out concrete actions, such as: removing cross-border bottlenecks, with options</w:t>
      </w:r>
      <w:r>
        <w:t xml:space="preserve"> </w:t>
      </w:r>
      <w:r>
        <w:t xml:space="preserve">for speeds above 250 km/h; developing a coordinated financing strategy enhancing cross-border ticketing and</w:t>
      </w:r>
      <w:r>
        <w:t xml:space="preserve"> </w:t>
      </w:r>
      <w:r>
        <w:t xml:space="preserve">booking systems; EU-level harmonised standards and processes.</w:t>
      </w:r>
      <w:r>
        <w:t xml:space="preserve"> </w:t>
      </w:r>
      <w:r>
        <w:t xml:space="preserve">237 More fuel efficient technologies and aircraft also reduce SAF use, although fleet renewal may result in a</w:t>
      </w:r>
      <w:r>
        <w:t xml:space="preserve"> </w:t>
      </w:r>
      <w:r>
        <w:t xml:space="preserve">global increase of the fleet, resulting in higher emissions.</w:t>
      </w:r>
      <w:r>
        <w:t xml:space="preserve"> </w:t>
      </w:r>
      <w:r>
        <w:t xml:space="preserve">238 Mukhopadhaya, Graver, International Council on Clean Transportation, Performance analysis of regional</w:t>
      </w:r>
      <w:r>
        <w:t xml:space="preserve"> </w:t>
      </w:r>
      <w:r>
        <w:t xml:space="preserve">electric aircraft, July 2022.</w:t>
      </w:r>
      <w:r>
        <w:t xml:space="preserve"> </w:t>
      </w:r>
      <w:r>
        <w:t xml:space="preserve">239 Apostolidis A, Donckers S, Peijnenburg D, Stamoulis KP, Electric Aircraft Operations: An Interisland</w:t>
      </w:r>
      <w:r>
        <w:t xml:space="preserve"> </w:t>
      </w:r>
      <w:r>
        <w:t xml:space="preserve">Mobility Case Study, Aerospace. 2024; 11(3):170, 2024.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500km240. While hydrogen-fuelled aircrafts are facing significant barriers for hydrogen</w:t>
      </w:r>
      <w:r>
        <w:t xml:space="preserve"> </w:t>
      </w:r>
      <w:r>
        <w:t xml:space="preserve">distribution and storage, their potential for the short-haul segment is higher, with routes</w:t>
      </w:r>
      <w:r>
        <w:t xml:space="preserve"> </w:t>
      </w:r>
      <w:r>
        <w:t xml:space="preserve">expected to cover at least the full range to 1,000km241. The emissions intensity of a fully electric</w:t>
      </w:r>
      <w:r>
        <w:t xml:space="preserve"> </w:t>
      </w:r>
      <w:r>
        <w:t xml:space="preserve">flight or a fully hydrogen-powered flight compared to kerosene ranges from 1-to-2 to 1-to-10,</w:t>
      </w:r>
      <w:r>
        <w:t xml:space="preserve"> </w:t>
      </w:r>
      <w:r>
        <w:t xml:space="preserve">depending mainly on grid CO2-intensity for electric flights242 and production of the hydrogen</w:t>
      </w:r>
      <w:r>
        <w:t xml:space="preserve"> </w:t>
      </w:r>
      <w:r>
        <w:t xml:space="preserve">(“green hydrogen” from a near-zero CO2-intensity grid is beneficial243 otherwise barely, even</w:t>
      </w:r>
      <w:r>
        <w:t xml:space="preserve"> </w:t>
      </w:r>
      <w:r>
        <w:t xml:space="preserve">for ”blue hydrogen”, originated from carbon capture)244.</w:t>
      </w:r>
      <w:r>
        <w:t xml:space="preserve"> </w:t>
      </w:r>
      <w:r>
        <w:t xml:space="preserve">According to the latest assessment report of the IPCC, demand-side mitigation options in end-</w:t>
      </w:r>
      <w:r>
        <w:t xml:space="preserve"> </w:t>
      </w:r>
      <w:r>
        <w:t xml:space="preserve">use sectors can reduce 40–70% of global greenhouse gas emissions by 2050 compared to</w:t>
      </w:r>
      <w:r>
        <w:t xml:space="preserve"> </w:t>
      </w:r>
      <w:r>
        <w:t xml:space="preserve">emissions under currently implemented policies, while supporting well-being for all245. This</w:t>
      </w:r>
      <w:r>
        <w:t xml:space="preserve"> </w:t>
      </w:r>
      <w:r>
        <w:t xml:space="preserve">may also be relevant for short-haul flights. Question some air travel needs would support</w:t>
      </w:r>
      <w:r>
        <w:br/>
      </w:r>
      <w:r>
        <w:t xml:space="preserve">achieving the remaining emissions reductions.</w:t>
      </w:r>
      <w:r>
        <w:br/>
      </w:r>
      <w:r>
        <w:t xml:space="preserve">Modal shift towards high-speed rail and ferries offers the most significant emissions reduction</w:t>
      </w:r>
      <w:r>
        <w:t xml:space="preserve"> </w:t>
      </w:r>
      <w:r>
        <w:t xml:space="preserve">potential for short-haul flights, particularly where they provide appropriate levels of service.</w:t>
      </w:r>
      <w:r>
        <w:t xml:space="preserve"> </w:t>
      </w:r>
      <w:r>
        <w:t xml:space="preserve">SAF has a lower but good mitigation potential, while electric, hybrid and hydrogen aircraft can</w:t>
      </w:r>
      <w:r>
        <w:t xml:space="preserve"> </w:t>
      </w:r>
      <w:r>
        <w:t xml:space="preserve">be an interesting avenue to support decarbonisation.</w:t>
      </w:r>
      <w:r>
        <w:t xml:space="preserve"> </w:t>
      </w:r>
      <w:r>
        <w:t xml:space="preserve">6.2. Connectivity: outermost regions, islands and remote territories</w:t>
      </w:r>
      <w:r>
        <w:t xml:space="preserve"> </w:t>
      </w:r>
      <w:r>
        <w:t xml:space="preserve">Especially when land transport is unavailable, limited, or impractically time consuming (e.g. </w:t>
      </w:r>
      <w:r>
        <w:t xml:space="preserve"> </w:t>
      </w:r>
      <w:r>
        <w:t xml:space="preserve">for same-day travel), air connectivity can support the economic development of outermost</w:t>
      </w:r>
      <w:r>
        <w:t xml:space="preserve"> </w:t>
      </w:r>
      <w:r>
        <w:t xml:space="preserve">regions (OMR), islands and remote territories. As described in the 2021 Impact Assessment,</w:t>
      </w:r>
      <w:r>
        <w:t xml:space="preserve"> </w:t>
      </w:r>
      <w:r>
        <w:t xml:space="preserve">changes in the cost of flying or the frequency of available flights can affect the access by</w:t>
      </w:r>
      <w:r>
        <w:t xml:space="preserve"> </w:t>
      </w:r>
      <w:r>
        <w:t xml:space="preserve">residents of these areas to education, training, healthcare, social networks, goods and services</w:t>
      </w:r>
      <w:r>
        <w:t xml:space="preserve"> </w:t>
      </w:r>
      <w:r>
        <w:t xml:space="preserve">to a greater extent than for other, less-isolated regions. When examining impacts, we also</w:t>
      </w:r>
      <w:r>
        <w:t xml:space="preserve"> </w:t>
      </w:r>
      <w:r>
        <w:t xml:space="preserve">consider Iceland. As shown in the Impact Assessment (section 6.2.3.3), the impact of the</w:t>
      </w:r>
      <w:r>
        <w:t xml:space="preserve"> </w:t>
      </w:r>
      <w:r>
        <w:t xml:space="preserve">policy options on ticket prices is likely to be limited.</w:t>
      </w:r>
      <w:r>
        <w:br/>
      </w:r>
      <w:r>
        <w:t xml:space="preserve">The EU ETS includes special provisions for OMR, islands, and remote territories. Several</w:t>
      </w:r>
      <w:r>
        <w:t xml:space="preserve"> </w:t>
      </w:r>
      <w:r>
        <w:t xml:space="preserve">flight routes involving OMR are not covered by a carbon price until the end of 2030246. In 2024,</w:t>
      </w:r>
    </w:p>
    <w:p>
      <w:pPr>
        <w:pStyle w:val="BodyText"/>
      </w:pPr>
      <w:r>
        <w:t xml:space="preserve">240 World Economic Forum, How hybrid planes could make aviation more sustainable, 2024.</w:t>
      </w:r>
      <w:r>
        <w:t xml:space="preserve"> </w:t>
      </w:r>
      <w:r>
        <w:t xml:space="preserve">241 Busch, A., Gülzow, A., &amp; Hanke-Rauschenbach, R., Hydrogen-powered aircraft: Energy demand and</w:t>
      </w:r>
      <w:r>
        <w:t xml:space="preserve"> </w:t>
      </w:r>
      <w:r>
        <w:t xml:space="preserve">performance estimates for 2035 and 2050. DLR Institute of Engineering Thermodynamics, 2021.</w:t>
      </w:r>
      <w:r>
        <w:t xml:space="preserve"> </w:t>
      </w:r>
      <w:r>
        <w:t xml:space="preserve">242 Chen, H., Rutherford, D., Wolfram, P., &amp; Pavlenko, N. (2022), International Council on Clean</w:t>
      </w:r>
      <w:r>
        <w:t xml:space="preserve"> </w:t>
      </w:r>
      <w:r>
        <w:t xml:space="preserve">Transportation, Performance analysis of regional electric aircraft, 2022. Braun, C., Grimme, W., &amp;</w:t>
      </w:r>
      <w:r>
        <w:t xml:space="preserve"> </w:t>
      </w:r>
      <w:r>
        <w:t xml:space="preserve">Oesingmann, N., Life cycle assessment of hybrid-electric aircraft technologies: A review. DLR – German</w:t>
      </w:r>
      <w:r>
        <w:t xml:space="preserve"> </w:t>
      </w:r>
      <w:r>
        <w:t xml:space="preserve">Aerospace Center, 2024.</w:t>
      </w:r>
      <w:r>
        <w:t xml:space="preserve"> </w:t>
      </w:r>
      <w:r>
        <w:t xml:space="preserve">243 International</w:t>
      </w:r>
      <w:r>
        <w:t xml:space="preserve"> </w:t>
      </w:r>
      <w:r>
        <w:t xml:space="preserve">Energy</w:t>
      </w:r>
      <w:r>
        <w:t xml:space="preserve"> </w:t>
      </w:r>
      <w:r>
        <w:t xml:space="preserve">Agency.</w:t>
      </w:r>
      <w:r>
        <w:t xml:space="preserve"> </w:t>
      </w:r>
      <w:r>
        <w:t xml:space="preserve">(2023).</w:t>
      </w:r>
      <w:r>
        <w:t xml:space="preserve"> </w:t>
      </w:r>
      <w:r>
        <w:t xml:space="preserve">Global</w:t>
      </w:r>
      <w:r>
        <w:t xml:space="preserve"> </w:t>
      </w:r>
      <w:r>
        <w:t xml:space="preserve">hydrogen</w:t>
      </w:r>
      <w:r>
        <w:t xml:space="preserve"> </w:t>
      </w:r>
      <w:r>
        <w:t xml:space="preserve">review</w:t>
      </w:r>
      <w:r>
        <w:t xml:space="preserve"> </w:t>
      </w:r>
      <w:r>
        <w:t xml:space="preserve">2023.</w:t>
      </w:r>
      <w:r>
        <w:t xml:space="preserve"> </w:t>
      </w:r>
      <w:r>
        <w:t xml:space="preserve">IEA.</w:t>
      </w:r>
      <w:r>
        <w:t xml:space="preserve"> </w:t>
      </w:r>
      <w:r>
        <w:t xml:space="preserve">https://www.iea.org/reports/global-hydrogen-review-2023</w:t>
      </w:r>
    </w:p>
    <w:p>
      <w:pPr>
        <w:pStyle w:val="BodyText"/>
      </w:pPr>
      <w:r>
        <w:t xml:space="preserve">Ricks, W., Xu, Q., &amp; Jenkins, J. D. (2023). Minimizing emissions from grid-based hydrogen production in</w:t>
      </w:r>
      <w:r>
        <w:t xml:space="preserve"> </w:t>
      </w:r>
      <w:r>
        <w:t xml:space="preserve">the United States. Environmental Research Letters, 18(1), Article 014025. https://doi.org/10.1088/1748-</w:t>
      </w:r>
      <w:r>
        <w:t xml:space="preserve"> </w:t>
      </w:r>
      <w:r>
        <w:t xml:space="preserve">9326/acacb5</w:t>
      </w:r>
      <w:r>
        <w:t xml:space="preserve"> </w:t>
      </w:r>
      <w:r>
        <w:t xml:space="preserve">244 Zheng, W., Li, Y., Rutherford, D., &amp; Pavlenko, N., International Council on Clean Transportation, Hydrogen</w:t>
      </w:r>
      <w:r>
        <w:t xml:space="preserve"> </w:t>
      </w:r>
      <w:r>
        <w:t xml:space="preserve">fuel-cell retrofits for regional aviation, 2023.</w:t>
      </w:r>
    </w:p>
    <w:p>
      <w:pPr>
        <w:pStyle w:val="BodyText"/>
      </w:pPr>
      <w:r>
        <w:t xml:space="preserve">Clean Sky &amp; Fuel Cells and Hydrogen Joint Undertaking, Hydrogen-powered aviation: A fact-based study of</w:t>
      </w:r>
      <w:r>
        <w:t xml:space="preserve"> </w:t>
      </w:r>
      <w:r>
        <w:t xml:space="preserve">hydrogen technology, economics, and climate impact, 2020.</w:t>
      </w:r>
    </w:p>
    <w:p>
      <w:pPr>
        <w:pStyle w:val="BodyText"/>
      </w:pPr>
      <w:r>
        <w:t xml:space="preserve">Ablon, D. J., &amp; Sinnett, M., The Aeronautical Journal, Abating CO₂ and non-CO₂ emissions with hydrogen</w:t>
      </w:r>
      <w:r>
        <w:t xml:space="preserve"> </w:t>
      </w:r>
      <w:r>
        <w:t xml:space="preserve">propulsion, 2024.</w:t>
      </w:r>
      <w:r>
        <w:t xml:space="preserve"> </w:t>
      </w:r>
      <w:r>
        <w:t xml:space="preserve">245 IPCC, Summary for Policymakers. In: Climate Change 2022: Mitigation of Climate Change. Contribution of</w:t>
      </w:r>
      <w:r>
        <w:t xml:space="preserve"> </w:t>
      </w:r>
      <w:r>
        <w:t xml:space="preserve">Working Group III to the Sixth Assessment Report of the Intergovernmental Panel on Climate Change [P.R.</w:t>
      </w:r>
      <w:r>
        <w:t xml:space="preserve"> </w:t>
      </w:r>
      <w:r>
        <w:t xml:space="preserve">Shukla, J. Skea, R. Slade et al. (eds.)], Cambridge University Press. DOI: 10.1017/9781009157926.001, 2022.</w:t>
      </w:r>
      <w:r>
        <w:t xml:space="preserve"> </w:t>
      </w:r>
      <w:r>
        <w:t xml:space="preserve">246 See ETS Directive, Article 28a: Flights between an outermost region of a Member State and the same Member</w:t>
      </w:r>
      <w:r>
        <w:t xml:space="preserve"> </w:t>
      </w:r>
      <w:r>
        <w:t xml:space="preserve">State outside that outermost region, flights within the same outermost region, and flights between different</w:t>
      </w:r>
      <w:r>
        <w:t xml:space="preserve"> </w:t>
      </w:r>
      <w:r>
        <w:t xml:space="preserve">outermost regions in the same Member State are exempted from the requirements of Article 12(3), Article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excluded emissions under the EU ETS amounted to a total of 2.5 MtCO2247. In addition,</w:t>
      </w:r>
      <w:r>
        <w:t xml:space="preserve"> </w:t>
      </w:r>
      <w:r>
        <w:t xml:space="preserve">Member States can designate socially necessary flights to operate under Public Service</w:t>
      </w:r>
      <w:r>
        <w:t xml:space="preserve"> </w:t>
      </w:r>
      <w:r>
        <w:t xml:space="preserve">Obligations (PSOs248) to ensure socially necessary connectivity on routes which would</w:t>
      </w:r>
      <w:r>
        <w:t xml:space="preserve"> </w:t>
      </w:r>
      <w:r>
        <w:t xml:space="preserve">otherwise not be sufficiently served. PSOs and airfare subsidies currently cover routes from</w:t>
      </w:r>
      <w:r>
        <w:t xml:space="preserve"> </w:t>
      </w:r>
      <w:r>
        <w:t xml:space="preserve">70% of OMR and islands particularly supporting inter-island flights and connections to</w:t>
      </w:r>
      <w:r>
        <w:t xml:space="preserve"> </w:t>
      </w:r>
      <w:r>
        <w:t xml:space="preserve">mainland airports249. PSO emissions have increased by about 80kt since 2019 and they are</w:t>
      </w:r>
      <w:r>
        <w:t xml:space="preserve"> </w:t>
      </w:r>
      <w:r>
        <w:t xml:space="preserve">excluded from the ETS. Finally, airlines using eligible SAF on flights departing from airports</w:t>
      </w:r>
      <w:r>
        <w:t xml:space="preserve"> </w:t>
      </w:r>
      <w:r>
        <w:t xml:space="preserve">on remote islands and OMR250, even those not covered by the carbon price, can receive ETS-</w:t>
      </w:r>
      <w:r>
        <w:t xml:space="preserve"> </w:t>
      </w:r>
      <w:r>
        <w:t xml:space="preserve">financed SAF support to cover 100% of the remaining price differential between the SAF used</w:t>
      </w:r>
      <w:r>
        <w:t xml:space="preserve"> </w:t>
      </w:r>
      <w:r>
        <w:t xml:space="preserve">and fossil kerosene.</w:t>
      </w:r>
      <w:r>
        <w:t xml:space="preserve"> </w:t>
      </w:r>
      <w:r>
        <w:t xml:space="preserve">Nearly all251 OMR, islands and remote territories had more passengers and flights in 2024</w:t>
      </w:r>
      <w:r>
        <w:t xml:space="preserve"> </w:t>
      </w:r>
      <w:r>
        <w:t xml:space="preserve">compared to 2019. Although ACI Europe252 finds a decrease in the number of destinations</w:t>
      </w:r>
      <w:r>
        <w:t xml:space="preserve"> </w:t>
      </w:r>
      <w:r>
        <w:t xml:space="preserve">served at airports in these regions (especially at smaller airports) in the same timeframe, the</w:t>
      </w:r>
      <w:r>
        <w:t xml:space="preserve"> </w:t>
      </w:r>
      <w:r>
        <w:t xml:space="preserve">traffic increase reflects the overall increase in connectivity of these regions. In the case of</w:t>
      </w:r>
      <w:r>
        <w:t xml:space="preserve"> </w:t>
      </w:r>
      <w:r>
        <w:t xml:space="preserve">OMR, emissions from non-domestic EEA flights (covered by the EU ETS) increased by 14%</w:t>
      </w:r>
      <w:r>
        <w:t xml:space="preserve"> </w:t>
      </w:r>
      <w:r>
        <w:t xml:space="preserve">in 2024 compared to 2019, exceeding 4MtCO2, which corresponds to 6% of all emissions under</w:t>
      </w:r>
      <w:r>
        <w:t xml:space="preserve"> </w:t>
      </w:r>
      <w:r>
        <w:t xml:space="preserve">the aviation ETS253. Emissions between OMRs and their mainland slightly increased between</w:t>
      </w:r>
      <w:r>
        <w:t xml:space="preserve"> </w:t>
      </w:r>
      <w:r>
        <w:t xml:space="preserve">2024 and 2019, while emissions from flights within the same OMR and different OMRs within</w:t>
      </w:r>
      <w:r>
        <w:t xml:space="preserve"> </w:t>
      </w:r>
      <w:r>
        <w:t xml:space="preserve">the same Member State254 increased by 9%. PSOs covered 93% and 48% of these flights’</w:t>
      </w:r>
      <w:r>
        <w:t xml:space="preserve"> </w:t>
      </w:r>
      <w:r>
        <w:t xml:space="preserve">emissions in 2024 and 2019, respectively. CO2 emissions reached 10 Mt for connections to and</w:t>
      </w:r>
      <w:r>
        <w:t xml:space="preserve"> </w:t>
      </w:r>
      <w:r>
        <w:t xml:space="preserve">from EU remote regions and islands, and 1 Mt for Iceland, mostly driven by the higher activity,</w:t>
      </w:r>
      <w:r>
        <w:t xml:space="preserve"> </w:t>
      </w:r>
      <w:r>
        <w:t xml:space="preserve">especially in Greek and Italian islands, as well as Malta.</w:t>
      </w:r>
      <w:r>
        <w:t xml:space="preserve"> </w:t>
      </w:r>
      <w:r>
        <w:t xml:space="preserve">The effects of changes in connectivity patterns on remote areas can vary depending on whether</w:t>
      </w:r>
      <w:r>
        <w:t xml:space="preserve"> </w:t>
      </w:r>
      <w:r>
        <w:t xml:space="preserve">the destination is a hub or a smaller airport, and where the airport is located. Flights to large</w:t>
      </w:r>
      <w:r>
        <w:t xml:space="preserve"> </w:t>
      </w:r>
      <w:r>
        <w:t xml:space="preserve">intra-EEA hub airports with extensive connecting flights, and a region’s mainland airport can</w:t>
      </w:r>
      <w:r>
        <w:t xml:space="preserve"> </w:t>
      </w:r>
      <w:r>
        <w:t xml:space="preserve">enhance labour mobility, productivity, and attract investments. Flights to smaller airports with</w:t>
      </w:r>
      <w:r>
        <w:t xml:space="preserve"> </w:t>
      </w:r>
      <w:r>
        <w:t xml:space="preserve">fewer connections may not provide similar economic stimulation but enable regional</w:t>
      </w:r>
      <w:r>
        <w:t xml:space="preserve"> </w:t>
      </w:r>
      <w:r>
        <w:t xml:space="preserve">connectivity. Connections to other smaller international destinations (intra- and beyond EEA)</w:t>
      </w:r>
      <w:r>
        <w:t xml:space="preserve"> </w:t>
      </w:r>
      <w:r>
        <w:t xml:space="preserve">generally provide economic rather than social benefits, mostly through tourism-driven seasonal</w:t>
      </w:r>
      <w:r>
        <w:t xml:space="preserve"> </w:t>
      </w:r>
      <w:r>
        <w:t xml:space="preserve">connectivity. In addition, the relation between air connectivity and economic growth is not</w:t>
      </w:r>
      <w:r>
        <w:t xml:space="preserve"> </w:t>
      </w:r>
      <w:r>
        <w:t xml:space="preserve">equal across European regions. In particular, high-income, high-connectivity regions showing</w:t>
      </w:r>
    </w:p>
    <w:p>
      <w:pPr>
        <w:pStyle w:val="BodyText"/>
      </w:pPr>
      <w:r>
        <w:t xml:space="preserve">14(3), and Article 16 of the ETS Directive until 31 December 2030. Such derogations were established in the</w:t>
      </w:r>
      <w:r>
        <w:t xml:space="preserve"> </w:t>
      </w:r>
      <w:r>
        <w:t xml:space="preserve">2023 amendments of the ETS Directive (Directive (EU) 2023/958); before January 2024, flights to/from</w:t>
      </w:r>
      <w:r>
        <w:t xml:space="preserve"> </w:t>
      </w:r>
      <w:r>
        <w:t xml:space="preserve">outermost regions and EEA countries were excluded, while flights within outermost regions were included.</w:t>
      </w:r>
      <w:r>
        <w:t xml:space="preserve"> </w:t>
      </w:r>
      <w:r>
        <w:t xml:space="preserve">247 Source: Ricardo aviation support study.</w:t>
      </w:r>
      <w:r>
        <w:br/>
      </w:r>
      <w:r>
        <w:t xml:space="preserve">248 Official Journal of the European Union, COMMISSION NOTICE Interpretative guidelines on Regulation</w:t>
      </w:r>
      <w:r>
        <w:t xml:space="preserve"> </w:t>
      </w:r>
      <w:r>
        <w:t xml:space="preserve">(EC) No 1008/2008 - Public Service Obligations (PSO) (2017/C 194/01), 2017 .</w:t>
      </w:r>
      <w:r>
        <w:t xml:space="preserve"> </w:t>
      </w:r>
      <w:r>
        <w:t xml:space="preserve">249 Interisland routes involving all eight airports of the Canary Islands are covered by PSOs. Airlines operating</w:t>
      </w:r>
      <w:r>
        <w:t xml:space="preserve"> </w:t>
      </w:r>
      <w:r>
        <w:t xml:space="preserve">some PSO interisland routes receive direct financial compensation, and island residents are eligible for a 75%</w:t>
      </w:r>
      <w:r>
        <w:t xml:space="preserve"> </w:t>
      </w:r>
      <w:r>
        <w:t xml:space="preserve">government airfare subsidy. In the French OMRs, all airports except Mayotte and Saint Martin offer routes</w:t>
      </w:r>
      <w:r>
        <w:t xml:space="preserve"> </w:t>
      </w:r>
      <w:r>
        <w:t xml:space="preserve">subject to PSOs that mainly connect to Paris. In the Portuguese OMRs, a PSO covers 15 interisland routes in</w:t>
      </w:r>
      <w:r>
        <w:t xml:space="preserve"> </w:t>
      </w:r>
      <w:r>
        <w:t xml:space="preserve">the Azores and connections between Madeira and the Azores. In addition, a mobility aid is available for</w:t>
      </w:r>
      <w:r>
        <w:t xml:space="preserve"> </w:t>
      </w:r>
      <w:r>
        <w:t xml:space="preserve">residents for flights to/from the Azores and Madeira. Source: Commission analysis based on Eurocontrol</w:t>
      </w:r>
      <w:r>
        <w:t xml:space="preserve"> </w:t>
      </w:r>
      <w:r>
        <w:t xml:space="preserve">data.</w:t>
      </w:r>
      <w:r>
        <w:t xml:space="preserve"> </w:t>
      </w:r>
      <w:r>
        <w:t xml:space="preserve">250 Flights departing from airports on islands smaller than 10,000 km2 without a road or rail link to the mainland</w:t>
      </w:r>
      <w:r>
        <w:t xml:space="preserve"> </w:t>
      </w:r>
      <w:r>
        <w:t xml:space="preserve">or airports that do not qualify as Union airports (i.e. airports in outermost regions and small airports with less</w:t>
      </w:r>
      <w:r>
        <w:t xml:space="preserve"> </w:t>
      </w:r>
      <w:r>
        <w:t xml:space="preserve">than 800 thousand passengers or 100 thousand tonnes of cargo annually). ETS Directive Article 3c.</w:t>
      </w:r>
      <w:r>
        <w:t xml:space="preserve"> </w:t>
      </w:r>
      <w:r>
        <w:t xml:space="preserve">251 In French outermost regions and Corsica the number of flights has decreased by 17% and 8%, respectively.</w:t>
      </w:r>
      <w:r>
        <w:t xml:space="preserve"> </w:t>
      </w:r>
      <w:r>
        <w:t xml:space="preserve">252 Airport Council International (ACI) Europe, Airport Industry Connectivity Report 2025, 2025,</w:t>
      </w:r>
      <w:r>
        <w:br/>
      </w:r>
      <w:r>
        <w:t xml:space="preserve">253 Commission’s own calculations based on Eurocontrol monitoring.</w:t>
      </w:r>
      <w:r>
        <w:t xml:space="preserve"> </w:t>
      </w:r>
      <w:r>
        <w:t xml:space="preserve">254 Before January 2024 flights within outermost regions were included in the EU ETS.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signs of saturation (i.e. where additional air travel capacity no longer facilitates business</w:t>
      </w:r>
      <w:r>
        <w:t xml:space="preserve"> </w:t>
      </w:r>
      <w:r>
        <w:t xml:space="preserve">growth, e.g. in Ireland and Cyprus), as well as regions where tourism is mostly domestic, show</w:t>
      </w:r>
      <w:r>
        <w:t xml:space="preserve"> </w:t>
      </w:r>
      <w:r>
        <w:t xml:space="preserve">limited dependence on air travel for economic development, as additional air connectivity may</w:t>
      </w:r>
      <w:r>
        <w:t xml:space="preserve"> </w:t>
      </w:r>
      <w:r>
        <w:t xml:space="preserve">no longer add significant GDP per capita. Moreover, in regions with good rail network, air</w:t>
      </w:r>
      <w:r>
        <w:t xml:space="preserve"> </w:t>
      </w:r>
      <w:r>
        <w:t xml:space="preserve">connectivity can even lead to worse economic performance255. Several remote areas and small</w:t>
      </w:r>
      <w:r>
        <w:t xml:space="preserve"> </w:t>
      </w:r>
      <w:r>
        <w:t xml:space="preserve">islands have a high share of domestic flights, which are important for national integration and</w:t>
      </w:r>
      <w:r>
        <w:t xml:space="preserve"> </w:t>
      </w:r>
      <w:r>
        <w:t xml:space="preserve">facilitate access to national services. Of the studied regions, Corsica, Cyclades, Lesvos/Limnos,</w:t>
      </w:r>
      <w:r>
        <w:t xml:space="preserve"> </w:t>
      </w:r>
      <w:r>
        <w:t xml:space="preserve">Sardinia, and Sicily stand out with a high share of domestic connections, including to the hubs</w:t>
      </w:r>
      <w:r>
        <w:t xml:space="preserve"> </w:t>
      </w:r>
      <w:r>
        <w:t xml:space="preserve">of Paris, Athens, and Rome, indicating strong mainland connectivity. In contrast, the majority</w:t>
      </w:r>
      <w:r>
        <w:t xml:space="preserve"> </w:t>
      </w:r>
      <w:r>
        <w:t xml:space="preserve">of flights from Ibiza, Mallorca, Corfu, Crete, and the Dodecanese islands are to international</w:t>
      </w:r>
      <w:r>
        <w:t xml:space="preserve"> </w:t>
      </w:r>
      <w:r>
        <w:t xml:space="preserve">intra-EEA and UK destinations (these have been covered by the ETS carbon price since 2012).</w:t>
      </w:r>
      <w:r>
        <w:t xml:space="preserve"> </w:t>
      </w:r>
      <w:r>
        <w:t xml:space="preserve">This indicates a higher share of tourist flights. The relatively high numbers of total flights and</w:t>
      </w:r>
      <w:r>
        <w:t xml:space="preserve"> </w:t>
      </w:r>
      <w:r>
        <w:t xml:space="preserve">flights per population of these regions suggest stable air connections with their mainland.</w:t>
      </w:r>
      <w:r>
        <w:t xml:space="preserve"> </w:t>
      </w:r>
      <w:r>
        <w:t xml:space="preserve">In general, international flights to/from OMR, islands, and remote territories256 contributed to</w:t>
      </w:r>
      <w:r>
        <w:t xml:space="preserve"> </w:t>
      </w:r>
      <w:r>
        <w:t xml:space="preserve">below 10% of total emissions of those flights in 2024, with exceptions being Cyprus (16%),</w:t>
      </w:r>
      <w:r>
        <w:t xml:space="preserve"> </w:t>
      </w:r>
      <w:r>
        <w:t xml:space="preserve">Madeira (16% together with the Azores), and more notably from Ireland and Iceland (both at</w:t>
      </w:r>
      <w:r>
        <w:t xml:space="preserve"> </w:t>
      </w:r>
      <w:r>
        <w:t xml:space="preserve">50%). Only Dublin Airport and Keflavík Airport are hub airports in such territories257 that offer</w:t>
      </w:r>
      <w:r>
        <w:t xml:space="preserve"> </w:t>
      </w:r>
      <w:r>
        <w:t xml:space="preserve">connections with international destinations (i.e. North America). ACI Europe classified both</w:t>
      </w:r>
      <w:r>
        <w:t xml:space="preserve"> </w:t>
      </w:r>
      <w:r>
        <w:t xml:space="preserve">airports as “Niche &amp; Smaller Hubs”, for which the risk of hub-carbon leakage, thus of</w:t>
      </w:r>
      <w:r>
        <w:t xml:space="preserve"> </w:t>
      </w:r>
      <w:r>
        <w:t xml:space="preserve">connectivity changes, may be smaller than at larger hub airports with more transfer traffic. For</w:t>
      </w:r>
      <w:r>
        <w:t xml:space="preserve"> </w:t>
      </w:r>
      <w:r>
        <w:t xml:space="preserve">both airports, London Heathrow is the main alternative hub for indirect flights between Europe</w:t>
      </w:r>
      <w:r>
        <w:t xml:space="preserve"> </w:t>
      </w:r>
      <w:r>
        <w:t xml:space="preserve">and North America, where the UK ETS currently applies with a similar regulatory stringency</w:t>
      </w:r>
      <w:r>
        <w:t xml:space="preserve"> </w:t>
      </w:r>
      <w:r>
        <w:t xml:space="preserve">and compliance costs as the EU ETS. As shown in Case study 1 in section 4 above, however,</w:t>
      </w:r>
      <w:r>
        <w:t xml:space="preserve"> </w:t>
      </w:r>
      <w:r>
        <w:t xml:space="preserve">the risk of hub carbon leakage for these types of indirect intercontinental routes is expected to</w:t>
      </w:r>
      <w:r>
        <w:t xml:space="preserve"> </w:t>
      </w:r>
      <w:r>
        <w:t xml:space="preserve">remain small under all policy options. Furthermore, despite the connections offered from</w:t>
      </w:r>
      <w:r>
        <w:t xml:space="preserve"> </w:t>
      </w:r>
      <w:r>
        <w:t xml:space="preserve">Cyprus and Madeira to extra-EEA destinations in the Middle East and the Americas,</w:t>
      </w:r>
      <w:r>
        <w:t xml:space="preserve"> </w:t>
      </w:r>
      <w:r>
        <w:t xml:space="preserve">respectively, airports in these islands mostly operate touristic flights rather than serving as</w:t>
      </w:r>
      <w:r>
        <w:t xml:space="preserve"> </w:t>
      </w:r>
      <w:r>
        <w:t xml:space="preserve">connecting hubs. Finally, airlines with hub operations at airports in OMR, such as Azores</w:t>
      </w:r>
      <w:r>
        <w:t xml:space="preserve"> </w:t>
      </w:r>
      <w:r>
        <w:t xml:space="preserve">Airlines and Binter Canarias, are likely to face limited risk of hub switching because hub</w:t>
      </w:r>
      <w:r>
        <w:t xml:space="preserve"> </w:t>
      </w:r>
      <w:r>
        <w:t xml:space="preserve">operations focus on onward connections to airports within the respective island group.</w:t>
      </w:r>
      <w:r>
        <w:t xml:space="preserve"> </w:t>
      </w:r>
      <w:r>
        <w:t xml:space="preserve">7. PRIVATE &amp; BUSINESS JETS INCLUSION</w:t>
      </w:r>
      <w:r>
        <w:t xml:space="preserve"> </w:t>
      </w:r>
      <w:r>
        <w:t xml:space="preserve">As required under Article 30(8), point (b) of the ETS Directive, in 2026 the Commission shall</w:t>
      </w:r>
      <w:r>
        <w:t xml:space="preserve"> </w:t>
      </w:r>
      <w:r>
        <w:t xml:space="preserve">provide an assessment of the environmental and climate impacts of exempted flights performed</w:t>
      </w:r>
      <w:r>
        <w:t xml:space="preserve"> </w:t>
      </w:r>
      <w:r>
        <w:t xml:space="preserve">by small aircraft or non-commercial operators with low emissions, and consider options to</w:t>
      </w:r>
      <w:r>
        <w:t xml:space="preserve"> </w:t>
      </w:r>
      <w:r>
        <w:t xml:space="preserve">reduce those impacts. This assessment should be taken into account for the future revision of</w:t>
      </w:r>
      <w:r>
        <w:t xml:space="preserve"> </w:t>
      </w:r>
      <w:r>
        <w:t xml:space="preserve">the ETS Directive. As it may be extremely challenging to achieve a position concerning the</w:t>
      </w:r>
      <w:r>
        <w:t xml:space="preserve"> </w:t>
      </w:r>
      <w:r>
        <w:t xml:space="preserve">inclusion of business aviation into the Energy Tax Directive258, it is even more important to</w:t>
      </w:r>
      <w:r>
        <w:t xml:space="preserve"> </w:t>
      </w:r>
      <w:r>
        <w:t xml:space="preserve">seriously look into this issue of exempting certain aircraft operators and flights from the EU</w:t>
      </w:r>
      <w:r>
        <w:t xml:space="preserve"> </w:t>
      </w:r>
      <w:r>
        <w:t xml:space="preserve">ETS.</w:t>
      </w:r>
      <w:r>
        <w:t xml:space="preserve"> </w:t>
      </w:r>
      <w:r>
        <w:t xml:space="preserve">Despite representing a small fraction of overall aviation activity, private jets contribute</w:t>
      </w:r>
      <w:r>
        <w:t xml:space="preserve"> </w:t>
      </w:r>
      <w:r>
        <w:t xml:space="preserve">disproportionately to total aviation emissions, releasing 5 to 14 times more CO2 per passenger</w:t>
      </w:r>
    </w:p>
    <w:p>
      <w:pPr>
        <w:pStyle w:val="BodyText"/>
      </w:pPr>
      <w:r>
        <w:t xml:space="preserve">255 NEF and T&amp;E, Chapman, A., Pot, F., New Economics Foundation, The economics of air transport in Europe,</w:t>
      </w:r>
      <w:r>
        <w:t xml:space="preserve"> </w:t>
      </w:r>
      <w:r>
        <w:t xml:space="preserve">2025.</w:t>
      </w:r>
      <w:r>
        <w:br/>
      </w:r>
      <w:r>
        <w:t xml:space="preserve">256 Extra-EEA destinations (other than Switzerland and the UK), which are not covered by the ETS carbon price.</w:t>
      </w:r>
      <w:r>
        <w:br/>
      </w:r>
      <w:r>
        <w:t xml:space="preserve">257 Dublin Airport (ICAO: EIDW) and Keflavík Airport (ICAO: BIKF) are the only airports within these regions</w:t>
      </w:r>
      <w:r>
        <w:t xml:space="preserve"> </w:t>
      </w:r>
      <w:r>
        <w:t xml:space="preserve">with significant hub operations. Source: support study.</w:t>
      </w:r>
      <w:r>
        <w:t xml:space="preserve"> </w:t>
      </w:r>
      <w:r>
        <w:t xml:space="preserve">258 European Council Council of the European Union ; Economic and Financial Affairs Council, Economic and</w:t>
      </w:r>
      <w:r>
        <w:t xml:space="preserve"> </w:t>
      </w:r>
      <w:r>
        <w:t xml:space="preserve">Financial Affairs Council - Consilium, November 2025.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compared to commercial flights259, coupled with far superior financial resources. Looking</w:t>
      </w:r>
      <w:r>
        <w:t xml:space="preserve"> </w:t>
      </w:r>
      <w:r>
        <w:t xml:space="preserve">ahead, in Europe, 29% of business aviation operators expect to log more flight hours in 2026</w:t>
      </w:r>
      <w:r>
        <w:t xml:space="preserve"> </w:t>
      </w:r>
      <w:r>
        <w:t xml:space="preserve">than in 2025260, and business aviation is expected to grow at an average rate of 1.4% per year</w:t>
      </w:r>
      <w:r>
        <w:t xml:space="preserve"> </w:t>
      </w:r>
      <w:r>
        <w:t xml:space="preserve">between 2024 and 2050 under a high Eurocontrol outlook scenario261.</w:t>
      </w:r>
      <w:r>
        <w:t xml:space="preserve"> </w:t>
      </w:r>
      <w:r>
        <w:t xml:space="preserve">71% of the recorded private jet flights in 2023 in the EU were domestic or intra-EU flights,</w:t>
      </w:r>
      <w:r>
        <w:t xml:space="preserve"> </w:t>
      </w:r>
      <w:r>
        <w:t xml:space="preserve">and most flights cover less than 900km and last under two hours262. Under the EU ETS, 67%</w:t>
      </w:r>
      <w:r>
        <w:t xml:space="preserve"> </w:t>
      </w:r>
      <w:r>
        <w:t xml:space="preserve">of emissions from private jets in the EU are exempted from carbon pricing263, as many flights</w:t>
      </w:r>
      <w:r>
        <w:t xml:space="preserve"> </w:t>
      </w:r>
      <w:r>
        <w:t xml:space="preserve">fall below the thresholds for aircraft mass, annual emissions and flight numbers, or fly mainly</w:t>
      </w:r>
      <w:r>
        <w:t xml:space="preserve"> </w:t>
      </w:r>
      <w:r>
        <w:t xml:space="preserve">to and from outside the EEA.</w:t>
      </w:r>
      <w:r>
        <w:br/>
      </w:r>
      <w:r>
        <w:t xml:space="preserve">The Call for Evidence highlighted business jets as a focal point in discussions around aviation</w:t>
      </w:r>
      <w:r>
        <w:t xml:space="preserve"> </w:t>
      </w:r>
      <w:r>
        <w:t xml:space="preserve">regulation and environmental impacts. Environmental organisations and NGOs stress the rapid</w:t>
      </w:r>
      <w:r>
        <w:t xml:space="preserve"> </w:t>
      </w:r>
      <w:r>
        <w:t xml:space="preserve">growth of private jet emissions. They call for the full inclusion of business aviation in the ETS,</w:t>
      </w:r>
      <w:r>
        <w:t xml:space="preserve"> </w:t>
      </w:r>
      <w:r>
        <w:t xml:space="preserve">the removal of exemptions, and the use of CO₂ price multipliers to address the sector’s</w:t>
      </w:r>
      <w:r>
        <w:t xml:space="preserve"> </w:t>
      </w:r>
      <w:r>
        <w:t xml:space="preserve">significant climate impact comprehensively. Public authorities have also called for a</w:t>
      </w:r>
      <w:r>
        <w:t xml:space="preserve"> </w:t>
      </w:r>
      <w:r>
        <w:t xml:space="preserve">reassessment of the exemption for private flights operators emitting less than 1 000 tonnes of</w:t>
      </w:r>
      <w:r>
        <w:t xml:space="preserve"> </w:t>
      </w:r>
      <w:r>
        <w:t xml:space="preserve">CO₂ per year, noting that it may allow high-emission, luxury flights to avoid regulation.</w:t>
      </w:r>
      <w:r>
        <w:t xml:space="preserve"> </w:t>
      </w:r>
      <w:r>
        <w:t xml:space="preserve">Conversely, according to business aviation associations, private jets may enhance connectivity,</w:t>
      </w:r>
      <w:r>
        <w:t xml:space="preserve"> </w:t>
      </w:r>
      <w:r>
        <w:t xml:space="preserve">especially in remote areas, and facilitate time-sensitive international missions.</w:t>
      </w:r>
      <w:r>
        <w:br/>
      </w:r>
      <w:r>
        <w:t xml:space="preserve">The purpose of this assessment is to review the exemption of business aviation operators, who</w:t>
      </w:r>
      <w:r>
        <w:t xml:space="preserve"> </w:t>
      </w:r>
      <w:r>
        <w:t xml:space="preserve">may be operating aircraft below 5.7 tonne maximum take-off weight264 and often do not hold</w:t>
      </w:r>
      <w:r>
        <w:t xml:space="preserve"> </w:t>
      </w:r>
      <w:r>
        <w:t xml:space="preserve">an air operator certificate (AOC) falling within the list of non-commercial operators265 under</w:t>
      </w:r>
      <w:r>
        <w:t xml:space="preserve"> </w:t>
      </w:r>
      <w:r>
        <w:t xml:space="preserve">EU ETS. These flights have not paid an ETS carbon price in the past.</w:t>
      </w:r>
      <w:r>
        <w:br/>
      </w:r>
      <w:r>
        <w:t xml:space="preserve">Business aviation does not have a single, universally accepted definition, as it is determined by</w:t>
      </w:r>
      <w:r>
        <w:t xml:space="preserve"> </w:t>
      </w:r>
      <w:r>
        <w:t xml:space="preserve">the purpose of the flight rather than the operator’s identification. While international</w:t>
      </w:r>
      <w:r>
        <w:t xml:space="preserve"> </w:t>
      </w:r>
      <w:r>
        <w:t xml:space="preserve">organisations offer varying interpretations, all emphasise the operational nature of the activity</w:t>
      </w:r>
      <w:r>
        <w:t xml:space="preserve"> </w:t>
      </w:r>
      <w:r>
        <w:t xml:space="preserve">as the defining factor. A core complexity is that business aviation spans both commercial and</w:t>
      </w:r>
      <w:r>
        <w:t xml:space="preserve"> </w:t>
      </w:r>
      <w:r>
        <w:t xml:space="preserve">non-commercial operations, making clear categorisation difficult. This means that business</w:t>
      </w:r>
      <w:r>
        <w:t xml:space="preserve"> </w:t>
      </w:r>
      <w:r>
        <w:t xml:space="preserve">aviation operations are also performed by commercial aircraft operators under EU ETS, but</w:t>
      </w:r>
      <w:r>
        <w:t xml:space="preserve"> </w:t>
      </w:r>
      <w:r>
        <w:t xml:space="preserve">these operators have a different exclusion threshold266. According to the Eurocontrol data</w:t>
      </w:r>
      <w:r>
        <w:t xml:space="preserve"> </w:t>
      </w:r>
      <w:r>
        <w:t xml:space="preserve">analysed in the aviatoin support study, only 20% of the 2024 in-scope emissions in the business</w:t>
      </w:r>
      <w:r>
        <w:t xml:space="preserve"> </w:t>
      </w:r>
      <w:r>
        <w:t xml:space="preserve">aviation market segment were performed by non-commercial operators. This shows that while</w:t>
      </w:r>
      <w:r>
        <w:t xml:space="preserve"> </w:t>
      </w:r>
      <w:r>
        <w:t xml:space="preserve">most business aviation operators might be mainly non-commercial operators, the total</w:t>
      </w:r>
      <w:r>
        <w:t xml:space="preserve"> </w:t>
      </w:r>
      <w:r>
        <w:t xml:space="preserve">emissions of the commercial business aviation operators are far superior, emphasizing the need</w:t>
      </w:r>
      <w:r>
        <w:t xml:space="preserve"> </w:t>
      </w:r>
      <w:r>
        <w:t xml:space="preserve">to address business aviation under both commercial and non-commercial status.</w:t>
      </w:r>
      <w:r>
        <w:br/>
      </w:r>
      <w:r>
        <w:t xml:space="preserve">Emissions from the business aviation market segment do not specifically fall within any of the</w:t>
      </w:r>
      <w:r>
        <w:t xml:space="preserve"> </w:t>
      </w:r>
      <w:r>
        <w:t xml:space="preserve">existing exemption categories. Figure 3 demonstrates that during 2024 business aviation fell</w:t>
      </w:r>
      <w:r>
        <w:t xml:space="preserve"> </w:t>
      </w:r>
      <w:r>
        <w:t xml:space="preserve">within all existing exemption categories with varying magnitude. The largest quantity of</w:t>
      </w:r>
      <w:r>
        <w:t xml:space="preserve"> </w:t>
      </w:r>
      <w:r>
        <w:t xml:space="preserve">exempted emissions from business aviation fell under exemption category (j) under the row on</w:t>
      </w:r>
    </w:p>
    <w:p>
      <w:pPr>
        <w:pStyle w:val="BodyText"/>
      </w:pPr>
      <w:r>
        <w:t xml:space="preserve">259 ICCT, Sitompul, D., Rutherford, D., https://theicct.org/publication/air-and-ghg-pollution-from-private-jets-</w:t>
      </w:r>
      <w:r>
        <w:t xml:space="preserve"> </w:t>
      </w:r>
      <w:r>
        <w:t xml:space="preserve">2023-jun25/Air and greenhouse gas pollution from private jets , 2023.</w:t>
      </w:r>
      <w:r>
        <w:t xml:space="preserve"> </w:t>
      </w:r>
      <w:r>
        <w:t xml:space="preserve">260 Honeywell, 2025 Global Business Aviation Outlook , 2025.</w:t>
      </w:r>
      <w:r>
        <w:t xml:space="preserve"> </w:t>
      </w:r>
      <w:r>
        <w:t xml:space="preserve">261 Eurocontrol, Eurocontrol Aviation Long-Term Outlook: Flights and CO2 emissions forecast 2024-2050 ,</w:t>
      </w:r>
      <w:r>
        <w:t xml:space="preserve"> </w:t>
      </w:r>
      <w:r>
        <w:t xml:space="preserve">2024.</w:t>
      </w:r>
      <w:r>
        <w:t xml:space="preserve"> </w:t>
      </w:r>
      <w:r>
        <w:t xml:space="preserve">262 ICCT, Sitompul, D., Rutherford, D., Air and greenhouse gas pollution from private jets, 2023.</w:t>
      </w:r>
      <w:r>
        <w:t xml:space="preserve"> </w:t>
      </w:r>
      <w:r>
        <w:t xml:space="preserve">263 Carbon Market Watch, Policy Brief, August 2025.</w:t>
      </w:r>
      <w:r>
        <w:t xml:space="preserve"> </w:t>
      </w:r>
      <w:r>
        <w:t xml:space="preserve">264 Exemption (h) of the entry ‘Aviation’ of Annex I.</w:t>
      </w:r>
      <w:r>
        <w:br/>
      </w:r>
      <w:r>
        <w:t xml:space="preserve">265 Exemption (k) of the entry ‘Aviation’ of Annex I.</w:t>
      </w:r>
      <w:r>
        <w:t xml:space="preserve"> </w:t>
      </w:r>
      <w:r>
        <w:t xml:space="preserve">266 Exemption (j) of the entry ‘Aviation’ of Annex I.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aviation under the Annex I of the ETS Directive, 358k tonnes CO2 representing 53% of total</w:t>
      </w:r>
      <w:r>
        <w:t xml:space="preserve"> </w:t>
      </w:r>
      <w:r>
        <w:t xml:space="preserve">exemptions under that exemption category. Emissions from business aviation make up more</w:t>
      </w:r>
      <w:r>
        <w:t xml:space="preserve"> </w:t>
      </w:r>
      <w:r>
        <w:t xml:space="preserve">than 50% of exempted emissions under exemption categories (c)267, (h), (j) and (k). This</w:t>
      </w:r>
      <w:r>
        <w:t xml:space="preserve"> </w:t>
      </w:r>
      <w:r>
        <w:t xml:space="preserve">underlines the necessity to evaluate exemptions under points (h) and (k) as well as (j), as these</w:t>
      </w:r>
      <w:r>
        <w:t xml:space="preserve"> </w:t>
      </w:r>
      <w:r>
        <w:t xml:space="preserve">exemptions are exempting the most business aviation flights.</w:t>
      </w:r>
      <w:r>
        <w:br/>
      </w:r>
      <w:r>
        <w:t xml:space="preserve">Figure 3:</w:t>
      </w:r>
      <w:r>
        <w:t xml:space="preserve"> </w:t>
      </w:r>
      <w:r>
        <w:t xml:space="preserve">2024 surrender scope exempted emissions from the business aviation</w:t>
      </w:r>
    </w:p>
    <w:p>
      <w:pPr>
        <w:pStyle w:val="BodyText"/>
      </w:pPr>
      <w:r>
        <w:t xml:space="preserve">Source: Ricardo analysis of Eurocontrol data</w:t>
      </w:r>
      <w:r>
        <w:t xml:space="preserve"> </w:t>
      </w:r>
      <w:r>
        <w:t xml:space="preserve">Considering the above, the analysis for inclusion of private and business jets under the EU ETS</w:t>
      </w:r>
      <w:r>
        <w:t xml:space="preserve"> </w:t>
      </w:r>
      <w:r>
        <w:t xml:space="preserve">should first look into setting a new threshold for the exclusion of certain flights/aircraft</w:t>
      </w:r>
      <w:r>
        <w:t xml:space="preserve"> </w:t>
      </w:r>
      <w:r>
        <w:t xml:space="preserve">operators in a way that simplifies the framework, then try to find a definition for the business</w:t>
      </w:r>
      <w:r>
        <w:t xml:space="preserve"> </w:t>
      </w:r>
      <w:r>
        <w:t xml:space="preserve">flights, allowing for an appropriate treatment of these flights, distinct from the ordinary</w:t>
      </w:r>
      <w:r>
        <w:t xml:space="preserve"> </w:t>
      </w:r>
      <w:r>
        <w:t xml:space="preserve">treatment.</w:t>
      </w:r>
      <w:r>
        <w:br/>
      </w:r>
      <w:r>
        <w:t xml:space="preserve">7.1. New threshold</w:t>
      </w:r>
      <w:r>
        <w:t xml:space="preserve"> </w:t>
      </w:r>
      <w:r>
        <w:t xml:space="preserve">The current exclusion categories for low aviation activity (j) and (k) are also referred to as the</w:t>
      </w:r>
      <w:r>
        <w:t xml:space="preserve"> </w:t>
      </w:r>
      <w:r>
        <w:t xml:space="preserve">“de-minimis thresholds”. Exemption category (j) exempts from the EU ETS commercial</w:t>
      </w:r>
      <w:r>
        <w:t xml:space="preserve"> </w:t>
      </w:r>
      <w:r>
        <w:t xml:space="preserve">aircraft operators that emit less than 10 000 tonnes of CO₂ per year or who operate fewer than</w:t>
      </w:r>
      <w:r>
        <w:t xml:space="preserve"> </w:t>
      </w:r>
      <w:r>
        <w:t xml:space="preserve">243 flights per 4-month period for three consecutive periods. In addition, exemption category</w:t>
      </w:r>
      <w:r>
        <w:t xml:space="preserve"> </w:t>
      </w:r>
      <w:r>
        <w:t xml:space="preserve">(k) exempts non-commercial aircraft operators operating flights with total annual emissions</w:t>
      </w:r>
      <w:r>
        <w:t xml:space="preserve"> </w:t>
      </w:r>
      <w:r>
        <w:t xml:space="preserve">lower than 1 000 tonnes per year. This exemption applies until the end of 2030. Both of the de-</w:t>
      </w:r>
      <w:r>
        <w:t xml:space="preserve"> </w:t>
      </w:r>
      <w:r>
        <w:t xml:space="preserve">minimis thresholds are based on the full aviation activity as covered by the Annex I to the</w:t>
      </w:r>
      <w:r>
        <w:t xml:space="preserve"> </w:t>
      </w:r>
      <w:r>
        <w:t xml:space="preserve">Directive (i.e. all flights departing or arriving in the EEA).</w:t>
      </w:r>
    </w:p>
    <w:p>
      <w:pPr>
        <w:pStyle w:val="BodyText"/>
      </w:pPr>
      <w:r>
        <w:t xml:space="preserve">267 Flights related to search and rescue, fire-fighting flights, humanitarian flights and emergency medical service</w:t>
      </w:r>
      <w:r>
        <w:t xml:space="preserve"> </w:t>
      </w:r>
      <w:r>
        <w:t xml:space="preserve">flights authorised by the appropriate competent authority. In his category, while the flights might be operated</w:t>
      </w:r>
      <w:r>
        <w:t xml:space="preserve"> </w:t>
      </w:r>
      <w:r>
        <w:t xml:space="preserve">by smaller aircraft traditionally used by business aviation, the purpose of the flight has a positive social</w:t>
      </w:r>
      <w:r>
        <w:t xml:space="preserve"> </w:t>
      </w:r>
      <w:r>
        <w:t xml:space="preserve">impact.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7.1.1. Challenges observed with the current approach and solutions proposed</w:t>
      </w:r>
      <w:r>
        <w:t xml:space="preserve"> </w:t>
      </w:r>
      <w:r>
        <w:t xml:space="preserve">Commercial status of an aircraft operator does not necessarily indicate the full nature of their</w:t>
      </w:r>
      <w:r>
        <w:t xml:space="preserve"> </w:t>
      </w:r>
      <w:r>
        <w:t xml:space="preserve">activity. Business jets operators may operate as both commercial and non-commercial</w:t>
      </w:r>
      <w:r>
        <w:t xml:space="preserve"> </w:t>
      </w:r>
      <w:r>
        <w:t xml:space="preserve">operators. Non-commercial operators that perform flights other than business flights would</w:t>
      </w:r>
      <w:r>
        <w:t xml:space="preserve"> </w:t>
      </w:r>
      <w:r>
        <w:t xml:space="preserve">generally be exempted due to other exemptions based on the nature of flight268. This may lead</w:t>
      </w:r>
      <w:r>
        <w:t xml:space="preserve"> </w:t>
      </w:r>
      <w:r>
        <w:t xml:space="preserve">to situations where it is beneficial for a business aviation operator to start operating as a</w:t>
      </w:r>
      <w:r>
        <w:t xml:space="preserve"> </w:t>
      </w:r>
      <w:r>
        <w:t xml:space="preserve">commercial operator, applying an increased de-minimis threshold and ultimately avoiding the</w:t>
      </w:r>
      <w:r>
        <w:t xml:space="preserve"> </w:t>
      </w:r>
      <w:r>
        <w:t xml:space="preserve">ETS obligation and gaining unfair advantage269.</w:t>
      </w:r>
      <w:r>
        <w:t xml:space="preserve"> </w:t>
      </w:r>
      <w:r>
        <w:t xml:space="preserve">CORSIA is implemented in Member States via the ETS Directive. There is a number of</w:t>
      </w:r>
      <w:r>
        <w:t xml:space="preserve"> </w:t>
      </w:r>
      <w:r>
        <w:t xml:space="preserve">differences between the EU ETS and CORSIA, one being the de-minimis rules. CORSIA has</w:t>
      </w:r>
      <w:r>
        <w:t xml:space="preserve"> </w:t>
      </w:r>
      <w:r>
        <w:t xml:space="preserve">only one exclusion threshold, irrespective of the commercial status of the operator, based solely</w:t>
      </w:r>
      <w:r>
        <w:t xml:space="preserve"> </w:t>
      </w:r>
      <w:r>
        <w:t xml:space="preserve">on annual emissions. The fact, that the EU ETS has two thresholds, one of those based on two</w:t>
      </w:r>
      <w:r>
        <w:t xml:space="preserve"> </w:t>
      </w:r>
      <w:r>
        <w:t xml:space="preserve">different factors (emissions and number of flights), makes the alignment between the two</w:t>
      </w:r>
      <w:r>
        <w:t xml:space="preserve"> </w:t>
      </w:r>
      <w:r>
        <w:t xml:space="preserve">market-based measures more complicated. For market-based measures addressing aviation</w:t>
      </w:r>
      <w:r>
        <w:t xml:space="preserve"> </w:t>
      </w:r>
      <w:r>
        <w:t xml:space="preserve">emissions, solely the level of emissions should be indicative.</w:t>
      </w:r>
      <w:r>
        <w:t xml:space="preserve"> </w:t>
      </w:r>
      <w:r>
        <w:t xml:space="preserve">Under exemption (j), having the two de-minimis thresholds leads to situations where an</w:t>
      </w:r>
      <w:r>
        <w:t xml:space="preserve"> </w:t>
      </w:r>
      <w:r>
        <w:t xml:space="preserve">operator may be exempted based on their number of flights, while their emissions are relatively</w:t>
      </w:r>
      <w:r>
        <w:t xml:space="preserve"> </w:t>
      </w:r>
      <w:r>
        <w:t xml:space="preserve">high. According to the aviation support study, in 2024, 44 commercial operators (7% of total)</w:t>
      </w:r>
      <w:r>
        <w:t xml:space="preserve"> </w:t>
      </w:r>
      <w:r>
        <w:t xml:space="preserve">were exempted based on the flight number threshold only, emitting on average 48 000 tonnes</w:t>
      </w:r>
      <w:r>
        <w:t xml:space="preserve"> </w:t>
      </w:r>
      <w:r>
        <w:t xml:space="preserve">of CO2 per operator in Annex I full scope (62% of total exempted emissions under exemption</w:t>
      </w:r>
      <w:r>
        <w:t xml:space="preserve"> </w:t>
      </w:r>
      <w:r>
        <w:t xml:space="preserve">(j)). This led to 83 000 tonnes of CO2 within the surrender scope not addressed.</w:t>
      </w:r>
      <w:r>
        <w:br/>
      </w:r>
      <w:r>
        <w:t xml:space="preserve">The current de-minimis thresholds apply to the full geographical scope under Annex I, while</w:t>
      </w:r>
      <w:r>
        <w:t xml:space="preserve"> </w:t>
      </w:r>
      <w:r>
        <w:t xml:space="preserve">the surrender obligation is based on a different, limited geographical scope, as flights for which</w:t>
      </w:r>
      <w:r>
        <w:t xml:space="preserve"> </w:t>
      </w:r>
      <w:r>
        <w:t xml:space="preserve">allowances have to be surrendered does not include flights outside the EEA (except to</w:t>
      </w:r>
      <w:r>
        <w:t xml:space="preserve"> </w:t>
      </w:r>
      <w:r>
        <w:t xml:space="preserve">Switzerland and the UK). This may lead to situations where an aircraft operator falls under the</w:t>
      </w:r>
      <w:r>
        <w:t xml:space="preserve"> </w:t>
      </w:r>
      <w:r>
        <w:t xml:space="preserve">scope of EU ETS by exceeding the full scope de-minimis thresholds, but at the same time such</w:t>
      </w:r>
      <w:r>
        <w:t xml:space="preserve"> </w:t>
      </w:r>
      <w:r>
        <w:t xml:space="preserve">operator had no flights within the surrender scope or had a very limited number of flights due</w:t>
      </w:r>
      <w:r>
        <w:t xml:space="preserve"> </w:t>
      </w:r>
      <w:r>
        <w:t xml:space="preserve">to diversions or other circumstances. In these cases, the EU ETS compliance obligations (MRV</w:t>
      </w:r>
      <w:r>
        <w:t xml:space="preserve"> </w:t>
      </w:r>
      <w:r>
        <w:t xml:space="preserve">and surrendering) may be disproportionate. According to the Union Registry data for 2024, 5</w:t>
      </w:r>
      <w:r>
        <w:t xml:space="preserve"> </w:t>
      </w:r>
      <w:r>
        <w:t xml:space="preserve">operators were not excluded based on the thresholds while reporting 0 emissions under the</w:t>
      </w:r>
      <w:r>
        <w:t xml:space="preserve"> </w:t>
      </w:r>
      <w:r>
        <w:t xml:space="preserve">reduced scope, 40 operators reported less than 100 tonnes of CO2, totalling 2 041 tonnes of</w:t>
      </w:r>
      <w:r>
        <w:t xml:space="preserve"> </w:t>
      </w:r>
      <w:r>
        <w:t xml:space="preserve">CO2.</w:t>
      </w:r>
      <w:r>
        <w:br/>
      </w:r>
      <w:r>
        <w:t xml:space="preserve">To address all of the above challenges, to ensure level playing field, to simplify the exclusion</w:t>
      </w:r>
      <w:r>
        <w:t xml:space="preserve"> </w:t>
      </w:r>
      <w:r>
        <w:t xml:space="preserve">rules and to align with CORSIA, a new threshold should have the following characteristics:</w:t>
      </w:r>
      <w:r>
        <w:t xml:space="preserve"> </w:t>
      </w:r>
      <w:r>
        <w:t xml:space="preserve">• Eliminate the commercial/non-commercial distinction between aircraft operators;</w:t>
      </w:r>
      <w:r>
        <w:br/>
      </w:r>
      <w:r>
        <w:t xml:space="preserve">• Eliminate the threshold based on number of flights;</w:t>
      </w:r>
      <w:r>
        <w:br/>
      </w:r>
      <w:r>
        <w:t xml:space="preserve">• Use one common de-minimis threshold for all operators based on their aviation activity</w:t>
      </w:r>
      <w:r>
        <w:t xml:space="preserve"> </w:t>
      </w:r>
      <w:r>
        <w:t xml:space="preserve">as per full scope, expressed in CO2;</w:t>
      </w:r>
      <w:r>
        <w:t xml:space="preserve"> </w:t>
      </w:r>
      <w:r>
        <w:t xml:space="preserve">• Introduce a new simplification de-minimis threshold for operators that have very low</w:t>
      </w:r>
      <w:r>
        <w:t xml:space="preserve"> </w:t>
      </w:r>
      <w:r>
        <w:t xml:space="preserve">aviation activity under the surrender scope.</w:t>
      </w:r>
    </w:p>
    <w:p>
      <w:pPr>
        <w:pStyle w:val="BodyText"/>
      </w:pPr>
      <w:r>
        <w:t xml:space="preserve">268 Military flights, search and rescue, fire-fighting flights, humanitarian flights, emergency medical service</w:t>
      </w:r>
      <w:r>
        <w:t xml:space="preserve"> </w:t>
      </w:r>
      <w:r>
        <w:t xml:space="preserve">flights, flights performed under visual flights rules, or public service obligation flights.</w:t>
      </w:r>
      <w:r>
        <w:br/>
      </w:r>
      <w:r>
        <w:t xml:space="preserve">269 PWC et al., ETS Aviation small emitters, 2014.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7.1.2. Common de-minimis threshold based on full aviation activity</w:t>
      </w:r>
      <w:r>
        <w:t xml:space="preserve"> </w:t>
      </w:r>
      <w:r>
        <w:t xml:space="preserve">The primary goal of updating this de-minimis threshold is to ensure appropriate internalisation</w:t>
      </w:r>
      <w:r>
        <w:t xml:space="preserve"> </w:t>
      </w:r>
      <w:r>
        <w:t xml:space="preserve">of the climate impacts, especially that of private and business aviation.</w:t>
      </w:r>
      <w:r>
        <w:br/>
      </w:r>
      <w:r>
        <w:t xml:space="preserve">Considering this goal, it is appropriate to adjust the new common threshold to, at minimum,</w:t>
      </w:r>
      <w:r>
        <w:t xml:space="preserve"> </w:t>
      </w:r>
      <w:r>
        <w:t xml:space="preserve">the level of the current non-commercial operators’ threshold (1 000 tCO2), in order to avoid</w:t>
      </w:r>
      <w:r>
        <w:t xml:space="preserve"> </w:t>
      </w:r>
      <w:r>
        <w:t xml:space="preserve">any additional exclusions of non-commercial business operators. Table 21 shows how a new</w:t>
      </w:r>
      <w:r>
        <w:t xml:space="preserve"> </w:t>
      </w:r>
      <w:r>
        <w:t xml:space="preserve">de-minimis threshold would impact on the number of operators additionally included in the EU</w:t>
      </w:r>
      <w:r>
        <w:t xml:space="preserve"> </w:t>
      </w:r>
      <w:r>
        <w:t xml:space="preserve">ETS and their corresponding emissions on full scope as well as the percentage of the total</w:t>
      </w:r>
      <w:r>
        <w:t xml:space="preserve"> </w:t>
      </w:r>
      <w:r>
        <w:t xml:space="preserve">operators and their emissions that are currently excluded. The annual emissions threshold set</w:t>
      </w:r>
      <w:r>
        <w:t xml:space="preserve"> </w:t>
      </w:r>
      <w:r>
        <w:t xml:space="preserve">at 0 shows that currently, 2 808 aircraft operators are excluded from the EU ETS, these</w:t>
      </w:r>
      <w:r>
        <w:t xml:space="preserve"> </w:t>
      </w:r>
      <w:r>
        <w:t xml:space="preserve">operators emitted almost 4 million tCO2 on full scope and over 800 000 tCO2 under the current</w:t>
      </w:r>
      <w:r>
        <w:t xml:space="preserve"> </w:t>
      </w:r>
      <w:r>
        <w:t xml:space="preserve">EU ETS surrender scope.</w:t>
      </w:r>
      <w:r>
        <w:br/>
      </w:r>
      <w:r>
        <w:t xml:space="preserve">Table 21:</w:t>
      </w:r>
      <w:r>
        <w:t xml:space="preserve"> </w:t>
      </w:r>
      <w:r>
        <w:t xml:space="preserve">Emissions and number of aircraft operators (AO) included in EU ETS based on</w:t>
      </w:r>
      <w:r>
        <w:t xml:space="preserve"> </w:t>
      </w:r>
      <w:r>
        <w:t xml:space="preserve">emissions threshold on full scope</w:t>
      </w:r>
      <w:r>
        <w:t xml:space="preserve"> </w:t>
      </w:r>
      <w:r>
        <w:t xml:space="preserve">Annual</w:t>
      </w:r>
      <w:r>
        <w:t xml:space="preserve"> </w:t>
      </w:r>
      <w:r>
        <w:t xml:space="preserve">Emissions</w:t>
      </w:r>
      <w:r>
        <w:t xml:space="preserve"> </w:t>
      </w:r>
      <w:r>
        <w:t xml:space="preserve">Threshol</w:t>
      </w:r>
      <w:r>
        <w:t xml:space="preserve"> </w:t>
      </w:r>
      <w:r>
        <w:t xml:space="preserve">d (tCO2)</w:t>
      </w:r>
      <w:r>
        <w:t xml:space="preserve"> </w:t>
      </w:r>
      <w:r>
        <w:t xml:space="preserve">Total</w:t>
      </w:r>
      <w:r>
        <w:t xml:space="preserve"> </w:t>
      </w:r>
      <w:r>
        <w:t xml:space="preserve">additional</w:t>
      </w:r>
      <w:r>
        <w:t xml:space="preserve"> </w:t>
      </w:r>
      <w:r>
        <w:t xml:space="preserve">emissions</w:t>
      </w:r>
      <w:r>
        <w:t xml:space="preserve"> </w:t>
      </w:r>
      <w:r>
        <w:t xml:space="preserve">included</w:t>
      </w:r>
      <w:r>
        <w:t xml:space="preserve"> </w:t>
      </w:r>
      <w:r>
        <w:t xml:space="preserve">in current</w:t>
      </w:r>
      <w:r>
        <w:t xml:space="preserve"> </w:t>
      </w:r>
      <w:r>
        <w:t xml:space="preserve">EU ETS</w:t>
      </w:r>
      <w:r>
        <w:t xml:space="preserve"> </w:t>
      </w:r>
      <w:r>
        <w:t xml:space="preserve">(tCO2)</w:t>
      </w:r>
      <w:r>
        <w:t xml:space="preserve"> </w:t>
      </w:r>
      <w:r>
        <w:t xml:space="preserve">AS1</w:t>
      </w:r>
      <w:r>
        <w:t xml:space="preserve"> </w:t>
      </w:r>
      <w:r>
        <w:t xml:space="preserve">% of 2024</w:t>
      </w:r>
      <w:r>
        <w:t xml:space="preserve"> </w:t>
      </w:r>
      <w:r>
        <w:t xml:space="preserve">exempted</w:t>
      </w:r>
      <w:r>
        <w:t xml:space="preserve"> </w:t>
      </w:r>
      <w:r>
        <w:t xml:space="preserve">emissions</w:t>
      </w:r>
      <w:r>
        <w:t xml:space="preserve"> </w:t>
      </w:r>
      <w:r>
        <w:t xml:space="preserve">included</w:t>
      </w:r>
      <w:r>
        <w:t xml:space="preserve"> </w:t>
      </w:r>
      <w:r>
        <w:t xml:space="preserve">in EU</w:t>
      </w:r>
      <w:r>
        <w:t xml:space="preserve"> </w:t>
      </w:r>
      <w:r>
        <w:t xml:space="preserve">ETS</w:t>
      </w:r>
      <w:r>
        <w:t xml:space="preserve"> </w:t>
      </w:r>
      <w:r>
        <w:t xml:space="preserve">% of 2024</w:t>
      </w:r>
      <w:r>
        <w:t xml:space="preserve"> </w:t>
      </w:r>
      <w:r>
        <w:t xml:space="preserve">total EU</w:t>
      </w:r>
      <w:r>
        <w:t xml:space="preserve"> </w:t>
      </w:r>
      <w:r>
        <w:t xml:space="preserve">ETS</w:t>
      </w:r>
      <w:r>
        <w:t xml:space="preserve"> </w:t>
      </w:r>
      <w:r>
        <w:t xml:space="preserve">emissions</w:t>
      </w:r>
      <w:r>
        <w:t xml:space="preserve"> </w:t>
      </w:r>
      <w:r>
        <w:t xml:space="preserve">included</w:t>
      </w:r>
      <w:r>
        <w:t xml:space="preserve"> </w:t>
      </w:r>
      <w:r>
        <w:t xml:space="preserve">in EU</w:t>
      </w:r>
      <w:r>
        <w:t xml:space="preserve"> </w:t>
      </w:r>
      <w:r>
        <w:t xml:space="preserve">ETS</w:t>
      </w:r>
      <w:r>
        <w:t xml:space="preserve"> </w:t>
      </w:r>
      <w:r>
        <w:t xml:space="preserve">Total</w:t>
      </w:r>
      <w:r>
        <w:t xml:space="preserve"> </w:t>
      </w:r>
      <w:r>
        <w:t xml:space="preserve">additional</w:t>
      </w:r>
      <w:r>
        <w:t xml:space="preserve"> </w:t>
      </w:r>
      <w:r>
        <w:t xml:space="preserve">emissions</w:t>
      </w:r>
      <w:r>
        <w:t xml:space="preserve"> </w:t>
      </w:r>
      <w:r>
        <w:t xml:space="preserve">included in</w:t>
      </w:r>
      <w:r>
        <w:t xml:space="preserve"> </w:t>
      </w:r>
      <w:r>
        <w:t xml:space="preserve">EU ETS</w:t>
      </w:r>
      <w:r>
        <w:t xml:space="preserve"> </w:t>
      </w:r>
      <w:r>
        <w:t xml:space="preserve">(tCO2)</w:t>
      </w:r>
      <w:r>
        <w:t xml:space="preserve"> </w:t>
      </w:r>
      <w:r>
        <w:t xml:space="preserve">full scope</w:t>
      </w:r>
      <w:r>
        <w:t xml:space="preserve"> </w:t>
      </w:r>
      <w:r>
        <w:t xml:space="preserve">% of 2024</w:t>
      </w:r>
      <w:r>
        <w:t xml:space="preserve"> </w:t>
      </w:r>
      <w:r>
        <w:t xml:space="preserve">exempted</w:t>
      </w:r>
      <w:r>
        <w:t xml:space="preserve"> </w:t>
      </w:r>
      <w:r>
        <w:t xml:space="preserve">emissions</w:t>
      </w:r>
      <w:r>
        <w:t xml:space="preserve"> </w:t>
      </w:r>
      <w:r>
        <w:t xml:space="preserve">included</w:t>
      </w:r>
      <w:r>
        <w:t xml:space="preserve"> </w:t>
      </w:r>
      <w:r>
        <w:t xml:space="preserve">in EU</w:t>
      </w:r>
      <w:r>
        <w:t xml:space="preserve"> </w:t>
      </w:r>
      <w:r>
        <w:t xml:space="preserve">ETS</w:t>
      </w:r>
      <w:r>
        <w:t xml:space="preserve"> </w:t>
      </w:r>
      <w:r>
        <w:t xml:space="preserve">% of 2024</w:t>
      </w:r>
      <w:r>
        <w:t xml:space="preserve"> </w:t>
      </w:r>
      <w:r>
        <w:t xml:space="preserve">total EU</w:t>
      </w:r>
      <w:r>
        <w:t xml:space="preserve"> </w:t>
      </w:r>
      <w:r>
        <w:t xml:space="preserve">ETS</w:t>
      </w:r>
      <w:r>
        <w:t xml:space="preserve"> </w:t>
      </w:r>
      <w:r>
        <w:t xml:space="preserve">emissions</w:t>
      </w:r>
      <w:r>
        <w:t xml:space="preserve"> </w:t>
      </w:r>
      <w:r>
        <w:t xml:space="preserve">included</w:t>
      </w:r>
      <w:r>
        <w:t xml:space="preserve"> </w:t>
      </w:r>
      <w:r>
        <w:t xml:space="preserve">in EU</w:t>
      </w:r>
      <w:r>
        <w:t xml:space="preserve"> </w:t>
      </w:r>
      <w:r>
        <w:t xml:space="preserve">ETS</w:t>
      </w:r>
      <w:r>
        <w:t xml:space="preserve"> </w:t>
      </w:r>
      <w:r>
        <w:t xml:space="preserve">Total</w:t>
      </w:r>
      <w:r>
        <w:t xml:space="preserve"> </w:t>
      </w:r>
      <w:r>
        <w:t xml:space="preserve">additional</w:t>
      </w:r>
      <w:r>
        <w:t xml:space="preserve"> </w:t>
      </w:r>
      <w:r>
        <w:t xml:space="preserve">number of</w:t>
      </w:r>
      <w:r>
        <w:t xml:space="preserve"> </w:t>
      </w:r>
      <w:r>
        <w:t xml:space="preserve">AO</w:t>
      </w:r>
      <w:r>
        <w:t xml:space="preserve"> </w:t>
      </w:r>
      <w:r>
        <w:t xml:space="preserve">included</w:t>
      </w:r>
      <w:r>
        <w:t xml:space="preserve"> </w:t>
      </w:r>
      <w:r>
        <w:t xml:space="preserve">in EU</w:t>
      </w:r>
      <w:r>
        <w:t xml:space="preserve"> </w:t>
      </w:r>
      <w:r>
        <w:t xml:space="preserve">ETS</w:t>
      </w:r>
      <w:r>
        <w:t xml:space="preserve"> </w:t>
      </w:r>
      <w:r>
        <w:t xml:space="preserve">(tCO2)</w:t>
      </w:r>
      <w:r>
        <w:t xml:space="preserve"> </w:t>
      </w:r>
      <w:r>
        <w:t xml:space="preserve">% of</w:t>
      </w:r>
      <w:r>
        <w:t xml:space="preserve"> </w:t>
      </w:r>
      <w:r>
        <w:t xml:space="preserve">2024</w:t>
      </w:r>
      <w:r>
        <w:t xml:space="preserve"> </w:t>
      </w:r>
      <w:r>
        <w:t xml:space="preserve">exempte</w:t>
      </w:r>
      <w:r>
        <w:t xml:space="preserve"> </w:t>
      </w:r>
      <w:r>
        <w:t xml:space="preserve">d AO</w:t>
      </w:r>
      <w:r>
        <w:t xml:space="preserve"> </w:t>
      </w:r>
      <w:r>
        <w:t xml:space="preserve">included</w:t>
      </w:r>
      <w:r>
        <w:t xml:space="preserve"> </w:t>
      </w:r>
      <w:r>
        <w:t xml:space="preserve">in EU</w:t>
      </w:r>
      <w:r>
        <w:t xml:space="preserve"> </w:t>
      </w:r>
      <w:r>
        <w:t xml:space="preserve">ETS</w:t>
      </w:r>
      <w:r>
        <w:t xml:space="preserve"> </w:t>
      </w:r>
      <w:r>
        <w:t xml:space="preserve">0</w:t>
      </w:r>
      <w:r>
        <w:t xml:space="preserve"> </w:t>
      </w:r>
      <w:r>
        <w:t xml:space="preserve">815k</w:t>
      </w:r>
      <w:r>
        <w:t xml:space="preserve"> </w:t>
      </w:r>
      <w:r>
        <w:t xml:space="preserve">100%</w:t>
      </w:r>
      <w:r>
        <w:t xml:space="preserve"> </w:t>
      </w:r>
      <w:r>
        <w:t xml:space="preserve">1,3%</w:t>
      </w:r>
      <w:r>
        <w:t xml:space="preserve"> </w:t>
      </w:r>
      <w:r>
        <w:t xml:space="preserve">3.939k</w:t>
      </w:r>
      <w:r>
        <w:t xml:space="preserve"> </w:t>
      </w:r>
      <w:r>
        <w:t xml:space="preserve">100%</w:t>
      </w:r>
      <w:r>
        <w:t xml:space="preserve"> </w:t>
      </w:r>
      <w:r>
        <w:t xml:space="preserve">6,4%</w:t>
      </w:r>
      <w:r>
        <w:t xml:space="preserve"> </w:t>
      </w:r>
      <w:r>
        <w:t xml:space="preserve">2808</w:t>
      </w:r>
      <w:r>
        <w:t xml:space="preserve"> </w:t>
      </w:r>
      <w:r>
        <w:t xml:space="preserve">100%</w:t>
      </w:r>
      <w:r>
        <w:t xml:space="preserve"> </w:t>
      </w:r>
      <w:r>
        <w:t xml:space="preserve">50</w:t>
      </w:r>
      <w:r>
        <w:t xml:space="preserve"> </w:t>
      </w:r>
      <w:r>
        <w:t xml:space="preserve">811k</w:t>
      </w:r>
      <w:r>
        <w:t xml:space="preserve"> </w:t>
      </w:r>
      <w:r>
        <w:t xml:space="preserve">99,5%</w:t>
      </w:r>
      <w:r>
        <w:t xml:space="preserve"> </w:t>
      </w:r>
      <w:r>
        <w:t xml:space="preserve">1,3%</w:t>
      </w:r>
      <w:r>
        <w:t xml:space="preserve"> </w:t>
      </w:r>
      <w:r>
        <w:t xml:space="preserve">3.925k</w:t>
      </w:r>
      <w:r>
        <w:t xml:space="preserve"> </w:t>
      </w:r>
      <w:r>
        <w:t xml:space="preserve">99,7%</w:t>
      </w:r>
      <w:r>
        <w:t xml:space="preserve"> </w:t>
      </w:r>
      <w:r>
        <w:t xml:space="preserve">6,4%</w:t>
      </w:r>
      <w:r>
        <w:t xml:space="preserve"> </w:t>
      </w:r>
      <w:r>
        <w:t xml:space="preserve">2269</w:t>
      </w:r>
      <w:r>
        <w:t xml:space="preserve"> </w:t>
      </w:r>
      <w:r>
        <w:t xml:space="preserve">81%</w:t>
      </w:r>
      <w:r>
        <w:t xml:space="preserve"> </w:t>
      </w:r>
      <w:r>
        <w:t xml:space="preserve">100</w:t>
      </w:r>
      <w:r>
        <w:t xml:space="preserve"> </w:t>
      </w:r>
      <w:r>
        <w:t xml:space="preserve">803k</w:t>
      </w:r>
      <w:r>
        <w:t xml:space="preserve"> </w:t>
      </w:r>
      <w:r>
        <w:t xml:space="preserve">98,6%</w:t>
      </w:r>
      <w:r>
        <w:t xml:space="preserve"> </w:t>
      </w:r>
      <w:r>
        <w:t xml:space="preserve">1,3%</w:t>
      </w:r>
      <w:r>
        <w:t xml:space="preserve"> </w:t>
      </w:r>
      <w:r>
        <w:t xml:space="preserve">3.895k</w:t>
      </w:r>
      <w:r>
        <w:t xml:space="preserve"> </w:t>
      </w:r>
      <w:r>
        <w:t xml:space="preserve">98,9%</w:t>
      </w:r>
      <w:r>
        <w:t xml:space="preserve"> </w:t>
      </w:r>
      <w:r>
        <w:t xml:space="preserve">6,3%</w:t>
      </w:r>
      <w:r>
        <w:t xml:space="preserve"> </w:t>
      </w:r>
      <w:r>
        <w:t xml:space="preserve">1853</w:t>
      </w:r>
      <w:r>
        <w:t xml:space="preserve"> </w:t>
      </w:r>
      <w:r>
        <w:t xml:space="preserve">66%</w:t>
      </w:r>
      <w:r>
        <w:t xml:space="preserve"> </w:t>
      </w:r>
      <w:r>
        <w:t xml:space="preserve">200</w:t>
      </w:r>
      <w:r>
        <w:t xml:space="preserve"> </w:t>
      </w:r>
      <w:r>
        <w:t xml:space="preserve">785k</w:t>
      </w:r>
      <w:r>
        <w:t xml:space="preserve"> </w:t>
      </w:r>
      <w:r>
        <w:t xml:space="preserve">96,4%</w:t>
      </w:r>
      <w:r>
        <w:t xml:space="preserve"> </w:t>
      </w:r>
      <w:r>
        <w:t xml:space="preserve">1,3%</w:t>
      </w:r>
      <w:r>
        <w:t xml:space="preserve"> </w:t>
      </w:r>
      <w:r>
        <w:t xml:space="preserve">3.823k</w:t>
      </w:r>
      <w:r>
        <w:t xml:space="preserve"> </w:t>
      </w:r>
      <w:r>
        <w:t xml:space="preserve">97,1%</w:t>
      </w:r>
      <w:r>
        <w:t xml:space="preserve"> </w:t>
      </w:r>
      <w:r>
        <w:t xml:space="preserve">6,2%</w:t>
      </w:r>
      <w:r>
        <w:t xml:space="preserve"> </w:t>
      </w:r>
      <w:r>
        <w:t xml:space="preserve">1356</w:t>
      </w:r>
      <w:r>
        <w:t xml:space="preserve"> </w:t>
      </w:r>
      <w:r>
        <w:t xml:space="preserve">48%</w:t>
      </w:r>
      <w:r>
        <w:t xml:space="preserve"> </w:t>
      </w:r>
      <w:r>
        <w:t xml:space="preserve">500</w:t>
      </w:r>
      <w:r>
        <w:t xml:space="preserve"> </w:t>
      </w:r>
      <w:r>
        <w:t xml:space="preserve">737k</w:t>
      </w:r>
      <w:r>
        <w:t xml:space="preserve"> </w:t>
      </w:r>
      <w:r>
        <w:t xml:space="preserve">90,4%</w:t>
      </w:r>
      <w:r>
        <w:t xml:space="preserve"> </w:t>
      </w:r>
      <w:r>
        <w:t xml:space="preserve">1,2%</w:t>
      </w:r>
      <w:r>
        <w:t xml:space="preserve"> </w:t>
      </w:r>
      <w:r>
        <w:t xml:space="preserve">3.625k</w:t>
      </w:r>
      <w:r>
        <w:t xml:space="preserve"> </w:t>
      </w:r>
      <w:r>
        <w:t xml:space="preserve">92,0%</w:t>
      </w:r>
      <w:r>
        <w:t xml:space="preserve"> </w:t>
      </w:r>
      <w:r>
        <w:t xml:space="preserve">5,9%</w:t>
      </w:r>
      <w:r>
        <w:t xml:space="preserve"> </w:t>
      </w:r>
      <w:r>
        <w:t xml:space="preserve">739</w:t>
      </w:r>
      <w:r>
        <w:t xml:space="preserve"> </w:t>
      </w:r>
      <w:r>
        <w:t xml:space="preserve">26%</w:t>
      </w:r>
      <w:r>
        <w:t xml:space="preserve"> </w:t>
      </w:r>
      <w:r>
        <w:t xml:space="preserve">1000</w:t>
      </w:r>
      <w:r>
        <w:t xml:space="preserve"> </w:t>
      </w:r>
      <w:r>
        <w:t xml:space="preserve">667k</w:t>
      </w:r>
      <w:r>
        <w:t xml:space="preserve"> </w:t>
      </w:r>
      <w:r>
        <w:t xml:space="preserve">81,8%</w:t>
      </w:r>
      <w:r>
        <w:t xml:space="preserve"> </w:t>
      </w:r>
      <w:r>
        <w:t xml:space="preserve">1,1%</w:t>
      </w:r>
      <w:r>
        <w:t xml:space="preserve"> </w:t>
      </w:r>
      <w:r>
        <w:t xml:space="preserve">3.379k</w:t>
      </w:r>
      <w:r>
        <w:t xml:space="preserve"> </w:t>
      </w:r>
      <w:r>
        <w:t xml:space="preserve">85,8%</w:t>
      </w:r>
      <w:r>
        <w:t xml:space="preserve"> </w:t>
      </w:r>
      <w:r>
        <w:t xml:space="preserve">5,5%</w:t>
      </w:r>
      <w:r>
        <w:t xml:space="preserve"> </w:t>
      </w:r>
      <w:r>
        <w:t xml:space="preserve">383</w:t>
      </w:r>
      <w:r>
        <w:t xml:space="preserve"> </w:t>
      </w:r>
      <w:r>
        <w:t xml:space="preserve">14%</w:t>
      </w:r>
      <w:r>
        <w:t xml:space="preserve"> </w:t>
      </w:r>
      <w:r>
        <w:t xml:space="preserve">5000</w:t>
      </w:r>
      <w:r>
        <w:t xml:space="preserve"> </w:t>
      </w:r>
      <w:r>
        <w:t xml:space="preserve">346k</w:t>
      </w:r>
      <w:r>
        <w:t xml:space="preserve"> </w:t>
      </w:r>
      <w:r>
        <w:t xml:space="preserve">42,5%</w:t>
      </w:r>
      <w:r>
        <w:t xml:space="preserve"> </w:t>
      </w:r>
      <w:r>
        <w:t xml:space="preserve">0,6%</w:t>
      </w:r>
      <w:r>
        <w:t xml:space="preserve"> </w:t>
      </w:r>
      <w:r>
        <w:t xml:space="preserve">2.538k</w:t>
      </w:r>
      <w:r>
        <w:t xml:space="preserve"> </w:t>
      </w:r>
      <w:r>
        <w:t xml:space="preserve">64,4%</w:t>
      </w:r>
      <w:r>
        <w:t xml:space="preserve"> </w:t>
      </w:r>
      <w:r>
        <w:t xml:space="preserve">4,1%</w:t>
      </w:r>
      <w:r>
        <w:t xml:space="preserve"> </w:t>
      </w:r>
      <w:r>
        <w:t xml:space="preserve">12</w:t>
      </w:r>
      <w:r>
        <w:t xml:space="preserve"> </w:t>
      </w:r>
      <w:r>
        <w:t xml:space="preserve">0%</w:t>
      </w:r>
      <w:r>
        <w:t xml:space="preserve"> </w:t>
      </w:r>
      <w:r>
        <w:t xml:space="preserve">10000</w:t>
      </w:r>
      <w:r>
        <w:t xml:space="preserve"> </w:t>
      </w:r>
      <w:r>
        <w:t xml:space="preserve">-2</w:t>
      </w:r>
      <w:r>
        <w:t xml:space="preserve"> </w:t>
      </w:r>
      <w:r>
        <w:t xml:space="preserve">-0,2%</w:t>
      </w:r>
      <w:r>
        <w:t xml:space="preserve"> </w:t>
      </w:r>
      <w:r>
        <w:t xml:space="preserve">0,0%</w:t>
      </w:r>
      <w:r>
        <w:t xml:space="preserve"> </w:t>
      </w:r>
      <w:r>
        <w:t xml:space="preserve">1.780k</w:t>
      </w:r>
      <w:r>
        <w:t xml:space="preserve"> </w:t>
      </w:r>
      <w:r>
        <w:t xml:space="preserve">45,2%</w:t>
      </w:r>
      <w:r>
        <w:t xml:space="preserve"> </w:t>
      </w:r>
      <w:r>
        <w:t xml:space="preserve">2,9%</w:t>
      </w:r>
      <w:r>
        <w:t xml:space="preserve"> </w:t>
      </w:r>
      <w:r>
        <w:t xml:space="preserve">-97</w:t>
      </w:r>
      <w:r>
        <w:t xml:space="preserve"> </w:t>
      </w:r>
      <w:r>
        <w:t xml:space="preserve">-3%</w:t>
      </w:r>
      <w:r>
        <w:t xml:space="preserve"> </w:t>
      </w:r>
      <w:r>
        <w:t xml:space="preserve">Source: Eurocontrol</w:t>
      </w:r>
      <w:r>
        <w:t xml:space="preserve"> </w:t>
      </w:r>
      <w:r>
        <w:t xml:space="preserve">Increasing the emissions threshold above 1 000 tCO2 consistently reduces the number of</w:t>
      </w:r>
      <w:r>
        <w:t xml:space="preserve"> </w:t>
      </w:r>
      <w:r>
        <w:t xml:space="preserve">commercial AOs included in the ETS and increases the number of non-commercial AOs</w:t>
      </w:r>
      <w:r>
        <w:t xml:space="preserve"> </w:t>
      </w:r>
      <w:r>
        <w:t xml:space="preserve">exempted. When the annual emissions threshold rises from 1 000 to 5 000 tCO₂, the number of</w:t>
      </w:r>
      <w:r>
        <w:t xml:space="preserve"> </w:t>
      </w:r>
      <w:r>
        <w:t xml:space="preserve">additional commercial AOs included in the ETS decreases, while the number of non-</w:t>
      </w:r>
      <w:r>
        <w:t xml:space="preserve"> </w:t>
      </w:r>
      <w:r>
        <w:t xml:space="preserve">commercial operators exempted increases. The resulting net inclusion drops sharply from 382</w:t>
      </w:r>
      <w:r>
        <w:t xml:space="preserve"> </w:t>
      </w:r>
      <w:r>
        <w:t xml:space="preserve">to only 12 operators. At an emissions threshold of above 5 000 tCO2, the resulting number of</w:t>
      </w:r>
      <w:r>
        <w:t xml:space="preserve"> </w:t>
      </w:r>
      <w:r>
        <w:t xml:space="preserve">additional non-commercial aircraft operators exempted always exceeds the number of</w:t>
      </w:r>
      <w:r>
        <w:t xml:space="preserve"> </w:t>
      </w:r>
      <w:r>
        <w:t xml:space="preserve">commercial Aircraft Operators brought within the EU ETS. This demonstrates why setting the</w:t>
      </w:r>
      <w:r>
        <w:t xml:space="preserve"> </w:t>
      </w:r>
      <w:r>
        <w:t xml:space="preserve">new common threshold above 1 000 tCO2 is not coherent with the goal of covering business</w:t>
      </w:r>
      <w:r>
        <w:t xml:space="preserve"> </w:t>
      </w:r>
      <w:r>
        <w:t xml:space="preserve">aviation and fully implementing the polluter pays principle.</w:t>
      </w:r>
      <w:r>
        <w:br/>
      </w:r>
      <w:r>
        <w:t xml:space="preserve">The new common thresholds set at 1 000 tCO2 or 500 tCO2 both ensure completing the set goal</w:t>
      </w:r>
      <w:r>
        <w:t xml:space="preserve"> </w:t>
      </w:r>
      <w:r>
        <w:t xml:space="preserve">and maintaining justified exclusion for aircraft operators with very low aviation activity and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avoiding disproportionate administrative burden on competent authorities. However, these</w:t>
      </w:r>
      <w:r>
        <w:t xml:space="preserve"> </w:t>
      </w:r>
      <w:r>
        <w:t xml:space="preserve">thresholds may nevertheless present a challenge of increased administrative effort, therefore a</w:t>
      </w:r>
      <w:r>
        <w:t xml:space="preserve"> </w:t>
      </w:r>
      <w:r>
        <w:t xml:space="preserve">new exclusion simplification threshold, based on the surrender scope, is described in the next</w:t>
      </w:r>
      <w:r>
        <w:t xml:space="preserve"> </w:t>
      </w:r>
      <w:r>
        <w:t xml:space="preserve">subsection and is accompanied by substantial further simplification, which is more closely</w:t>
      </w:r>
      <w:r>
        <w:t xml:space="preserve"> </w:t>
      </w:r>
      <w:r>
        <w:t xml:space="preserve">described and analysed in subsection 7.2.</w:t>
      </w:r>
      <w:r>
        <w:br/>
      </w:r>
      <w:r>
        <w:t xml:space="preserve">7.1.3. New simplification threshold based on surrender scope</w:t>
      </w:r>
      <w:r>
        <w:t xml:space="preserve"> </w:t>
      </w:r>
      <w:r>
        <w:t xml:space="preserve">The single exemption threshold introduced above ensures the polluter pays principle. However,</w:t>
      </w:r>
      <w:r>
        <w:t xml:space="preserve"> </w:t>
      </w:r>
      <w:r>
        <w:t xml:space="preserve">it is important to note that this threshold is based on the full scope, which is not the current</w:t>
      </w:r>
      <w:r>
        <w:t xml:space="preserve"> </w:t>
      </w:r>
      <w:r>
        <w:t xml:space="preserve">scope of surrender obligation, nor is this scope analysed in either policy options. Therefore, it</w:t>
      </w:r>
      <w:r>
        <w:t xml:space="preserve"> </w:t>
      </w:r>
      <w:r>
        <w:t xml:space="preserve">would still be possible that an aircraft operator is included in EU ETS based on this single</w:t>
      </w:r>
      <w:r>
        <w:t xml:space="preserve"> </w:t>
      </w:r>
      <w:r>
        <w:t xml:space="preserve">threshold, while having only very few flights, hence very low total emissions, within the</w:t>
      </w:r>
      <w:r>
        <w:t xml:space="preserve"> </w:t>
      </w:r>
      <w:r>
        <w:t xml:space="preserve">geographic scope with surrender obligation.</w:t>
      </w:r>
      <w:r>
        <w:br/>
      </w:r>
      <w:r>
        <w:t xml:space="preserve">It may therefore be appropriate to introduce a new simplification de-minimis threshold that</w:t>
      </w:r>
      <w:r>
        <w:t xml:space="preserve"> </w:t>
      </w:r>
      <w:r>
        <w:t xml:space="preserve">fully excludes operators from EU ETS that have very little surrender obligation.</w:t>
      </w:r>
      <w:r>
        <w:br/>
      </w:r>
      <w:r>
        <w:t xml:space="preserve">Tables 22 and 23 show how much emissions and how many operators would be excluded due</w:t>
      </w:r>
      <w:r>
        <w:t xml:space="preserve"> </w:t>
      </w:r>
      <w:r>
        <w:t xml:space="preserve">to this new simplification threshold considering the current full scope thresholds and the new</w:t>
      </w:r>
      <w:r>
        <w:t xml:space="preserve"> </w:t>
      </w:r>
      <w:r>
        <w:t xml:space="preserve">common full scope threshold, set at 500 tCO2 and 1 000 tCO2 respectively. It is important to</w:t>
      </w:r>
      <w:r>
        <w:t xml:space="preserve"> </w:t>
      </w:r>
      <w:r>
        <w:t xml:space="preserve">consider the new common threshold in order to first identify the total pool of additional</w:t>
      </w:r>
      <w:r>
        <w:t xml:space="preserve"> </w:t>
      </w:r>
      <w:r>
        <w:t xml:space="preserve">operators included in EU ETS and identify the operators that would be excluded from this pool</w:t>
      </w:r>
      <w:r>
        <w:t xml:space="preserve"> </w:t>
      </w:r>
      <w:r>
        <w:t xml:space="preserve">based on their emissions within the surrender obligation scope as a second step. Both tables</w:t>
      </w:r>
      <w:r>
        <w:t xml:space="preserve"> </w:t>
      </w:r>
      <w:r>
        <w:t xml:space="preserve">show results for the surrender obligation scope considered under the policy options – AS1:</w:t>
      </w:r>
      <w:r>
        <w:t xml:space="preserve"> </w:t>
      </w:r>
      <w:r>
        <w:t xml:space="preserve">clean cut and AS2: departing flights.</w:t>
      </w:r>
      <w:r>
        <w:br/>
      </w:r>
      <w:r>
        <w:t xml:space="preserve">For example, under the clean-cut geographical scope (AS1), Table 22 shows that this</w:t>
      </w:r>
      <w:r>
        <w:t xml:space="preserve"> </w:t>
      </w:r>
      <w:r>
        <w:t xml:space="preserve">simplification threshold set at 200 tCO2/year would in 2024 exclude 121 aircraft operators</w:t>
      </w:r>
      <w:r>
        <w:t xml:space="preserve"> </w:t>
      </w:r>
      <w:r>
        <w:t xml:space="preserve">(with the current exclusion thresholds), emitting 7 kt CO2. Considering the new common full</w:t>
      </w:r>
      <w:r>
        <w:t xml:space="preserve"> </w:t>
      </w:r>
      <w:r>
        <w:t xml:space="preserve">scope threshold at 500 tCO2, 331 additional AO would get excluded, out of the 739 additionally</w:t>
      </w:r>
      <w:r>
        <w:t xml:space="preserve"> </w:t>
      </w:r>
      <w:r>
        <w:t xml:space="preserve">added due to the new common threshold (from Table 21), based on this simplification</w:t>
      </w:r>
      <w:r>
        <w:t xml:space="preserve"> </w:t>
      </w:r>
      <w:r>
        <w:t xml:space="preserve">threshold, corresponding to 25 kt CO2 emissions. In total, under option AS1 considering a 200</w:t>
      </w:r>
      <w:r>
        <w:t xml:space="preserve"> </w:t>
      </w:r>
      <w:r>
        <w:t xml:space="preserve">tCO2 minimum surrender threshold, a total of 452 AO would get excluded with emissions of</w:t>
      </w:r>
      <w:r>
        <w:t xml:space="preserve"> </w:t>
      </w:r>
      <w:r>
        <w:t xml:space="preserve">32 ktCO2. Under the departing flights scope (AS2), the same simplification threshold would in</w:t>
      </w:r>
      <w:r>
        <w:t xml:space="preserve"> </w:t>
      </w:r>
      <w:r>
        <w:t xml:space="preserve">2024 exclude 1 aircraft operator, corresponding to 140 tCO2. Under the new common threshold</w:t>
      </w:r>
      <w:r>
        <w:t xml:space="preserve"> </w:t>
      </w:r>
      <w:r>
        <w:t xml:space="preserve">500 tCO2, 3 additional AO would get excluded corresponding to 164 tCO2. In total, under</w:t>
      </w:r>
      <w:r>
        <w:t xml:space="preserve"> </w:t>
      </w:r>
      <w:r>
        <w:t xml:space="preserve">option AS2 and 200 tCO2 simplification threshold, 4 AO would get excluded corresponding to</w:t>
      </w:r>
      <w:r>
        <w:t xml:space="preserve"> </w:t>
      </w:r>
      <w:r>
        <w:t xml:space="preserve">304 tCO2.</w:t>
      </w:r>
      <w:r>
        <w:t xml:space="preserve"> </w:t>
      </w:r>
      <w:r>
        <w:t xml:space="preserve">Table 22:</w:t>
      </w:r>
      <w:r>
        <w:t xml:space="preserve"> </w:t>
      </w:r>
      <w:r>
        <w:t xml:space="preserve">Emissions and number of AOs exempted based on the new simplification de-minimis</w:t>
      </w:r>
      <w:r>
        <w:t xml:space="preserve"> </w:t>
      </w:r>
      <w:r>
        <w:t xml:space="preserve">threshold based on surrender scope – figures for new common full scope threshold set at 500</w:t>
      </w:r>
      <w:r>
        <w:t xml:space="preserve"> </w:t>
      </w:r>
      <w:r>
        <w:t xml:space="preserve">tCO2</w:t>
      </w:r>
    </w:p>
    <w:p>
      <w:pPr>
        <w:pStyle w:val="BodyText"/>
      </w:pPr>
      <w:r>
        <w:t xml:space="preserve">AS1</w:t>
      </w:r>
      <w:r>
        <w:t xml:space="preserve"> </w:t>
      </w:r>
      <w:r>
        <w:t xml:space="preserve">AS2</w:t>
      </w:r>
      <w:r>
        <w:t xml:space="preserve"> </w:t>
      </w:r>
      <w:r>
        <w:t xml:space="preserve">Annual Emissions Threshold</w:t>
      </w:r>
      <w:r>
        <w:t xml:space="preserve"> </w:t>
      </w:r>
      <w:r>
        <w:t xml:space="preserve">(tCO2)</w:t>
      </w:r>
    </w:p>
    <w:p>
      <w:pPr>
        <w:pStyle w:val="BodyText"/>
      </w:pPr>
      <w:r>
        <w:t xml:space="preserve">AO in</w:t>
      </w:r>
      <w:r>
        <w:t xml:space="preserve"> </w:t>
      </w:r>
      <w:r>
        <w:t xml:space="preserve">EU ETS</w:t>
      </w:r>
      <w:r>
        <w:t xml:space="preserve"> </w:t>
      </w:r>
      <w:r>
        <w:t xml:space="preserve">based on</w:t>
      </w:r>
      <w:r>
        <w:t xml:space="preserve"> </w:t>
      </w:r>
      <w:r>
        <w:t xml:space="preserve">old full</w:t>
      </w:r>
      <w:r>
        <w:t xml:space="preserve"> </w:t>
      </w:r>
      <w:r>
        <w:t xml:space="preserve">scope</w:t>
      </w:r>
      <w:r>
        <w:t xml:space="preserve"> </w:t>
      </w:r>
      <w:r>
        <w:t xml:space="preserve">threshol</w:t>
      </w:r>
      <w:r>
        <w:t xml:space="preserve"> </w:t>
      </w:r>
      <w:r>
        <w:t xml:space="preserve">d</w:t>
      </w:r>
      <w:r>
        <w:t xml:space="preserve"> </w:t>
      </w:r>
      <w:r>
        <w:t xml:space="preserve">AO</w:t>
      </w:r>
      <w:r>
        <w:t xml:space="preserve"> </w:t>
      </w:r>
      <w:r>
        <w:t xml:space="preserve">newly in</w:t>
      </w:r>
      <w:r>
        <w:t xml:space="preserve"> </w:t>
      </w:r>
      <w:r>
        <w:t xml:space="preserve">EU ETS</w:t>
      </w:r>
      <w:r>
        <w:t xml:space="preserve"> </w:t>
      </w:r>
      <w:r>
        <w:t xml:space="preserve">due to</w:t>
      </w:r>
      <w:r>
        <w:t xml:space="preserve"> </w:t>
      </w:r>
      <w:r>
        <w:t xml:space="preserve">new full</w:t>
      </w:r>
      <w:r>
        <w:t xml:space="preserve"> </w:t>
      </w:r>
      <w:r>
        <w:t xml:space="preserve">scope</w:t>
      </w:r>
      <w:r>
        <w:t xml:space="preserve"> </w:t>
      </w:r>
      <w:r>
        <w:t xml:space="preserve">threshol</w:t>
      </w:r>
      <w:r>
        <w:t xml:space="preserve"> </w:t>
      </w:r>
      <w:r>
        <w:t xml:space="preserve">d</w:t>
      </w:r>
      <w:r>
        <w:t xml:space="preserve"> </w:t>
      </w:r>
      <w:r>
        <w:t xml:space="preserve">AO in</w:t>
      </w:r>
      <w:r>
        <w:t xml:space="preserve"> </w:t>
      </w:r>
      <w:r>
        <w:t xml:space="preserve">EU ETS</w:t>
      </w:r>
      <w:r>
        <w:t xml:space="preserve"> </w:t>
      </w:r>
      <w:r>
        <w:t xml:space="preserve">based on</w:t>
      </w:r>
      <w:r>
        <w:t xml:space="preserve"> </w:t>
      </w:r>
      <w:r>
        <w:t xml:space="preserve">old full</w:t>
      </w:r>
      <w:r>
        <w:t xml:space="preserve"> </w:t>
      </w:r>
      <w:r>
        <w:t xml:space="preserve">scope</w:t>
      </w:r>
      <w:r>
        <w:t xml:space="preserve"> </w:t>
      </w:r>
      <w:r>
        <w:t xml:space="preserve">threshol</w:t>
      </w:r>
      <w:r>
        <w:t xml:space="preserve"> </w:t>
      </w:r>
      <w:r>
        <w:t xml:space="preserve">d</w:t>
      </w:r>
      <w:r>
        <w:t xml:space="preserve"> </w:t>
      </w:r>
      <w:r>
        <w:t xml:space="preserve">AO</w:t>
      </w:r>
      <w:r>
        <w:t xml:space="preserve"> </w:t>
      </w:r>
      <w:r>
        <w:t xml:space="preserve">newly in</w:t>
      </w:r>
      <w:r>
        <w:t xml:space="preserve"> </w:t>
      </w:r>
      <w:r>
        <w:t xml:space="preserve">EU ETS</w:t>
      </w:r>
      <w:r>
        <w:t xml:space="preserve"> </w:t>
      </w:r>
      <w:r>
        <w:t xml:space="preserve">due to</w:t>
      </w:r>
      <w:r>
        <w:t xml:space="preserve"> </w:t>
      </w:r>
      <w:r>
        <w:t xml:space="preserve">new full</w:t>
      </w:r>
      <w:r>
        <w:t xml:space="preserve"> </w:t>
      </w:r>
      <w:r>
        <w:t xml:space="preserve">scope</w:t>
      </w:r>
      <w:r>
        <w:t xml:space="preserve"> </w:t>
      </w:r>
      <w:r>
        <w:t xml:space="preserve">threshol</w:t>
      </w:r>
      <w:r>
        <w:t xml:space="preserve"> </w:t>
      </w:r>
      <w:r>
        <w:t xml:space="preserve">d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tCO2</w:t>
      </w:r>
      <w:r>
        <w:t xml:space="preserve"> </w:t>
      </w:r>
      <w:r>
        <w:t xml:space="preserve">excluded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AO excluded</w:t>
      </w:r>
      <w:r>
        <w:t xml:space="preserve"> </w:t>
      </w:r>
      <w:r>
        <w:t xml:space="preserve">24</w:t>
      </w:r>
      <w:r>
        <w:t xml:space="preserve"> </w:t>
      </w:r>
      <w:r>
        <w:t xml:space="preserve">42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tCO2</w:t>
      </w:r>
      <w:r>
        <w:t xml:space="preserve"> </w:t>
      </w:r>
      <w:r>
        <w:t xml:space="preserve">excluded</w:t>
      </w:r>
      <w:r>
        <w:t xml:space="preserve"> </w:t>
      </w:r>
      <w:r>
        <w:t xml:space="preserve">1k</w:t>
      </w:r>
      <w:r>
        <w:t xml:space="preserve"> </w:t>
      </w:r>
      <w:r>
        <w:t xml:space="preserve">3k</w:t>
      </w:r>
      <w:r>
        <w:t xml:space="preserve"> </w:t>
      </w:r>
      <w:r>
        <w:t xml:space="preserve">0</w:t>
      </w:r>
      <w:r>
        <w:t xml:space="preserve"> </w:t>
      </w:r>
      <w:r>
        <w:t xml:space="preserve">Negl.</w:t>
      </w:r>
    </w:p>
    <w:p>
      <w:pPr>
        <w:pStyle w:val="BodyText"/>
      </w:pPr>
      <w:r>
        <w:t xml:space="preserve">AO excluded</w:t>
      </w:r>
      <w:r>
        <w:t xml:space="preserve"> </w:t>
      </w:r>
      <w:r>
        <w:t xml:space="preserve">60</w:t>
      </w:r>
      <w:r>
        <w:t xml:space="preserve"> </w:t>
      </w:r>
      <w:r>
        <w:t xml:space="preserve">131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100</w:t>
      </w:r>
      <w:r>
        <w:t xml:space="preserve"> </w:t>
      </w:r>
      <w:r>
        <w:t xml:space="preserve">tCO2</w:t>
      </w:r>
      <w:r>
        <w:t xml:space="preserve"> </w:t>
      </w:r>
      <w:r>
        <w:t xml:space="preserve">excluded</w:t>
      </w:r>
      <w:r>
        <w:t xml:space="preserve"> </w:t>
      </w:r>
      <w:r>
        <w:t xml:space="preserve">3k</w:t>
      </w:r>
      <w:r>
        <w:t xml:space="preserve"> </w:t>
      </w:r>
      <w:r>
        <w:t xml:space="preserve">9k</w:t>
      </w:r>
      <w:r>
        <w:t xml:space="preserve"> </w:t>
      </w:r>
      <w:r>
        <w:t xml:space="preserve">0</w:t>
      </w:r>
      <w:r>
        <w:t xml:space="preserve"> </w:t>
      </w:r>
      <w:r>
        <w:t xml:space="preserve">Negl.</w:t>
      </w:r>
    </w:p>
    <w:p>
      <w:pPr>
        <w:pStyle w:val="BodyText"/>
      </w:pPr>
      <w:r>
        <w:t xml:space="preserve">AO excluded</w:t>
      </w:r>
      <w:r>
        <w:t xml:space="preserve"> </w:t>
      </w:r>
      <w:r>
        <w:t xml:space="preserve">93</w:t>
      </w:r>
      <w:r>
        <w:t xml:space="preserve"> </w:t>
      </w:r>
      <w:r>
        <w:t xml:space="preserve">224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200</w:t>
      </w:r>
      <w:r>
        <w:t xml:space="preserve"> </w:t>
      </w:r>
      <w:r>
        <w:t xml:space="preserve">tCO2</w:t>
      </w:r>
      <w:r>
        <w:t xml:space="preserve"> </w:t>
      </w:r>
      <w:r>
        <w:t xml:space="preserve">excluded</w:t>
      </w:r>
      <w:r>
        <w:t xml:space="preserve"> </w:t>
      </w:r>
      <w:r>
        <w:t xml:space="preserve">7k</w:t>
      </w:r>
      <w:r>
        <w:t xml:space="preserve"> </w:t>
      </w:r>
      <w:r>
        <w:t xml:space="preserve">25k</w:t>
      </w:r>
      <w:r>
        <w:t xml:space="preserve"> </w:t>
      </w:r>
      <w:r>
        <w:t xml:space="preserve">140</w:t>
      </w:r>
      <w:r>
        <w:t xml:space="preserve"> </w:t>
      </w:r>
      <w:r>
        <w:t xml:space="preserve">Negl.</w:t>
      </w:r>
    </w:p>
    <w:p>
      <w:pPr>
        <w:pStyle w:val="BodyText"/>
      </w:pPr>
      <w:r>
        <w:t xml:space="preserve">AO excluded</w:t>
      </w:r>
      <w:r>
        <w:t xml:space="preserve"> </w:t>
      </w:r>
      <w:r>
        <w:t xml:space="preserve">121</w:t>
      </w:r>
      <w:r>
        <w:t xml:space="preserve"> </w:t>
      </w:r>
      <w:r>
        <w:t xml:space="preserve">331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500</w:t>
      </w:r>
      <w:r>
        <w:t xml:space="preserve"> </w:t>
      </w:r>
      <w:r>
        <w:t xml:space="preserve">tCO2</w:t>
      </w:r>
      <w:r>
        <w:t xml:space="preserve"> </w:t>
      </w:r>
      <w:r>
        <w:t xml:space="preserve">excluded</w:t>
      </w:r>
      <w:r>
        <w:t xml:space="preserve"> </w:t>
      </w:r>
      <w:r>
        <w:t xml:space="preserve">21k</w:t>
      </w:r>
      <w:r>
        <w:t xml:space="preserve"> </w:t>
      </w:r>
      <w:r>
        <w:t xml:space="preserve">60k</w:t>
      </w:r>
      <w:r>
        <w:t xml:space="preserve"> </w:t>
      </w:r>
      <w:r>
        <w:t xml:space="preserve">1k</w:t>
      </w:r>
      <w:r>
        <w:t xml:space="preserve"> </w:t>
      </w:r>
      <w:r>
        <w:t xml:space="preserve">102k</w:t>
      </w:r>
    </w:p>
    <w:p>
      <w:pPr>
        <w:pStyle w:val="BodyText"/>
      </w:pPr>
      <w:r>
        <w:t xml:space="preserve">AO excluded</w:t>
      </w:r>
      <w:r>
        <w:t xml:space="preserve"> </w:t>
      </w:r>
      <w:r>
        <w:t xml:space="preserve">161</w:t>
      </w:r>
      <w:r>
        <w:t xml:space="preserve"> </w:t>
      </w:r>
      <w:r>
        <w:t xml:space="preserve">438</w:t>
      </w:r>
      <w:r>
        <w:t xml:space="preserve"> </w:t>
      </w:r>
      <w:r>
        <w:t xml:space="preserve">2</w:t>
      </w:r>
      <w:r>
        <w:t xml:space="preserve"> </w:t>
      </w:r>
      <w:r>
        <w:t xml:space="preserve">277</w:t>
      </w:r>
      <w:r>
        <w:t xml:space="preserve"> </w:t>
      </w:r>
      <w:r>
        <w:t xml:space="preserve">1000</w:t>
      </w:r>
      <w:r>
        <w:t xml:space="preserve"> </w:t>
      </w:r>
      <w:r>
        <w:t xml:space="preserve">tCO2</w:t>
      </w:r>
      <w:r>
        <w:t xml:space="preserve"> </w:t>
      </w:r>
      <w:r>
        <w:t xml:space="preserve">excluded</w:t>
      </w:r>
      <w:r>
        <w:t xml:space="preserve"> </w:t>
      </w:r>
      <w:r>
        <w:t xml:space="preserve">54k</w:t>
      </w:r>
      <w:r>
        <w:t xml:space="preserve"> </w:t>
      </w:r>
      <w:r>
        <w:t xml:space="preserve">140k</w:t>
      </w:r>
      <w:r>
        <w:t xml:space="preserve"> </w:t>
      </w:r>
      <w:r>
        <w:t xml:space="preserve">47k</w:t>
      </w:r>
      <w:r>
        <w:t xml:space="preserve"> </w:t>
      </w:r>
      <w:r>
        <w:t xml:space="preserve">208k</w:t>
      </w:r>
    </w:p>
    <w:p>
      <w:pPr>
        <w:pStyle w:val="BodyText"/>
      </w:pPr>
      <w:r>
        <w:t xml:space="preserve">AO excluded</w:t>
      </w:r>
      <w:r>
        <w:t xml:space="preserve"> </w:t>
      </w:r>
      <w:r>
        <w:t xml:space="preserve">207</w:t>
      </w:r>
      <w:r>
        <w:t xml:space="preserve"> </w:t>
      </w:r>
      <w:r>
        <w:t xml:space="preserve">551</w:t>
      </w:r>
      <w:r>
        <w:t xml:space="preserve"> </w:t>
      </w:r>
      <w:r>
        <w:t xml:space="preserve">65</w:t>
      </w:r>
      <w:r>
        <w:t xml:space="preserve"> </w:t>
      </w:r>
      <w:r>
        <w:t xml:space="preserve">431</w:t>
      </w:r>
      <w:r>
        <w:t xml:space="preserve"> </w:t>
      </w:r>
      <w:r>
        <w:t xml:space="preserve">Source: Eurocontrol</w:t>
      </w:r>
      <w:r>
        <w:t xml:space="preserve"> </w:t>
      </w:r>
      <w:r>
        <w:t xml:space="preserve">Table 23:</w:t>
      </w:r>
      <w:r>
        <w:t xml:space="preserve"> </w:t>
      </w:r>
      <w:r>
        <w:t xml:space="preserve">Emissions and number of AOs exempted based on the new simplification de-minimis</w:t>
      </w:r>
      <w:r>
        <w:t xml:space="preserve"> </w:t>
      </w:r>
      <w:r>
        <w:t xml:space="preserve">threshold based on surrender scope: figures for new common full scope threshold of 1000 tCO2</w:t>
      </w:r>
    </w:p>
    <w:p>
      <w:pPr>
        <w:pStyle w:val="BodyText"/>
      </w:pPr>
      <w:r>
        <w:t xml:space="preserve">AS1</w:t>
      </w:r>
      <w:r>
        <w:t xml:space="preserve"> </w:t>
      </w:r>
      <w:r>
        <w:t xml:space="preserve">AS2</w:t>
      </w:r>
      <w:r>
        <w:t xml:space="preserve"> </w:t>
      </w:r>
      <w:r>
        <w:t xml:space="preserve">Annual</w:t>
      </w:r>
      <w:r>
        <w:t xml:space="preserve"> </w:t>
      </w:r>
      <w:r>
        <w:t xml:space="preserve">Emissions</w:t>
      </w:r>
      <w:r>
        <w:t xml:space="preserve"> </w:t>
      </w:r>
      <w:r>
        <w:t xml:space="preserve">Threshold</w:t>
      </w:r>
      <w:r>
        <w:t xml:space="preserve"> </w:t>
      </w:r>
      <w:r>
        <w:t xml:space="preserve">(tCO2)</w:t>
      </w:r>
    </w:p>
    <w:p>
      <w:pPr>
        <w:pStyle w:val="BodyText"/>
      </w:pPr>
      <w:r>
        <w:t xml:space="preserve">AO in EU ETS</w:t>
      </w:r>
      <w:r>
        <w:t xml:space="preserve"> </w:t>
      </w:r>
      <w:r>
        <w:t xml:space="preserve">based on old</w:t>
      </w:r>
      <w:r>
        <w:t xml:space="preserve"> </w:t>
      </w:r>
      <w:r>
        <w:t xml:space="preserve">full scope</w:t>
      </w:r>
      <w:r>
        <w:t xml:space="preserve"> </w:t>
      </w:r>
      <w:r>
        <w:t xml:space="preserve">threshold</w:t>
      </w:r>
      <w:r>
        <w:t xml:space="preserve"> </w:t>
      </w:r>
      <w:r>
        <w:t xml:space="preserve">AO newly in</w:t>
      </w:r>
      <w:r>
        <w:t xml:space="preserve"> </w:t>
      </w:r>
      <w:r>
        <w:t xml:space="preserve">EU ETS due to</w:t>
      </w:r>
      <w:r>
        <w:t xml:space="preserve"> </w:t>
      </w:r>
      <w:r>
        <w:t xml:space="preserve">new full scope</w:t>
      </w:r>
      <w:r>
        <w:t xml:space="preserve"> </w:t>
      </w:r>
      <w:r>
        <w:t xml:space="preserve">threshold</w:t>
      </w:r>
      <w:r>
        <w:t xml:space="preserve"> </w:t>
      </w:r>
      <w:r>
        <w:t xml:space="preserve">AO in EU ETS</w:t>
      </w:r>
      <w:r>
        <w:t xml:space="preserve"> </w:t>
      </w:r>
      <w:r>
        <w:t xml:space="preserve">based on old</w:t>
      </w:r>
      <w:r>
        <w:t xml:space="preserve"> </w:t>
      </w:r>
      <w:r>
        <w:t xml:space="preserve">full scope</w:t>
      </w:r>
      <w:r>
        <w:t xml:space="preserve"> </w:t>
      </w:r>
      <w:r>
        <w:t xml:space="preserve">threshold</w:t>
      </w:r>
      <w:r>
        <w:t xml:space="preserve"> </w:t>
      </w:r>
      <w:r>
        <w:t xml:space="preserve">AO newly in</w:t>
      </w:r>
      <w:r>
        <w:t xml:space="preserve"> </w:t>
      </w:r>
      <w:r>
        <w:t xml:space="preserve">EU ETS due to</w:t>
      </w:r>
      <w:r>
        <w:t xml:space="preserve"> </w:t>
      </w:r>
      <w:r>
        <w:t xml:space="preserve">new full scope</w:t>
      </w:r>
      <w:r>
        <w:t xml:space="preserve"> </w:t>
      </w:r>
      <w:r>
        <w:t xml:space="preserve">threshold</w:t>
      </w:r>
      <w:r>
        <w:t xml:space="preserve"> </w:t>
      </w:r>
      <w:r>
        <w:t xml:space="preserve">0</w:t>
      </w:r>
      <w:r>
        <w:t xml:space="preserve"> </w:t>
      </w:r>
      <w:r>
        <w:t xml:space="preserve">tCO2 excluded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AO excluded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tCO2 excluded</w:t>
      </w:r>
      <w:r>
        <w:t xml:space="preserve"> </w:t>
      </w:r>
      <w:r>
        <w:t xml:space="preserve">1k</w:t>
      </w:r>
      <w:r>
        <w:t xml:space="preserve"> </w:t>
      </w:r>
      <w:r>
        <w:t xml:space="preserve">Negl</w:t>
      </w:r>
      <w:r>
        <w:t xml:space="preserve"> </w:t>
      </w:r>
      <w:r>
        <w:t xml:space="preserve">0</w:t>
      </w:r>
      <w:r>
        <w:t xml:space="preserve"> </w:t>
      </w:r>
      <w:r>
        <w:t xml:space="preserve">Negl.</w:t>
      </w:r>
    </w:p>
    <w:p>
      <w:pPr>
        <w:pStyle w:val="BodyText"/>
      </w:pPr>
      <w:r>
        <w:t xml:space="preserve">AO excluded</w:t>
      </w:r>
      <w:r>
        <w:t xml:space="preserve"> </w:t>
      </w:r>
      <w:r>
        <w:t xml:space="preserve">60</w:t>
      </w:r>
      <w:r>
        <w:t xml:space="preserve"> </w:t>
      </w:r>
      <w:r>
        <w:t xml:space="preserve">42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100</w:t>
      </w:r>
      <w:r>
        <w:t xml:space="preserve"> </w:t>
      </w:r>
      <w:r>
        <w:t xml:space="preserve">tCO2 excluded</w:t>
      </w:r>
      <w:r>
        <w:t xml:space="preserve"> </w:t>
      </w:r>
      <w:r>
        <w:t xml:space="preserve">3k</w:t>
      </w:r>
      <w:r>
        <w:t xml:space="preserve"> </w:t>
      </w:r>
      <w:r>
        <w:t xml:space="preserve">1k</w:t>
      </w:r>
      <w:r>
        <w:t xml:space="preserve"> </w:t>
      </w:r>
      <w:r>
        <w:t xml:space="preserve">0</w:t>
      </w:r>
      <w:r>
        <w:t xml:space="preserve"> </w:t>
      </w:r>
      <w:r>
        <w:t xml:space="preserve">Negl</w:t>
      </w:r>
    </w:p>
    <w:p>
      <w:pPr>
        <w:pStyle w:val="BodyText"/>
      </w:pPr>
      <w:r>
        <w:t xml:space="preserve">AO excluded</w:t>
      </w:r>
      <w:r>
        <w:t xml:space="preserve"> </w:t>
      </w:r>
      <w:r>
        <w:t xml:space="preserve">93</w:t>
      </w:r>
      <w:r>
        <w:t xml:space="preserve"> </w:t>
      </w:r>
      <w:r>
        <w:t xml:space="preserve">54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200</w:t>
      </w:r>
      <w:r>
        <w:t xml:space="preserve"> </w:t>
      </w:r>
      <w:r>
        <w:t xml:space="preserve">tCO2 excluded</w:t>
      </w:r>
      <w:r>
        <w:t xml:space="preserve"> </w:t>
      </w:r>
      <w:r>
        <w:t xml:space="preserve">7k</w:t>
      </w:r>
      <w:r>
        <w:t xml:space="preserve"> </w:t>
      </w:r>
      <w:r>
        <w:t xml:space="preserve">5k</w:t>
      </w:r>
      <w:r>
        <w:t xml:space="preserve"> </w:t>
      </w:r>
      <w:r>
        <w:t xml:space="preserve">Negl.</w:t>
      </w:r>
      <w:r>
        <w:t xml:space="preserve"> </w:t>
      </w:r>
      <w:r>
        <w:t xml:space="preserve">Negl.</w:t>
      </w:r>
    </w:p>
    <w:p>
      <w:pPr>
        <w:pStyle w:val="BodyText"/>
      </w:pPr>
      <w:r>
        <w:t xml:space="preserve">AO excluded</w:t>
      </w:r>
      <w:r>
        <w:t xml:space="preserve"> </w:t>
      </w:r>
      <w:r>
        <w:t xml:space="preserve">121</w:t>
      </w:r>
      <w:r>
        <w:t xml:space="preserve"> </w:t>
      </w:r>
      <w:r>
        <w:t xml:space="preserve">80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500</w:t>
      </w:r>
      <w:r>
        <w:t xml:space="preserve"> </w:t>
      </w:r>
      <w:r>
        <w:t xml:space="preserve">tCO2 excluded</w:t>
      </w:r>
      <w:r>
        <w:t xml:space="preserve"> </w:t>
      </w:r>
      <w:r>
        <w:t xml:space="preserve">20k</w:t>
      </w:r>
      <w:r>
        <w:t xml:space="preserve"> </w:t>
      </w:r>
      <w:r>
        <w:t xml:space="preserve">19k</w:t>
      </w:r>
      <w:r>
        <w:t xml:space="preserve"> </w:t>
      </w:r>
      <w:r>
        <w:t xml:space="preserve">1k</w:t>
      </w:r>
      <w:r>
        <w:t xml:space="preserve"> </w:t>
      </w:r>
      <w:r>
        <w:t xml:space="preserve">1k</w:t>
      </w:r>
    </w:p>
    <w:p>
      <w:pPr>
        <w:pStyle w:val="BodyText"/>
      </w:pPr>
      <w:r>
        <w:t xml:space="preserve">AO excluded</w:t>
      </w:r>
      <w:r>
        <w:t xml:space="preserve"> </w:t>
      </w:r>
      <w:r>
        <w:t xml:space="preserve">161</w:t>
      </w:r>
      <w:r>
        <w:t xml:space="preserve"> </w:t>
      </w:r>
      <w:r>
        <w:t xml:space="preserve">125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1000</w:t>
      </w:r>
      <w:r>
        <w:t xml:space="preserve"> </w:t>
      </w:r>
      <w:r>
        <w:t xml:space="preserve">tCO2 excluded</w:t>
      </w:r>
      <w:r>
        <w:t xml:space="preserve"> </w:t>
      </w:r>
      <w:r>
        <w:t xml:space="preserve">54k</w:t>
      </w:r>
      <w:r>
        <w:t xml:space="preserve"> </w:t>
      </w:r>
      <w:r>
        <w:t xml:space="preserve">70k</w:t>
      </w:r>
      <w:r>
        <w:t xml:space="preserve"> </w:t>
      </w:r>
      <w:r>
        <w:t xml:space="preserve">47k</w:t>
      </w:r>
      <w:r>
        <w:t xml:space="preserve"> </w:t>
      </w:r>
      <w:r>
        <w:t xml:space="preserve">54k</w:t>
      </w:r>
    </w:p>
    <w:p>
      <w:pPr>
        <w:pStyle w:val="BodyText"/>
      </w:pPr>
      <w:r>
        <w:t xml:space="preserve">AO excluded</w:t>
      </w:r>
      <w:r>
        <w:t xml:space="preserve"> </w:t>
      </w:r>
      <w:r>
        <w:t xml:space="preserve">207</w:t>
      </w:r>
      <w:r>
        <w:t xml:space="preserve"> </w:t>
      </w:r>
      <w:r>
        <w:t xml:space="preserve">194</w:t>
      </w:r>
      <w:r>
        <w:t xml:space="preserve"> </w:t>
      </w:r>
      <w:r>
        <w:t xml:space="preserve">65</w:t>
      </w:r>
      <w:r>
        <w:t xml:space="preserve"> </w:t>
      </w:r>
      <w:r>
        <w:t xml:space="preserve">74</w:t>
      </w:r>
      <w:r>
        <w:t xml:space="preserve"> </w:t>
      </w:r>
      <w:r>
        <w:t xml:space="preserve">Source: Eurocontrol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7.1.3.1.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To assess which threshold corresponds to a very low aviation activity that would justify</w:t>
      </w:r>
      <w:r>
        <w:t xml:space="preserve"> </w:t>
      </w:r>
      <w:r>
        <w:t xml:space="preserve">exclusion from EU ETS and thus avoidance of surrender obligation for those emissions, this</w:t>
      </w:r>
      <w:r>
        <w:t xml:space="preserve"> </w:t>
      </w:r>
      <w:r>
        <w:t xml:space="preserve">analysis compares the administrative cost associated with the monitoring, reporting and</w:t>
      </w:r>
      <w:r>
        <w:t xml:space="preserve"> </w:t>
      </w:r>
      <w:r>
        <w:t xml:space="preserve">verification of the emissions as well as other fees associated with the EU ETS obligation,</w:t>
      </w:r>
      <w:r>
        <w:t xml:space="preserve"> </w:t>
      </w:r>
      <w:r>
        <w:t xml:space="preserve">weighted against the EU ETS compliance revenues brought into the system. The ETS</w:t>
      </w:r>
      <w:r>
        <w:t xml:space="preserve"> </w:t>
      </w:r>
      <w:r>
        <w:t xml:space="preserve">compliance cost is not included in the definition of administrative cost, as the compliance cost</w:t>
      </w:r>
      <w:r>
        <w:t xml:space="preserve"> </w:t>
      </w:r>
      <w:r>
        <w:t xml:space="preserve">is a consequence of emitting CO2 and the application of the polluter pays principle. However,</w:t>
      </w:r>
      <w:r>
        <w:t xml:space="preserve"> </w:t>
      </w:r>
      <w:r>
        <w:t xml:space="preserve">it is understood that should the administrative cost associated with the compliance be higher</w:t>
      </w:r>
      <w:r>
        <w:t xml:space="preserve"> </w:t>
      </w:r>
      <w:r>
        <w:t xml:space="preserve">than the compliance cost itself, it would constitute an unjustified burden.</w:t>
      </w:r>
      <w:r>
        <w:br/>
      </w:r>
      <w:r>
        <w:t xml:space="preserve">As also stated in the impact assessments of 2017270 and 2021271, the Commission published in</w:t>
      </w:r>
      <w:r>
        <w:t xml:space="preserve"> </w:t>
      </w:r>
      <w:r>
        <w:t xml:space="preserve">2014 a study by PWC et al.272 (the small emitters study) that investigated the costs and benefits</w:t>
      </w:r>
      <w:r>
        <w:t xml:space="preserve"> </w:t>
      </w:r>
      <w:r>
        <w:t xml:space="preserve">of the inclusion of small emitters in the EU ETS. It revealed amongst other things that the</w:t>
      </w:r>
      <w:r>
        <w:t xml:space="preserve"> </w:t>
      </w:r>
      <w:r>
        <w:t xml:space="preserve">obligations with regard to MRV generate relatively higher administrative costs for small than</w:t>
      </w:r>
      <w:r>
        <w:t xml:space="preserve"> </w:t>
      </w:r>
      <w:r>
        <w:t xml:space="preserve">large operators. The study also stated that compared to the level of EU ETS revenues raised</w:t>
      </w:r>
      <w:r>
        <w:t xml:space="preserve"> </w:t>
      </w:r>
      <w:r>
        <w:t xml:space="preserve">from a small emitter, the administrative cost can be up to 4 times higher.</w:t>
      </w:r>
      <w:r>
        <w:br/>
      </w:r>
      <w:r>
        <w:t xml:space="preserve">As per the aviation support study initial setup and onboarding (preparing monitoring plans,</w:t>
      </w:r>
      <w:r>
        <w:t xml:space="preserve"> </w:t>
      </w:r>
      <w:r>
        <w:t xml:space="preserve">registration in the Union Registry, software adjustments) typically ranges for small operators</w:t>
      </w:r>
      <w:r>
        <w:t xml:space="preserve"> </w:t>
      </w:r>
      <w:r>
        <w:t xml:space="preserve">between EUR 3 000–EUR 10 000, depending on operational complexity and data systems.</w:t>
      </w:r>
      <w:r>
        <w:t xml:space="preserve"> </w:t>
      </w:r>
      <w:r>
        <w:t xml:space="preserve">The ongoing MRV costs (annual data collection, reporting, verifier fees):</w:t>
      </w:r>
      <w:r>
        <w:t xml:space="preserve"> </w:t>
      </w:r>
      <w:r>
        <w:t xml:space="preserve">a) Very small emitters (&lt;1 000 tCO₂ full scope / &lt; 300 tCO₂ surrender scope): EUR 1 000–</w:t>
      </w:r>
      <w:r>
        <w:t xml:space="preserve"> </w:t>
      </w:r>
      <w:r>
        <w:t xml:space="preserve">EUR 5 000 per year.</w:t>
      </w:r>
      <w:r>
        <w:t xml:space="preserve"> </w:t>
      </w:r>
      <w:r>
        <w:t xml:space="preserve">b) Small emitters (&lt;25 000 tCO₂ full scope / &lt; 3 000 tCO₂ surrender scope): EUR 2 000–</w:t>
      </w:r>
      <w:r>
        <w:t xml:space="preserve"> </w:t>
      </w:r>
      <w:r>
        <w:t xml:space="preserve">EUR 7 000 per year.</w:t>
      </w:r>
      <w:r>
        <w:t xml:space="preserve"> </w:t>
      </w:r>
      <w:r>
        <w:t xml:space="preserve">The 2014 Small emitter study, as well as the figures included above, must be considered also</w:t>
      </w:r>
      <w:r>
        <w:t xml:space="preserve"> </w:t>
      </w:r>
      <w:r>
        <w:t xml:space="preserve">taking into account the following developments:</w:t>
      </w:r>
      <w:r>
        <w:t xml:space="preserve"> </w:t>
      </w:r>
      <w:r>
        <w:t xml:space="preserve">o Regulation 2017/2392 simplified the MRV requirements for operators emitting less</w:t>
      </w:r>
      <w:r>
        <w:t xml:space="preserve"> </w:t>
      </w:r>
      <w:r>
        <w:t xml:space="preserve">than 25 000 tCO2 per year on full scope or 3 000 tCO2 per year under the surrender</w:t>
      </w:r>
      <w:r>
        <w:t xml:space="preserve"> </w:t>
      </w:r>
      <w:r>
        <w:t xml:space="preserve">scope of the EU ETS, allowing the use of EMIS Support Facility273 without the need</w:t>
      </w:r>
      <w:r>
        <w:t xml:space="preserve"> </w:t>
      </w:r>
      <w:r>
        <w:t xml:space="preserve">for reporting or verification. Aircraft operators can purchase this service from</w:t>
      </w:r>
      <w:r>
        <w:t xml:space="preserve"> </w:t>
      </w:r>
      <w:r>
        <w:t xml:space="preserve">Eurocontrol for an annual fee of EUR 400274. Being able to use this derogation</w:t>
      </w:r>
      <w:r>
        <w:t xml:space="preserve"> </w:t>
      </w:r>
      <w:r>
        <w:t xml:space="preserve">essentially eliminates the ongoing MRV costs above. However, certain resources are</w:t>
      </w:r>
      <w:r>
        <w:t xml:space="preserve"> </w:t>
      </w:r>
      <w:r>
        <w:t xml:space="preserve">still necessary for the download of the EMIS report as well as the submission.</w:t>
      </w:r>
      <w:r>
        <w:t xml:space="preserve"> </w:t>
      </w:r>
      <w:r>
        <w:t xml:space="preserve">o New entrants may face unavoidable cost related to set up and onboarding. However,</w:t>
      </w:r>
      <w:r>
        <w:t xml:space="preserve"> </w:t>
      </w:r>
      <w:r>
        <w:t xml:space="preserve">Commission Implementing Regulation 2018/2066 provides for simplified procedures</w:t>
      </w:r>
      <w:r>
        <w:t xml:space="preserve"> </w:t>
      </w:r>
      <w:r>
        <w:t xml:space="preserve">including simplified monitoring plan requirements for small emitters. Even further</w:t>
      </w:r>
      <w:r>
        <w:t xml:space="preserve"> </w:t>
      </w:r>
      <w:r>
        <w:t xml:space="preserve">simplification on this point is foreseen as part of this design element and is described</w:t>
      </w:r>
      <w:r>
        <w:t xml:space="preserve"> </w:t>
      </w:r>
      <w:r>
        <w:t xml:space="preserve">in more detail in subsection 7.2.</w:t>
      </w:r>
      <w:r>
        <w:t xml:space="preserve"> </w:t>
      </w:r>
      <w:r>
        <w:t xml:space="preserve">o Additionally, to the set up cost and specifically the Union Registry registration, it is</w:t>
      </w:r>
      <w:r>
        <w:t xml:space="preserve"> </w:t>
      </w:r>
      <w:r>
        <w:t xml:space="preserve">important to note that there are currently 1 334 aircraft operators with an open Union</w:t>
      </w:r>
      <w:r>
        <w:t xml:space="preserve"> </w:t>
      </w:r>
      <w:r>
        <w:t xml:space="preserve">Registry account, while in 2024 there was only 375 aircraft operators falling under the</w:t>
      </w:r>
    </w:p>
    <w:p>
      <w:pPr>
        <w:pStyle w:val="BodyText"/>
      </w:pPr>
      <w:r>
        <w:t xml:space="preserve">270 SWD(2017) 31 final.</w:t>
      </w:r>
      <w:r>
        <w:br/>
      </w:r>
      <w:r>
        <w:t xml:space="preserve">271 SWD(2021) 603 final.</w:t>
      </w:r>
      <w:r>
        <w:t xml:space="preserve"> </w:t>
      </w:r>
      <w:r>
        <w:t xml:space="preserve">272 PWC et al., ETS Aviation small emitters, 2014.</w:t>
      </w:r>
      <w:r>
        <w:t xml:space="preserve"> </w:t>
      </w:r>
      <w:r>
        <w:t xml:space="preserve">273 Formerly known as the EU ETS Support Facility. This service falls under the Eurocontrol Environment</w:t>
      </w:r>
      <w:r>
        <w:t xml:space="preserve"> </w:t>
      </w:r>
      <w:r>
        <w:t xml:space="preserve">Management Information Service (EMIS) available to aircraft operators for purchase and to Member States.</w:t>
      </w:r>
      <w:r>
        <w:br/>
      </w:r>
      <w:r>
        <w:t xml:space="preserve">274 EUROCONTROL, Emissions trading system support facility (ETS SF).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EU ETS scope and reporting their emissions275. It is therefore assumed that most of the</w:t>
      </w:r>
      <w:r>
        <w:t xml:space="preserve"> </w:t>
      </w:r>
      <w:r>
        <w:t xml:space="preserve">newly added aircraft operators do, in fact, already own an open but excluded Union</w:t>
      </w:r>
      <w:r>
        <w:t xml:space="preserve"> </w:t>
      </w:r>
      <w:r>
        <w:t xml:space="preserve">Registry account.</w:t>
      </w:r>
      <w:r>
        <w:t xml:space="preserve"> </w:t>
      </w:r>
      <w:r>
        <w:t xml:space="preserve">o The two previous points significantly lower the initial setup and onboarding costs.</w:t>
      </w:r>
      <w:r>
        <w:br/>
      </w:r>
      <w:r>
        <w:t xml:space="preserve">o In general, the cost figures included in the small emitters study are largely outdated</w:t>
      </w:r>
      <w:r>
        <w:t xml:space="preserve"> </w:t>
      </w:r>
      <w:r>
        <w:t xml:space="preserve">based on first years of entirely new compliance. In 2025, majority of aircraft operators,</w:t>
      </w:r>
      <w:r>
        <w:t xml:space="preserve"> </w:t>
      </w:r>
      <w:r>
        <w:t xml:space="preserve">both EEA and extra-EEA, have in place sophisticated monitoring of their fuel use, not</w:t>
      </w:r>
      <w:r>
        <w:t xml:space="preserve"> </w:t>
      </w:r>
      <w:r>
        <w:t xml:space="preserve">only for the purpose of EU ETS or other market-base measures, but also because fuel</w:t>
      </w:r>
      <w:r>
        <w:t xml:space="preserve"> </w:t>
      </w:r>
      <w:r>
        <w:t xml:space="preserve">represents a large expenditure in their total operational costs and for safety reasons.</w:t>
      </w:r>
      <w:r>
        <w:br/>
      </w:r>
      <w:r>
        <w:t xml:space="preserve">o The conclusions of the small emitters study on the comparison of the EU ETS revenues</w:t>
      </w:r>
      <w:r>
        <w:t xml:space="preserve"> </w:t>
      </w:r>
      <w:r>
        <w:t xml:space="preserve">against the administrative cost for small emitters were based on the 2012 price of the</w:t>
      </w:r>
      <w:r>
        <w:t xml:space="preserve"> </w:t>
      </w:r>
      <w:r>
        <w:t xml:space="preserve">EU ETS allowances varying between EUR 4 and EUR 5 per tCO2. In 2024, the average</w:t>
      </w:r>
      <w:r>
        <w:t xml:space="preserve"> </w:t>
      </w:r>
      <w:r>
        <w:t xml:space="preserve">auction price per ETS emissions allowance as published on the common auction</w:t>
      </w:r>
      <w:r>
        <w:t xml:space="preserve"> </w:t>
      </w:r>
      <w:r>
        <w:t xml:space="preserve">platform was EUR 64,74276. This price is assumed to be increasing up to EUR 140 by</w:t>
      </w:r>
      <w:r>
        <w:t xml:space="preserve"> </w:t>
      </w:r>
      <w:r>
        <w:t xml:space="preserve">2035 due to the continuously tightening ETS cap. On the other hand, significant</w:t>
      </w:r>
      <w:r>
        <w:t xml:space="preserve"> </w:t>
      </w:r>
      <w:r>
        <w:t xml:space="preserve">increase of the administrative cost, apart from inflation, is not assumed nor justified in</w:t>
      </w:r>
      <w:r>
        <w:t xml:space="preserve"> </w:t>
      </w:r>
      <w:r>
        <w:t xml:space="preserve">the view of continuous simplification.</w:t>
      </w:r>
      <w:r>
        <w:br/>
      </w:r>
      <w:r>
        <w:t xml:space="preserve">o No new comprehensive study including broad survey of the actual costs has been</w:t>
      </w:r>
      <w:r>
        <w:t xml:space="preserve"> </w:t>
      </w:r>
      <w:r>
        <w:t xml:space="preserve">performed since the small emitters study.</w:t>
      </w:r>
      <w:r>
        <w:t xml:space="preserve"> </w:t>
      </w:r>
      <w:r>
        <w:t xml:space="preserve">Considering these points and ensuring this analysis does not underestimate the administrative</w:t>
      </w:r>
      <w:r>
        <w:t xml:space="preserve"> </w:t>
      </w:r>
      <w:r>
        <w:t xml:space="preserve">costs, the following adjusted average costs are used:</w:t>
      </w:r>
      <w:r>
        <w:t xml:space="preserve"> </w:t>
      </w:r>
      <w:r>
        <w:t xml:space="preserve">a) For initial setup and onboarding: EUR 3 000</w:t>
      </w:r>
      <w:r>
        <w:t xml:space="preserve"> </w:t>
      </w:r>
      <w:r>
        <w:t xml:space="preserve">b) Ongoing MRV costs for very small emitters: EUR 700</w:t>
      </w:r>
      <w:r>
        <w:t xml:space="preserve"> </w:t>
      </w:r>
      <w:r>
        <w:t xml:space="preserve">c) Ongoing MRV costs for small emitters: EUR 1 000</w:t>
      </w:r>
      <w:r>
        <w:t xml:space="preserve"> </w:t>
      </w:r>
      <w:r>
        <w:t xml:space="preserve">Table 24:</w:t>
      </w:r>
      <w:r>
        <w:t xml:space="preserve"> </w:t>
      </w:r>
      <w:r>
        <w:t xml:space="preserve">Comparison of administrative costs and associated minimum ETS revenue for each</w:t>
      </w:r>
      <w:r>
        <w:t xml:space="preserve"> </w:t>
      </w:r>
      <w:r>
        <w:t xml:space="preserve">simplification threshold in Tables 22 and 23.</w:t>
      </w:r>
      <w:r>
        <w:t xml:space="preserve"> </w:t>
      </w:r>
      <w:r>
        <w:t xml:space="preserve">Annual Emissions</w:t>
      </w:r>
      <w:r>
        <w:t xml:space="preserve"> </w:t>
      </w:r>
      <w:r>
        <w:t xml:space="preserve">Threshold (tCO2)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</w:t>
      </w:r>
      <w:r>
        <w:t xml:space="preserve"> </w:t>
      </w:r>
      <w:r>
        <w:t xml:space="preserve">Minimum ETS revenue</w:t>
      </w:r>
      <w:r>
        <w:t xml:space="preserve"> </w:t>
      </w:r>
      <w:r>
        <w:t xml:space="preserve">(EUR at 2024 EUA</w:t>
      </w:r>
      <w:r>
        <w:t xml:space="preserve"> </w:t>
      </w:r>
      <w:r>
        <w:t xml:space="preserve">price)</w:t>
      </w:r>
      <w:r>
        <w:t xml:space="preserve"> </w:t>
      </w:r>
      <w:r>
        <w:t xml:space="preserve">Minimum ETS revenue</w:t>
      </w:r>
      <w:r>
        <w:t xml:space="preserve"> </w:t>
      </w:r>
      <w:r>
        <w:t xml:space="preserve">(EUR at 2035 EUA price)</w:t>
      </w:r>
      <w:r>
        <w:t xml:space="preserve"> </w:t>
      </w:r>
      <w:r>
        <w:t xml:space="preserve">0</w:t>
      </w:r>
      <w:r>
        <w:t xml:space="preserve"> </w:t>
      </w:r>
      <w:r>
        <w:t xml:space="preserve">3 700</w:t>
      </w:r>
      <w:r>
        <w:t xml:space="preserve"> </w:t>
      </w:r>
      <w:r>
        <w:t xml:space="preserve">0 </w:t>
      </w:r>
      <w:r>
        <w:t xml:space="preserve"> </w:t>
      </w:r>
      <w:r>
        <w:t xml:space="preserve">0 </w:t>
      </w:r>
      <w:r>
        <w:t xml:space="preserve"> </w:t>
      </w:r>
      <w:r>
        <w:t xml:space="preserve">50</w:t>
      </w:r>
      <w:r>
        <w:t xml:space="preserve"> </w:t>
      </w:r>
      <w:r>
        <w:t xml:space="preserve">3 700</w:t>
      </w:r>
      <w:r>
        <w:t xml:space="preserve"> </w:t>
      </w:r>
      <w:r>
        <w:t xml:space="preserve">3 237 </w:t>
      </w:r>
      <w:r>
        <w:t xml:space="preserve"> </w:t>
      </w:r>
      <w:r>
        <w:t xml:space="preserve">7 000 </w:t>
      </w:r>
      <w:r>
        <w:t xml:space="preserve"> </w:t>
      </w:r>
      <w:r>
        <w:t xml:space="preserve">100</w:t>
      </w:r>
      <w:r>
        <w:t xml:space="preserve"> </w:t>
      </w:r>
      <w:r>
        <w:t xml:space="preserve">3 700</w:t>
      </w:r>
      <w:r>
        <w:t xml:space="preserve"> </w:t>
      </w:r>
      <w:r>
        <w:t xml:space="preserve">6 474 </w:t>
      </w:r>
      <w:r>
        <w:t xml:space="preserve"> </w:t>
      </w:r>
      <w:r>
        <w:t xml:space="preserve">14 000 </w:t>
      </w:r>
      <w:r>
        <w:t xml:space="preserve"> </w:t>
      </w:r>
      <w:r>
        <w:t xml:space="preserve">200</w:t>
      </w:r>
      <w:r>
        <w:t xml:space="preserve"> </w:t>
      </w:r>
      <w:r>
        <w:t xml:space="preserve">3 700</w:t>
      </w:r>
      <w:r>
        <w:t xml:space="preserve"> </w:t>
      </w:r>
      <w:r>
        <w:t xml:space="preserve">12 948 </w:t>
      </w:r>
      <w:r>
        <w:t xml:space="preserve"> </w:t>
      </w:r>
      <w:r>
        <w:t xml:space="preserve">28 000 </w:t>
      </w:r>
      <w:r>
        <w:t xml:space="preserve"> </w:t>
      </w:r>
      <w:r>
        <w:t xml:space="preserve">500</w:t>
      </w:r>
      <w:r>
        <w:t xml:space="preserve"> </w:t>
      </w:r>
      <w:r>
        <w:t xml:space="preserve">4 000</w:t>
      </w:r>
      <w:r>
        <w:t xml:space="preserve"> </w:t>
      </w:r>
      <w:r>
        <w:t xml:space="preserve">32 370 </w:t>
      </w:r>
      <w:r>
        <w:t xml:space="preserve"> </w:t>
      </w:r>
      <w:r>
        <w:t xml:space="preserve">70 000 </w:t>
      </w:r>
      <w:r>
        <w:t xml:space="preserve"> </w:t>
      </w:r>
      <w:r>
        <w:t xml:space="preserve">1000</w:t>
      </w:r>
      <w:r>
        <w:t xml:space="preserve"> </w:t>
      </w:r>
      <w:r>
        <w:t xml:space="preserve">4 000</w:t>
      </w:r>
      <w:r>
        <w:t xml:space="preserve"> </w:t>
      </w:r>
      <w:r>
        <w:t xml:space="preserve">64 740 </w:t>
      </w:r>
      <w:r>
        <w:t xml:space="preserve"> </w:t>
      </w:r>
      <w:r>
        <w:t xml:space="preserve">140 000 </w:t>
      </w:r>
      <w:r>
        <w:t xml:space="preserve"> </w:t>
      </w:r>
      <w:r>
        <w:t xml:space="preserve">Source: Commission analysis</w:t>
      </w:r>
    </w:p>
    <w:p>
      <w:pPr>
        <w:pStyle w:val="BodyText"/>
      </w:pPr>
      <w:r>
        <w:t xml:space="preserve">275 Majority (1 000) of the OPEN accounts were opened in 2012 when aviation was included in the EU ETS.</w:t>
      </w:r>
      <w:r>
        <w:t xml:space="preserve"> </w:t>
      </w:r>
      <w:r>
        <w:t xml:space="preserve">Initially, the surrender obligation scope matched the geographic scope of Annex I and there was no derogation</w:t>
      </w:r>
      <w:r>
        <w:t xml:space="preserve"> </w:t>
      </w:r>
      <w:r>
        <w:t xml:space="preserve">for non-commercial operators bellow 1 000 tCO2 requiring many aircraft operators to open a Union Registry</w:t>
      </w:r>
      <w:r>
        <w:t xml:space="preserve"> </w:t>
      </w:r>
      <w:r>
        <w:t xml:space="preserve">account at the time. Following the reduction of the geographical scope, many of these operators either do not</w:t>
      </w:r>
      <w:r>
        <w:t xml:space="preserve"> </w:t>
      </w:r>
      <w:r>
        <w:t xml:space="preserve">report emissions since 2013 or may fall in and out of the scope from one year to another.</w:t>
      </w:r>
      <w:r>
        <w:br/>
      </w:r>
      <w:r>
        <w:t xml:space="preserve">276 Commission Notice on the publication of the details for the calculation of the price difference between</w:t>
      </w:r>
      <w:r>
        <w:t xml:space="preserve"> </w:t>
      </w:r>
      <w:r>
        <w:t xml:space="preserve">kerosene and relevant eligible aviation fuels and for the allocation of allowances for the use of eligible fuels</w:t>
      </w:r>
      <w:r>
        <w:t xml:space="preserve"> </w:t>
      </w:r>
      <w:r>
        <w:t xml:space="preserve">under the EU Emissions Trading System established by Directive 2003/87/EC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Table 24 shows that the simplification threshold of 0 tCO2 (current) is the only threshold that</w:t>
      </w:r>
      <w:r>
        <w:t xml:space="preserve"> </w:t>
      </w:r>
      <w:r>
        <w:t xml:space="preserve">would result in higher administrative cost for the operator than the corresponding minimum</w:t>
      </w:r>
      <w:r>
        <w:t xml:space="preserve"> </w:t>
      </w:r>
      <w:r>
        <w:t xml:space="preserve">ETS revenues stemming from their participation considering both the ETS revenues with</w:t>
      </w:r>
      <w:r>
        <w:t xml:space="preserve"> </w:t>
      </w:r>
      <w:r>
        <w:t xml:space="preserve">known 2024 EUA price and projected 2035 EUA price. At 50 tCO2 simplification threshold,</w:t>
      </w:r>
      <w:r>
        <w:t xml:space="preserve"> </w:t>
      </w:r>
      <w:r>
        <w:t xml:space="preserve">the administrative cost would be higher than the 2024-based ETS revenues, but would be equal</w:t>
      </w:r>
      <w:r>
        <w:t xml:space="preserve"> </w:t>
      </w:r>
      <w:r>
        <w:t xml:space="preserve">at an allowance price of 74 EUR. However, already at 100 tCO2 simplification threshold the</w:t>
      </w:r>
      <w:r>
        <w:t xml:space="preserve"> </w:t>
      </w:r>
      <w:r>
        <w:t xml:space="preserve">2024-based ETS revenues are 75% higher than the administrative cost, while the 2035-based</w:t>
      </w:r>
      <w:r>
        <w:t xml:space="preserve"> </w:t>
      </w:r>
      <w:r>
        <w:t xml:space="preserve">ETS revenues are almost four times higher.</w:t>
      </w:r>
      <w:r>
        <w:br/>
      </w:r>
      <w:r>
        <w:t xml:space="preserve">Member States also incur costs to administer compliance for small emitters. As per the small</w:t>
      </w:r>
      <w:r>
        <w:t xml:space="preserve"> </w:t>
      </w:r>
      <w:r>
        <w:t xml:space="preserve">emitters study, these amounted to EUR 1 070 per operator in 2011 and EUR 970 in 2012, with</w:t>
      </w:r>
      <w:r>
        <w:t xml:space="preserve"> </w:t>
      </w:r>
      <w:r>
        <w:t xml:space="preserve">projected costs stabilising at approximately EUR 821 per year from 2013 onwards. While the</w:t>
      </w:r>
      <w:r>
        <w:t xml:space="preserve"> </w:t>
      </w:r>
      <w:r>
        <w:t xml:space="preserve">underlying data are outdated, they can provide a proxy for assessing the potential</w:t>
      </w:r>
      <w:r>
        <w:t xml:space="preserve"> </w:t>
      </w:r>
      <w:r>
        <w:t xml:space="preserve">administrative cost on Member States associated with expanding ETS coverage with more</w:t>
      </w:r>
      <w:r>
        <w:t xml:space="preserve"> </w:t>
      </w:r>
      <w:r>
        <w:t xml:space="preserve">focus on business aviation operators. As per these estimates, all reviewed simplification</w:t>
      </w:r>
      <w:r>
        <w:t xml:space="preserve"> </w:t>
      </w:r>
      <w:r>
        <w:t xml:space="preserve">threshold would deliver ETS revenues significantly higher than the administrative costs</w:t>
      </w:r>
      <w:r>
        <w:t xml:space="preserve"> </w:t>
      </w:r>
      <w:r>
        <w:t xml:space="preserve">incurred by the Member States, except for the current 0 tCO2 threshold.</w:t>
      </w:r>
      <w:r>
        <w:br/>
      </w:r>
      <w:r>
        <w:t xml:space="preserve">7.2. Simplification</w:t>
      </w:r>
      <w:r>
        <w:t xml:space="preserve"> </w:t>
      </w:r>
      <w:r>
        <w:t xml:space="preserve">7.2.1. Small emitters and use of EMIS</w:t>
      </w:r>
      <w:r>
        <w:t xml:space="preserve"> </w:t>
      </w:r>
      <w:r>
        <w:t xml:space="preserve">Implementing Regulation 2018/2066 defines ‘small emitters’ as aircraft operators operating</w:t>
      </w:r>
      <w:r>
        <w:t xml:space="preserve"> </w:t>
      </w:r>
      <w:r>
        <w:t xml:space="preserve">fewer than 243 flights per period for three consecutive four-month periods and aircraft</w:t>
      </w:r>
      <w:r>
        <w:t xml:space="preserve"> </w:t>
      </w:r>
      <w:r>
        <w:t xml:space="preserve">operators operating flights with a total annual emissions in full scope lower than 25 000 tCO2.</w:t>
      </w:r>
      <w:r>
        <w:t xml:space="preserve"> </w:t>
      </w:r>
      <w:r>
        <w:t xml:space="preserve">Small emitters as well as aircraft operators that have total annual emissions in surrender scope</w:t>
      </w:r>
      <w:r>
        <w:t xml:space="preserve"> </w:t>
      </w:r>
      <w:r>
        <w:t xml:space="preserve">lower than 3 000 tCO2 are allowed to estimate the fuel consumption using tools implemented</w:t>
      </w:r>
      <w:r>
        <w:t xml:space="preserve"> </w:t>
      </w:r>
      <w:r>
        <w:t xml:space="preserve">by Eurocontrol. Moreover, Article 28a(4) of the ETS Directive provides for a derogation for</w:t>
      </w:r>
      <w:r>
        <w:t xml:space="preserve"> </w:t>
      </w:r>
      <w:r>
        <w:t xml:space="preserve">these low-emitting operators meaning that the reported emissions are considered verified if</w:t>
      </w:r>
      <w:r>
        <w:t xml:space="preserve"> </w:t>
      </w:r>
      <w:r>
        <w:t xml:space="preserve">determined using the Eurocontrol EMIS. Small emitters can also take advantage of simplified</w:t>
      </w:r>
      <w:r>
        <w:t xml:space="preserve"> </w:t>
      </w:r>
      <w:r>
        <w:t xml:space="preserve">monitoring plan requirements. Member States have been using EMIS successfully as a tool to</w:t>
      </w:r>
      <w:r>
        <w:t xml:space="preserve"> </w:t>
      </w:r>
      <w:r>
        <w:t xml:space="preserve">perform order of magnitude checks and assess inclusion of operators in the EU ETS277.</w:t>
      </w:r>
      <w:r>
        <w:t xml:space="preserve"> </w:t>
      </w:r>
      <w:r>
        <w:t xml:space="preserve">According to the ETS Evaluation Report (see Annex 15), 90% of small emitters use the</w:t>
      </w:r>
      <w:r>
        <w:t xml:space="preserve"> </w:t>
      </w:r>
      <w:r>
        <w:t xml:space="preserve">Eurocontrol EMIS for their reporting.</w:t>
      </w:r>
      <w:r>
        <w:br/>
      </w:r>
      <w:r>
        <w:t xml:space="preserve">While the Small Emitters Tool (SET) can be downloaded free of charge and used by eligible</w:t>
      </w:r>
      <w:r>
        <w:t xml:space="preserve"> </w:t>
      </w:r>
      <w:r>
        <w:t xml:space="preserve">aircraft operator by inputting aircraft type and distance per flight, aircraft operators may also</w:t>
      </w:r>
      <w:r>
        <w:t xml:space="preserve"> </w:t>
      </w:r>
      <w:r>
        <w:t xml:space="preserve">purchase the EMIS annual data for a fee of EUR 400. This gives them access to their detailed</w:t>
      </w:r>
      <w:r>
        <w:t xml:space="preserve"> </w:t>
      </w:r>
      <w:r>
        <w:t xml:space="preserve">data as collected by Eurocontrol (departure and arrival aerodrome, date and time, aircraft type,</w:t>
      </w:r>
      <w:r>
        <w:t xml:space="preserve"> </w:t>
      </w:r>
      <w:r>
        <w:t xml:space="preserve">distance flown, exemption code, etc.) as well as filled in ETS Annual Emissions Report (AER),</w:t>
      </w:r>
      <w:r>
        <w:t xml:space="preserve"> </w:t>
      </w:r>
      <w:r>
        <w:t xml:space="preserve">which the aircraft operators only need to finalise by including their identification and contact</w:t>
      </w:r>
      <w:r>
        <w:t xml:space="preserve"> </w:t>
      </w:r>
      <w:r>
        <w:t xml:space="preserve">details. Using EMIS significantly simplifies, if not eliminates, the monitoring and reporting</w:t>
      </w:r>
      <w:r>
        <w:t xml:space="preserve"> </w:t>
      </w:r>
      <w:r>
        <w:t xml:space="preserve">obligation of aircraft operators, if eligible, it also eliminates the need for external verification</w:t>
      </w:r>
      <w:r>
        <w:t xml:space="preserve"> </w:t>
      </w:r>
      <w:r>
        <w:t xml:space="preserve">and it allows the Member States to approve submitted AER swiftly lowering their</w:t>
      </w:r>
      <w:r>
        <w:t xml:space="preserve"> </w:t>
      </w:r>
      <w:r>
        <w:t xml:space="preserve">administrative efforts as well.</w:t>
      </w:r>
      <w:r>
        <w:br/>
      </w:r>
      <w:r>
        <w:t xml:space="preserve">It was identified that covering more emissions under the EU ETS also means having more</w:t>
      </w:r>
      <w:r>
        <w:t xml:space="preserve"> </w:t>
      </w:r>
      <w:r>
        <w:t xml:space="preserve">aircraft operators covered by the system where most of the newly added operators would fall</w:t>
      </w:r>
      <w:r>
        <w:t xml:space="preserve"> </w:t>
      </w:r>
      <w:r>
        <w:t xml:space="preserve">within the small emitter definition or below the 3 000 tCO2 surrender threshold. However, it</w:t>
      </w:r>
      <w:r>
        <w:t xml:space="preserve"> </w:t>
      </w:r>
      <w:r>
        <w:t xml:space="preserve">seems appropriate to increase the threshold for eligibility to use SET, EMIS and the verification</w:t>
      </w:r>
    </w:p>
    <w:p>
      <w:pPr>
        <w:pStyle w:val="BodyText"/>
      </w:pPr>
      <w:r>
        <w:t xml:space="preserve">277 EASA, European Aviation Environmental Report, 2025.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derogation, in order to ensure a smooth onboarding of all new operators while maintaining</w:t>
      </w:r>
      <w:r>
        <w:t xml:space="preserve"> </w:t>
      </w:r>
      <w:r>
        <w:t xml:space="preserve">accuracy of the reported emissions.</w:t>
      </w:r>
      <w:r>
        <w:br/>
      </w:r>
      <w:r>
        <w:t xml:space="preserve">Table 25 shows that currently there are 193 aircraft operators reporting under EU ETS with</w:t>
      </w:r>
      <w:r>
        <w:t xml:space="preserve"> </w:t>
      </w:r>
      <w:r>
        <w:t xml:space="preserve">full scope emissions below 25 000 tCO2 and therefore identifying as small emitter and being</w:t>
      </w:r>
      <w:r>
        <w:t xml:space="preserve"> </w:t>
      </w:r>
      <w:r>
        <w:t xml:space="preserve">eligible to use simplified procedures including EMIS without verification. Considering the new</w:t>
      </w:r>
      <w:r>
        <w:t xml:space="preserve"> </w:t>
      </w:r>
      <w:r>
        <w:t xml:space="preserve">common full scope threshold set at 1 000 tCO2, total of 543 operators would fall within the</w:t>
      </w:r>
      <w:r>
        <w:t xml:space="preserve"> </w:t>
      </w:r>
      <w:r>
        <w:t xml:space="preserve">small emitter definition and under this scope being set at 500 tCO2, would include a total of</w:t>
      </w:r>
      <w:r>
        <w:t xml:space="preserve"> </w:t>
      </w:r>
      <w:r>
        <w:t xml:space="preserve">900 operators. The table shows corresponding full scope emissions for these operators as well</w:t>
      </w:r>
      <w:r>
        <w:t xml:space="preserve"> </w:t>
      </w:r>
      <w:r>
        <w:t xml:space="preserve">as their emissions under surrender scopes AS1 and AS2.</w:t>
      </w:r>
      <w:r>
        <w:br/>
      </w:r>
      <w:r>
        <w:t xml:space="preserve">Table 25:</w:t>
      </w:r>
      <w:r>
        <w:t xml:space="preserve"> </w:t>
      </w:r>
      <w:r>
        <w:t xml:space="preserve">Emissions and number of AOs eligible to use simplified procedures based on the full</w:t>
      </w:r>
      <w:r>
        <w:t xml:space="preserve"> </w:t>
      </w:r>
      <w:r>
        <w:t xml:space="preserve">scope threshold</w:t>
      </w:r>
      <w:r>
        <w:br/>
      </w:r>
      <w:r>
        <w:t xml:space="preserve">Scope</w:t>
      </w:r>
    </w:p>
    <w:p>
      <w:pPr>
        <w:pStyle w:val="BodyText"/>
      </w:pPr>
      <w:r>
        <w:t xml:space="preserve">AO in EU ETS</w:t>
      </w:r>
      <w:r>
        <w:t xml:space="preserve"> </w:t>
      </w:r>
      <w:r>
        <w:t xml:space="preserve">based on old full</w:t>
      </w:r>
      <w:r>
        <w:t xml:space="preserve"> </w:t>
      </w:r>
      <w:r>
        <w:t xml:space="preserve">scope threshold</w:t>
      </w:r>
      <w:r>
        <w:t xml:space="preserve"> </w:t>
      </w:r>
      <w:r>
        <w:t xml:space="preserve">AO in EU ETS based</w:t>
      </w:r>
      <w:r>
        <w:t xml:space="preserve"> </w:t>
      </w:r>
      <w:r>
        <w:t xml:space="preserve">on new full scope</w:t>
      </w:r>
      <w:r>
        <w:t xml:space="preserve"> </w:t>
      </w:r>
      <w:r>
        <w:t xml:space="preserve">threshold- 1,000tCO2</w:t>
      </w:r>
      <w:r>
        <w:t xml:space="preserve"> </w:t>
      </w:r>
      <w:r>
        <w:t xml:space="preserve">AO in EU ETS based</w:t>
      </w:r>
      <w:r>
        <w:t xml:space="preserve"> </w:t>
      </w:r>
      <w:r>
        <w:t xml:space="preserve">on new full scope</w:t>
      </w:r>
      <w:r>
        <w:t xml:space="preserve"> </w:t>
      </w:r>
      <w:r>
        <w:t xml:space="preserve">threshold- 500tCO2</w:t>
      </w:r>
      <w:r>
        <w:t xml:space="preserve"> </w:t>
      </w:r>
      <w:r>
        <w:t xml:space="preserve">Full</w:t>
      </w:r>
      <w:r>
        <w:t xml:space="preserve"> </w:t>
      </w:r>
      <w:r>
        <w:t xml:space="preserve">scope</w:t>
      </w:r>
      <w:r>
        <w:t xml:space="preserve"> </w:t>
      </w:r>
      <w:r>
        <w:t xml:space="preserve">tCO2 eligible</w:t>
      </w:r>
      <w:r>
        <w:t xml:space="preserve"> </w:t>
      </w:r>
      <w:r>
        <w:t xml:space="preserve">1,156,501</w:t>
      </w:r>
      <w:r>
        <w:t xml:space="preserve"> </w:t>
      </w:r>
      <w:r>
        <w:t xml:space="preserve">2,574,776</w:t>
      </w:r>
      <w:r>
        <w:t xml:space="preserve"> </w:t>
      </w:r>
      <w:r>
        <w:t xml:space="preserve">2,822,333</w:t>
      </w:r>
      <w:r>
        <w:t xml:space="preserve"> </w:t>
      </w:r>
      <w:r>
        <w:t xml:space="preserve">AO eligible</w:t>
      </w:r>
      <w:r>
        <w:t xml:space="preserve"> </w:t>
      </w:r>
      <w:r>
        <w:t xml:space="preserve">193</w:t>
      </w:r>
      <w:r>
        <w:t xml:space="preserve"> </w:t>
      </w:r>
      <w:r>
        <w:t xml:space="preserve">543</w:t>
      </w:r>
      <w:r>
        <w:t xml:space="preserve"> </w:t>
      </w:r>
      <w:r>
        <w:t xml:space="preserve">900</w:t>
      </w:r>
      <w:r>
        <w:t xml:space="preserve"> </w:t>
      </w:r>
      <w:r>
        <w:t xml:space="preserve">AS1</w:t>
      </w:r>
      <w:r>
        <w:t xml:space="preserve"> </w:t>
      </w:r>
      <w:r>
        <w:t xml:space="preserve">tCO2 eligible</w:t>
      </w:r>
      <w:r>
        <w:t xml:space="preserve"> </w:t>
      </w:r>
      <w:r>
        <w:t xml:space="preserve">452,904</w:t>
      </w:r>
      <w:r>
        <w:t xml:space="preserve"> </w:t>
      </w:r>
      <w:r>
        <w:t xml:space="preserve">1,070,202</w:t>
      </w:r>
      <w:r>
        <w:t xml:space="preserve"> </w:t>
      </w:r>
      <w:r>
        <w:t xml:space="preserve">1,140,594</w:t>
      </w:r>
      <w:r>
        <w:t xml:space="preserve"> </w:t>
      </w:r>
      <w:r>
        <w:t xml:space="preserve">AS2</w:t>
      </w:r>
      <w:r>
        <w:t xml:space="preserve"> </w:t>
      </w:r>
      <w:r>
        <w:t xml:space="preserve">tCO2 eligible</w:t>
      </w:r>
      <w:r>
        <w:t xml:space="preserve"> </w:t>
      </w:r>
      <w:r>
        <w:t xml:space="preserve">788,109</w:t>
      </w:r>
      <w:r>
        <w:t xml:space="preserve"> </w:t>
      </w:r>
      <w:r>
        <w:t xml:space="preserve">1,749,978</w:t>
      </w:r>
      <w:r>
        <w:t xml:space="preserve"> </w:t>
      </w:r>
      <w:r>
        <w:t xml:space="preserve">1,903,812</w:t>
      </w:r>
      <w:r>
        <w:t xml:space="preserve"> </w:t>
      </w:r>
      <w:r>
        <w:t xml:space="preserve">Source: Eurocontrol</w:t>
      </w:r>
      <w:r>
        <w:t xml:space="preserve"> </w:t>
      </w:r>
      <w:r>
        <w:t xml:space="preserve">Additionally, this simplification also includes big emitters (operators not identified as small</w:t>
      </w:r>
      <w:r>
        <w:t xml:space="preserve"> </w:t>
      </w:r>
      <w:r>
        <w:t xml:space="preserve">emitters), that have a low aviation activity under their surrender scope. This threshold is</w:t>
      </w:r>
      <w:r>
        <w:t xml:space="preserve"> </w:t>
      </w:r>
      <w:r>
        <w:t xml:space="preserve">currently set at 3 000 tCO2, which allows those emitters to also benefit from using SET and</w:t>
      </w:r>
      <w:r>
        <w:t xml:space="preserve"> </w:t>
      </w:r>
      <w:r>
        <w:t xml:space="preserve">EMIS without verification. Table 26 shows how many operators can benefit from these</w:t>
      </w:r>
      <w:r>
        <w:t xml:space="preserve"> </w:t>
      </w:r>
      <w:r>
        <w:t xml:space="preserve">simplified procedures in addition to the operators identified in Table 25. At the current</w:t>
      </w:r>
      <w:r>
        <w:t xml:space="preserve"> </w:t>
      </w:r>
      <w:r>
        <w:t xml:space="preserve">threshold and surrender scope, it is an additional 120 operators. This means that already under</w:t>
      </w:r>
      <w:r>
        <w:t xml:space="preserve"> </w:t>
      </w:r>
      <w:r>
        <w:t xml:space="preserve">current conditions, a total of 313 aircraft operators can benefit from these procedures that help</w:t>
      </w:r>
      <w:r>
        <w:t xml:space="preserve"> </w:t>
      </w:r>
      <w:r>
        <w:t xml:space="preserve">reduce administrative efforts in terms of both time spent and costs associated. Increasing this</w:t>
      </w:r>
      <w:r>
        <w:t xml:space="preserve"> </w:t>
      </w:r>
      <w:r>
        <w:t xml:space="preserve">threshold to 5 000 tCO2 and 10 000 tCO2 would increase the number by another 13 and 37</w:t>
      </w:r>
      <w:r>
        <w:t xml:space="preserve"> </w:t>
      </w:r>
      <w:r>
        <w:t xml:space="preserve">operators respectively. Under the surrender obligation scope AS2, this threshold does not</w:t>
      </w:r>
      <w:r>
        <w:t xml:space="preserve"> </w:t>
      </w:r>
      <w:r>
        <w:t xml:space="preserve">increase the number of operators that can use simplified procedures significantly above the</w:t>
      </w:r>
      <w:r>
        <w:t xml:space="preserve"> </w:t>
      </w:r>
      <w:r>
        <w:t xml:space="preserve">operators already identified in Table 22. This is because in Table 26 only operators with full</w:t>
      </w:r>
      <w:r>
        <w:t xml:space="preserve"> </w:t>
      </w:r>
      <w:r>
        <w:t xml:space="preserve">scope emissions above 25 000 tCO2 are considered where one can assume a large part is due</w:t>
      </w:r>
      <w:r>
        <w:t xml:space="preserve"> </w:t>
      </w:r>
      <w:r>
        <w:t xml:space="preserve">to flights falling within AS2 (intra-EEA and departing flights).</w:t>
      </w:r>
      <w:r>
        <w:br/>
      </w:r>
      <w:r>
        <w:t xml:space="preserve">Table 26:</w:t>
      </w:r>
      <w:r>
        <w:t xml:space="preserve"> </w:t>
      </w:r>
      <w:r>
        <w:t xml:space="preserve">Additional (to table 23) emissions and number of AOs eligible to use simplified</w:t>
      </w:r>
      <w:r>
        <w:t xml:space="preserve"> </w:t>
      </w:r>
      <w:r>
        <w:t xml:space="preserve">procedures based on the threshold on surrender scope</w:t>
      </w:r>
      <w:r>
        <w:br/>
      </w:r>
      <w:r>
        <w:t xml:space="preserve">Annual Emissions Threshold (tCO2)</w:t>
      </w:r>
    </w:p>
    <w:p>
      <w:pPr>
        <w:pStyle w:val="BodyText"/>
      </w:pPr>
      <w:r>
        <w:t xml:space="preserve">AS1</w:t>
      </w:r>
      <w:r>
        <w:t xml:space="preserve"> </w:t>
      </w:r>
      <w:r>
        <w:t xml:space="preserve">AS2</w:t>
      </w:r>
      <w:r>
        <w:t xml:space="preserve"> </w:t>
      </w:r>
      <w:r>
        <w:t xml:space="preserve">3000</w:t>
      </w:r>
      <w:r>
        <w:t xml:space="preserve"> </w:t>
      </w:r>
      <w:r>
        <w:t xml:space="preserve">tCO2 eligible</w:t>
      </w:r>
      <w:r>
        <w:t xml:space="preserve"> </w:t>
      </w:r>
      <w:r>
        <w:t xml:space="preserve">51,526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AO eligible</w:t>
      </w:r>
      <w:r>
        <w:t xml:space="preserve"> </w:t>
      </w:r>
      <w:r>
        <w:t xml:space="preserve">120</w:t>
      </w:r>
      <w:r>
        <w:t xml:space="preserve"> </w:t>
      </w:r>
      <w:r>
        <w:t xml:space="preserve">0</w:t>
      </w:r>
      <w:r>
        <w:t xml:space="preserve"> </w:t>
      </w:r>
      <w:r>
        <w:t xml:space="preserve">5000</w:t>
      </w:r>
      <w:r>
        <w:t xml:space="preserve"> </w:t>
      </w:r>
      <w:r>
        <w:t xml:space="preserve">tCO2 eligible</w:t>
      </w:r>
      <w:r>
        <w:t xml:space="preserve"> </w:t>
      </w:r>
      <w:r>
        <w:t xml:space="preserve">103,076</w:t>
      </w:r>
      <w:r>
        <w:t xml:space="preserve"> </w:t>
      </w:r>
      <w:r>
        <w:t xml:space="preserve">3,898</w:t>
      </w:r>
    </w:p>
    <w:p>
      <w:pPr>
        <w:pStyle w:val="BodyText"/>
      </w:pPr>
      <w:r>
        <w:t xml:space="preserve">AO eligible</w:t>
      </w:r>
      <w:r>
        <w:t xml:space="preserve"> </w:t>
      </w:r>
      <w:r>
        <w:t xml:space="preserve">133</w:t>
      </w:r>
      <w:r>
        <w:t xml:space="preserve"> </w:t>
      </w:r>
      <w:r>
        <w:t xml:space="preserve">1</w:t>
      </w:r>
      <w:r>
        <w:t xml:space="preserve"> </w:t>
      </w:r>
      <w:r>
        <w:t xml:space="preserve">10000</w:t>
      </w:r>
      <w:r>
        <w:t xml:space="preserve"> </w:t>
      </w:r>
      <w:r>
        <w:t xml:space="preserve">tCO2 eligible</w:t>
      </w:r>
      <w:r>
        <w:t xml:space="preserve"> </w:t>
      </w:r>
      <w:r>
        <w:t xml:space="preserve">278,665</w:t>
      </w:r>
      <w:r>
        <w:t xml:space="preserve"> </w:t>
      </w:r>
      <w:r>
        <w:t xml:space="preserve">3,898</w:t>
      </w:r>
    </w:p>
    <w:p>
      <w:pPr>
        <w:pStyle w:val="BodyText"/>
      </w:pPr>
      <w:r>
        <w:t xml:space="preserve">AO eligible</w:t>
      </w:r>
      <w:r>
        <w:t xml:space="preserve"> </w:t>
      </w:r>
      <w:r>
        <w:t xml:space="preserve">157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Source: Eurocontrol</w:t>
      </w:r>
      <w:r>
        <w:t xml:space="preserve"> </w:t>
      </w:r>
      <w:r>
        <w:t xml:space="preserve">7.2.2. Aircraft operator identification</w:t>
      </w:r>
      <w:r>
        <w:t xml:space="preserve"> </w:t>
      </w:r>
      <w:r>
        <w:t xml:space="preserve">One of the challenges in including more small emitters and especially business aviation</w:t>
      </w:r>
      <w:r>
        <w:t xml:space="preserve"> </w:t>
      </w:r>
      <w:r>
        <w:t xml:space="preserve">operators is the identification of aircraft operators. Implementing Regulation 2018/2066</w:t>
      </w:r>
      <w:r>
        <w:t xml:space="preserve"> </w:t>
      </w:r>
      <w:r>
        <w:t xml:space="preserve">provides for rules to identify the aircraft operator responsible for a flight based on the filled-</w:t>
      </w:r>
      <w:r>
        <w:t xml:space="preserve"> </w:t>
      </w:r>
      <w:r>
        <w:t xml:space="preserve">out flight plan. The identification of an aircraft operator for the purpose of EU ETS (ETS ID)</w:t>
      </w:r>
      <w:r>
        <w:t xml:space="preserve"> </w:t>
      </w:r>
      <w:r>
        <w:t xml:space="preserve">follows the identification for the purposes of Eurocontrol Central Route Charging Office</w:t>
      </w:r>
      <w:r>
        <w:t xml:space="preserve"> </w:t>
      </w:r>
      <w:r>
        <w:t xml:space="preserve">(CRCO)278. In most cases (certainly for scheduled commercial operations), the identification</w:t>
      </w:r>
      <w:r>
        <w:t xml:space="preserve"> </w:t>
      </w:r>
      <w:r>
        <w:t xml:space="preserve">of the aircraft operator is identical to the entity paying for the route charges. However, for</w:t>
      </w:r>
      <w:r>
        <w:t xml:space="preserve"> </w:t>
      </w:r>
      <w:r>
        <w:t xml:space="preserve">aircraft operators without an assigned ICAO designator279 or where they do not use this</w:t>
      </w:r>
      <w:r>
        <w:t xml:space="preserve"> </w:t>
      </w:r>
      <w:r>
        <w:t xml:space="preserve">designator for certain flights for various commercial reasons, it may become significantly more</w:t>
      </w:r>
      <w:r>
        <w:t xml:space="preserve"> </w:t>
      </w:r>
      <w:r>
        <w:t xml:space="preserve">complicated to identify the aircraft operator using for example the fleet list declaration280. In</w:t>
      </w:r>
      <w:r>
        <w:t xml:space="preserve"> </w:t>
      </w:r>
      <w:r>
        <w:t xml:space="preserve">some of these cases, the entity having the CRCO account may be a service management</w:t>
      </w:r>
      <w:r>
        <w:t xml:space="preserve"> </w:t>
      </w:r>
      <w:r>
        <w:t xml:space="preserve">company281 which may or may not actually operate the flight. This potential split of the CRCO</w:t>
      </w:r>
      <w:r>
        <w:t xml:space="preserve"> </w:t>
      </w:r>
      <w:r>
        <w:t xml:space="preserve">invoices between several aircraft operators has been also used in past in order to avoid</w:t>
      </w:r>
      <w:r>
        <w:t xml:space="preserve"> </w:t>
      </w:r>
      <w:r>
        <w:t xml:space="preserve">compliance with EU ETS, by ensuring each aircraft operator falls under the de-minimis</w:t>
      </w:r>
      <w:r>
        <w:t xml:space="preserve"> </w:t>
      </w:r>
      <w:r>
        <w:t xml:space="preserve">threshold individually even if the total CRCO traffic would place them above the threshold.</w:t>
      </w:r>
      <w:r>
        <w:t xml:space="preserve"> </w:t>
      </w:r>
      <w:r>
        <w:t xml:space="preserve">According to Eurocontrol, who receives the fleet declaration lists and identifies the ETS aircraft</w:t>
      </w:r>
      <w:r>
        <w:t xml:space="preserve"> </w:t>
      </w:r>
      <w:r>
        <w:t xml:space="preserve">operators, situations arise where the management company was unable to share the contact</w:t>
      </w:r>
      <w:r>
        <w:t xml:space="preserve"> </w:t>
      </w:r>
      <w:r>
        <w:t xml:space="preserve">details of the owner of the aircraft due to confidentiality agreements in their contracts.</w:t>
      </w:r>
      <w:r>
        <w:br/>
      </w:r>
      <w:r>
        <w:t xml:space="preserve">In order to eliminate this rather complicated and untransparent identification practises and to</w:t>
      </w:r>
      <w:r>
        <w:t xml:space="preserve"> </w:t>
      </w:r>
      <w:r>
        <w:t xml:space="preserve">further simplify the overall EU ETS compliance, the aircraft operator for the purposes of EU</w:t>
      </w:r>
      <w:r>
        <w:t xml:space="preserve"> </w:t>
      </w:r>
      <w:r>
        <w:t xml:space="preserve">ETS should be identified as the entity billed for the Eurocontrol route charges. This</w:t>
      </w:r>
      <w:r>
        <w:t xml:space="preserve"> </w:t>
      </w:r>
      <w:r>
        <w:t xml:space="preserve">simplification would not cause any difference in current practice and identification of aircraft</w:t>
      </w:r>
      <w:r>
        <w:t xml:space="preserve"> </w:t>
      </w:r>
      <w:r>
        <w:t xml:space="preserve">operators that perform scheduled commercial operations using their ICAO designator, but it</w:t>
      </w:r>
      <w:r>
        <w:t xml:space="preserve"> </w:t>
      </w:r>
      <w:r>
        <w:t xml:space="preserve">would significantly simplify the identification of smaller aircraft operators and where service</w:t>
      </w:r>
      <w:r>
        <w:t xml:space="preserve"> </w:t>
      </w:r>
      <w:r>
        <w:t xml:space="preserve">management companies are used. The entity in charge of the CRCO invoices should be</w:t>
      </w:r>
      <w:r>
        <w:t xml:space="preserve"> </w:t>
      </w:r>
      <w:r>
        <w:t xml:space="preserve">identified as ETS aircraft operator, de-minimis thresholds should be assessed based on this</w:t>
      </w:r>
      <w:r>
        <w:t xml:space="preserve"> </w:t>
      </w:r>
      <w:r>
        <w:t xml:space="preserve">Eurocontrol data and should the operator fall within the EU ETS, the entity will have</w:t>
      </w:r>
      <w:r>
        <w:t xml:space="preserve"> </w:t>
      </w:r>
      <w:r>
        <w:t xml:space="preserve">obligations under the EU ETS (MRV and surrender obligation). This entity should then ensure</w:t>
      </w:r>
      <w:r>
        <w:t xml:space="preserve"> </w:t>
      </w:r>
      <w:r>
        <w:t xml:space="preserve">their own arrangements on potential re-invoicing the EU ETS compliance costs, as well as the</w:t>
      </w:r>
      <w:r>
        <w:t xml:space="preserve"> </w:t>
      </w:r>
      <w:r>
        <w:t xml:space="preserve">CRCO charges, to the entities they deem responsible for the emissions. However, this burden</w:t>
      </w:r>
      <w:r>
        <w:t xml:space="preserve"> </w:t>
      </w:r>
      <w:r>
        <w:t xml:space="preserve">should no longer fall onto Eurocontrol or the Member States.</w:t>
      </w:r>
      <w:r>
        <w:br/>
      </w:r>
      <w:r>
        <w:t xml:space="preserve">Any further simplifications concerning monitoring plans and submission of annual emission</w:t>
      </w:r>
      <w:r>
        <w:t xml:space="preserve"> </w:t>
      </w:r>
      <w:r>
        <w:t xml:space="preserve">reports for operators using EMIS would be covered in a revision of the Implementing</w:t>
      </w:r>
      <w:r>
        <w:t xml:space="preserve"> </w:t>
      </w:r>
      <w:r>
        <w:t xml:space="preserve">Regulation 2018/2066 following the revision of the ETS Directive.</w:t>
      </w:r>
    </w:p>
    <w:p>
      <w:pPr>
        <w:pStyle w:val="BodyText"/>
      </w:pPr>
      <w:r>
        <w:t xml:space="preserve">278 EUROCONTROL, Effective cost-recovery system.</w:t>
      </w:r>
      <w:r>
        <w:br/>
      </w:r>
      <w:r>
        <w:t xml:space="preserve">279 The designator consists of three-letter indicator for use on the international aeronautical telecommunication</w:t>
      </w:r>
      <w:r>
        <w:t xml:space="preserve"> </w:t>
      </w:r>
      <w:r>
        <w:t xml:space="preserve">service and for aircraft identification by air traffic control (ATC). The designators are listed in ICAO</w:t>
      </w:r>
      <w:r>
        <w:t xml:space="preserve"> </w:t>
      </w:r>
      <w:r>
        <w:t xml:space="preserve">Document 8585/214.</w:t>
      </w:r>
      <w:r>
        <w:br/>
      </w:r>
      <w:r>
        <w:t xml:space="preserve">280 EUROCONTROL, Fleet declaration, 2024.</w:t>
      </w:r>
      <w:r>
        <w:br/>
      </w:r>
      <w:r>
        <w:t xml:space="preserve">281 Service management companies offer a variety of services from filing a flight plan and paying route charges</w:t>
      </w:r>
      <w:r>
        <w:t xml:space="preserve"> </w:t>
      </w:r>
      <w:r>
        <w:t xml:space="preserve">on behalf of the operators to providing crew and full flight operations services. Some management companies</w:t>
      </w:r>
      <w:r>
        <w:t xml:space="preserve"> </w:t>
      </w:r>
      <w:r>
        <w:t xml:space="preserve">also provide services related to the ETS obligations on behalf of their clients. Depending on the actual service</w:t>
      </w:r>
      <w:r>
        <w:t xml:space="preserve"> </w:t>
      </w:r>
      <w:r>
        <w:t xml:space="preserve">provided, a service management company may be considered an aircraft operator under the current</w:t>
      </w:r>
      <w:r>
        <w:t xml:space="preserve"> </w:t>
      </w:r>
      <w:r>
        <w:t xml:space="preserve">legislation. However, identification of these services from flight plans and CRCO invoices is not possible.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7.3. Summary of the design element on business aviation</w:t>
      </w:r>
      <w:r>
        <w:t xml:space="preserve"> </w:t>
      </w:r>
      <w:r>
        <w:t xml:space="preserve">To ensure the appropriate internalisation of climate impacts of most, if not all aviation, this</w:t>
      </w:r>
      <w:r>
        <w:t xml:space="preserve"> </w:t>
      </w:r>
      <w:r>
        <w:t xml:space="preserve">element explored setting a new threshold for inclusion of aircraft operators in the EU ETS. The</w:t>
      </w:r>
      <w:r>
        <w:t xml:space="preserve"> </w:t>
      </w:r>
      <w:r>
        <w:t xml:space="preserve">practical examples showed that different treatment between commercial and non-commercial</w:t>
      </w:r>
      <w:r>
        <w:t xml:space="preserve"> </w:t>
      </w:r>
      <w:r>
        <w:t xml:space="preserve">operators is not justified and that using number of flights as an exclusion threshold for</w:t>
      </w:r>
      <w:r>
        <w:t xml:space="preserve"> </w:t>
      </w:r>
      <w:r>
        <w:t xml:space="preserve">commercial operators is inefficient. Moreover, neither of these specific points is included in</w:t>
      </w:r>
      <w:r>
        <w:t xml:space="preserve"> </w:t>
      </w:r>
      <w:r>
        <w:t xml:space="preserve">CORSIA. Therefore, eliminating both of these points constitutes a first step for an updated</w:t>
      </w:r>
      <w:r>
        <w:t xml:space="preserve"> </w:t>
      </w:r>
      <w:r>
        <w:t xml:space="preserve">threshold.</w:t>
      </w:r>
      <w:r>
        <w:t xml:space="preserve"> </w:t>
      </w:r>
      <w:r>
        <w:t xml:space="preserve">Once the commercial status of the operator and number of flights is eliminated, the new</w:t>
      </w:r>
      <w:r>
        <w:t xml:space="preserve"> </w:t>
      </w:r>
      <w:r>
        <w:t xml:space="preserve">common de-minimis threshold on full scope was explored. However, it was also identified that</w:t>
      </w:r>
      <w:r>
        <w:t xml:space="preserve"> </w:t>
      </w:r>
      <w:r>
        <w:t xml:space="preserve">while a common de-minimis full scope threshold will offer significant simplification in</w:t>
      </w:r>
      <w:r>
        <w:t xml:space="preserve"> </w:t>
      </w:r>
      <w:r>
        <w:t xml:space="preserve">identifying whether an operator is or is not covered by EU ETS, minimising potential for</w:t>
      </w:r>
      <w:r>
        <w:t xml:space="preserve"> </w:t>
      </w:r>
      <w:r>
        <w:t xml:space="preserve">compliance avoidance, this will inevitably bring in more aircraft operators into the EU ETS</w:t>
      </w:r>
      <w:r>
        <w:t xml:space="preserve"> </w:t>
      </w:r>
      <w:r>
        <w:t xml:space="preserve">whose emissions based on the surrender scope (AS1 and AS2) may be significantly lower. The</w:t>
      </w:r>
      <w:r>
        <w:t xml:space="preserve"> </w:t>
      </w:r>
      <w:r>
        <w:t xml:space="preserve">assessment therefore explores setting up a new simplification de-minimis threshold based on</w:t>
      </w:r>
      <w:r>
        <w:t xml:space="preserve"> </w:t>
      </w:r>
      <w:r>
        <w:t xml:space="preserve">the surrender scope, exempting operators below this threshold from EU ETS. To further lower</w:t>
      </w:r>
      <w:r>
        <w:t xml:space="preserve"> </w:t>
      </w:r>
      <w:r>
        <w:t xml:space="preserve">or eliminate the administrative burden on aircraft operators and Competent Authorities, it</w:t>
      </w:r>
      <w:r>
        <w:t xml:space="preserve"> </w:t>
      </w:r>
      <w:r>
        <w:t xml:space="preserve">explored how the small emitters threshold as well as eligibility to use Eurocontrol EMIS</w:t>
      </w:r>
      <w:r>
        <w:t xml:space="preserve"> </w:t>
      </w:r>
      <w:r>
        <w:t xml:space="preserve">without the need for verification could be further extended.</w:t>
      </w:r>
      <w:r>
        <w:br/>
      </w:r>
      <w:r>
        <w:t xml:space="preserve">The common full scope threshold at 500 tCO2 and 1 000 tCO2 were identified as the most</w:t>
      </w:r>
      <w:r>
        <w:t xml:space="preserve"> </w:t>
      </w:r>
      <w:r>
        <w:t xml:space="preserve">balanced options. Additionally, the administrative cost comparison allowing to identify the</w:t>
      </w:r>
      <w:r>
        <w:t xml:space="preserve"> </w:t>
      </w:r>
      <w:r>
        <w:t xml:space="preserve">right balance between the administrative cost and the ETS revenues identified the</w:t>
      </w:r>
      <w:r>
        <w:t xml:space="preserve"> </w:t>
      </w:r>
      <w:r>
        <w:t xml:space="preserve">simplification threshold at 100 tCO2 as the most appropriate and balanced. Following these</w:t>
      </w:r>
      <w:r>
        <w:t xml:space="preserve"> </w:t>
      </w:r>
      <w:r>
        <w:t xml:space="preserve">conclusions, at a 100 tCO2 simplification threshold, under policy option AS1, the common full</w:t>
      </w:r>
      <w:r>
        <w:t xml:space="preserve"> </w:t>
      </w:r>
      <w:r>
        <w:t xml:space="preserve">scope threshold of 500 tCO2 results in net 422 additional aircraft operators282 and 1 000 tCO2</w:t>
      </w:r>
      <w:r>
        <w:t xml:space="preserve"> </w:t>
      </w:r>
      <w:r>
        <w:t xml:space="preserve">results in net 235 additional aircraft operators. However, all of these new operators can benefit</w:t>
      </w:r>
      <w:r>
        <w:t xml:space="preserve"> </w:t>
      </w:r>
      <w:r>
        <w:t xml:space="preserve">from the small emitter identification and further simplification by using EMIS without the need</w:t>
      </w:r>
      <w:r>
        <w:t xml:space="preserve"> </w:t>
      </w:r>
      <w:r>
        <w:t xml:space="preserve">for verification with the eligibility threshold increased to 5 000 CO2 on surrender scope. In</w:t>
      </w:r>
      <w:r>
        <w:t xml:space="preserve"> </w:t>
      </w:r>
      <w:r>
        <w:t xml:space="preserve">terms of administrative effort and ETS revenues each of the additional aircraft operators will</w:t>
      </w:r>
      <w:r>
        <w:t xml:space="preserve"> </w:t>
      </w:r>
      <w:r>
        <w:t xml:space="preserve">bring in additional ETS revenues higher than the administrative cost associated with ETS</w:t>
      </w:r>
      <w:r>
        <w:t xml:space="preserve"> </w:t>
      </w:r>
      <w:r>
        <w:t xml:space="preserve">compliance while ensuring aviation appropriately contributes to the EU decarbonisation.</w:t>
      </w:r>
      <w:r>
        <w:t xml:space="preserve"> </w:t>
      </w:r>
      <w:r>
        <w:t xml:space="preserve">Detailed summary of this element can be found in the Table 27.</w:t>
      </w:r>
      <w:r>
        <w:t xml:space="preserve"> </w:t>
      </w:r>
      <w:r>
        <w:t xml:space="preserve">Table 27:</w:t>
      </w:r>
      <w:r>
        <w:t xml:space="preserve"> </w:t>
      </w:r>
      <w:r>
        <w:t xml:space="preserve">Final summary and comparison of threshold options and policy options</w:t>
      </w:r>
    </w:p>
    <w:p>
      <w:pPr>
        <w:pStyle w:val="BodyText"/>
      </w:pPr>
      <w:r>
        <w:t xml:space="preserve">500/AS1 500/AS2 1 000/AS1 1 000/AS2</w:t>
      </w:r>
      <w:r>
        <w:t xml:space="preserve"> </w:t>
      </w:r>
      <w:r>
        <w:t xml:space="preserve">Net additional AO</w:t>
      </w:r>
      <w:r>
        <w:t xml:space="preserve"> </w:t>
      </w:r>
      <w:r>
        <w:t xml:space="preserve">422</w:t>
      </w:r>
      <w:r>
        <w:t xml:space="preserve"> </w:t>
      </w:r>
      <w:r>
        <w:t xml:space="preserve">737</w:t>
      </w:r>
      <w:r>
        <w:t xml:space="preserve"> </w:t>
      </w:r>
      <w:r>
        <w:t xml:space="preserve">235</w:t>
      </w:r>
      <w:r>
        <w:t xml:space="preserve"> </w:t>
      </w:r>
      <w:r>
        <w:t xml:space="preserve">380</w:t>
      </w:r>
      <w:r>
        <w:t xml:space="preserve"> </w:t>
      </w:r>
      <w:r>
        <w:t xml:space="preserve">Total AO covered by EU ETS</w:t>
      </w:r>
      <w:r>
        <w:t xml:space="preserve"> </w:t>
      </w:r>
      <w:r>
        <w:t xml:space="preserve">867</w:t>
      </w:r>
      <w:r>
        <w:t xml:space="preserve"> </w:t>
      </w:r>
      <w:r>
        <w:t xml:space="preserve">1182</w:t>
      </w:r>
      <w:r>
        <w:t xml:space="preserve"> </w:t>
      </w:r>
      <w:r>
        <w:t xml:space="preserve">680</w:t>
      </w:r>
      <w:r>
        <w:t xml:space="preserve"> </w:t>
      </w:r>
      <w:r>
        <w:t xml:space="preserve">825</w:t>
      </w:r>
      <w:r>
        <w:t xml:space="preserve"> </w:t>
      </w:r>
      <w:r>
        <w:t xml:space="preserve">Total AO eligible for simplified procedures (%</w:t>
      </w:r>
      <w:r>
        <w:t xml:space="preserve"> </w:t>
      </w:r>
      <w:r>
        <w:t xml:space="preserve">of total)</w:t>
      </w:r>
      <w:r>
        <w:t xml:space="preserve"> </w:t>
      </w:r>
      <w:r>
        <w:t xml:space="preserve">716</w:t>
      </w:r>
      <w:r>
        <w:t xml:space="preserve"> </w:t>
      </w:r>
      <w:r>
        <w:t xml:space="preserve">(83%)</w:t>
      </w:r>
      <w:r>
        <w:t xml:space="preserve"> </w:t>
      </w:r>
      <w:r>
        <w:t xml:space="preserve">899</w:t>
      </w:r>
      <w:r>
        <w:t xml:space="preserve"> </w:t>
      </w:r>
      <w:r>
        <w:t xml:space="preserve">(76%)</w:t>
      </w:r>
      <w:r>
        <w:t xml:space="preserve"> </w:t>
      </w:r>
      <w:r>
        <w:t xml:space="preserve">529</w:t>
      </w:r>
      <w:r>
        <w:t xml:space="preserve"> </w:t>
      </w:r>
      <w:r>
        <w:t xml:space="preserve">(78%)</w:t>
      </w:r>
      <w:r>
        <w:t xml:space="preserve"> </w:t>
      </w:r>
      <w:r>
        <w:t xml:space="preserve">542</w:t>
      </w:r>
      <w:r>
        <w:t xml:space="preserve"> </w:t>
      </w:r>
      <w:r>
        <w:t xml:space="preserve">(66%)</w:t>
      </w:r>
      <w:r>
        <w:t xml:space="preserve"> </w:t>
      </w:r>
      <w:r>
        <w:t xml:space="preserve">Net additional emissions in million tCO2</w:t>
      </w:r>
      <w:r>
        <w:t xml:space="preserve"> </w:t>
      </w:r>
      <w:r>
        <w:t xml:space="preserve">0.7</w:t>
      </w:r>
      <w:r>
        <w:t xml:space="preserve"> </w:t>
      </w:r>
      <w:r>
        <w:t xml:space="preserve">2</w:t>
      </w:r>
      <w:r>
        <w:t xml:space="preserve"> </w:t>
      </w:r>
      <w:r>
        <w:t xml:space="preserve">0.7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282 This is a net amount of aircraft operators brought into EU ETS as this value considers the additional operators</w:t>
      </w:r>
      <w:r>
        <w:t xml:space="preserve"> </w:t>
      </w:r>
      <w:r>
        <w:t xml:space="preserve">brought in due to the new common threshold but it also takes into account the exempted operators under the</w:t>
      </w:r>
      <w:r>
        <w:t xml:space="preserve"> </w:t>
      </w:r>
      <w:r>
        <w:t xml:space="preserve">new simplification de-minimis threshold which is excluding also operators currently covered by EU ETS.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Net additional ETS revenues (million EUR</w:t>
      </w:r>
      <w:r>
        <w:t xml:space="preserve"> </w:t>
      </w:r>
      <w:r>
        <w:t xml:space="preserve">based on 2024 EUA price)</w:t>
      </w:r>
      <w:r>
        <w:t xml:space="preserve"> </w:t>
      </w:r>
      <w:r>
        <w:t xml:space="preserve">47</w:t>
      </w:r>
      <w:r>
        <w:t xml:space="preserve"> </w:t>
      </w:r>
      <w:r>
        <w:t xml:space="preserve">139</w:t>
      </w:r>
      <w:r>
        <w:br/>
      </w:r>
      <w:r>
        <w:t xml:space="preserve">43</w:t>
      </w:r>
      <w:r>
        <w:t xml:space="preserve"> </w:t>
      </w:r>
      <w:r>
        <w:t xml:space="preserve">129</w:t>
      </w:r>
      <w:r>
        <w:t xml:space="preserve"> </w:t>
      </w:r>
      <w:r>
        <w:t xml:space="preserve">Net additional ETS revenues (million EUR</w:t>
      </w:r>
      <w:r>
        <w:t xml:space="preserve"> </w:t>
      </w:r>
      <w:r>
        <w:t xml:space="preserve">based on 2035 EUA price)</w:t>
      </w:r>
      <w:r>
        <w:t xml:space="preserve"> </w:t>
      </w:r>
      <w:r>
        <w:t xml:space="preserve">102</w:t>
      </w:r>
      <w:r>
        <w:t xml:space="preserve"> </w:t>
      </w:r>
      <w:r>
        <w:t xml:space="preserve">300</w:t>
      </w:r>
      <w:r>
        <w:t xml:space="preserve"> </w:t>
      </w:r>
      <w:r>
        <w:t xml:space="preserve">93</w:t>
      </w:r>
      <w:r>
        <w:t xml:space="preserve"> </w:t>
      </w:r>
      <w:r>
        <w:t xml:space="preserve">279i</w:t>
      </w:r>
      <w:r>
        <w:t xml:space="preserve"> </w:t>
      </w:r>
      <w:r>
        <w:t xml:space="preserve">7.4. Business flight definition</w:t>
      </w:r>
      <w:r>
        <w:t xml:space="preserve"> </w:t>
      </w:r>
      <w:r>
        <w:t xml:space="preserve">As noted, there is no universally agreed definition of business aviation or business flight. For</w:t>
      </w:r>
      <w:r>
        <w:t xml:space="preserve"> </w:t>
      </w:r>
      <w:r>
        <w:t xml:space="preserve">the purposes for the ETS, it is necessary to have such a definition in order to continue the</w:t>
      </w:r>
      <w:r>
        <w:t xml:space="preserve"> </w:t>
      </w:r>
      <w:r>
        <w:t xml:space="preserve">analysis on the inclusion of private and business aviation which is included in the aviation</w:t>
      </w:r>
      <w:r>
        <w:t xml:space="preserve"> </w:t>
      </w:r>
      <w:r>
        <w:t xml:space="preserve">support study as well as to ensure that these flights can be easily identified in case of specific</w:t>
      </w:r>
      <w:r>
        <w:t xml:space="preserve"> </w:t>
      </w:r>
      <w:r>
        <w:t xml:space="preserve">targeting of these flights.</w:t>
      </w:r>
      <w:r>
        <w:br/>
      </w:r>
      <w:r>
        <w:t xml:space="preserve">There is a number of existing approaches to identify business flights which are reviewed in</w:t>
      </w:r>
      <w:r>
        <w:t xml:space="preserve"> </w:t>
      </w:r>
      <w:r>
        <w:t xml:space="preserve">more details in the aviation support study. The Eurocontrol Market Segment Rules283</w:t>
      </w:r>
      <w:r>
        <w:t xml:space="preserve"> </w:t>
      </w:r>
      <w:r>
        <w:t xml:space="preserve">classification system offers an operationally applicable framework, combining conceptual</w:t>
      </w:r>
      <w:r>
        <w:t xml:space="preserve"> </w:t>
      </w:r>
      <w:r>
        <w:t xml:space="preserve">clarity with practical rules that facilitate regulatory compliance under the EU ETS. It includes</w:t>
      </w:r>
      <w:r>
        <w:t xml:space="preserve"> </w:t>
      </w:r>
      <w:r>
        <w:t xml:space="preserve">two types of identification – first, based solely on aircraft type (typical business jets) and</w:t>
      </w:r>
      <w:r>
        <w:t xml:space="preserve"> </w:t>
      </w:r>
      <w:r>
        <w:t xml:space="preserve">second, aircraft types that are larger and usually used in scheduled air transport (but that can</w:t>
      </w:r>
      <w:r>
        <w:t xml:space="preserve"> </w:t>
      </w:r>
      <w:r>
        <w:t xml:space="preserve">be reconverted into business aviation aircraft) identified in combination with the ICAO flight</w:t>
      </w:r>
      <w:r>
        <w:t xml:space="preserve"> </w:t>
      </w:r>
      <w:r>
        <w:t xml:space="preserve">type ‘N’ for non-schedule air transport operations or ‘G’ for general aviation as included in</w:t>
      </w:r>
      <w:r>
        <w:t xml:space="preserve"> </w:t>
      </w:r>
      <w:r>
        <w:t xml:space="preserve">item 4 of the flight plan. This is fully implementable in practice as using the aircraft types</w:t>
      </w:r>
      <w:r>
        <w:t xml:space="preserve"> </w:t>
      </w:r>
      <w:r>
        <w:t xml:space="preserve">identified in flight plans is aligned with other identifications used in EU ETS (such as</w:t>
      </w:r>
      <w:r>
        <w:t xml:space="preserve"> </w:t>
      </w:r>
      <w:r>
        <w:t xml:space="preserve">identification of aircraft operator) and is already included in Eurocontrol EMIS.</w:t>
      </w:r>
      <w:r>
        <w:t xml:space="preserve"> </w:t>
      </w:r>
      <w:r>
        <w:t xml:space="preserve">7.5. Other impacts</w:t>
      </w:r>
      <w:r>
        <w:t xml:space="preserve"> </w:t>
      </w:r>
      <w:r>
        <w:t xml:space="preserve">The previous subsections analysing the inclusion of private and business aviation provide a</w:t>
      </w:r>
      <w:r>
        <w:t xml:space="preserve"> </w:t>
      </w:r>
      <w:r>
        <w:t xml:space="preserve">comprehensive analysis of the environmental, climate, economic and financial impacts of this</w:t>
      </w:r>
      <w:r>
        <w:t xml:space="preserve"> </w:t>
      </w:r>
      <w:r>
        <w:t xml:space="preserve">inclusion as well as solutions where this impact might be disproportionate (new simplification</w:t>
      </w:r>
      <w:r>
        <w:t xml:space="preserve"> </w:t>
      </w:r>
      <w:r>
        <w:t xml:space="preserve">de-minimis threshold and further simplification). This subsection will focus on other impacts</w:t>
      </w:r>
      <w:r>
        <w:t xml:space="preserve"> </w:t>
      </w:r>
      <w:r>
        <w:t xml:space="preserve">this inclusion may have.</w:t>
      </w:r>
      <w:r>
        <w:t xml:space="preserve"> </w:t>
      </w:r>
      <w:r>
        <w:t xml:space="preserve">Social impacts: The revenue generated from the inclusion of previously exempted flights in</w:t>
      </w:r>
      <w:r>
        <w:t xml:space="preserve"> </w:t>
      </w:r>
      <w:r>
        <w:t xml:space="preserve">the EU ETS within the business aviation segment would primarily benefit the national</w:t>
      </w:r>
      <w:r>
        <w:t xml:space="preserve"> </w:t>
      </w:r>
      <w:r>
        <w:t xml:space="preserve">governments of the Member States through the auctioning of allowances. Member States are</w:t>
      </w:r>
      <w:r>
        <w:t xml:space="preserve"> </w:t>
      </w:r>
      <w:r>
        <w:t xml:space="preserve">required to use all of their auction revenues for climate- and energy-related purposes. Business</w:t>
      </w:r>
      <w:r>
        <w:t xml:space="preserve"> </w:t>
      </w:r>
      <w:r>
        <w:t xml:space="preserve">aviation is not used by wide public but only by a very limited group of citizens, therefore the</w:t>
      </w:r>
      <w:r>
        <w:t xml:space="preserve"> </w:t>
      </w:r>
      <w:r>
        <w:t xml:space="preserve">overall social impact is positive.</w:t>
      </w:r>
      <w:r>
        <w:br/>
      </w:r>
      <w:r>
        <w:t xml:space="preserve">Connectivity: Private and business aviation is not used for scheduled commercial operators;</w:t>
      </w:r>
      <w:r>
        <w:t xml:space="preserve"> </w:t>
      </w:r>
      <w:r>
        <w:t xml:space="preserve">therefore, this inclusion has limited impact on the overall connectivity .</w:t>
      </w:r>
      <w:r>
        <w:br/>
      </w:r>
      <w:r>
        <w:t xml:space="preserve">8. SAF SUPPORT ANALYSIS</w:t>
      </w:r>
      <w:r>
        <w:t xml:space="preserve"> </w:t>
      </w:r>
      <w:r>
        <w:t xml:space="preserve">The 2023 revision of the ETS Directive provides a support mechanism for the use of certain</w:t>
      </w:r>
      <w:r>
        <w:t xml:space="preserve"> </w:t>
      </w:r>
      <w:r>
        <w:t xml:space="preserve">aviation fuels. To incentivise early uptake of the best-performing alternative fuels in terms of</w:t>
      </w:r>
      <w:r>
        <w:t xml:space="preserve"> </w:t>
      </w:r>
      <w:r>
        <w:t xml:space="preserve">emissions reduction potential, 20 million EU ETS allowances, estimated at around EUR 1.5</w:t>
      </w:r>
      <w:r>
        <w:t xml:space="preserve"> </w:t>
      </w:r>
      <w:r>
        <w:t xml:space="preserve">billion, are set aside from 1 January 2024 until 31 December 2030. The Directive also states</w:t>
      </w:r>
    </w:p>
    <w:p>
      <w:pPr>
        <w:pStyle w:val="BodyText"/>
      </w:pPr>
      <w:r>
        <w:t xml:space="preserve">283 Eurocontrol, Market Segment Rules, 2022. In 2025, Eurocontrol conducted a partial review of the market</w:t>
      </w:r>
      <w:r>
        <w:t xml:space="preserve"> </w:t>
      </w:r>
      <w:r>
        <w:t xml:space="preserve">segment rules, covering All-Cargo and making minor revisions to Business Aviation and Low-Cost. The</w:t>
      </w:r>
      <w:r>
        <w:t xml:space="preserve"> </w:t>
      </w:r>
      <w:r>
        <w:t xml:space="preserve">updated rules have been applied retroactively, effective from January 2025.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that the allocation of these allowances may take into account possible support from other</w:t>
      </w:r>
      <w:r>
        <w:t xml:space="preserve"> </w:t>
      </w:r>
      <w:r>
        <w:t xml:space="preserve">schemes at national level284.</w:t>
      </w:r>
      <w:r>
        <w:br/>
      </w:r>
      <w:r>
        <w:t xml:space="preserve">The allowances cover all or part of the remaining price differential between fossil kerosene and</w:t>
      </w:r>
      <w:r>
        <w:t xml:space="preserve"> </w:t>
      </w:r>
      <w:r>
        <w:t xml:space="preserve">the specified aviation fuels used by commercial aircraft operators on flights covered by</w:t>
      </w:r>
      <w:r>
        <w:t xml:space="preserve"> </w:t>
      </w:r>
      <w:r>
        <w:t xml:space="preserve">effective carbon pricing through the EU ETS. A level playing field is ensured, with all airlines</w:t>
      </w:r>
      <w:r>
        <w:t xml:space="preserve"> </w:t>
      </w:r>
      <w:r>
        <w:t xml:space="preserve">treated equally that operate on these routes.</w:t>
      </w:r>
      <w:r>
        <w:br/>
      </w:r>
      <w:r>
        <w:t xml:space="preserve">In order to operationalise this support mechanism, Commission Delegated Regulation (EU)</w:t>
      </w:r>
      <w:r>
        <w:t xml:space="preserve"> </w:t>
      </w:r>
      <w:r>
        <w:t xml:space="preserve">2025/723285 establishes rules for the yearly calculation of the price difference between eligible</w:t>
      </w:r>
      <w:r>
        <w:t xml:space="preserve"> </w:t>
      </w:r>
      <w:r>
        <w:t xml:space="preserve">aviation fuels and fossil kerosene, taking into account incentives from the price of carbon, from</w:t>
      </w:r>
      <w:r>
        <w:t xml:space="preserve"> </w:t>
      </w:r>
      <w:r>
        <w:t xml:space="preserve">harmonised minimum levels of taxation, and the rules for allocating the resulting allowances.</w:t>
      </w:r>
      <w:r>
        <w:br/>
      </w:r>
      <w:r>
        <w:t xml:space="preserve">8.1. Current support</w:t>
      </w:r>
      <w:r>
        <w:t xml:space="preserve"> </w:t>
      </w:r>
      <w:r>
        <w:t xml:space="preserve">The current mechanism is in place until 2030 or until the reserve of 20 million allowances is</w:t>
      </w:r>
      <w:r>
        <w:t xml:space="preserve"> </w:t>
      </w:r>
      <w:r>
        <w:t xml:space="preserve">exhausted. Aircraft operators can apply for support related to sub-sonic flights falling under</w:t>
      </w:r>
      <w:r>
        <w:t xml:space="preserve"> </w:t>
      </w:r>
      <w:r>
        <w:t xml:space="preserve">the surrender scope and flights between an outermost region and an airport in the same Member</w:t>
      </w:r>
      <w:r>
        <w:t xml:space="preserve"> </w:t>
      </w:r>
      <w:r>
        <w:t xml:space="preserve">State. In 2024, according to the prices published by the Commission286, the support per tonne</w:t>
      </w:r>
      <w:r>
        <w:t xml:space="preserve"> </w:t>
      </w:r>
      <w:r>
        <w:t xml:space="preserve">of eligible fuel was up to EUR 7 526 for an RFNBO287 with 100% support and EUR 573 for</w:t>
      </w:r>
      <w:r>
        <w:t xml:space="preserve"> </w:t>
      </w:r>
      <w:r>
        <w:t xml:space="preserve">biofuel288 uplifted at a Union airport, with no reduction from other national support schemes.</w:t>
      </w:r>
      <w:r>
        <w:t xml:space="preserve"> </w:t>
      </w:r>
      <w:r>
        <w:t xml:space="preserve">This resulted in allocation to 53 commercial aircraft operators of 1.3 million allowances289</w:t>
      </w:r>
      <w:r>
        <w:t xml:space="preserve"> </w:t>
      </w:r>
      <w:r>
        <w:t xml:space="preserve">(EUR 100 million) for the use of total 110 000 t of eligible fuels in 2024 (0.7% of total aviation</w:t>
      </w:r>
      <w:r>
        <w:t xml:space="preserve"> </w:t>
      </w:r>
      <w:r>
        <w:t xml:space="preserve">fuel reported under EU ETS in 2024).</w:t>
      </w:r>
      <w:r>
        <w:br/>
      </w:r>
      <w:r>
        <w:t xml:space="preserve">The aviation industry as well as non-governmental organisations welcome this mechanism and</w:t>
      </w:r>
      <w:r>
        <w:t xml:space="preserve"> </w:t>
      </w:r>
      <w:r>
        <w:t xml:space="preserve">the incentive for first movers it offers and are united in the belief that this mechanism should</w:t>
      </w:r>
      <w:r>
        <w:t xml:space="preserve"> </w:t>
      </w:r>
      <w:r>
        <w:t xml:space="preserve">continue and be expanded290.</w:t>
      </w:r>
      <w:r>
        <w:t xml:space="preserve"> </w:t>
      </w:r>
      <w:r>
        <w:t xml:space="preserve">The current EU ETS mechanism has 18.7 million allowances still available. According to</w:t>
      </w:r>
      <w:r>
        <w:t xml:space="preserve"> </w:t>
      </w:r>
      <w:r>
        <w:t xml:space="preserve">Commission estimates, as well as the aviation support study, unless supplemented, the</w:t>
      </w:r>
      <w:r>
        <w:t xml:space="preserve"> </w:t>
      </w:r>
      <w:r>
        <w:t xml:space="preserve">allowances under the current mechanism could run out in 2028.</w:t>
      </w:r>
    </w:p>
    <w:p>
      <w:pPr>
        <w:pStyle w:val="BodyText"/>
      </w:pPr>
      <w:r>
        <w:t xml:space="preserve">284 Article 3c(6), fourth paragraph.</w:t>
      </w:r>
      <w:r>
        <w:t xml:space="preserve"> </w:t>
      </w:r>
      <w:r>
        <w:t xml:space="preserve">285 Official Journal of the European Union, Commission Delegated Regulation (EU) 2025/723 of 6 February</w:t>
      </w:r>
      <w:r>
        <w:t xml:space="preserve"> </w:t>
      </w:r>
      <w:r>
        <w:t xml:space="preserve">2025 supplementing Directive 2003/87/EC of the European Parliament and of the Council by laying down</w:t>
      </w:r>
      <w:r>
        <w:t xml:space="preserve"> </w:t>
      </w:r>
      <w:r>
        <w:t xml:space="preserve">detailed rules for the yearly calculation of price differences between eligible aviation fuels and fossil kerosene</w:t>
      </w:r>
      <w:r>
        <w:t xml:space="preserve"> </w:t>
      </w:r>
      <w:r>
        <w:t xml:space="preserve">and for the EU ETS allocation of allowances for the use of eligible aviation fuels, OJ L, 2025/723, 16.4.2025,</w:t>
      </w:r>
      <w:r>
        <w:t xml:space="preserve"> </w:t>
      </w:r>
      <w:r>
        <w:t xml:space="preserve">ELI, 2025.</w:t>
      </w:r>
      <w:r>
        <w:t xml:space="preserve"> </w:t>
      </w:r>
      <w:r>
        <w:t xml:space="preserve">286 Official Journal of the European Union Commission, Notice on the publication of the details for the</w:t>
      </w:r>
      <w:r>
        <w:t xml:space="preserve"> </w:t>
      </w:r>
      <w:r>
        <w:t xml:space="preserve">calculation of the price difference between kerosene and relevant eligible aviation fuels and for the allocation</w:t>
      </w:r>
      <w:r>
        <w:t xml:space="preserve"> </w:t>
      </w:r>
      <w:r>
        <w:t xml:space="preserve">of allowances for the use of eligible fuels under the EU Emissions Trading System established by Directive</w:t>
      </w:r>
      <w:r>
        <w:t xml:space="preserve"> </w:t>
      </w:r>
      <w:r>
        <w:t xml:space="preserve">2003/87/EC, OJ C, C/2025/2934, 27.5.2025, ELI, 2025.</w:t>
      </w:r>
      <w:r>
        <w:br/>
      </w:r>
      <w:r>
        <w:t xml:space="preserve">287 Drop-in renewable fuels of non-biological origin as defined in Article 2, point (36), of Directive (EU)</w:t>
      </w:r>
      <w:r>
        <w:t xml:space="preserve"> </w:t>
      </w:r>
      <w:r>
        <w:t xml:space="preserve">2018/2001 and that are certified in compliance with Article 30 of that Directive.</w:t>
      </w:r>
      <w:r>
        <w:br/>
      </w:r>
      <w:r>
        <w:t xml:space="preserve">288 Aviation biofuels produced from feedstock listed in Part B of Annex IX to Directive (EU) 2018/2001 and</w:t>
      </w:r>
      <w:r>
        <w:t xml:space="preserve"> </w:t>
      </w:r>
      <w:r>
        <w:t xml:space="preserve">that are certified in compliance with Article 30 of that Directive.</w:t>
      </w:r>
      <w:r>
        <w:br/>
      </w:r>
      <w:r>
        <w:t xml:space="preserve">289 Official Journal of the European Union, Commission Decision of 12 September 2025 on instructing the</w:t>
      </w:r>
      <w:r>
        <w:t xml:space="preserve"> </w:t>
      </w:r>
      <w:r>
        <w:t xml:space="preserve">central administrator to enter changes to the national aviation allocation tables of Member States into the</w:t>
      </w:r>
      <w:r>
        <w:t xml:space="preserve"> </w:t>
      </w:r>
      <w:r>
        <w:t xml:space="preserve">Union Registry to account for the use of eligible aviation fuels in the year 2024, OJ C, C/2025/5004,</w:t>
      </w:r>
      <w:r>
        <w:t xml:space="preserve"> </w:t>
      </w:r>
      <w:r>
        <w:t xml:space="preserve">16.9.2025, ELI, 2025.</w:t>
      </w:r>
      <w:r>
        <w:t xml:space="preserve"> </w:t>
      </w:r>
      <w:r>
        <w:t xml:space="preserve">290 For instance, EasyJet advocates for an extension of the SAF support mechanism until at least 2040 in its</w:t>
      </w:r>
      <w:r>
        <w:t xml:space="preserve"> </w:t>
      </w:r>
      <w:r>
        <w:t xml:space="preserve">response to the Call for Evidence for an evaluation and impact assessment on the EU ETS, similarly to</w:t>
      </w:r>
      <w:r>
        <w:t xml:space="preserve"> </w:t>
      </w:r>
      <w:r>
        <w:t xml:space="preserve">SkyNRG. Business &amp; Science Poland advocates for an extension of the FEETS mechanism to 2050 (BSP,</w:t>
      </w:r>
      <w:r>
        <w:t xml:space="preserve"> </w:t>
      </w:r>
      <w:r>
        <w:t xml:space="preserve">Sustainable Transport Investment Plan Business &amp; Science Poland position, 2025).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8.2. Extension of the support</w:t>
      </w:r>
      <w:r>
        <w:t xml:space="preserve"> </w:t>
      </w:r>
      <w:r>
        <w:t xml:space="preserve">This section presents an assessment of alternative design variations for the SAF support</w:t>
      </w:r>
      <w:r>
        <w:t xml:space="preserve"> </w:t>
      </w:r>
      <w:r>
        <w:t xml:space="preserve">mechanism for the period from 2028 up to 2035, and in section 8.2.5. also analyses longer</w:t>
      </w:r>
      <w:r>
        <w:t xml:space="preserve"> </w:t>
      </w:r>
      <w:r>
        <w:t xml:space="preserve">support. Several factors influence the amount of EU ETS allowances allocated and are a matter</w:t>
      </w:r>
      <w:r>
        <w:t xml:space="preserve"> </w:t>
      </w:r>
      <w:r>
        <w:t xml:space="preserve">of this analysis. These include the volume of SAF used, the availability of allowances, fuel</w:t>
      </w:r>
      <w:r>
        <w:t xml:space="preserve"> </w:t>
      </w:r>
      <w:r>
        <w:t xml:space="preserve">prices of fossil fuels and SAF (current and future) and level of direct ETS SAF support.</w:t>
      </w:r>
      <w:r>
        <w:br/>
      </w:r>
      <w:r>
        <w:t xml:space="preserve">8.2.1. Assumptions</w:t>
      </w:r>
      <w:r>
        <w:t xml:space="preserve"> </w:t>
      </w:r>
      <w:r>
        <w:t xml:space="preserve">This analysis uses SAF use assumptions and SAF prices different from those used in the general</w:t>
      </w:r>
      <w:r>
        <w:t xml:space="preserve"> </w:t>
      </w:r>
      <w:r>
        <w:t xml:space="preserve">modelling approach described in Annex 4. This includes the following reasons:</w:t>
      </w:r>
      <w:r>
        <w:t xml:space="preserve"> </w:t>
      </w:r>
      <w:r>
        <w:t xml:space="preserve">• PRIMES organises SAF sub-categories as bio-kerosene and synthetic kerosene, however</w:t>
      </w:r>
      <w:r>
        <w:t xml:space="preserve"> </w:t>
      </w:r>
      <w:r>
        <w:t xml:space="preserve">for this analysis more granular identification of biofuels is needed. It is necessary to</w:t>
      </w:r>
      <w:r>
        <w:t xml:space="preserve"> </w:t>
      </w:r>
      <w:r>
        <w:t xml:space="preserve">distinguish between advanced biofuels291 and other biofuels (in this section referred to as</w:t>
      </w:r>
      <w:r>
        <w:t xml:space="preserve"> </w:t>
      </w:r>
      <w:r>
        <w:t xml:space="preserve">‘biofuels’) as those have different levels of support.</w:t>
      </w:r>
      <w:r>
        <w:t xml:space="preserve"> </w:t>
      </w:r>
      <w:r>
        <w:t xml:space="preserve">• For the SAF support analysis, it is crucial to use conservative SAF prices (realistic or</w:t>
      </w:r>
      <w:r>
        <w:t xml:space="preserve"> </w:t>
      </w:r>
      <w:r>
        <w:t xml:space="preserve">overestimated) rather than too optimistic and underestimated. This is because the support</w:t>
      </w:r>
      <w:r>
        <w:t xml:space="preserve"> </w:t>
      </w:r>
      <w:r>
        <w:t xml:space="preserve">is based on the actual price difference between fossil kerosene and SAF, therefore the</w:t>
      </w:r>
      <w:r>
        <w:t xml:space="preserve"> </w:t>
      </w:r>
      <w:r>
        <w:t xml:space="preserve">smaller that difference is (low SAF prices) the longer any amount of reserved allowances</w:t>
      </w:r>
      <w:r>
        <w:t xml:space="preserve"> </w:t>
      </w:r>
      <w:r>
        <w:t xml:space="preserve">for this purpose would last. However, the approach using lower SAF prices may result in a</w:t>
      </w:r>
      <w:r>
        <w:t xml:space="preserve"> </w:t>
      </w:r>
      <w:r>
        <w:t xml:space="preserve">recommendation to reserve an insufficient amount of allowances. It is therefore appropriate</w:t>
      </w:r>
      <w:r>
        <w:t xml:space="preserve"> </w:t>
      </w:r>
      <w:r>
        <w:t xml:space="preserve">to be prudent and use higher SAF prices and hence higher price differences, which will</w:t>
      </w:r>
      <w:r>
        <w:t xml:space="preserve"> </w:t>
      </w:r>
      <w:r>
        <w:t xml:space="preserve">result in an amount of allowances that would not run out prematurely.</w:t>
      </w:r>
      <w:r>
        <w:br/>
      </w:r>
      <w:r>
        <w:t xml:space="preserve">The SAF projections use the following principles:</w:t>
      </w:r>
      <w:r>
        <w:br/>
      </w:r>
      <w:r>
        <w:t xml:space="preserve">• Overall share of SAF used corresponds to the ReFuelEU Aviation mandate in 2025, 2030</w:t>
      </w:r>
      <w:r>
        <w:t xml:space="preserve"> </w:t>
      </w:r>
      <w:r>
        <w:t xml:space="preserve">and 2035. Biofuels intermediate values are interpolated. Only the minimum mandated</w:t>
      </w:r>
      <w:r>
        <w:t xml:space="preserve"> </w:t>
      </w:r>
      <w:r>
        <w:t xml:space="preserve">shares for RFNBOs are assumed (2028-29: 0%; 2030-31: 1.2%, 2032-34: 2%, 2035: 5%).</w:t>
      </w:r>
      <w:r>
        <w:t xml:space="preserve"> </w:t>
      </w:r>
      <w:r>
        <w:t xml:space="preserve">Advanced biofuels scale up to 15% of total biofuels by 2030292. Post-2030, advanced</w:t>
      </w:r>
      <w:r>
        <w:t xml:space="preserve"> </w:t>
      </w:r>
      <w:r>
        <w:t xml:space="preserve">biofuels scale linearly with the aim of reaching 85% of all biofuels by 2040293.</w:t>
      </w:r>
      <w:r>
        <w:t xml:space="preserve"> </w:t>
      </w:r>
      <w:r>
        <w:t xml:space="preserve">Table 28 presents projected fuel prices for the three SAF types and fossil kerosene. These are</w:t>
      </w:r>
      <w:r>
        <w:t xml:space="preserve"> </w:t>
      </w:r>
      <w:r>
        <w:t xml:space="preserve">built on the following assumptions (for the full list see the aviation support study):</w:t>
      </w:r>
      <w:r>
        <w:t xml:space="preserve"> </w:t>
      </w:r>
      <w:r>
        <w:t xml:space="preserve">• Fossil fuel price projections based on PRIMES model post-2030 scenarios.</w:t>
      </w:r>
      <w:r>
        <w:t xml:space="preserve"> </w:t>
      </w:r>
      <w:r>
        <w:t xml:space="preserve">• RFNBOs prices considered constant until 2035 under a conservative estimate294.</w:t>
      </w:r>
      <w:r>
        <w:t xml:space="preserve"> </w:t>
      </w:r>
      <w:r>
        <w:t xml:space="preserve">Table 28:</w:t>
      </w:r>
      <w:r>
        <w:t xml:space="preserve"> </w:t>
      </w:r>
      <w:r>
        <w:t xml:space="preserve">SAF price projections, by SAF type, 2028 to 2035 (EUR per tonne)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Fossil Kerosene</w:t>
      </w:r>
      <w:r>
        <w:t xml:space="preserve"> </w:t>
      </w:r>
      <w:r>
        <w:t xml:space="preserve">799</w:t>
      </w:r>
      <w:r>
        <w:t xml:space="preserve"> </w:t>
      </w:r>
      <w:r>
        <w:t xml:space="preserve">811</w:t>
      </w:r>
      <w:r>
        <w:t xml:space="preserve"> </w:t>
      </w:r>
      <w:r>
        <w:t xml:space="preserve">824</w:t>
      </w:r>
      <w:r>
        <w:t xml:space="preserve"> </w:t>
      </w:r>
      <w:r>
        <w:t xml:space="preserve">835</w:t>
      </w:r>
      <w:r>
        <w:t xml:space="preserve"> </w:t>
      </w:r>
      <w:r>
        <w:t xml:space="preserve">847</w:t>
      </w:r>
      <w:r>
        <w:t xml:space="preserve"> </w:t>
      </w:r>
      <w:r>
        <w:t xml:space="preserve">859</w:t>
      </w:r>
      <w:r>
        <w:t xml:space="preserve"> </w:t>
      </w:r>
      <w:r>
        <w:t xml:space="preserve">870</w:t>
      </w:r>
      <w:r>
        <w:t xml:space="preserve"> </w:t>
      </w:r>
      <w:r>
        <w:t xml:space="preserve">882</w:t>
      </w:r>
      <w:r>
        <w:t xml:space="preserve"> </w:t>
      </w:r>
      <w:r>
        <w:t xml:space="preserve">Biofuels</w:t>
      </w:r>
      <w:r>
        <w:t xml:space="preserve"> </w:t>
      </w:r>
      <w:r>
        <w:t xml:space="preserve">2,291</w:t>
      </w:r>
      <w:r>
        <w:t xml:space="preserve"> </w:t>
      </w:r>
      <w:r>
        <w:t xml:space="preserve">2,280</w:t>
      </w:r>
      <w:r>
        <w:t xml:space="preserve"> </w:t>
      </w:r>
      <w:r>
        <w:t xml:space="preserve">2,269</w:t>
      </w:r>
      <w:r>
        <w:t xml:space="preserve"> </w:t>
      </w:r>
      <w:r>
        <w:t xml:space="preserve">2,259</w:t>
      </w:r>
      <w:r>
        <w:t xml:space="preserve"> </w:t>
      </w:r>
      <w:r>
        <w:t xml:space="preserve">2,248</w:t>
      </w:r>
      <w:r>
        <w:t xml:space="preserve"> </w:t>
      </w:r>
      <w:r>
        <w:t xml:space="preserve">2,238</w:t>
      </w:r>
      <w:r>
        <w:t xml:space="preserve"> </w:t>
      </w:r>
      <w:r>
        <w:t xml:space="preserve">2,228</w:t>
      </w:r>
      <w:r>
        <w:t xml:space="preserve"> </w:t>
      </w:r>
      <w:r>
        <w:t xml:space="preserve">2,217</w:t>
      </w:r>
      <w:r>
        <w:t xml:space="preserve"> </w:t>
      </w:r>
      <w:r>
        <w:t xml:space="preserve">Advanced biofuels</w:t>
      </w:r>
      <w:r>
        <w:t xml:space="preserve"> </w:t>
      </w:r>
      <w:r>
        <w:t xml:space="preserve">2,705</w:t>
      </w:r>
      <w:r>
        <w:t xml:space="preserve"> </w:t>
      </w:r>
      <w:r>
        <w:t xml:space="preserve">2,636</w:t>
      </w:r>
      <w:r>
        <w:t xml:space="preserve"> </w:t>
      </w:r>
      <w:r>
        <w:t xml:space="preserve">2,566</w:t>
      </w:r>
      <w:r>
        <w:t xml:space="preserve"> </w:t>
      </w:r>
      <w:r>
        <w:t xml:space="preserve">2,515</w:t>
      </w:r>
      <w:r>
        <w:t xml:space="preserve"> </w:t>
      </w:r>
      <w:r>
        <w:t xml:space="preserve">2,464</w:t>
      </w:r>
      <w:r>
        <w:t xml:space="preserve"> </w:t>
      </w:r>
      <w:r>
        <w:t xml:space="preserve">2,413</w:t>
      </w:r>
      <w:r>
        <w:t xml:space="preserve"> </w:t>
      </w:r>
      <w:r>
        <w:t xml:space="preserve">2,361</w:t>
      </w:r>
      <w:r>
        <w:t xml:space="preserve"> </w:t>
      </w:r>
      <w:r>
        <w:t xml:space="preserve">2,310</w:t>
      </w:r>
      <w:r>
        <w:t xml:space="preserve"> </w:t>
      </w:r>
      <w:r>
        <w:t xml:space="preserve">RFNBOs</w:t>
      </w:r>
      <w:r>
        <w:t xml:space="preserve"> </w:t>
      </w:r>
      <w:r>
        <w:t xml:space="preserve">8,465</w:t>
      </w:r>
      <w:r>
        <w:t xml:space="preserve"> </w:t>
      </w:r>
      <w:r>
        <w:t xml:space="preserve">8,465</w:t>
      </w:r>
      <w:r>
        <w:t xml:space="preserve"> </w:t>
      </w:r>
      <w:r>
        <w:t xml:space="preserve">8,465</w:t>
      </w:r>
      <w:r>
        <w:t xml:space="preserve"> </w:t>
      </w:r>
      <w:r>
        <w:t xml:space="preserve">8,465</w:t>
      </w:r>
      <w:r>
        <w:t xml:space="preserve"> </w:t>
      </w:r>
      <w:r>
        <w:t xml:space="preserve">8,465</w:t>
      </w:r>
      <w:r>
        <w:t xml:space="preserve"> </w:t>
      </w:r>
      <w:r>
        <w:t xml:space="preserve">8,465</w:t>
      </w:r>
      <w:r>
        <w:t xml:space="preserve"> </w:t>
      </w:r>
      <w:r>
        <w:t xml:space="preserve">8,465</w:t>
      </w:r>
      <w:r>
        <w:t xml:space="preserve"> </w:t>
      </w:r>
      <w:r>
        <w:t xml:space="preserve">8,465</w:t>
      </w:r>
    </w:p>
    <w:p>
      <w:pPr>
        <w:pStyle w:val="BodyText"/>
      </w:pPr>
      <w:r>
        <w:t xml:space="preserve">291 Biofuels produced from the feedstock listed in Part A of Annex IX to Directive (EU) 2018/2001 and that are</w:t>
      </w:r>
      <w:r>
        <w:t xml:space="preserve"> </w:t>
      </w:r>
      <w:r>
        <w:t xml:space="preserve">certified in compliance with Article 30 of that Directive.</w:t>
      </w:r>
      <w:r>
        <w:br/>
      </w:r>
      <w:r>
        <w:t xml:space="preserve">292 EASA, SAF Market, 2025. Skynrg, SkyNRG &amp; ICF release Sustainable Aviation Fuel Market Outlook, 2025.</w:t>
      </w:r>
      <w:r>
        <w:br/>
      </w:r>
      <w:r>
        <w:t xml:space="preserve">293 As per assumptions of SAF usage used for 2040 within the PRIMES model post-2030 projections</w:t>
      </w:r>
      <w:r>
        <w:br/>
      </w:r>
      <w:r>
        <w:t xml:space="preserve">294 Based on the conservative assumption that the first volumes of RFNBO will be produced in 2030 and will be</w:t>
      </w:r>
      <w:r>
        <w:t xml:space="preserve"> </w:t>
      </w:r>
      <w:r>
        <w:t xml:space="preserve">scaling up too slowly for the price to decrease within 5 years.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Source: Aviation support study</w:t>
      </w:r>
      <w:r>
        <w:t xml:space="preserve"> </w:t>
      </w:r>
      <w:r>
        <w:t xml:space="preserve">Moreover, this analysis focuses only on the three types of SAF that are most likely to be uplifted</w:t>
      </w:r>
      <w:r>
        <w:t xml:space="preserve"> </w:t>
      </w:r>
      <w:r>
        <w:t xml:space="preserve">during the lifetime of the support mechanism. However, other types of SAF295 would continue</w:t>
      </w:r>
      <w:r>
        <w:t xml:space="preserve"> </w:t>
      </w:r>
      <w:r>
        <w:t xml:space="preserve">to be eligible for the support with direct support level aligned. Electric aviation should also be</w:t>
      </w:r>
      <w:r>
        <w:t xml:space="preserve"> </w:t>
      </w:r>
      <w:r>
        <w:t xml:space="preserve">included, with direct support at least equal to that of RFNBOs.</w:t>
      </w:r>
      <w:r>
        <w:br/>
      </w:r>
      <w:r>
        <w:t xml:space="preserve">8.2.2. Support level alternatives</w:t>
      </w:r>
      <w:r>
        <w:t xml:space="preserve"> </w:t>
      </w:r>
      <w:r>
        <w:t xml:space="preserve">The assessment considers the current ETS support mechanism direct support levels</w:t>
      </w:r>
      <w:r>
        <w:t xml:space="preserve"> </w:t>
      </w:r>
      <w:r>
        <w:t xml:space="preserve">(Alternative 0) and other options (Alternatives A, B and C) with distinct coverage of the fuel</w:t>
      </w:r>
      <w:r>
        <w:t xml:space="preserve"> </w:t>
      </w:r>
      <w:r>
        <w:t xml:space="preserve">price differential between SAF and fossil fuel. These are presented in Table 29.</w:t>
      </w:r>
      <w:r>
        <w:t xml:space="preserve"> </w:t>
      </w:r>
      <w:r>
        <w:t xml:space="preserve">Across all alternatives, the support level for a fuel type reflects its market and technology</w:t>
      </w:r>
      <w:r>
        <w:t xml:space="preserve"> </w:t>
      </w:r>
      <w:r>
        <w:t xml:space="preserve">readiness, where the nascent RFNBOs are eligible for the highest support, followed by</w:t>
      </w:r>
      <w:r>
        <w:t xml:space="preserve"> </w:t>
      </w:r>
      <w:r>
        <w:t xml:space="preserve">advanced biofuels and lastly biofuels. Alternatives 0 and A apply fixed support levels for all</w:t>
      </w:r>
      <w:r>
        <w:t xml:space="preserve"> </w:t>
      </w:r>
      <w:r>
        <w:t xml:space="preserve">fuels for 2028-2035, although Alternative A applies lower levels given increasing SAF market</w:t>
      </w:r>
      <w:r>
        <w:t xml:space="preserve"> </w:t>
      </w:r>
      <w:r>
        <w:t xml:space="preserve">maturity. For RFNBOs, the lower support level is also desirable in order to allow for other</w:t>
      </w:r>
      <w:r>
        <w:t xml:space="preserve"> </w:t>
      </w:r>
      <w:r>
        <w:t xml:space="preserve">support and incentives as presented in the Sustainable Transport Investment Plan296 or other</w:t>
      </w:r>
      <w:r>
        <w:t xml:space="preserve"> </w:t>
      </w:r>
      <w:r>
        <w:t xml:space="preserve">national measures to eventually complement the ETS support. Alternative B features lower</w:t>
      </w:r>
      <w:r>
        <w:t xml:space="preserve"> </w:t>
      </w:r>
      <w:r>
        <w:t xml:space="preserve">support levels for all fuels and phases out eligibility for biofuels from 2030 onwards, favouring</w:t>
      </w:r>
      <w:r>
        <w:t xml:space="preserve"> </w:t>
      </w:r>
      <w:r>
        <w:t xml:space="preserve">advanced biofuels. Alternative C defines the support level as fixed financial incentive per tonne</w:t>
      </w:r>
      <w:r>
        <w:t xml:space="preserve"> </w:t>
      </w:r>
      <w:r>
        <w:t xml:space="preserve">of fuel rather than as a percentage of price differential, in order to enhance predictability. These</w:t>
      </w:r>
      <w:r>
        <w:t xml:space="preserve"> </w:t>
      </w:r>
      <w:r>
        <w:t xml:space="preserve">are presented in table 29.</w:t>
      </w:r>
      <w:r>
        <w:t xml:space="preserve"> </w:t>
      </w:r>
      <w:r>
        <w:t xml:space="preserve">Table 29:</w:t>
      </w:r>
      <w:r>
        <w:t xml:space="preserve"> </w:t>
      </w:r>
      <w:r>
        <w:t xml:space="preserve">Value of fuel price differential covered, by SAF type and support mechanism option</w:t>
      </w:r>
    </w:p>
    <w:p>
      <w:pPr>
        <w:pStyle w:val="BodyText"/>
      </w:pPr>
      <w:r>
        <w:t xml:space="preserve">Biofuels</w:t>
      </w:r>
      <w:r>
        <w:t xml:space="preserve"> </w:t>
      </w:r>
      <w:r>
        <w:t xml:space="preserve">Advanced biofuels</w:t>
      </w:r>
      <w:r>
        <w:t xml:space="preserve"> </w:t>
      </w:r>
      <w:r>
        <w:t xml:space="preserve">RFNBOs</w:t>
      </w:r>
      <w:r>
        <w:t xml:space="preserve"> </w:t>
      </w:r>
      <w:r>
        <w:t xml:space="preserve">Alternative 0</w:t>
      </w:r>
      <w:r>
        <w:t xml:space="preserve"> </w:t>
      </w:r>
      <w:r>
        <w:t xml:space="preserve">2028-2035: 50%</w:t>
      </w:r>
      <w:r>
        <w:t xml:space="preserve"> </w:t>
      </w:r>
      <w:r>
        <w:t xml:space="preserve">2028-2035: 70%</w:t>
      </w:r>
      <w:r>
        <w:t xml:space="preserve"> </w:t>
      </w:r>
      <w:r>
        <w:t xml:space="preserve">2028-2035: 95%</w:t>
      </w:r>
      <w:r>
        <w:t xml:space="preserve"> </w:t>
      </w:r>
      <w:r>
        <w:t xml:space="preserve">Alternative A</w:t>
      </w:r>
      <w:r>
        <w:t xml:space="preserve"> </w:t>
      </w:r>
      <w:r>
        <w:t xml:space="preserve">2028-2035: 20%</w:t>
      </w:r>
      <w:r>
        <w:t xml:space="preserve"> </w:t>
      </w:r>
      <w:r>
        <w:t xml:space="preserve">2028-2035: 60%</w:t>
      </w:r>
      <w:r>
        <w:t xml:space="preserve"> </w:t>
      </w:r>
      <w:r>
        <w:t xml:space="preserve">2028-2035: 70%</w:t>
      </w:r>
      <w:r>
        <w:t xml:space="preserve"> </w:t>
      </w:r>
      <w:r>
        <w:t xml:space="preserve">Alternative B</w:t>
      </w:r>
      <w:r>
        <w:t xml:space="preserve"> </w:t>
      </w:r>
      <w:r>
        <w:t xml:space="preserve">2028-2029: 30%</w:t>
      </w:r>
      <w:r>
        <w:t xml:space="preserve"> </w:t>
      </w:r>
      <w:r>
        <w:t xml:space="preserve">2030-2035: 0%</w:t>
      </w:r>
      <w:r>
        <w:t xml:space="preserve"> </w:t>
      </w:r>
      <w:r>
        <w:t xml:space="preserve">2028-2035: 50%</w:t>
      </w:r>
      <w:r>
        <w:t xml:space="preserve"> </w:t>
      </w:r>
      <w:r>
        <w:t xml:space="preserve">2028-2035: 60%</w:t>
      </w:r>
      <w:r>
        <w:t xml:space="preserve"> </w:t>
      </w:r>
      <w:r>
        <w:t xml:space="preserve">Alternative C</w:t>
      </w:r>
      <w:r>
        <w:t xml:space="preserve"> </w:t>
      </w:r>
      <w:r>
        <w:t xml:space="preserve">2028-2029:</w:t>
      </w:r>
      <w:r>
        <w:br/>
      </w:r>
      <w:r>
        <w:t xml:space="preserve">EUR 500 per tonne</w:t>
      </w:r>
      <w:r>
        <w:t xml:space="preserve"> </w:t>
      </w:r>
      <w:r>
        <w:t xml:space="preserve">2030-2035:</w:t>
      </w:r>
      <w:r>
        <w:br/>
      </w:r>
      <w:r>
        <w:t xml:space="preserve">EUR 250 per tonne</w:t>
      </w:r>
      <w:r>
        <w:t xml:space="preserve"> </w:t>
      </w:r>
      <w:r>
        <w:t xml:space="preserve">2028-2035:</w:t>
      </w:r>
      <w:r>
        <w:br/>
      </w:r>
      <w:r>
        <w:t xml:space="preserve">EUR 750 per tonne</w:t>
      </w:r>
      <w:r>
        <w:t xml:space="preserve"> </w:t>
      </w:r>
      <w:r>
        <w:t xml:space="preserve">2028-2035:</w:t>
      </w:r>
      <w:r>
        <w:br/>
      </w:r>
      <w:r>
        <w:t xml:space="preserve">EUR 4 000 per tonne</w:t>
      </w:r>
      <w:r>
        <w:t xml:space="preserve"> </w:t>
      </w:r>
      <w:r>
        <w:t xml:space="preserve">In 2030, these alternative designs would lead to the effective fuel prices presented in Table 30.</w:t>
      </w:r>
      <w:r>
        <w:t xml:space="preserve"> </w:t>
      </w:r>
      <w:r>
        <w:t xml:space="preserve">With lowering prices of advanced biofuels and their higher support over biofuels, their</w:t>
      </w:r>
      <w:r>
        <w:t xml:space="preserve"> </w:t>
      </w:r>
      <w:r>
        <w:t xml:space="preserve">effective price would be lower than that of biofuels which is desirable. Except for Alternative</w:t>
      </w:r>
      <w:r>
        <w:t xml:space="preserve"> </w:t>
      </w:r>
      <w:r>
        <w:t xml:space="preserve">0, the effective price for RFNBOs stays somewhat elevated.</w:t>
      </w:r>
    </w:p>
    <w:p>
      <w:pPr>
        <w:pStyle w:val="BodyText"/>
      </w:pPr>
      <w:r>
        <w:t xml:space="preserve">295 All SAF subcategories as included in Annex to the Commission Delegated Regulation (EU) 2025/723.</w:t>
      </w:r>
      <w:r>
        <w:t xml:space="preserve"> </w:t>
      </w:r>
      <w:r>
        <w:t xml:space="preserve">296 European Commission Directorate-General for Mobility and Transport, Commission unveils the Sustainable</w:t>
      </w:r>
      <w:r>
        <w:t xml:space="preserve"> </w:t>
      </w:r>
      <w:r>
        <w:t xml:space="preserve">Transport Investment Plan: a strategic approach to boost renewable and low-carbon fuels for aviation and</w:t>
      </w:r>
      <w:r>
        <w:t xml:space="preserve"> </w:t>
      </w:r>
      <w:r>
        <w:t xml:space="preserve">waterborne transport, November 2025.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Table 30:</w:t>
      </w:r>
      <w:r>
        <w:t xml:space="preserve"> </w:t>
      </w:r>
      <w:r>
        <w:t xml:space="preserve">Effective fuel prices in 2030 after considering ETS cost and the ETS support</w:t>
      </w:r>
      <w:r>
        <w:t xml:space="preserve"> </w:t>
      </w:r>
      <w:r>
        <w:t xml:space="preserve">mechanism</w:t>
      </w:r>
      <w:r>
        <w:t xml:space="preserve"> </w:t>
      </w:r>
      <w:r>
        <w:t xml:space="preserve">Fuel price 2030</w:t>
      </w:r>
      <w:r>
        <w:t xml:space="preserve"> </w:t>
      </w:r>
      <w:r>
        <w:t xml:space="preserve">(EUR/tonne)</w:t>
      </w:r>
      <w:r>
        <w:t xml:space="preserve"> </w:t>
      </w:r>
      <w:r>
        <w:t xml:space="preserve">Fossil kerosene</w:t>
      </w:r>
      <w:r>
        <w:t xml:space="preserve"> </w:t>
      </w:r>
      <w:r>
        <w:t xml:space="preserve">Biofuels</w:t>
      </w:r>
      <w:r>
        <w:t xml:space="preserve"> </w:t>
      </w:r>
      <w:r>
        <w:t xml:space="preserve">Advanced</w:t>
      </w:r>
      <w:r>
        <w:t xml:space="preserve"> </w:t>
      </w:r>
      <w:r>
        <w:t xml:space="preserve">biofuels</w:t>
      </w:r>
      <w:r>
        <w:t xml:space="preserve"> </w:t>
      </w:r>
      <w:r>
        <w:t xml:space="preserve">RFNBOs</w:t>
      </w:r>
      <w:r>
        <w:t xml:space="preserve"> </w:t>
      </w:r>
      <w:r>
        <w:t xml:space="preserve">Alternative 0</w:t>
      </w:r>
      <w:r>
        <w:t xml:space="preserve"> </w:t>
      </w:r>
      <w:r>
        <w:t xml:space="preserve">EUR 1,165</w:t>
      </w:r>
      <w:r>
        <w:t xml:space="preserve"> </w:t>
      </w:r>
      <w:r>
        <w:t xml:space="preserve">EUR 1,717</w:t>
      </w:r>
      <w:r>
        <w:t xml:space="preserve"> </w:t>
      </w:r>
      <w:r>
        <w:t xml:space="preserve">EUR 1,585</w:t>
      </w:r>
      <w:r>
        <w:t xml:space="preserve"> </w:t>
      </w:r>
      <w:r>
        <w:t xml:space="preserve">EUR 1,530</w:t>
      </w:r>
      <w:r>
        <w:t xml:space="preserve"> </w:t>
      </w:r>
      <w:r>
        <w:t xml:space="preserve">Alternative A</w:t>
      </w:r>
      <w:r>
        <w:t xml:space="preserve"> </w:t>
      </w:r>
      <w:r>
        <w:t xml:space="preserve">EUR 1,165</w:t>
      </w:r>
      <w:r>
        <w:t xml:space="preserve"> </w:t>
      </w:r>
      <w:r>
        <w:t xml:space="preserve">EUR 2,048</w:t>
      </w:r>
      <w:r>
        <w:t xml:space="preserve"> </w:t>
      </w:r>
      <w:r>
        <w:t xml:space="preserve">EUR 1,726</w:t>
      </w:r>
      <w:r>
        <w:t xml:space="preserve"> </w:t>
      </w:r>
      <w:r>
        <w:t xml:space="preserve">EUR 3,355</w:t>
      </w:r>
      <w:r>
        <w:t xml:space="preserve"> </w:t>
      </w:r>
      <w:r>
        <w:t xml:space="preserve">Alternative B</w:t>
      </w:r>
      <w:r>
        <w:t xml:space="preserve"> </w:t>
      </w:r>
      <w:r>
        <w:t xml:space="preserve">EUR 1,165</w:t>
      </w:r>
      <w:r>
        <w:t xml:space="preserve"> </w:t>
      </w:r>
      <w:r>
        <w:t xml:space="preserve">EUR 2,269</w:t>
      </w:r>
      <w:r>
        <w:t xml:space="preserve"> </w:t>
      </w:r>
      <w:r>
        <w:t xml:space="preserve">EUR 1,866</w:t>
      </w:r>
      <w:r>
        <w:t xml:space="preserve"> </w:t>
      </w:r>
      <w:r>
        <w:t xml:space="preserve">EUR 4,085</w:t>
      </w:r>
      <w:r>
        <w:t xml:space="preserve"> </w:t>
      </w:r>
      <w:r>
        <w:t xml:space="preserve">Alternative C</w:t>
      </w:r>
      <w:r>
        <w:t xml:space="preserve"> </w:t>
      </w:r>
      <w:r>
        <w:t xml:space="preserve">EUR 1,165</w:t>
      </w:r>
      <w:r>
        <w:t xml:space="preserve"> </w:t>
      </w:r>
      <w:r>
        <w:t xml:space="preserve">EUR 2,019</w:t>
      </w:r>
      <w:r>
        <w:t xml:space="preserve"> </w:t>
      </w:r>
      <w:r>
        <w:t xml:space="preserve">EUR 1,816</w:t>
      </w:r>
      <w:r>
        <w:t xml:space="preserve"> </w:t>
      </w:r>
      <w:r>
        <w:t xml:space="preserve">EUR 4,465</w:t>
      </w:r>
      <w:r>
        <w:t xml:space="preserve"> </w:t>
      </w:r>
      <w:r>
        <w:t xml:space="preserve">8.2.3. Analysis of results</w:t>
      </w:r>
      <w:r>
        <w:t xml:space="preserve"> </w:t>
      </w:r>
      <w:r>
        <w:t xml:space="preserve">The amount of allocated EU ETS allowances under the alternative SAF support mechanism</w:t>
      </w:r>
      <w:r>
        <w:t xml:space="preserve"> </w:t>
      </w:r>
      <w:r>
        <w:t xml:space="preserve">options was analysed for each SAF type and support year. Table 31 shows the cumulative</w:t>
      </w:r>
      <w:r>
        <w:t xml:space="preserve"> </w:t>
      </w:r>
      <w:r>
        <w:t xml:space="preserve">number of EU ETS allowances allocated under the different alternatives of the support</w:t>
      </w:r>
      <w:r>
        <w:t xml:space="preserve"> </w:t>
      </w:r>
      <w:r>
        <w:t xml:space="preserve">mechanism from 2028 to 2035 for the geographical scope AS2.</w:t>
      </w:r>
      <w:r>
        <w:br/>
      </w:r>
      <w:r>
        <w:t xml:space="preserve">The results in Table 31 also show that the cumulative number of allowances needed by the</w:t>
      </w:r>
      <w:r>
        <w:t xml:space="preserve"> </w:t>
      </w:r>
      <w:r>
        <w:t xml:space="preserve">support mechanism decreases by alternative, with Alternative 0 requiring the highest number</w:t>
      </w:r>
      <w:r>
        <w:t xml:space="preserve"> </w:t>
      </w:r>
      <w:r>
        <w:t xml:space="preserve">of allowances, and Alternative C the lowest. The requirement under these alternatives is</w:t>
      </w:r>
      <w:r>
        <w:t xml:space="preserve"> </w:t>
      </w:r>
      <w:r>
        <w:t xml:space="preserve">compared to the cumulative availability of allowances under the ETS aviation cap for years</w:t>
      </w:r>
      <w:r>
        <w:t xml:space="preserve"> </w:t>
      </w:r>
      <w:r>
        <w:t xml:space="preserve">2028-2035, as shown in the second part of the table. The results show that for Alternative 0</w:t>
      </w:r>
      <w:r>
        <w:t xml:space="preserve"> </w:t>
      </w:r>
      <w:r>
        <w:t xml:space="preserve">and A with comparably high levels of support granted, the number of allocated EU ETS</w:t>
      </w:r>
      <w:r>
        <w:t xml:space="preserve"> </w:t>
      </w:r>
      <w:r>
        <w:t xml:space="preserve">allowances exceeds the number of allowances made available to the sector already in 2033</w:t>
      </w:r>
      <w:r>
        <w:t xml:space="preserve"> </w:t>
      </w:r>
      <w:r>
        <w:t xml:space="preserve">under Alternative 0 and in 2035 under Alternative A, making these two alternatives</w:t>
      </w:r>
      <w:r>
        <w:t xml:space="preserve"> </w:t>
      </w:r>
      <w:r>
        <w:t xml:space="preserve">unattainable. Alternative B and C stay under this limit.</w:t>
      </w:r>
      <w:r>
        <w:t xml:space="preserve"> </w:t>
      </w:r>
      <w:r>
        <w:t xml:space="preserve">Table 31:</w:t>
      </w:r>
      <w:r>
        <w:t xml:space="preserve"> </w:t>
      </w:r>
      <w:r>
        <w:t xml:space="preserve">Cumulative number of allocated EU ETS allowances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Cumulative total number of allowances in million EUAs</w:t>
      </w:r>
      <w:r>
        <w:t xml:space="preserve"> </w:t>
      </w:r>
      <w:r>
        <w:t xml:space="preserve">Alternative 0</w:t>
      </w:r>
      <w:r>
        <w:t xml:space="preserve"> </w:t>
      </w:r>
      <w:r>
        <w:t xml:space="preserve">14</w:t>
      </w:r>
      <w:r>
        <w:t xml:space="preserve"> </w:t>
      </w:r>
      <w:r>
        <w:t xml:space="preserve">29</w:t>
      </w:r>
      <w:r>
        <w:t xml:space="preserve"> </w:t>
      </w:r>
      <w:r>
        <w:t xml:space="preserve">78</w:t>
      </w:r>
      <w:r>
        <w:t xml:space="preserve"> </w:t>
      </w:r>
      <w:r>
        <w:t xml:space="preserve">131</w:t>
      </w:r>
      <w:r>
        <w:t xml:space="preserve"> </w:t>
      </w:r>
      <w:r>
        <w:t xml:space="preserve">208</w:t>
      </w:r>
      <w:r>
        <w:t xml:space="preserve"> </w:t>
      </w:r>
      <w:r>
        <w:t xml:space="preserve">286</w:t>
      </w:r>
      <w:r>
        <w:t xml:space="preserve"> </w:t>
      </w:r>
      <w:r>
        <w:t xml:space="preserve">366</w:t>
      </w:r>
      <w:r>
        <w:t xml:space="preserve"> </w:t>
      </w:r>
      <w:r>
        <w:t xml:space="preserve">511</w:t>
      </w:r>
      <w:r>
        <w:t xml:space="preserve"> </w:t>
      </w:r>
      <w:r>
        <w:t xml:space="preserve">Alternative A</w:t>
      </w:r>
      <w:r>
        <w:t xml:space="preserve"> </w:t>
      </w:r>
      <w:r>
        <w:t xml:space="preserve">6</w:t>
      </w:r>
      <w:r>
        <w:t xml:space="preserve"> </w:t>
      </w:r>
      <w:r>
        <w:t xml:space="preserve">14</w:t>
      </w:r>
      <w:r>
        <w:t xml:space="preserve"> </w:t>
      </w:r>
      <w:r>
        <w:t xml:space="preserve">47</w:t>
      </w:r>
      <w:r>
        <w:t xml:space="preserve"> </w:t>
      </w:r>
      <w:r>
        <w:t xml:space="preserve">83</w:t>
      </w:r>
      <w:r>
        <w:t xml:space="preserve"> </w:t>
      </w:r>
      <w:r>
        <w:t xml:space="preserve">136</w:t>
      </w:r>
      <w:r>
        <w:t xml:space="preserve"> </w:t>
      </w:r>
      <w:r>
        <w:t xml:space="preserve">191</w:t>
      </w:r>
      <w:r>
        <w:t xml:space="preserve"> </w:t>
      </w:r>
      <w:r>
        <w:t xml:space="preserve">247</w:t>
      </w:r>
      <w:r>
        <w:t xml:space="preserve"> </w:t>
      </w:r>
      <w:r>
        <w:t xml:space="preserve">351</w:t>
      </w:r>
      <w:r>
        <w:t xml:space="preserve"> </w:t>
      </w:r>
      <w:r>
        <w:t xml:space="preserve">Alternative B</w:t>
      </w:r>
      <w:r>
        <w:t xml:space="preserve"> </w:t>
      </w:r>
      <w:r>
        <w:t xml:space="preserve">8</w:t>
      </w:r>
      <w:r>
        <w:t xml:space="preserve"> </w:t>
      </w:r>
      <w:r>
        <w:t xml:space="preserve">18</w:t>
      </w:r>
      <w:r>
        <w:t xml:space="preserve"> </w:t>
      </w:r>
      <w:r>
        <w:t xml:space="preserve">43</w:t>
      </w:r>
      <w:r>
        <w:t xml:space="preserve"> </w:t>
      </w:r>
      <w:r>
        <w:t xml:space="preserve">69</w:t>
      </w:r>
      <w:r>
        <w:t xml:space="preserve"> </w:t>
      </w:r>
      <w:r>
        <w:t xml:space="preserve">109</w:t>
      </w:r>
      <w:r>
        <w:t xml:space="preserve"> </w:t>
      </w:r>
      <w:r>
        <w:t xml:space="preserve">151</w:t>
      </w:r>
      <w:r>
        <w:t xml:space="preserve"> </w:t>
      </w:r>
      <w:r>
        <w:t xml:space="preserve">194</w:t>
      </w:r>
      <w:r>
        <w:t xml:space="preserve"> </w:t>
      </w:r>
      <w:r>
        <w:t xml:space="preserve">280</w:t>
      </w:r>
      <w:r>
        <w:t xml:space="preserve"> </w:t>
      </w:r>
      <w:r>
        <w:t xml:space="preserve">Alternative C</w:t>
      </w:r>
      <w:r>
        <w:t xml:space="preserve"> </w:t>
      </w:r>
      <w:r>
        <w:t xml:space="preserve">7</w:t>
      </w:r>
      <w:r>
        <w:t xml:space="preserve"> </w:t>
      </w:r>
      <w:r>
        <w:t xml:space="preserve">14</w:t>
      </w:r>
      <w:r>
        <w:t xml:space="preserve"> </w:t>
      </w:r>
      <w:r>
        <w:t xml:space="preserve">39</w:t>
      </w:r>
      <w:r>
        <w:t xml:space="preserve"> </w:t>
      </w:r>
      <w:r>
        <w:t xml:space="preserve">67</w:t>
      </w:r>
      <w:r>
        <w:t xml:space="preserve"> </w:t>
      </w:r>
      <w:r>
        <w:t xml:space="preserve">107</w:t>
      </w:r>
      <w:r>
        <w:t xml:space="preserve"> </w:t>
      </w:r>
      <w:r>
        <w:t xml:space="preserve">150</w:t>
      </w:r>
      <w:r>
        <w:t xml:space="preserve"> </w:t>
      </w:r>
      <w:r>
        <w:t xml:space="preserve">193</w:t>
      </w:r>
      <w:r>
        <w:t xml:space="preserve"> </w:t>
      </w:r>
      <w:r>
        <w:t xml:space="preserve">275</w:t>
      </w:r>
      <w:r>
        <w:t xml:space="preserve"> </w:t>
      </w:r>
      <w:r>
        <w:t xml:space="preserve">Corresponding share of the cumulative aviation cap</w:t>
      </w:r>
      <w:r>
        <w:t xml:space="preserve"> </w:t>
      </w:r>
      <w:r>
        <w:t xml:space="preserve">Alternative 0</w:t>
      </w:r>
      <w:r>
        <w:t xml:space="preserve"> </w:t>
      </w:r>
      <w:r>
        <w:t xml:space="preserve">28%</w:t>
      </w:r>
      <w:r>
        <w:t xml:space="preserve"> </w:t>
      </w:r>
      <w:r>
        <w:t xml:space="preserve">30%</w:t>
      </w:r>
      <w:r>
        <w:t xml:space="preserve"> </w:t>
      </w:r>
      <w:r>
        <w:t xml:space="preserve">55%</w:t>
      </w:r>
      <w:r>
        <w:t xml:space="preserve"> </w:t>
      </w:r>
      <w:r>
        <w:t xml:space="preserve">72%</w:t>
      </w:r>
      <w:r>
        <w:t xml:space="preserve"> </w:t>
      </w:r>
      <w:r>
        <w:t xml:space="preserve">95%</w:t>
      </w:r>
      <w:r>
        <w:t xml:space="preserve"> </w:t>
      </w:r>
      <w:r>
        <w:t xml:space="preserve">113%</w:t>
      </w:r>
      <w:r>
        <w:t xml:space="preserve"> </w:t>
      </w:r>
      <w:r>
        <w:t xml:space="preserve">128%</w:t>
      </w:r>
      <w:r>
        <w:t xml:space="preserve"> </w:t>
      </w:r>
      <w:r>
        <w:t xml:space="preserve">162%</w:t>
      </w:r>
      <w:r>
        <w:t xml:space="preserve"> </w:t>
      </w:r>
      <w:r>
        <w:t xml:space="preserve">Alternative A</w:t>
      </w:r>
      <w:r>
        <w:t xml:space="preserve"> </w:t>
      </w:r>
      <w:r>
        <w:t xml:space="preserve">13%</w:t>
      </w:r>
      <w:r>
        <w:t xml:space="preserve"> </w:t>
      </w:r>
      <w:r>
        <w:t xml:space="preserve">14%</w:t>
      </w:r>
      <w:r>
        <w:t xml:space="preserve"> </w:t>
      </w:r>
      <w:r>
        <w:t xml:space="preserve">34%</w:t>
      </w:r>
      <w:r>
        <w:t xml:space="preserve"> </w:t>
      </w:r>
      <w:r>
        <w:t xml:space="preserve">46%</w:t>
      </w:r>
      <w:r>
        <w:t xml:space="preserve"> </w:t>
      </w:r>
      <w:r>
        <w:t xml:space="preserve">62%</w:t>
      </w:r>
      <w:r>
        <w:t xml:space="preserve"> </w:t>
      </w:r>
      <w:r>
        <w:t xml:space="preserve">75%</w:t>
      </w:r>
      <w:r>
        <w:t xml:space="preserve"> </w:t>
      </w:r>
      <w:r>
        <w:t xml:space="preserve">86%</w:t>
      </w:r>
      <w:r>
        <w:t xml:space="preserve"> </w:t>
      </w:r>
      <w:r>
        <w:t xml:space="preserve">112%</w:t>
      </w:r>
      <w:r>
        <w:t xml:space="preserve"> </w:t>
      </w:r>
      <w:r>
        <w:t xml:space="preserve">Alternative B</w:t>
      </w:r>
      <w:r>
        <w:t xml:space="preserve"> </w:t>
      </w:r>
      <w:r>
        <w:t xml:space="preserve">17%</w:t>
      </w:r>
      <w:r>
        <w:t xml:space="preserve"> </w:t>
      </w:r>
      <w:r>
        <w:t xml:space="preserve">18%</w:t>
      </w:r>
      <w:r>
        <w:t xml:space="preserve"> </w:t>
      </w:r>
      <w:r>
        <w:t xml:space="preserve">31%</w:t>
      </w:r>
      <w:r>
        <w:t xml:space="preserve"> </w:t>
      </w:r>
      <w:r>
        <w:t xml:space="preserve">38%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68%</w:t>
      </w:r>
      <w:r>
        <w:t xml:space="preserve"> </w:t>
      </w:r>
      <w:r>
        <w:t xml:space="preserve">89%</w:t>
      </w:r>
      <w:r>
        <w:t xml:space="preserve"> </w:t>
      </w:r>
      <w:r>
        <w:t xml:space="preserve">Alternative C</w:t>
      </w:r>
      <w:r>
        <w:t xml:space="preserve"> </w:t>
      </w:r>
      <w:r>
        <w:t xml:space="preserve">14%</w:t>
      </w:r>
      <w:r>
        <w:t xml:space="preserve"> </w:t>
      </w:r>
      <w:r>
        <w:t xml:space="preserve">15%</w:t>
      </w:r>
      <w:r>
        <w:t xml:space="preserve"> </w:t>
      </w:r>
      <w:r>
        <w:t xml:space="preserve">28%</w:t>
      </w:r>
      <w:r>
        <w:t xml:space="preserve"> </w:t>
      </w:r>
      <w:r>
        <w:t xml:space="preserve">37%</w:t>
      </w:r>
      <w:r>
        <w:t xml:space="preserve"> </w:t>
      </w:r>
      <w:r>
        <w:t xml:space="preserve">49%</w:t>
      </w:r>
      <w:r>
        <w:t xml:space="preserve"> </w:t>
      </w:r>
      <w:r>
        <w:t xml:space="preserve">59%</w:t>
      </w:r>
      <w:r>
        <w:t xml:space="preserve"> </w:t>
      </w:r>
      <w:r>
        <w:t xml:space="preserve">68%</w:t>
      </w:r>
      <w:r>
        <w:t xml:space="preserve"> </w:t>
      </w:r>
      <w:r>
        <w:t xml:space="preserve">87%</w:t>
      </w:r>
      <w:r>
        <w:t xml:space="preserve"> </w:t>
      </w:r>
      <w:r>
        <w:t xml:space="preserve">8.2.3.1.</w:t>
      </w:r>
      <w:r>
        <w:t xml:space="preserve"> </w:t>
      </w:r>
      <w:r>
        <w:t xml:space="preserve">Alternatives comparison</w:t>
      </w:r>
      <w:r>
        <w:t xml:space="preserve"> </w:t>
      </w:r>
      <w:r>
        <w:t xml:space="preserve">As per the previous subsection, the support levels in the current ETS support mechanism as</w:t>
      </w:r>
      <w:r>
        <w:t xml:space="preserve"> </w:t>
      </w:r>
      <w:r>
        <w:t xml:space="preserve">well as support under Alternative A are discarded at this stage, as there aren’t enough ETS</w:t>
      </w:r>
      <w:r>
        <w:t xml:space="preserve"> </w:t>
      </w:r>
      <w:r>
        <w:t xml:space="preserve">allowances for this purpose. Only Alternatives B and C can be considered and they come with</w:t>
      </w:r>
      <w:r>
        <w:t xml:space="preserve"> </w:t>
      </w:r>
      <w:r>
        <w:t xml:space="preserve">distinct advantages and drawbacks.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Advantages</w:t>
      </w:r>
      <w:r>
        <w:t xml:space="preserve"> </w:t>
      </w:r>
      <w:r>
        <w:t xml:space="preserve">Drawbacks</w:t>
      </w:r>
      <w:r>
        <w:t xml:space="preserve"> </w:t>
      </w:r>
      <w:r>
        <w:t xml:space="preserve">Alternative</w:t>
      </w:r>
      <w:r>
        <w:t xml:space="preserve"> </w:t>
      </w:r>
      <w:r>
        <w:t xml:space="preserve">B</w:t>
      </w:r>
      <w:r>
        <w:t xml:space="preserve"> </w:t>
      </w:r>
      <w:r>
        <w:t xml:space="preserve">-</w:t>
      </w:r>
      <w:r>
        <w:t xml:space="preserve"> </w:t>
      </w:r>
      <w:r>
        <w:t xml:space="preserve">flexibility to adjust to fluctuating</w:t>
      </w:r>
      <w:r>
        <w:t xml:space="preserve"> </w:t>
      </w:r>
      <w:r>
        <w:t xml:space="preserve">fossil fuel/SAF prices mostly</w:t>
      </w:r>
      <w:r>
        <w:t xml:space="preserve"> </w:t>
      </w:r>
      <w:r>
        <w:t xml:space="preserve">avoiding distortions</w:t>
      </w:r>
      <w:r>
        <w:t xml:space="preserve"> </w:t>
      </w:r>
      <w:r>
        <w:t xml:space="preserve">-</w:t>
      </w:r>
      <w:r>
        <w:t xml:space="preserve"> </w:t>
      </w:r>
      <w:r>
        <w:t xml:space="preserve">support will last longer should</w:t>
      </w:r>
      <w:r>
        <w:t xml:space="preserve"> </w:t>
      </w:r>
      <w:r>
        <w:t xml:space="preserve">SAF and kerosene price gap</w:t>
      </w:r>
      <w:r>
        <w:t xml:space="preserve"> </w:t>
      </w:r>
      <w:r>
        <w:t xml:space="preserve">decrease</w:t>
      </w:r>
      <w:r>
        <w:t xml:space="preserve"> </w:t>
      </w:r>
      <w:r>
        <w:t xml:space="preserve">-</w:t>
      </w:r>
      <w:r>
        <w:t xml:space="preserve"> </w:t>
      </w:r>
      <w:r>
        <w:t xml:space="preserve">difficult long-term predictability</w:t>
      </w:r>
      <w:r>
        <w:t xml:space="preserve"> </w:t>
      </w:r>
      <w:r>
        <w:t xml:space="preserve">about the level of support received</w:t>
      </w:r>
      <w:r>
        <w:t xml:space="preserve"> </w:t>
      </w:r>
      <w:r>
        <w:t xml:space="preserve">and the number of allowances;</w:t>
      </w:r>
      <w:r>
        <w:br/>
      </w:r>
      <w:r>
        <w:t xml:space="preserve">-</w:t>
      </w:r>
      <w:r>
        <w:t xml:space="preserve"> </w:t>
      </w:r>
      <w:r>
        <w:t xml:space="preserve">early exhaustion of allowances in</w:t>
      </w:r>
      <w:r>
        <w:t xml:space="preserve"> </w:t>
      </w:r>
      <w:r>
        <w:t xml:space="preserve">case of higher SAF prices and/or</w:t>
      </w:r>
      <w:r>
        <w:t xml:space="preserve"> </w:t>
      </w:r>
      <w:r>
        <w:t xml:space="preserve">optimistic SAF uptake scenario</w:t>
      </w:r>
      <w:r>
        <w:t xml:space="preserve"> </w:t>
      </w:r>
      <w:r>
        <w:t xml:space="preserve">Alternative</w:t>
      </w:r>
      <w:r>
        <w:t xml:space="preserve"> </w:t>
      </w:r>
      <w:r>
        <w:t xml:space="preserve">C</w:t>
      </w:r>
      <w:r>
        <w:t xml:space="preserve"> </w:t>
      </w:r>
      <w:r>
        <w:t xml:space="preserve">-</w:t>
      </w:r>
      <w:r>
        <w:t xml:space="preserve"> </w:t>
      </w:r>
      <w:r>
        <w:t xml:space="preserve">price certainty and predictability</w:t>
      </w:r>
      <w:r>
        <w:t xml:space="preserve"> </w:t>
      </w:r>
      <w:r>
        <w:t xml:space="preserve">for industry</w:t>
      </w:r>
      <w:r>
        <w:br/>
      </w:r>
      <w:r>
        <w:t xml:space="preserve">-</w:t>
      </w:r>
      <w:r>
        <w:t xml:space="preserve"> </w:t>
      </w:r>
      <w:r>
        <w:t xml:space="preserve">incentivises cost reductions for</w:t>
      </w:r>
      <w:r>
        <w:t xml:space="preserve"> </w:t>
      </w:r>
      <w:r>
        <w:t xml:space="preserve">SAF production, as the payment</w:t>
      </w:r>
      <w:r>
        <w:t xml:space="preserve"> </w:t>
      </w:r>
      <w:r>
        <w:t xml:space="preserve">per tonne of SAF will remain</w:t>
      </w:r>
      <w:r>
        <w:t xml:space="preserve"> </w:t>
      </w:r>
      <w:r>
        <w:t xml:space="preserve">stable</w:t>
      </w:r>
      <w:r>
        <w:t xml:space="preserve"> </w:t>
      </w:r>
      <w:r>
        <w:t xml:space="preserve">-</w:t>
      </w:r>
      <w:r>
        <w:t xml:space="preserve"> </w:t>
      </w:r>
      <w:r>
        <w:t xml:space="preserve">increased SAF competitiveness</w:t>
      </w:r>
      <w:r>
        <w:t xml:space="preserve"> </w:t>
      </w:r>
      <w:r>
        <w:t xml:space="preserve">in case of lowering prices</w:t>
      </w:r>
      <w:r>
        <w:t xml:space="preserve"> </w:t>
      </w:r>
      <w:r>
        <w:t xml:space="preserve">-</w:t>
      </w:r>
      <w:r>
        <w:t xml:space="preserve"> </w:t>
      </w:r>
      <w:r>
        <w:t xml:space="preserve">in case of significant SAF price</w:t>
      </w:r>
      <w:r>
        <w:t xml:space="preserve"> </w:t>
      </w:r>
      <w:r>
        <w:t xml:space="preserve">reductions, this could result in over-</w:t>
      </w:r>
      <w:r>
        <w:t xml:space="preserve"> </w:t>
      </w:r>
      <w:r>
        <w:t xml:space="preserve">subsidy</w:t>
      </w:r>
      <w:r>
        <w:br/>
      </w:r>
      <w:r>
        <w:t xml:space="preserve">-</w:t>
      </w:r>
      <w:r>
        <w:t xml:space="preserve"> </w:t>
      </w:r>
      <w:r>
        <w:t xml:space="preserve">no mechanism to adjust support</w:t>
      </w:r>
      <w:r>
        <w:t xml:space="preserve"> </w:t>
      </w:r>
      <w:r>
        <w:t xml:space="preserve">levels to volatile prices of SAF and</w:t>
      </w:r>
      <w:r>
        <w:t xml:space="preserve"> </w:t>
      </w:r>
      <w:r>
        <w:t xml:space="preserve">fossil fuel</w:t>
      </w:r>
      <w:r>
        <w:t xml:space="preserve"> </w:t>
      </w:r>
      <w:r>
        <w:t xml:space="preserve">-</w:t>
      </w:r>
      <w:r>
        <w:t xml:space="preserve"> </w:t>
      </w:r>
      <w:r>
        <w:t xml:space="preserve">early exhaustion of allowances in</w:t>
      </w:r>
      <w:r>
        <w:t xml:space="preserve"> </w:t>
      </w:r>
      <w:r>
        <w:t xml:space="preserve">case of optimistic SAF scenario</w:t>
      </w:r>
      <w:r>
        <w:t xml:space="preserve"> </w:t>
      </w:r>
      <w:r>
        <w:t xml:space="preserve">-</w:t>
      </w:r>
      <w:r>
        <w:t xml:space="preserve"> </w:t>
      </w:r>
      <w:r>
        <w:t xml:space="preserve">Biofuels</w:t>
      </w:r>
      <w:r>
        <w:t xml:space="preserve"> </w:t>
      </w:r>
      <w:r>
        <w:t xml:space="preserve">support</w:t>
      </w:r>
      <w:r>
        <w:t xml:space="preserve"> </w:t>
      </w:r>
      <w:r>
        <w:t xml:space="preserve">reduces</w:t>
      </w:r>
      <w:r>
        <w:t xml:space="preserve"> </w:t>
      </w:r>
      <w:r>
        <w:t xml:space="preserve">availability of support for e-fuels</w:t>
      </w:r>
      <w:r>
        <w:t xml:space="preserve"> </w:t>
      </w:r>
      <w:r>
        <w:t xml:space="preserve">8.2.4. Preferred alternative</w:t>
      </w:r>
      <w:r>
        <w:t xml:space="preserve"> </w:t>
      </w:r>
      <w:r>
        <w:t xml:space="preserve">Both Alternatives B and C result in similar effective SAF prices in 2030. Alternative C</w:t>
      </w:r>
      <w:r>
        <w:t xml:space="preserve"> </w:t>
      </w:r>
      <w:r>
        <w:t xml:space="preserve">continues to incentivise biofuels post-2030, whereas Alternative B favours advanced biofuels</w:t>
      </w:r>
      <w:r>
        <w:t xml:space="preserve"> </w:t>
      </w:r>
      <w:r>
        <w:t xml:space="preserve">and e-fuels. The most requested improvement to the current SAF support mechanism by</w:t>
      </w:r>
      <w:r>
        <w:t xml:space="preserve"> </w:t>
      </w:r>
      <w:r>
        <w:t xml:space="preserve">stakeholders was the increase of predictability of the support both for the aircraft operators and</w:t>
      </w:r>
      <w:r>
        <w:t xml:space="preserve"> </w:t>
      </w:r>
      <w:r>
        <w:t xml:space="preserve">the fuel producers. Moreover, stakeholders voiced concerns with using a uniform SAF price</w:t>
      </w:r>
      <w:r>
        <w:t xml:space="preserve"> </w:t>
      </w:r>
      <w:r>
        <w:t xml:space="preserve">for the mechanism as the prices vary across the EU depending on the location of delivery, as</w:t>
      </w:r>
      <w:r>
        <w:t xml:space="preserve"> </w:t>
      </w:r>
      <w:r>
        <w:t xml:space="preserve">well as on individual contract terms.</w:t>
      </w:r>
      <w:r>
        <w:br/>
      </w:r>
      <w:r>
        <w:t xml:space="preserve">At the same time, as SAF and e-SAF uptake gradually increase, it is important to provide the</w:t>
      </w:r>
      <w:r>
        <w:t xml:space="preserve"> </w:t>
      </w:r>
      <w:r>
        <w:t xml:space="preserve">strongest incentive to drive down SAF prices and support the largest amount of (e-)SAF with</w:t>
      </w:r>
      <w:r>
        <w:t xml:space="preserve"> </w:t>
      </w:r>
      <w:r>
        <w:t xml:space="preserve">the limited resources available. Alternative B provides these incentives, as it adjusts to price</w:t>
      </w:r>
      <w:r>
        <w:t xml:space="preserve"> </w:t>
      </w:r>
      <w:r>
        <w:t xml:space="preserve">fluctuations and enables longer lasting support if (e-)SAF prices decrease. Market operators</w:t>
      </w:r>
      <w:r>
        <w:t xml:space="preserve"> </w:t>
      </w:r>
      <w:r>
        <w:t xml:space="preserve">are experienced in dealing with price uncertainty of fossil kerosene and SAF. Alternative B</w:t>
      </w:r>
      <w:r>
        <w:t xml:space="preserve"> </w:t>
      </w:r>
      <w:r>
        <w:t xml:space="preserve">operates in the same way as the current SAF support mechanism, so market participants and</w:t>
      </w:r>
      <w:r>
        <w:t xml:space="preserve"> </w:t>
      </w:r>
      <w:r>
        <w:t xml:space="preserve">national competent authorities have the relevant administrative experience.</w:t>
      </w:r>
      <w:r>
        <w:t xml:space="preserve"> </w:t>
      </w:r>
      <w:r>
        <w:t xml:space="preserve">The prices for fossil fuel and SAF will continue being published in the EASA Technical Report.</w:t>
      </w:r>
      <w:r>
        <w:t xml:space="preserve"> </w:t>
      </w:r>
      <w:r>
        <w:t xml:space="preserve">The SAF support would go further if other incentives, such as the harmonised minimum level</w:t>
      </w:r>
      <w:r>
        <w:t xml:space="preserve"> </w:t>
      </w:r>
      <w:r>
        <w:t xml:space="preserve">taxation proposed on fossil kerosene or other Union-wide or national incentives are taken into</w:t>
      </w:r>
      <w:r>
        <w:t xml:space="preserve"> </w:t>
      </w:r>
      <w:r>
        <w:t xml:space="preserve">account.</w:t>
      </w:r>
      <w:r>
        <w:br/>
      </w:r>
      <w:r>
        <w:t xml:space="preserve">8.2.5. Total amount of allowances</w:t>
      </w:r>
      <w:r>
        <w:t xml:space="preserve"> </w:t>
      </w:r>
      <w:r>
        <w:t xml:space="preserve">Policy measures SAF1 and SAF2 extend ETS-financed SAF support by medium and higher</w:t>
      </w:r>
      <w:r>
        <w:t xml:space="preserve"> </w:t>
      </w:r>
      <w:r>
        <w:t xml:space="preserve">amounts of allowances respectively. Besides that, the two options apply to the same geographic</w:t>
      </w:r>
      <w:r>
        <w:t xml:space="preserve"> </w:t>
      </w:r>
      <w:r>
        <w:t xml:space="preserve">scope AS2– intra-EEA plus departing flights. The analysis considers the same SAF uplift in</w:t>
      </w:r>
      <w:r>
        <w:t xml:space="preserve"> </w:t>
      </w:r>
      <w:r>
        <w:t xml:space="preserve">line with the ReFuelEU Aviation mandates under both options. While ETS-financed SAF</w:t>
      </w:r>
      <w:r>
        <w:t xml:space="preserve"> </w:t>
      </w:r>
      <w:r>
        <w:t xml:space="preserve">support may incentivise higher uptake of SAF, this is not modelled given large uncertainties in</w:t>
      </w:r>
      <w:r>
        <w:t xml:space="preserve"> </w:t>
      </w:r>
      <w:r>
        <w:t xml:space="preserve">this nascent market, high price differentials with fossil kerosene, and to avoid overestimating</w:t>
      </w:r>
      <w:r>
        <w:t xml:space="preserve"> </w:t>
      </w:r>
      <w:r>
        <w:t xml:space="preserve">available supply. Therefore, the different amounts of allowances reserved for the SAF support</w:t>
      </w:r>
      <w:r>
        <w:t xml:space="preserve"> </w:t>
      </w:r>
      <w:r>
        <w:t xml:space="preserve">mechanism will solely result in different years when the reserved allowances will be exhausted.</w:t>
      </w:r>
      <w:r>
        <w:t xml:space="preserve"> </w:t>
      </w:r>
      <w:r>
        <w:t xml:space="preserve">Reserving a medium amount of allowances under SAF1 will mean that a higher amount of</w:t>
      </w:r>
      <w:r>
        <w:t xml:space="preserve"> </w:t>
      </w:r>
      <w:r>
        <w:t xml:space="preserve">allowances will go to auctioning, resulting in higher ETS revenues for Member States to use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for tackling climate change in aviation or other sectors. The medium amount is established as</w:t>
      </w:r>
      <w:r>
        <w:t xml:space="preserve"> </w:t>
      </w:r>
      <w:r>
        <w:t xml:space="preserve">140m allowances. Without limitations in the SAF mechanism, the medium amount of</w:t>
      </w:r>
      <w:r>
        <w:t xml:space="preserve"> </w:t>
      </w:r>
      <w:r>
        <w:t xml:space="preserve">allowances would cover all SAF uplifted until 2032 (including 80% of the uplift in 2032) giving</w:t>
      </w:r>
      <w:r>
        <w:t xml:space="preserve"> </w:t>
      </w:r>
      <w:r>
        <w:t xml:space="preserve">more than 5years of continuous support. This amount would also fully cover all SAF uplift on</w:t>
      </w:r>
      <w:r>
        <w:t xml:space="preserve"> </w:t>
      </w:r>
      <w:r>
        <w:t xml:space="preserve">flights covered by AS1.</w:t>
      </w:r>
      <w:r>
        <w:t xml:space="preserve"> </w:t>
      </w:r>
      <w:r>
        <w:t xml:space="preserve">SAF2, the higher amount of allowances, would draw on most of the aviation cap and support</w:t>
      </w:r>
      <w:r>
        <w:t xml:space="preserve"> </w:t>
      </w:r>
      <w:r>
        <w:t xml:space="preserve">SAF uplifted in line with ReFuelEU mandates until and including 2035. Using Alternative B</w:t>
      </w:r>
      <w:r>
        <w:t xml:space="preserve"> </w:t>
      </w:r>
      <w:r>
        <w:t xml:space="preserve">for the design of the support, 280 million allowances would be used for this purpose.</w:t>
      </w:r>
      <w:r>
        <w:t xml:space="preserve"> </w:t>
      </w:r>
      <w:r>
        <w:t xml:space="preserve">Consequently, reserving 280 million allowances for the extension of the SAF support</w:t>
      </w:r>
      <w:r>
        <w:t xml:space="preserve"> </w:t>
      </w:r>
      <w:r>
        <w:t xml:space="preserve">mechanism is proposed, while noting that this amount would use 89% of the current cumulative</w:t>
      </w:r>
      <w:r>
        <w:t xml:space="preserve"> </w:t>
      </w:r>
      <w:r>
        <w:t xml:space="preserve">aviation cap up until 2035.</w:t>
      </w:r>
      <w:r>
        <w:t xml:space="preserve"> </w:t>
      </w:r>
      <w:r>
        <w:t xml:space="preserve">When looking at support for the period 2028-40, even using the full amount of the aviation cap</w:t>
      </w:r>
      <w:r>
        <w:t xml:space="preserve"> </w:t>
      </w:r>
      <w:r>
        <w:t xml:space="preserve">for that period, support levels would have to be significantly reduced to last for the whole</w:t>
      </w:r>
      <w:r>
        <w:t xml:space="preserve"> </w:t>
      </w:r>
      <w:r>
        <w:t xml:space="preserve">period or would run out shortly after 2035. This is mainly because the ReFuelEU blending</w:t>
      </w:r>
      <w:r>
        <w:t xml:space="preserve"> </w:t>
      </w:r>
      <w:r>
        <w:t xml:space="preserve">mandate for fuel suppliers goes from 6% to 20% in 2035, and prices for SAF and e-SAF are</w:t>
      </w:r>
      <w:r>
        <w:t xml:space="preserve"> </w:t>
      </w:r>
      <w:r>
        <w:t xml:space="preserve">not projected to decrease significantly. If support levels were to be kept the same as in</w:t>
      </w:r>
      <w:r>
        <w:t xml:space="preserve"> </w:t>
      </w:r>
      <w:r>
        <w:t xml:space="preserve">alternative B, the cumulative aviation cap for 2028-40 would be spent before the end of</w:t>
      </w:r>
      <w:r>
        <w:t xml:space="preserve"> </w:t>
      </w:r>
      <w:r>
        <w:t xml:space="preserve">2036.Alternative B could also be followed until 2035, followed by an approximately 70%</w:t>
      </w:r>
      <w:r>
        <w:t xml:space="preserve"> </w:t>
      </w:r>
      <w:r>
        <w:t xml:space="preserve">reduction of support levels to enable continued support until 2040. Else, continuous support at</w:t>
      </w:r>
      <w:r>
        <w:t xml:space="preserve"> </w:t>
      </w:r>
      <w:r>
        <w:t xml:space="preserve">about 48% below alternative B would be feasible from 2028-40 if the entire aviation cap is</w:t>
      </w:r>
      <w:r>
        <w:t xml:space="preserve"> </w:t>
      </w:r>
      <w:r>
        <w:t xml:space="preserve">used.</w:t>
      </w:r>
      <w:r>
        <w:t xml:space="preserve"> </w:t>
      </w:r>
      <w:r>
        <w:t xml:space="preserve">8.2.6. Conditionalities</w:t>
      </w:r>
      <w:r>
        <w:t xml:space="preserve"> </w:t>
      </w:r>
      <w:r>
        <w:t xml:space="preserve">The current SAF support system has very few conditionalities. Any extension should evolve</w:t>
      </w:r>
      <w:r>
        <w:t xml:space="preserve"> </w:t>
      </w:r>
      <w:r>
        <w:t xml:space="preserve">and support overall aviation decarbonisation further. Future conditionalities could be based on</w:t>
      </w:r>
      <w:r>
        <w:t xml:space="preserve"> </w:t>
      </w:r>
      <w:r>
        <w:t xml:space="preserve">input from the Sustainable Transport Investment Plan and stakeholder feedback in the open</w:t>
      </w:r>
      <w:r>
        <w:t xml:space="preserve"> </w:t>
      </w:r>
      <w:r>
        <w:t xml:space="preserve">public consultation. These include but are not limited to:</w:t>
      </w:r>
      <w:r>
        <w:t xml:space="preserve"> </w:t>
      </w:r>
      <w:r>
        <w:t xml:space="preserve">• Existing conditionalities:</w:t>
      </w:r>
      <w:r>
        <w:t xml:space="preserve"> </w:t>
      </w:r>
      <w:r>
        <w:t xml:space="preserve">o Only flights covered by the surrender obligation are eligible for the support.</w:t>
      </w:r>
      <w:r>
        <w:t xml:space="preserve"> </w:t>
      </w:r>
      <w:r>
        <w:t xml:space="preserve">o Business flights are excluded from the support due to their polluting nature and</w:t>
      </w:r>
      <w:r>
        <w:t xml:space="preserve"> </w:t>
      </w:r>
      <w:r>
        <w:t xml:space="preserve">superior resources available to be used for SAF uptake.</w:t>
      </w:r>
      <w:r>
        <w:t xml:space="preserve"> </w:t>
      </w:r>
      <w:r>
        <w:t xml:space="preserve">o ‘First come, first served’ principle to incentivise first movers.</w:t>
      </w:r>
      <w:r>
        <w:t xml:space="preserve"> </w:t>
      </w:r>
      <w:r>
        <w:t xml:space="preserve">• Consistency with Regulation (EU) 2024/1735 establishing a common legal framework</w:t>
      </w:r>
      <w:r>
        <w:t xml:space="preserve"> </w:t>
      </w:r>
      <w:r>
        <w:t xml:space="preserve">aimed at strengthening the Union’s resilience and security of supply of net-zero</w:t>
      </w:r>
      <w:r>
        <w:t xml:space="preserve"> </w:t>
      </w:r>
      <w:r>
        <w:t xml:space="preserve">technologies297</w:t>
      </w:r>
      <w:r>
        <w:t xml:space="preserve"> </w:t>
      </w:r>
      <w:r>
        <w:t xml:space="preserve">• Long-term offtake agreement in place:</w:t>
      </w:r>
      <w:r>
        <w:t xml:space="preserve"> </w:t>
      </w:r>
      <w:r>
        <w:t xml:space="preserve">o Aircraft operators would provide a long-term SAF offtake agreement. This is</w:t>
      </w:r>
      <w:r>
        <w:t xml:space="preserve"> </w:t>
      </w:r>
      <w:r>
        <w:t xml:space="preserve">necessary for predictability of the support where support would be granted based</w:t>
      </w:r>
      <w:r>
        <w:t xml:space="preserve"> </w:t>
      </w:r>
      <w:r>
        <w:t xml:space="preserve">on the multi-year agreement and crucially for the fuel producers and technology</w:t>
      </w:r>
      <w:r>
        <w:t xml:space="preserve"> </w:t>
      </w:r>
      <w:r>
        <w:t xml:space="preserve">providers in order to reach Final Investment Decision. This condition would</w:t>
      </w:r>
      <w:r>
        <w:t xml:space="preserve"> </w:t>
      </w:r>
      <w:r>
        <w:t xml:space="preserve">therefore incentivise uplift as well as production of these fuels.</w:t>
      </w:r>
      <w:r>
        <w:br/>
      </w:r>
      <w:r>
        <w:t xml:space="preserve">o Differentiated support could be introduced based on the agreement length (5-year</w:t>
      </w:r>
      <w:r>
        <w:t xml:space="preserve"> </w:t>
      </w:r>
      <w:r>
        <w:t xml:space="preserve">contract leading to bigger support than 2-year contract).</w:t>
      </w:r>
    </w:p>
    <w:p>
      <w:pPr>
        <w:pStyle w:val="BodyText"/>
      </w:pPr>
      <w:r>
        <w:t xml:space="preserve">297 The Regulation lists relevant technologies including plants for renewable fuels of non-biological origin</w:t>
      </w:r>
      <w:r>
        <w:t xml:space="preserve"> </w:t>
      </w:r>
      <w:r>
        <w:t xml:space="preserve">(RFNBO), plants for sustainable alternative fuels and electric propulsion systems for air transport. Regulation</w:t>
      </w:r>
      <w:r>
        <w:t xml:space="preserve"> </w:t>
      </w:r>
      <w:r>
        <w:t xml:space="preserve">(EU) 2024/1735 of the European Parliament and of the Council of 13 June 2024 on establishing a framework</w:t>
      </w:r>
      <w:r>
        <w:t xml:space="preserve"> </w:t>
      </w:r>
      <w:r>
        <w:t xml:space="preserve">of measures for strengthening Europe’s net-zero technology manufacturing ecosystem and amending</w:t>
      </w:r>
      <w:r>
        <w:t xml:space="preserve"> </w:t>
      </w:r>
      <w:r>
        <w:t xml:space="preserve">Regulation (EU) 2018/1724, OJ L, 2024/1735, 28.6.2024, ELI: http://data.europa.eu/eli/reg/2024/1735/oj.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o As long-term contracts may relate to a significant amount of fuel, volumes of</w:t>
      </w:r>
      <w:r>
        <w:t xml:space="preserve"> </w:t>
      </w:r>
      <w:r>
        <w:t xml:space="preserve">allocated allowances for SAF uplift would be adjusted annually based on the</w:t>
      </w:r>
      <w:r>
        <w:t xml:space="preserve"> </w:t>
      </w:r>
      <w:r>
        <w:t xml:space="preserve">volumes actually used as per the annual emissions report. Any unused allowances</w:t>
      </w:r>
      <w:r>
        <w:t xml:space="preserve"> </w:t>
      </w:r>
      <w:r>
        <w:t xml:space="preserve">would be put back in the reserved pool and would be reused.</w:t>
      </w:r>
      <w:r>
        <w:t xml:space="preserve"> </w:t>
      </w:r>
      <w:r>
        <w:t xml:space="preserve">• Climate-neutrality plan</w:t>
      </w:r>
      <w:r>
        <w:t xml:space="preserve"> </w:t>
      </w:r>
      <w:r>
        <w:t xml:space="preserve">o As established in EU ETS for installations, aircraft operators could be required to</w:t>
      </w:r>
      <w:r>
        <w:t xml:space="preserve"> </w:t>
      </w:r>
      <w:r>
        <w:t xml:space="preserve">submit and follow climate-neutrality plans outlying their commitment to</w:t>
      </w:r>
      <w:r>
        <w:t xml:space="preserve"> </w:t>
      </w:r>
      <w:r>
        <w:t xml:space="preserve">decarbonisation, including measurable actions and green investments.</w:t>
      </w:r>
      <w:r>
        <w:br/>
      </w:r>
      <w:r>
        <w:t xml:space="preserve">9. OTHER CONSIDERATIONS</w:t>
      </w:r>
      <w:r>
        <w:t xml:space="preserve"> </w:t>
      </w:r>
      <w:r>
        <w:t xml:space="preserve">The Global Solidarity Levies Taskforce: For People and the Planet (GSLTF) was launched at</w:t>
      </w:r>
      <w:r>
        <w:t xml:space="preserve"> </w:t>
      </w:r>
      <w:r>
        <w:t xml:space="preserve">COP28 in 2023 to explore progressive tax measures that generate predictable revenue for</w:t>
      </w:r>
      <w:r>
        <w:t xml:space="preserve"> </w:t>
      </w:r>
      <w:r>
        <w:t xml:space="preserve">climate and development, while ideally also discouraging greenhouse gas emissions. The</w:t>
      </w:r>
      <w:r>
        <w:t xml:space="preserve"> </w:t>
      </w:r>
      <w:r>
        <w:t xml:space="preserve">European Commission is an observer to the taskforce since its launch, supporting the efforts to</w:t>
      </w:r>
      <w:r>
        <w:t xml:space="preserve"> </w:t>
      </w:r>
      <w:r>
        <w:t xml:space="preserve">identify and develop innovative sources of funding for climate action298, especially for the most</w:t>
      </w:r>
      <w:r>
        <w:t xml:space="preserve"> </w:t>
      </w:r>
      <w:r>
        <w:t xml:space="preserve">vulnerable countries.</w:t>
      </w:r>
      <w:r>
        <w:br/>
      </w:r>
      <w:r>
        <w:t xml:space="preserve">In early 2025, the GSLTF identified the aviation sector on premium air travel and private jet</w:t>
      </w:r>
      <w:r>
        <w:t xml:space="preserve"> </w:t>
      </w:r>
      <w:r>
        <w:t xml:space="preserve">fuel as among the measures that are socially fair and have the greatest potential for adoption299.</w:t>
      </w:r>
      <w:r>
        <w:t xml:space="preserve"> </w:t>
      </w:r>
      <w:r>
        <w:t xml:space="preserve">The following data illustrates the focus on aviation, and specifically luxury travel:</w:t>
      </w:r>
      <w:r>
        <w:br/>
      </w:r>
      <w:r>
        <w:t xml:space="preserve">-</w:t>
      </w:r>
      <w:r>
        <w:t xml:space="preserve"> </w:t>
      </w:r>
      <w:r>
        <w:t xml:space="preserve">Emissions are highly concentrated among a small share of the population at the upper</w:t>
      </w:r>
      <w:r>
        <w:t xml:space="preserve"> </w:t>
      </w:r>
      <w:r>
        <w:t xml:space="preserve">end of the income spectrum. Studies suggest that only 2–4% of the global population</w:t>
      </w:r>
      <w:r>
        <w:t xml:space="preserve"> </w:t>
      </w:r>
      <w:r>
        <w:t xml:space="preserve">flies internationally each year, and that just 1% of people are responsible for roughly</w:t>
      </w:r>
      <w:r>
        <w:t xml:space="preserve"> </w:t>
      </w:r>
      <w:r>
        <w:t xml:space="preserve">half of global aviation emissions300.</w:t>
      </w:r>
      <w:r>
        <w:t xml:space="preserve"> </w:t>
      </w:r>
      <w:r>
        <w:t xml:space="preserve">-</w:t>
      </w:r>
      <w:r>
        <w:t xml:space="preserve"> </w:t>
      </w:r>
      <w:r>
        <w:t xml:space="preserve">Premium-class seating is estimated to be 2.6 to 4.3 times more carbon intensive than</w:t>
      </w:r>
      <w:r>
        <w:t xml:space="preserve"> </w:t>
      </w:r>
      <w:r>
        <w:t xml:space="preserve">economy class seating, depending on aircraft class due to the greater space and weight</w:t>
      </w:r>
      <w:r>
        <w:t xml:space="preserve"> </w:t>
      </w:r>
      <w:r>
        <w:t xml:space="preserve">per passenger301.</w:t>
      </w:r>
      <w:r>
        <w:t xml:space="preserve"> </w:t>
      </w:r>
      <w:r>
        <w:t xml:space="preserve">-</w:t>
      </w:r>
      <w:r>
        <w:t xml:space="preserve"> </w:t>
      </w:r>
      <w:r>
        <w:t xml:space="preserve">Private aviation (i.e. private jets) produces 5 to 14 times more emissions per passenger-</w:t>
      </w:r>
      <w:r>
        <w:t xml:space="preserve"> </w:t>
      </w:r>
      <w:r>
        <w:t xml:space="preserve">kilometre than commercial flights.302</w:t>
      </w:r>
      <w:r>
        <w:t xml:space="preserve"> </w:t>
      </w:r>
      <w:r>
        <w:t xml:space="preserve">Furthermore, analysis shows aviation taxation is limited compared to other sectors such as road</w:t>
      </w:r>
      <w:r>
        <w:t xml:space="preserve"> </w:t>
      </w:r>
      <w:r>
        <w:t xml:space="preserve">or rail transport, and insufficiently303 internalises aviation’s externalities, ranging from climate</w:t>
      </w:r>
      <w:r>
        <w:t xml:space="preserve"> </w:t>
      </w:r>
      <w:r>
        <w:t xml:space="preserve">impacts of emissions to noise and air pollution304. A GSLTF study305 found that premium flyer</w:t>
      </w:r>
      <w:r>
        <w:t xml:space="preserve"> </w:t>
      </w:r>
      <w:r>
        <w:t xml:space="preserve">levies could contribute to significant CO2 emission reductions (4 to 10% below the baseline</w:t>
      </w:r>
      <w:r>
        <w:t xml:space="preserve"> </w:t>
      </w:r>
      <w:r>
        <w:t xml:space="preserve">under middle rate, global coverage scenarios) and generate substantial revenues (EUR 62 to 84</w:t>
      </w:r>
      <w:r>
        <w:t xml:space="preserve"> </w:t>
      </w:r>
      <w:r>
        <w:t xml:space="preserve">billion annually).</w:t>
      </w:r>
    </w:p>
    <w:p>
      <w:pPr>
        <w:pStyle w:val="BodyText"/>
      </w:pPr>
      <w:r>
        <w:t xml:space="preserve">298 General Secretariat of the Council of the European Union, Conclusions on climate finance in view of the 2025</w:t>
      </w:r>
      <w:r>
        <w:t xml:space="preserve"> </w:t>
      </w:r>
      <w:r>
        <w:t xml:space="preserve">UN Climate Change Conference (COP30) (Belém, 10-21 November 2025), October 2025.</w:t>
      </w:r>
      <w:r>
        <w:t xml:space="preserve"> </w:t>
      </w:r>
      <w:r>
        <w:t xml:space="preserve">299 Global Solidarity Levies Task, Force Synthesis of responses to the consultation on straw-man options for</w:t>
      </w:r>
      <w:r>
        <w:t xml:space="preserve"> </w:t>
      </w:r>
      <w:r>
        <w:t xml:space="preserve">solidarity levies, April 2025.</w:t>
      </w:r>
      <w:r>
        <w:t xml:space="preserve"> </w:t>
      </w:r>
      <w:r>
        <w:t xml:space="preserve">300 Gossling, Humpe, Global Environmental Change, The global scale, distribution and growth of aviation:</w:t>
      </w:r>
      <w:r>
        <w:t xml:space="preserve"> </w:t>
      </w:r>
      <w:r>
        <w:t xml:space="preserve">Implications for climate change, November 2020.</w:t>
      </w:r>
      <w:r>
        <w:t xml:space="preserve"> </w:t>
      </w:r>
      <w:r>
        <w:t xml:space="preserve">301 Zheng, Shen, Kellogg, International Council on Clean Transportation, Designing an equitable aviation</w:t>
      </w:r>
      <w:r>
        <w:t xml:space="preserve"> </w:t>
      </w:r>
      <w:r>
        <w:t xml:space="preserve">climate levy, March 2025.</w:t>
      </w:r>
      <w:r>
        <w:t xml:space="preserve"> </w:t>
      </w:r>
      <w:r>
        <w:t xml:space="preserve">302 Transport &amp; Environment, Private jets: can the super rich supercharge zero-emission aviation?, 2021.</w:t>
      </w:r>
      <w:r>
        <w:t xml:space="preserve"> </w:t>
      </w:r>
      <w:r>
        <w:t xml:space="preserve">303 Analysis showing that after increases to the aviation solidarity tax rates in France, the after-tax pricing of</w:t>
      </w:r>
      <w:r>
        <w:t xml:space="preserve"> </w:t>
      </w:r>
      <w:r>
        <w:t xml:space="preserve">aviation represented only 34% of the cost of the sector’s externalities in France in 2025, and this figure</w:t>
      </w:r>
      <w:r>
        <w:t xml:space="preserve"> </w:t>
      </w:r>
      <w:r>
        <w:t xml:space="preserve">dropped to just 22% for long haul flights.</w:t>
      </w:r>
      <w:r>
        <w:t xml:space="preserve"> </w:t>
      </w:r>
      <w:r>
        <w:t xml:space="preserve">304 Litschgy A., Direction générale du Trésor, Air Transport Pricing and Taxation, France, July 2025.</w:t>
      </w:r>
      <w:r>
        <w:t xml:space="preserve"> </w:t>
      </w:r>
      <w:r>
        <w:t xml:space="preserve">305 CE Delft, A Fair Share from Aviation: Solidarity Levies in Aviation: Options for a Coalition of the Willing,</w:t>
      </w:r>
      <w:r>
        <w:t xml:space="preserve"> </w:t>
      </w:r>
      <w:r>
        <w:t xml:space="preserve">2025.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A Premium Flyers Solidarity Coalition306 was launched at the UN Fourth Financing for</w:t>
      </w:r>
      <w:r>
        <w:t xml:space="preserve"> </w:t>
      </w:r>
      <w:r>
        <w:t xml:space="preserve">Development Conference in Sevilla in June 2025, with the support of the GSLTF Secretariat.</w:t>
      </w:r>
      <w:r>
        <w:br/>
      </w:r>
      <w:r>
        <w:t xml:space="preserve">The coalition calls for participating countries to introduce a ticket levy on premium flyers, or</w:t>
      </w:r>
      <w:r>
        <w:t xml:space="preserve"> </w:t>
      </w:r>
      <w:r>
        <w:t xml:space="preserve">if they have one, make their ticket levy more progressive for upward harmonisation. It calls for</w:t>
      </w:r>
      <w:r>
        <w:t xml:space="preserve"> </w:t>
      </w:r>
      <w:r>
        <w:t xml:space="preserve">participating countries307 to introduce taxation of kerosene for private jets.</w:t>
      </w:r>
    </w:p>
    <w:p>
      <w:pPr>
        <w:pStyle w:val="BodyText"/>
      </w:pPr>
      <w:r>
        <w:t xml:space="preserve">306 The Coalition includes Benin, Djibouti, France, Kenya, Nigeria, Sierra Leone, Somalia, South Sudan, and</w:t>
      </w:r>
      <w:r>
        <w:t xml:space="preserve"> </w:t>
      </w:r>
      <w:r>
        <w:t xml:space="preserve">Spain. Antigua and Barbuda, Brazil, Fiji, and Vanuatu are observers.</w:t>
      </w:r>
      <w:r>
        <w:t xml:space="preserve"> </w:t>
      </w:r>
      <w:r>
        <w:t xml:space="preserve">307 Consult the current membership here: https://solidaritylevies.org/eight-countries-launch-solidarity-coalition-</w:t>
      </w:r>
      <w:r>
        <w:t xml:space="preserve"> </w:t>
      </w:r>
      <w:r>
        <w:t xml:space="preserve">for-levies-on-premium-flyers/.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ANNEX 11: MARITIME</w:t>
      </w:r>
      <w:r>
        <w:t xml:space="preserve"> </w:t>
      </w:r>
      <w:r>
        <w:t xml:space="preserve">LIST OF TABLES</w:t>
      </w:r>
      <w:r>
        <w:t xml:space="preserve"> </w:t>
      </w:r>
      <w:r>
        <w:t xml:space="preserve">Table 1:</w:t>
      </w:r>
      <w:r>
        <w:t xml:space="preserve"> </w:t>
      </w:r>
      <w:r>
        <w:t xml:space="preserve">Possible design elements for a sustainable maritime propulsion mechanism…. 265</w:t>
      </w:r>
      <w:r>
        <w:t xml:space="preserve"> </w:t>
      </w:r>
      <w:r>
        <w:t xml:space="preserve">Table 2:</w:t>
      </w:r>
      <w:r>
        <w:t xml:space="preserve"> </w:t>
      </w:r>
      <w:r>
        <w:t xml:space="preserve">Key aspects of a SAF-like sustainable maritime propulsion mechanism ………. 266</w:t>
      </w:r>
      <w:r>
        <w:t xml:space="preserve"> </w:t>
      </w:r>
      <w:r>
        <w:t xml:space="preserve">Table 3:</w:t>
      </w:r>
      <w:r>
        <w:t xml:space="preserve"> </w:t>
      </w:r>
      <w:r>
        <w:t xml:space="preserve">Economic impacts of different possible sustainable maritime propulsion</w:t>
      </w:r>
      <w:r>
        <w:t xml:space="preserve"> </w:t>
      </w:r>
      <w:r>
        <w:t xml:space="preserve">mechanism variations………………………………………………………………………………………………. 268</w:t>
      </w:r>
      <w:r>
        <w:t xml:space="preserve"> </w:t>
      </w:r>
      <w:r>
        <w:t xml:space="preserve">Table 4:</w:t>
      </w:r>
      <w:r>
        <w:t xml:space="preserve"> </w:t>
      </w:r>
      <w:r>
        <w:t xml:space="preserve">Comparison of selected monitoring and reporting requirements under EU</w:t>
      </w:r>
      <w:r>
        <w:t xml:space="preserve"> </w:t>
      </w:r>
      <w:r>
        <w:t xml:space="preserve">MRV/ETS and FuelEU Maritime ……………………………………………………………………………… 281</w:t>
      </w:r>
      <w:r>
        <w:t xml:space="preserve"> </w:t>
      </w:r>
      <w:r>
        <w:t xml:space="preserve">Table 5:</w:t>
      </w:r>
      <w:r>
        <w:t xml:space="preserve"> </w:t>
      </w:r>
      <w:r>
        <w:t xml:space="preserve">Potential cost reduction by cost driver ……………………………………………………… 285</w:t>
      </w:r>
      <w:r>
        <w:t xml:space="preserve"> </w:t>
      </w:r>
      <w:r>
        <w:t xml:space="preserve">Table 6:</w:t>
      </w:r>
      <w:r>
        <w:t xml:space="preserve"> </w:t>
      </w:r>
      <w:r>
        <w:t xml:space="preserve">Derogations in 2024 by ship type ……………………………………………………………. 289</w:t>
      </w:r>
      <w:r>
        <w:t xml:space="preserve"> </w:t>
      </w:r>
      <w:r>
        <w:t xml:space="preserve">Table 7:</w:t>
      </w:r>
      <w:r>
        <w:t xml:space="preserve"> </w:t>
      </w:r>
      <w:r>
        <w:t xml:space="preserve">Design</w:t>
      </w:r>
      <w:r>
        <w:t xml:space="preserve"> </w:t>
      </w:r>
      <w:r>
        <w:t xml:space="preserve">options</w:t>
      </w:r>
      <w:r>
        <w:t xml:space="preserve"> </w:t>
      </w:r>
      <w:r>
        <w:t xml:space="preserve">for</w:t>
      </w:r>
      <w:r>
        <w:t xml:space="preserve"> </w:t>
      </w:r>
      <w:r>
        <w:t xml:space="preserve">the adjustment mechanism:</w:t>
      </w:r>
      <w:r>
        <w:t xml:space="preserve"> </w:t>
      </w:r>
      <w:r>
        <w:t xml:space="preserve">Metric</w:t>
      </w:r>
      <w:r>
        <w:t xml:space="preserve"> </w:t>
      </w:r>
      <w:r>
        <w:t xml:space="preserve">of</w:t>
      </w:r>
      <w:r>
        <w:t xml:space="preserve"> </w:t>
      </w:r>
      <w:r>
        <w:t xml:space="preserve">the adjustment mechanism ……………………………………………………………………………………….. 298</w:t>
      </w:r>
      <w:r>
        <w:t xml:space="preserve"> </w:t>
      </w:r>
      <w:r>
        <w:t xml:space="preserve">Table 8:</w:t>
      </w:r>
      <w:r>
        <w:t xml:space="preserve"> </w:t>
      </w:r>
      <w:r>
        <w:t xml:space="preserve">Design options for the adjustment mechanism: Process to determine GFI ……. 298</w:t>
      </w:r>
      <w:r>
        <w:t xml:space="preserve"> </w:t>
      </w:r>
      <w:r>
        <w:t xml:space="preserve">Table 9:</w:t>
      </w:r>
      <w:r>
        <w:t xml:space="preserve"> </w:t>
      </w:r>
      <w:r>
        <w:t xml:space="preserve">Design options for the adjustment mechanism: Well-to-wake (WTW) or tank-to-</w:t>
      </w:r>
      <w:r>
        <w:t xml:space="preserve"> </w:t>
      </w:r>
      <w:r>
        <w:t xml:space="preserve">wake (TTW) approach …………………………………………………………………………………………….. 299</w:t>
      </w:r>
      <w:r>
        <w:t xml:space="preserve"> </w:t>
      </w:r>
      <w:r>
        <w:t xml:space="preserve">Table 10:</w:t>
      </w:r>
      <w:r>
        <w:t xml:space="preserve"> </w:t>
      </w:r>
      <w:r>
        <w:t xml:space="preserve">Design options for the adjustment mechanism: Treatment of emissions from</w:t>
      </w:r>
      <w:r>
        <w:t xml:space="preserve"> </w:t>
      </w:r>
      <w:r>
        <w:t xml:space="preserve">fuels that are zero-rated under the EU ETS ………………………………………………………………… 300</w:t>
      </w:r>
      <w:r>
        <w:t xml:space="preserve"> </w:t>
      </w:r>
      <w:r>
        <w:t xml:space="preserve">Table 11:</w:t>
      </w:r>
      <w:r>
        <w:t xml:space="preserve"> </w:t>
      </w:r>
      <w:r>
        <w:t xml:space="preserve">Variations of the deduction to be assessed ……………………………………………….. 300</w:t>
      </w:r>
      <w:r>
        <w:t xml:space="preserve"> </w:t>
      </w:r>
      <w:r>
        <w:t xml:space="preserve">Table 12:</w:t>
      </w:r>
      <w:r>
        <w:t xml:space="preserve"> </w:t>
      </w:r>
      <w:r>
        <w:t xml:space="preserve">Estimated CO2 emissions (tons) for selected candidate countries, based on 2024</w:t>
      </w:r>
      <w:r>
        <w:t xml:space="preserve"> </w:t>
      </w:r>
      <w:r>
        <w:t xml:space="preserve">port-call data (MRV scope) ……………………………………………………………………………………… 304</w:t>
      </w:r>
      <w:r>
        <w:t xml:space="preserve"> </w:t>
      </w:r>
      <w:r>
        <w:t xml:space="preserve">Table 13:</w:t>
      </w:r>
      <w:r>
        <w:t xml:space="preserve"> </w:t>
      </w:r>
      <w:r>
        <w:t xml:space="preserve">CO2 emissions (ktons), under EU ETS from selected candidate countries (PM3)</w:t>
      </w:r>
    </w:p>
    <w:p>
      <w:pPr>
        <w:pStyle w:val="BodyText"/>
      </w:pPr>
      <w:r>
        <w:t xml:space="preserve">305</w:t>
      </w:r>
      <w:r>
        <w:t xml:space="preserve"> </w:t>
      </w:r>
      <w:r>
        <w:t xml:space="preserve">Table 14:</w:t>
      </w:r>
      <w:r>
        <w:t xml:space="preserve"> </w:t>
      </w:r>
      <w:r>
        <w:t xml:space="preserve">GHG emissions from vessels between 400 and 4999 GT in 2023 under the</w:t>
      </w:r>
      <w:r>
        <w:t xml:space="preserve"> </w:t>
      </w:r>
      <w:r>
        <w:t xml:space="preserve">geographical scope of the EU ETS (i.e. 100% of intra-EU and at berth emissions and 50% of</w:t>
      </w:r>
      <w:r>
        <w:t xml:space="preserve"> </w:t>
      </w:r>
      <w:r>
        <w:t xml:space="preserve">extra-EU emissions, considering potential derogations) and under the extension of the scope of</w:t>
      </w:r>
      <w:r>
        <w:t xml:space="preserve"> </w:t>
      </w:r>
      <w:r>
        <w:t xml:space="preserve">the EU ETS to all non-exempt categories of small vessels plus fishing vessels (MSS2) …… 307</w:t>
      </w:r>
      <w:r>
        <w:t xml:space="preserve"> </w:t>
      </w:r>
      <w:r>
        <w:t xml:space="preserve">Table 15:</w:t>
      </w:r>
      <w:r>
        <w:t xml:space="preserve"> </w:t>
      </w:r>
      <w:r>
        <w:t xml:space="preserve">Impacts from measure MSS2 on GHG emissions (in MtCO2e) of smaller vessels</w:t>
      </w:r>
    </w:p>
    <w:p>
      <w:pPr>
        <w:pStyle w:val="BodyText"/>
      </w:pPr>
      <w:r>
        <w:t xml:space="preserve">309</w:t>
      </w:r>
      <w:r>
        <w:t xml:space="preserve"> </w:t>
      </w:r>
      <w:r>
        <w:t xml:space="preserve">Table 16:</w:t>
      </w:r>
      <w:r>
        <w:t xml:space="preserve"> </w:t>
      </w:r>
      <w:r>
        <w:t xml:space="preserve">Impact on shipping costs for smaller vessels from policy measure MSS2 …….. 310</w:t>
      </w:r>
      <w:r>
        <w:t xml:space="preserve"> </w:t>
      </w:r>
      <w:r>
        <w:t xml:space="preserve">Table 17:</w:t>
      </w:r>
      <w:r>
        <w:t xml:space="preserve"> </w:t>
      </w:r>
      <w:r>
        <w:t xml:space="preserve">Additional administrative costs for shipping companies under MSS1 (PO2) and</w:t>
      </w:r>
      <w:r>
        <w:t xml:space="preserve"> </w:t>
      </w:r>
      <w:r>
        <w:t xml:space="preserve">MSS2 (PO3) 312</w:t>
      </w:r>
      <w:r>
        <w:t xml:space="preserve"> </w:t>
      </w:r>
      <w:r>
        <w:t xml:space="preserve">Table 18:</w:t>
      </w:r>
      <w:r>
        <w:t xml:space="preserve"> </w:t>
      </w:r>
      <w:r>
        <w:t xml:space="preserve">Additional administrative and enforcement costs for national authorities under</w:t>
      </w:r>
      <w:r>
        <w:t xml:space="preserve"> </w:t>
      </w:r>
      <w:r>
        <w:t xml:space="preserve">MSS1 (PO2) and MSS2 (PO3) …………………………………………………………………………………. 313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LIST OF FIGURES</w:t>
      </w:r>
      <w:r>
        <w:t xml:space="preserve"> </w:t>
      </w:r>
      <w:r>
        <w:t xml:space="preserve">Figure 1:</w:t>
      </w:r>
      <w:r>
        <w:t xml:space="preserve"> </w:t>
      </w:r>
      <w:r>
        <w:t xml:space="preserve">Projects supported by the Innovation Fund since 2020 ………………………………. 263</w:t>
      </w:r>
      <w:r>
        <w:t xml:space="preserve"> </w:t>
      </w:r>
      <w:r>
        <w:t xml:space="preserve">Figure 2:</w:t>
      </w:r>
      <w:r>
        <w:t xml:space="preserve"> </w:t>
      </w:r>
      <w:r>
        <w:t xml:space="preserve">Illustration of the revision of the list of neighbouring transhipment ports with a</w:t>
      </w:r>
      <w:r>
        <w:t xml:space="preserve"> </w:t>
      </w:r>
      <w:r>
        <w:t xml:space="preserve">50% transhipment incidence threshold. Vertical axis shows transhipment incidence in %, while</w:t>
      </w:r>
      <w:r>
        <w:t xml:space="preserve"> </w:t>
      </w:r>
      <w:r>
        <w:t xml:space="preserve">horizontal axis shows distance to closest EU port in nautical miles (nm). Size of the bubble</w:t>
      </w:r>
      <w:r>
        <w:t xml:space="preserve"> </w:t>
      </w:r>
      <w:r>
        <w:t xml:space="preserve">shows annual transhipment traffic in TEUs. ……………………………………………………………….. 275</w:t>
      </w:r>
      <w:r>
        <w:t xml:space="preserve"> </w:t>
      </w:r>
      <w:r>
        <w:t xml:space="preserve">Figure 3:</w:t>
      </w:r>
      <w:r>
        <w:t xml:space="preserve"> </w:t>
      </w:r>
      <w:r>
        <w:t xml:space="preserve">Current MRV/ETS/FuelEU compliance cycle, main steps………………………….. 279</w:t>
      </w:r>
      <w:r>
        <w:t xml:space="preserve"> </w:t>
      </w:r>
      <w:r>
        <w:t xml:space="preserve">Figure 4:</w:t>
      </w:r>
      <w:r>
        <w:t xml:space="preserve"> </w:t>
      </w:r>
      <w:r>
        <w:t xml:space="preserve">GHG emissions trajectory (emissions measured as MtCO2e) for the extension to</w:t>
      </w:r>
      <w:r>
        <w:t xml:space="preserve"> </w:t>
      </w:r>
      <w:r>
        <w:t xml:space="preserve">smaller vessels (MSS2) compared to the default policy scenario (PO1) …………………………. 309</w:t>
      </w:r>
      <w:r>
        <w:t xml:space="preserve"> </w:t>
      </w:r>
      <w:r>
        <w:t xml:space="preserve">Figure 5:</w:t>
      </w:r>
      <w:r>
        <w:t xml:space="preserve"> </w:t>
      </w:r>
      <w:r>
        <w:t xml:space="preserve">Trends in the demand of renewable fuels (RFNBOs, biofuels and electricity) for</w:t>
      </w:r>
      <w:r>
        <w:t xml:space="preserve"> </w:t>
      </w:r>
      <w:r>
        <w:t xml:space="preserve">smaller vessels as share of total fuel use for smaller vessels under the default policy scenario</w:t>
      </w:r>
      <w:r>
        <w:t xml:space="preserve"> </w:t>
      </w:r>
      <w:r>
        <w:t xml:space="preserve">(PO1) and MSS2 …………………………………………………………………………………………………….. 310</w:t>
      </w:r>
    </w:p>
    <w:p>
      <w:pPr>
        <w:pStyle w:val="BodyText"/>
      </w:pPr>
      <w:r>
        <w:t xml:space="preserve">262</w:t>
      </w:r>
    </w:p>
    <w:p>
      <w:pPr>
        <w:pStyle w:val="Compact"/>
        <w:numPr>
          <w:ilvl w:val="0"/>
          <w:numId w:val="1021"/>
        </w:numPr>
      </w:pPr>
      <w:r>
        <w:t xml:space="preserve">SUPPORT FOR EMISSIONS REDUCTION IN THE SHIPPING SECTOR</w:t>
      </w:r>
      <w:r>
        <w:t xml:space="preserve"> </w:t>
      </w:r>
      <w:r>
        <w:t xml:space="preserve">1.1. Scoping308</w:t>
      </w:r>
      <w:r>
        <w:br/>
      </w:r>
      <w:r>
        <w:t xml:space="preserve">Several technological options exist to decarbonise maritime transport, ranging from energy-</w:t>
      </w:r>
      <w:r>
        <w:t xml:space="preserve"> </w:t>
      </w:r>
      <w:r>
        <w:t xml:space="preserve">efficiency improvements to electrification, wind propulsion assistance or the use of emerging</w:t>
      </w:r>
      <w:r>
        <w:t xml:space="preserve"> </w:t>
      </w:r>
      <w:r>
        <w:t xml:space="preserve">renewable and low-carbon fuels. For instance, a recent study309 has found that energy efficiency</w:t>
      </w:r>
      <w:r>
        <w:t xml:space="preserve"> </w:t>
      </w:r>
      <w:r>
        <w:t xml:space="preserve">measures can reduce ship emissions by up to 40% and that about half of emissions savings</w:t>
      </w:r>
      <w:r>
        <w:t xml:space="preserve"> </w:t>
      </w:r>
      <w:r>
        <w:t xml:space="preserve">from energy efficiency measures are considered cost-effective in 2030. Another study310</w:t>
      </w:r>
      <w:r>
        <w:t xml:space="preserve"> </w:t>
      </w:r>
      <w:r>
        <w:t xml:space="preserve">showed that existing battery technology could cover the fuel needs of about one-third of the</w:t>
      </w:r>
      <w:r>
        <w:t xml:space="preserve"> </w:t>
      </w:r>
      <w:r>
        <w:t xml:space="preserve">entire EU ferry fleet and that wind assistance propulsion is an effective fuel savings measure</w:t>
      </w:r>
      <w:r>
        <w:t xml:space="preserve"> </w:t>
      </w:r>
      <w:r>
        <w:t xml:space="preserve">applicable to several vessel types and with ample market growth potential to 2050.</w:t>
      </w:r>
      <w:r>
        <w:t xml:space="preserve"> </w:t>
      </w:r>
      <w:r>
        <w:t xml:space="preserve">However, the uptake of these decarbonisation options is still being hampered by various</w:t>
      </w:r>
      <w:r>
        <w:t xml:space="preserve"> </w:t>
      </w:r>
      <w:r>
        <w:t xml:space="preserve">barriers, which can be technological, but are mostly economic and market-related (e.g. </w:t>
      </w:r>
      <w:r>
        <w:t xml:space="preserve"> </w:t>
      </w:r>
      <w:r>
        <w:t xml:space="preserve">shipowners making CAPEX and OPEX investments in low-carbon solutions that do not always</w:t>
      </w:r>
      <w:r>
        <w:t xml:space="preserve"> </w:t>
      </w:r>
      <w:r>
        <w:t xml:space="preserve">capture the benefit). Recent analysis311 highlights the need for a more integrated and supportive</w:t>
      </w:r>
      <w:r>
        <w:t xml:space="preserve"> </w:t>
      </w:r>
      <w:r>
        <w:t xml:space="preserve">financial framework to support the decarbonisation of the maritime industry, which is a sector</w:t>
      </w:r>
      <w:r>
        <w:t xml:space="preserve"> </w:t>
      </w:r>
      <w:r>
        <w:t xml:space="preserve">characterised by high capital intensity, long asset lifetimes, and extended production lead time.</w:t>
      </w:r>
      <w:r>
        <w:t xml:space="preserve"> </w:t>
      </w:r>
      <w:r>
        <w:t xml:space="preserve">Some of the key financing-related obstacles, include:</w:t>
      </w:r>
      <w:r>
        <w:t xml:space="preserve"> </w:t>
      </w:r>
      <w:r>
        <w:t xml:space="preserve">• Limited access to financing for innovative activities and technologies;</w:t>
      </w:r>
      <w:r>
        <w:t xml:space="preserve"> </w:t>
      </w:r>
      <w:r>
        <w:t xml:space="preserve">• Lack of financial instruments suited to the sector’s characteristics;</w:t>
      </w:r>
      <w:r>
        <w:t xml:space="preserve"> </w:t>
      </w:r>
      <w:r>
        <w:t xml:space="preserve">• Insufficient financing tools to support EU shipbuilding activities.</w:t>
      </w:r>
      <w:r>
        <w:t xml:space="preserve"> </w:t>
      </w:r>
      <w:r>
        <w:t xml:space="preserve">According to high-level estimates based on the TRL of investment technologies, the annual</w:t>
      </w:r>
      <w:r>
        <w:t xml:space="preserve"> </w:t>
      </w:r>
      <w:r>
        <w:t xml:space="preserve">volume of green finance required for the decarbonisation of the EU maritime sector is estimated</w:t>
      </w:r>
      <w:r>
        <w:t xml:space="preserve"> </w:t>
      </w:r>
      <w:r>
        <w:t xml:space="preserve">from EUR 10.9 billion to EUR 44.0 billion, covering vessel fleet decarbonisation (EUR 2.4 -</w:t>
      </w:r>
      <w:r>
        <w:t xml:space="preserve"> </w:t>
      </w:r>
      <w:r>
        <w:t xml:space="preserve">8.5 billion) and infrastructure (EUR 8.5 – 35.5 billion)312.</w:t>
      </w:r>
      <w:r>
        <w:t xml:space="preserve"> </w:t>
      </w:r>
      <w:r>
        <w:t xml:space="preserve">When it comes to renewable or low-carbon fuels, the maritime sector can use a broad mix of</w:t>
      </w:r>
      <w:r>
        <w:t xml:space="preserve"> </w:t>
      </w:r>
      <w:r>
        <w:t xml:space="preserve">possible decarbonisation alternatives (different fuel technologies as well as different</w:t>
      </w:r>
      <w:r>
        <w:t xml:space="preserve"> </w:t>
      </w:r>
      <w:r>
        <w:t xml:space="preserve">possibilities for blending with conventional fuels for existing and emerging powertrains).</w:t>
      </w:r>
      <w:r>
        <w:t xml:space="preserve"> </w:t>
      </w:r>
      <w:r>
        <w:t xml:space="preserve">However, the market maturity of these alternative fuels today remains limited. According to</w:t>
      </w:r>
      <w:r>
        <w:t xml:space="preserve"> </w:t>
      </w:r>
      <w:r>
        <w:t xml:space="preserve">the EU’s Sustainable Transport Investment Plan (STIP), one of the main hurdles for ramping</w:t>
      </w:r>
      <w:r>
        <w:t xml:space="preserve"> </w:t>
      </w:r>
      <w:r>
        <w:t xml:space="preserve">up the market is the significant price difference compared with conventional fuels. Current</w:t>
      </w:r>
      <w:r>
        <w:t xml:space="preserve"> </w:t>
      </w:r>
      <w:r>
        <w:t xml:space="preserve">price differentials range from approximately 1,5 to 5 times the cost of conventional fuels. The</w:t>
      </w:r>
      <w:r>
        <w:t xml:space="preserve"> </w:t>
      </w:r>
      <w:r>
        <w:t xml:space="preserve">STIP estimates that the induced production of bio-SMF and e-SMF will require investment of</w:t>
      </w:r>
      <w:r>
        <w:t xml:space="preserve"> </w:t>
      </w:r>
      <w:r>
        <w:t xml:space="preserve">between EUR 34.7 billion and EUR 46.7 billion by 2035.</w:t>
      </w:r>
      <w:r>
        <w:t xml:space="preserve"> </w:t>
      </w:r>
      <w:r>
        <w:t xml:space="preserve">Current use of ETS revenues</w:t>
      </w:r>
    </w:p>
    <w:p>
      <w:pPr>
        <w:pStyle w:val="FirstParagraph"/>
      </w:pPr>
      <w:r>
        <w:t xml:space="preserve">308 Further detail in Ricardo (forthcoming) “Support for the 2026 review of the ETS maritime study” of (member</w:t>
      </w:r>
      <w:r>
        <w:t xml:space="preserve"> </w:t>
      </w:r>
      <w:r>
        <w:t xml:space="preserve">of WSP)</w:t>
      </w:r>
      <w:r>
        <w:t xml:space="preserve"> </w:t>
      </w:r>
      <w:r>
        <w:t xml:space="preserve">309 World</w:t>
      </w:r>
      <w:r>
        <w:t xml:space="preserve"> </w:t>
      </w:r>
      <w:r>
        <w:t xml:space="preserve">Bank, 2025.</w:t>
      </w:r>
      <w:r>
        <w:t xml:space="preserve"> </w:t>
      </w:r>
      <w:r>
        <w:t xml:space="preserve">“Keys</w:t>
      </w:r>
      <w:r>
        <w:t xml:space="preserve"> </w:t>
      </w:r>
      <w:r>
        <w:t xml:space="preserve">to</w:t>
      </w:r>
      <w:r>
        <w:t xml:space="preserve"> </w:t>
      </w:r>
      <w:r>
        <w:t xml:space="preserve">Energy-Efficient</w:t>
      </w:r>
      <w:r>
        <w:t xml:space="preserve"> </w:t>
      </w:r>
      <w:r>
        <w:t xml:space="preserve">Shipping. World</w:t>
      </w:r>
      <w:r>
        <w:t xml:space="preserve"> </w:t>
      </w:r>
      <w:r>
        <w:t xml:space="preserve">Bank”. http://hdl.handle.net/10986/43773 License: CC BY-NC 3.0 IGO.”</w:t>
      </w:r>
      <w:r>
        <w:t xml:space="preserve"> </w:t>
      </w:r>
      <w:r>
        <w:t xml:space="preserve">310 European Commission: Directorate-General for Climate Action and Ricardo, Electric vessels and wind-</w:t>
      </w:r>
      <w:r>
        <w:t xml:space="preserve"> </w:t>
      </w:r>
      <w:r>
        <w:t xml:space="preserve">assisted propulsion systems- opportunities for the EU maritime industry and value chain – Final report,</w:t>
      </w:r>
      <w:r>
        <w:t xml:space="preserve"> </w:t>
      </w:r>
      <w:r>
        <w:t xml:space="preserve">Publications Office of the European Union, 2026, https://data.europa.eu/doi/10.2834/7505429</w:t>
      </w:r>
      <w:r>
        <w:br/>
      </w:r>
      <w:r>
        <w:t xml:space="preserve">311 Support study for the development of a living inventory of relevant instruments to support investments in the</w:t>
      </w:r>
      <w:r>
        <w:t xml:space="preserve"> </w:t>
      </w:r>
      <w:r>
        <w:t xml:space="preserve">shipping sector, study for DG MOVE, Ricardo, December 2024, https://op.europa.eu/publication-detail/-</w:t>
      </w:r>
      <w:r>
        <w:t xml:space="preserve"> </w:t>
      </w:r>
      <w:r>
        <w:t xml:space="preserve">/publication/7e43a280-c0e5-11ef-91ed-01aa75ed71a1</w:t>
      </w:r>
      <w:r>
        <w:t xml:space="preserve"> </w:t>
      </w:r>
      <w:r>
        <w:t xml:space="preserve">312 Waterborne Days 2025– Funding and financing for the European Waterborne Sector workshop, RICARDO’s</w:t>
      </w:r>
      <w:r>
        <w:t xml:space="preserve"> </w:t>
      </w:r>
      <w:r>
        <w:t xml:space="preserve">presentation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From 2013 to the end of 2025, the EU ETS has raised over EUR 258 billion through the sale</w:t>
      </w:r>
      <w:r>
        <w:t xml:space="preserve"> </w:t>
      </w:r>
      <w:r>
        <w:t xml:space="preserve">of emission allowances since its launch. In 2025, ETS revenues reached EUR 43 billion. This</w:t>
      </w:r>
      <w:r>
        <w:t xml:space="preserve"> </w:t>
      </w:r>
      <w:r>
        <w:t xml:space="preserve">went primarily to national budgets, alongside funding ETS programmes for a clean transition</w:t>
      </w:r>
      <w:r>
        <w:t xml:space="preserve"> </w:t>
      </w:r>
      <w:r>
        <w:t xml:space="preserve">(i.e. the Innovation Fund and the Modernisation Fund) as well as part of the Recovery and</w:t>
      </w:r>
      <w:r>
        <w:t xml:space="preserve"> </w:t>
      </w:r>
      <w:r>
        <w:t xml:space="preserve">Resilience Facility in line with the REPowerEU Plan.</w:t>
      </w:r>
      <w:r>
        <w:t xml:space="preserve"> </w:t>
      </w:r>
      <w:r>
        <w:t xml:space="preserve">National revenues generated from the EU ETS must be used for the purposes outlined in the</w:t>
      </w:r>
      <w:r>
        <w:t xml:space="preserve"> </w:t>
      </w:r>
      <w:r>
        <w:t xml:space="preserve">ETS Directive, with a focus on decarbonisation. Member States must spend all of their ETS</w:t>
      </w:r>
      <w:r>
        <w:t xml:space="preserve"> </w:t>
      </w:r>
      <w:r>
        <w:t xml:space="preserve">revenues on eligible climate-related expenditure. The ETS Directive thus already foresees the</w:t>
      </w:r>
      <w:r>
        <w:t xml:space="preserve"> </w:t>
      </w:r>
      <w:r>
        <w:t xml:space="preserve">possibility for Member States to use their revenues to support measures to decarbonise the</w:t>
      </w:r>
      <w:r>
        <w:t xml:space="preserve"> </w:t>
      </w:r>
      <w:r>
        <w:t xml:space="preserve">maritime sector (e.g. improvement of the energy efficiency of ships, ports, innovative</w:t>
      </w:r>
      <w:r>
        <w:t xml:space="preserve"> </w:t>
      </w:r>
      <w:r>
        <w:t xml:space="preserve">technologies and infrastructure, and sustainable alternative fuels, such as hydrogen and</w:t>
      </w:r>
      <w:r>
        <w:t xml:space="preserve"> </w:t>
      </w:r>
      <w:r>
        <w:t xml:space="preserve">ammonia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produced</w:t>
      </w:r>
      <w:r>
        <w:t xml:space="preserve"> </w:t>
      </w:r>
      <w:r>
        <w:t xml:space="preserve">from</w:t>
      </w:r>
      <w:r>
        <w:t xml:space="preserve"> </w:t>
      </w:r>
      <w:r>
        <w:t xml:space="preserve">renewables,</w:t>
      </w:r>
      <w:r>
        <w:t xml:space="preserve"> </w:t>
      </w:r>
      <w:r>
        <w:t xml:space="preserve">and</w:t>
      </w:r>
      <w:r>
        <w:t xml:space="preserve"> </w:t>
      </w:r>
      <w:r>
        <w:t xml:space="preserve">zero-emission</w:t>
      </w:r>
      <w:r>
        <w:t xml:space="preserve"> </w:t>
      </w:r>
      <w:r>
        <w:t xml:space="preserve">propulsion</w:t>
      </w:r>
      <w:r>
        <w:t xml:space="preserve"> </w:t>
      </w:r>
      <w:r>
        <w:t xml:space="preserve">technologies). Although decisions on allocation remain the responsibility of individual</w:t>
      </w:r>
      <w:r>
        <w:t xml:space="preserve"> </w:t>
      </w:r>
      <w:r>
        <w:t xml:space="preserve">Member States, the Commission strongly encourage them to allocate a part of their ETS</w:t>
      </w:r>
      <w:r>
        <w:t xml:space="preserve"> </w:t>
      </w:r>
      <w:r>
        <w:t xml:space="preserve">revenues to maritime decarbonisation investments across the maritime cluster in Europe313.</w:t>
      </w:r>
      <w:r>
        <w:t xml:space="preserve"> </w:t>
      </w:r>
      <w:r>
        <w:t xml:space="preserve">Member States directed most of their 2024 ETS revenues to projects in the deployment of</w:t>
      </w:r>
      <w:r>
        <w:t xml:space="preserve"> </w:t>
      </w:r>
      <w:r>
        <w:t xml:space="preserve">renewable energy sources, grids and storage (20%), the improvement of energy efficiency in</w:t>
      </w:r>
      <w:r>
        <w:t xml:space="preserve"> </w:t>
      </w:r>
      <w:r>
        <w:t xml:space="preserve">industries and buildings (20%) and the development of clean public transport and mobility</w:t>
      </w:r>
      <w:r>
        <w:t xml:space="preserve"> </w:t>
      </w:r>
      <w:r>
        <w:t xml:space="preserve">including maritime projects (22%).314</w:t>
      </w:r>
      <w:r>
        <w:t xml:space="preserve"> </w:t>
      </w:r>
      <w:r>
        <w:t xml:space="preserve">Since shipping was only included in the ETS starting in 2024, many Member States are just</w:t>
      </w:r>
      <w:r>
        <w:t xml:space="preserve"> </w:t>
      </w:r>
      <w:r>
        <w:t xml:space="preserve">beginning to incorporate the maritime sector into their plans for utilising ETS revenues. So far,</w:t>
      </w:r>
      <w:r>
        <w:t xml:space="preserve"> </w:t>
      </w:r>
      <w:r>
        <w:t xml:space="preserve">activities funded or planned to be funded in the maritime sector through ETS revenues</w:t>
      </w:r>
      <w:r>
        <w:t xml:space="preserve"> </w:t>
      </w:r>
      <w:r>
        <w:t xml:space="preserve">encompass a wide range of interventions, such as the construction of onshore power supply</w:t>
      </w:r>
      <w:r>
        <w:t xml:space="preserve"> </w:t>
      </w:r>
      <w:r>
        <w:t xml:space="preserve">systems in ports, the greening of port areas, the development of climate-neutral vessels,</w:t>
      </w:r>
      <w:r>
        <w:t xml:space="preserve"> </w:t>
      </w:r>
      <w:r>
        <w:t xml:space="preserve">modernisation of transport fleets, and the implementation of innovative technologies like semi-</w:t>
      </w:r>
      <w:r>
        <w:t xml:space="preserve"> </w:t>
      </w:r>
      <w:r>
        <w:t xml:space="preserve">autonomous navigation</w:t>
      </w:r>
      <w:r>
        <w:t xml:space="preserve"> </w:t>
      </w:r>
      <w:r>
        <w:t xml:space="preserve">Innovation Fund supports the maritime transport sector</w:t>
      </w:r>
      <w:r>
        <w:t xml:space="preserve"> </w:t>
      </w:r>
      <w:r>
        <w:t xml:space="preserve">The Innovation Fund is one of the world’s largest programmes supporting the scale-up of net-</w:t>
      </w:r>
      <w:r>
        <w:t xml:space="preserve"> </w:t>
      </w:r>
      <w:r>
        <w:t xml:space="preserve">zero and low-carbon technologies. Established under the EU ETS Directive, it plays a central</w:t>
      </w:r>
      <w:r>
        <w:t xml:space="preserve"> </w:t>
      </w:r>
      <w:r>
        <w:t xml:space="preserve">role in the European Green Deal and channels revenues from the EU Emissions Trading System</w:t>
      </w:r>
      <w:r>
        <w:t xml:space="preserve"> </w:t>
      </w:r>
      <w:r>
        <w:t xml:space="preserve">into deployment of clean, competitive solutions across the European Economic Area.</w:t>
      </w:r>
      <w:r>
        <w:t xml:space="preserve"> </w:t>
      </w:r>
      <w:r>
        <w:t xml:space="preserve">Between 2020 and 2030, the Fund has an estimated budget EUR 40 billion sourced from the</w:t>
      </w:r>
      <w:r>
        <w:t xml:space="preserve"> </w:t>
      </w:r>
      <w:r>
        <w:t xml:space="preserve">EU ETS. From 2020 to 2025, the Innovation Fund has given over EUR 4,8 bn in support of</w:t>
      </w:r>
      <w:r>
        <w:t xml:space="preserve"> </w:t>
      </w:r>
      <w:r>
        <w:t xml:space="preserve">projects that decarbonise the transport sector, representing more than 35% of the funds</w:t>
      </w:r>
      <w:r>
        <w:t xml:space="preserve"> </w:t>
      </w:r>
      <w:r>
        <w:t xml:space="preserve">committed. These projects support the production and use of sustainable fuels, the</w:t>
      </w:r>
      <w:r>
        <w:t xml:space="preserve"> </w:t>
      </w:r>
      <w:r>
        <w:t xml:space="preserve">electrification of transport systems, the manufacturing and recycling of batteries for electric</w:t>
      </w:r>
      <w:r>
        <w:t xml:space="preserve"> </w:t>
      </w:r>
      <w:r>
        <w:t xml:space="preserve">vehicles, the building and/or retrofitting of low- and zero carbon ships, airplanes and heavy-</w:t>
      </w:r>
      <w:r>
        <w:t xml:space="preserve"> </w:t>
      </w:r>
      <w:r>
        <w:t xml:space="preserve">duty vehicles.</w:t>
      </w:r>
    </w:p>
    <w:p>
      <w:pPr>
        <w:pStyle w:val="BodyText"/>
      </w:pPr>
      <w:r>
        <w:t xml:space="preserve">313 COM(2026) 111 final COMMUNICATION FROM THE COMMISSION TO THE EUROPEAN</w:t>
      </w:r>
      <w:r>
        <w:t xml:space="preserve"> </w:t>
      </w:r>
      <w:r>
        <w:t xml:space="preserve">PARLIAMENT, THE COUNCIL, THE EUROPEAN ECONOMIC AND SOCIAL COMMITTEE AND</w:t>
      </w:r>
      <w:r>
        <w:t xml:space="preserve"> </w:t>
      </w:r>
      <w:r>
        <w:t xml:space="preserve">THE COMMITTEE OF THE REGIONS on the EU Industrial Maritime Strategy</w:t>
      </w:r>
      <w:r>
        <w:t xml:space="preserve"> </w:t>
      </w:r>
      <w:r>
        <w:t xml:space="preserve">314 EU Climate Action Progress Report 2025: Strengthening competitiveness on the road to climate neutrality</w:t>
      </w:r>
      <w:r>
        <w:t xml:space="preserve"> </w:t>
      </w:r>
      <w:r>
        <w:t xml:space="preserve">Chapter 2 - The EU Emission Trading System - Climate Action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The largest share of mobility projects in the Innovation Fund portfolio is related to fuel</w:t>
      </w:r>
      <w:r>
        <w:t xml:space="preserve"> </w:t>
      </w:r>
      <w:r>
        <w:t xml:space="preserve">production (47 projects). Over 45 % of these projects are expected to exclusively supply their</w:t>
      </w:r>
      <w:r>
        <w:t xml:space="preserve"> </w:t>
      </w:r>
      <w:r>
        <w:t xml:space="preserve">production to the transport sector, while the rest plan to have multiple potential off-takers,</w:t>
      </w:r>
      <w:r>
        <w:t xml:space="preserve"> </w:t>
      </w:r>
      <w:r>
        <w:t xml:space="preserve">transport being among the key beneficiaries. Notably, the Innovation Fund supports hydrogen</w:t>
      </w:r>
      <w:r>
        <w:t xml:space="preserve"> </w:t>
      </w:r>
      <w:r>
        <w:t xml:space="preserve">production, a key fuel and feedstock to produce eFuels and other synthetic fuels. While the</w:t>
      </w:r>
      <w:r>
        <w:t xml:space="preserve"> </w:t>
      </w:r>
      <w:r>
        <w:t xml:space="preserve">Innovation Fund is open in principle to all companies around the world, the production of fuels</w:t>
      </w:r>
      <w:r>
        <w:t xml:space="preserve"> </w:t>
      </w:r>
      <w:r>
        <w:t xml:space="preserve">is supported exclusively within the EU. Therefore, the Innovation Fund is not suited to support</w:t>
      </w:r>
      <w:r>
        <w:t xml:space="preserve"> </w:t>
      </w:r>
      <w:r>
        <w:t xml:space="preserve">projects of Just and Equitable transition in SIDS and LDCs.</w:t>
      </w:r>
      <w:r>
        <w:br/>
      </w:r>
      <w:r>
        <w:t xml:space="preserve">Figure 1:</w:t>
      </w:r>
      <w:r>
        <w:t xml:space="preserve"> </w:t>
      </w:r>
      <w:r>
        <w:t xml:space="preserve">Projects supported by the Innovation Fund since 2020</w:t>
      </w:r>
    </w:p>
    <w:p>
      <w:pPr>
        <w:pStyle w:val="BodyText"/>
      </w:pPr>
      <w:r>
        <w:t xml:space="preserve">Source: EC, Innovation Fund – Mobility factsheet315</w:t>
      </w:r>
      <w:r>
        <w:br/>
      </w:r>
      <w:r>
        <w:t xml:space="preserve">For the maritime sector which has only become explicitly eligible to IF calls since the last EU</w:t>
      </w:r>
      <w:r>
        <w:t xml:space="preserve"> </w:t>
      </w:r>
      <w:r>
        <w:t xml:space="preserve">ETS Revision, the Fund covers, among others, the production and use of sustainable fuels, the</w:t>
      </w:r>
      <w:r>
        <w:t xml:space="preserve"> </w:t>
      </w:r>
      <w:r>
        <w:t xml:space="preserve">electrification of the maritime transport system, and the building and/or retrofitting of low- and</w:t>
      </w:r>
      <w:r>
        <w:t xml:space="preserve"> </w:t>
      </w:r>
      <w:r>
        <w:t xml:space="preserve">zero carbon vessels. In this context, 20 million allowances will be deployed up to 2030 to</w:t>
      </w:r>
      <w:r>
        <w:t xml:space="preserve"> </w:t>
      </w:r>
      <w:r>
        <w:t xml:space="preserve">support the decarbonisation of the sector through the Innovation Fund. Until the beginning of</w:t>
      </w:r>
      <w:r>
        <w:t xml:space="preserve"> </w:t>
      </w:r>
      <w:r>
        <w:t xml:space="preserve">2026, the Commission already supports 21 maritime related projects with a total of EUR 1,03</w:t>
      </w:r>
      <w:r>
        <w:t xml:space="preserve"> </w:t>
      </w:r>
      <w:r>
        <w:t xml:space="preserve">bn, including EUR 365,3 million through auctions for hydrogen-based fuels and EUR 202,3</w:t>
      </w:r>
      <w:r>
        <w:t xml:space="preserve"> </w:t>
      </w:r>
      <w:r>
        <w:t xml:space="preserve">million for projects related to construction/retrofitting of vessels.</w:t>
      </w:r>
      <w:r>
        <w:br/>
      </w:r>
      <w:r>
        <w:t xml:space="preserve">Additionally, the Commission established the “auction as a service” and the “grants as a</w:t>
      </w:r>
      <w:r>
        <w:t xml:space="preserve"> </w:t>
      </w:r>
      <w:r>
        <w:t xml:space="preserve">service” mechanism, which enables Member States to use their national budget resources to</w:t>
      </w:r>
      <w:r>
        <w:t xml:space="preserve"> </w:t>
      </w:r>
      <w:r>
        <w:t xml:space="preserve">award support to projects (including maritime) located on their territory, while leveraging on</w:t>
      </w:r>
      <w:r>
        <w:t xml:space="preserve"> </w:t>
      </w:r>
      <w:r>
        <w:t xml:space="preserve">the EU-wide competition and Innovation Fund evaluation and selection mechanism to identify</w:t>
      </w:r>
      <w:r>
        <w:t xml:space="preserve"> </w:t>
      </w:r>
      <w:r>
        <w:t xml:space="preserve">the most competitive projects.</w:t>
      </w:r>
      <w:r>
        <w:t xml:space="preserve"> </w:t>
      </w:r>
      <w:r>
        <w:t xml:space="preserve">Summary of stakeholder views from the OPC</w:t>
      </w:r>
    </w:p>
    <w:p>
      <w:pPr>
        <w:pStyle w:val="BodyText"/>
      </w:pPr>
      <w:r>
        <w:t xml:space="preserve">315 European Commission: European Climate, Infrastructure and Environment Executive Agency, Driving</w:t>
      </w:r>
      <w:r>
        <w:t xml:space="preserve"> </w:t>
      </w:r>
      <w:r>
        <w:t xml:space="preserve">decarbonisation in mobility through the Innovation Fund, Digital publications, 5 November 2025.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Thirty-one stakeholders mentioned the use of ETS revenues to support maritime</w:t>
      </w:r>
      <w:r>
        <w:t xml:space="preserve"> </w:t>
      </w:r>
      <w:r>
        <w:t xml:space="preserve">decarbonisation. Stakeholders highlighted several areas where EU ETS revenues could be used</w:t>
      </w:r>
      <w:r>
        <w:t xml:space="preserve"> </w:t>
      </w:r>
      <w:r>
        <w:t xml:space="preserve">to drive decarbonisation, including:</w:t>
      </w:r>
      <w:r>
        <w:br/>
      </w:r>
      <w:r>
        <w:t xml:space="preserve">• Support the maritime sector in reducing GHG emissions, including companies, vessels</w:t>
      </w:r>
      <w:r>
        <w:t xml:space="preserve"> </w:t>
      </w:r>
      <w:r>
        <w:t xml:space="preserve">and operations.</w:t>
      </w:r>
      <w:r>
        <w:br/>
      </w:r>
      <w:r>
        <w:t xml:space="preserve">• Invest in clean fuels, technologies and infrastructure to enable the transition to low and</w:t>
      </w:r>
      <w:r>
        <w:t xml:space="preserve"> </w:t>
      </w:r>
      <w:r>
        <w:t xml:space="preserve">zero emission shipping.</w:t>
      </w:r>
      <w:r>
        <w:br/>
      </w:r>
      <w:r>
        <w:t xml:space="preserve">• Ensure EU ETS revenues are specifically and reliably used for maritime</w:t>
      </w:r>
      <w:r>
        <w:t xml:space="preserve"> </w:t>
      </w:r>
      <w:r>
        <w:t xml:space="preserve">decarbonisation, so the funds support the sector’s transition and allow long-term</w:t>
      </w:r>
      <w:r>
        <w:t xml:space="preserve"> </w:t>
      </w:r>
      <w:r>
        <w:t xml:space="preserve">planning.</w:t>
      </w:r>
      <w:r>
        <w:br/>
      </w:r>
      <w:r>
        <w:t xml:space="preserve">Twenty-three stakeholders highlighted the importance of bridging fuel cost gaps. Stakeholders</w:t>
      </w:r>
      <w:r>
        <w:t xml:space="preserve"> </w:t>
      </w:r>
      <w:r>
        <w:t xml:space="preserve">highlighted that alternative fuels are currently significantly more expensive than conventional</w:t>
      </w:r>
      <w:r>
        <w:t xml:space="preserve"> </w:t>
      </w:r>
      <w:r>
        <w:t xml:space="preserve">marine fuels, creating a financial barrier that hinders their adoption. Key suggestions to tackle</w:t>
      </w:r>
      <w:r>
        <w:t xml:space="preserve"> </w:t>
      </w:r>
      <w:r>
        <w:t xml:space="preserve">this included:</w:t>
      </w:r>
      <w:r>
        <w:br/>
      </w:r>
      <w:r>
        <w:t xml:space="preserve">• Reduce the financial burden on shipowners and operators by making alternative fuels</w:t>
      </w:r>
      <w:r>
        <w:t xml:space="preserve"> </w:t>
      </w:r>
      <w:r>
        <w:t xml:space="preserve">more economically viable until they reach price parity with conventional fuels.</w:t>
      </w:r>
      <w:r>
        <w:br/>
      </w:r>
      <w:r>
        <w:t xml:space="preserve">• Provide targeted support for early-stage uptake of sustainable fuels, ensuring that</w:t>
      </w:r>
      <w:r>
        <w:t xml:space="preserve"> </w:t>
      </w:r>
      <w:r>
        <w:t xml:space="preserve">incentives help overcome initial market barriers.</w:t>
      </w:r>
      <w:r>
        <w:br/>
      </w:r>
      <w:r>
        <w:t xml:space="preserve">Fourteen stakeholders also mentioned the use of financial mechanisms, including the use of the</w:t>
      </w:r>
      <w:r>
        <w:t xml:space="preserve"> </w:t>
      </w:r>
      <w:r>
        <w:t xml:space="preserve">Innovation Fund, to support maritime decarbonisation and six stakeholders proposed measures</w:t>
      </w:r>
      <w:r>
        <w:t xml:space="preserve"> </w:t>
      </w:r>
      <w:r>
        <w:t xml:space="preserve">to support fleet renewal, retrofitting, and deployment of clean technologies.</w:t>
      </w:r>
      <w:r>
        <w:t xml:space="preserve"> </w:t>
      </w:r>
      <w:r>
        <w:t xml:space="preserve">1.2. Policy measures</w:t>
      </w:r>
      <w:r>
        <w:t xml:space="preserve"> </w:t>
      </w:r>
      <w:r>
        <w:t xml:space="preserve">Establishment of an EU ETS support mechanism for Sustainable Maritime Alternative</w:t>
      </w:r>
      <w:r>
        <w:t xml:space="preserve"> </w:t>
      </w:r>
      <w:r>
        <w:t xml:space="preserve">Propulsion (SMAP)</w:t>
      </w:r>
      <w:r>
        <w:t xml:space="preserve"> </w:t>
      </w:r>
      <w:r>
        <w:t xml:space="preserve">This policy measure considers whether a similar but broader approach to the ETS SAF</w:t>
      </w:r>
      <w:r>
        <w:t xml:space="preserve"> </w:t>
      </w:r>
      <w:r>
        <w:t xml:space="preserve">mechanism could be used to effectively support the uptake of renewable and low-carbon</w:t>
      </w:r>
      <w:r>
        <w:t xml:space="preserve"> </w:t>
      </w:r>
      <w:r>
        <w:t xml:space="preserve">maritime propulsion, as well as the uptake of appropriate low-carbon technologies. The</w:t>
      </w:r>
      <w:r>
        <w:t xml:space="preserve"> </w:t>
      </w:r>
      <w:r>
        <w:t xml:space="preserve">aviation mechanism is established under the EU ETS Directive (Article 3c(6)). It uses</w:t>
      </w:r>
      <w:r>
        <w:t xml:space="preserve"> </w:t>
      </w:r>
      <w:r>
        <w:t xml:space="preserve">allowances to incentivise the uptake of SAF by airlines on ETS flights by covering the price</w:t>
      </w:r>
      <w:r>
        <w:t xml:space="preserve"> </w:t>
      </w:r>
      <w:r>
        <w:t xml:space="preserve">gap between SAF and fossil kerosene.</w:t>
      </w:r>
      <w:r>
        <w:t xml:space="preserve"> </w:t>
      </w:r>
      <w:r>
        <w:t xml:space="preserve">As a first step, it is necessary to acknowledge that the situation in maritime differs from aviation</w:t>
      </w:r>
      <w:r>
        <w:t xml:space="preserve"> </w:t>
      </w:r>
      <w:r>
        <w:t xml:space="preserve">as there is a wider range of clean propulsion options, renewable and low-carbon fuels in</w:t>
      </w:r>
      <w:r>
        <w:t xml:space="preserve"> </w:t>
      </w:r>
      <w:r>
        <w:t xml:space="preserve">maritime transport, whereas in aviation there is broadly only green kerosene (though produced</w:t>
      </w:r>
      <w:r>
        <w:t xml:space="preserve"> </w:t>
      </w:r>
      <w:r>
        <w:t xml:space="preserve">via different routes and feedstocks) alongside electrification in the coming years. This range of</w:t>
      </w:r>
      <w:r>
        <w:t xml:space="preserve"> </w:t>
      </w:r>
      <w:r>
        <w:t xml:space="preserve">propulsion pathways for the maritime sector should be supported, though this can add</w:t>
      </w:r>
      <w:r>
        <w:t xml:space="preserve"> </w:t>
      </w:r>
      <w:r>
        <w:t xml:space="preserve">complexity to a support mechanism.</w:t>
      </w:r>
      <w:r>
        <w:br/>
      </w:r>
      <w:r>
        <w:t xml:space="preserve">A future Sustainable Maritime Alternative Propulsion (SMAP) mechanism could have various</w:t>
      </w:r>
      <w:r>
        <w:t xml:space="preserve"> </w:t>
      </w:r>
      <w:r>
        <w:t xml:space="preserve">aims, primarily to support the production of renewable and low-carbon maritime fuels in</w:t>
      </w:r>
      <w:r>
        <w:t xml:space="preserve"> </w:t>
      </w:r>
      <w:r>
        <w:t xml:space="preserve">Europe by reducing the price gap compared to fossil fuels and support the production and</w:t>
      </w:r>
      <w:r>
        <w:t xml:space="preserve"> </w:t>
      </w:r>
      <w:r>
        <w:t xml:space="preserve">manufacture of sustainable maritime clean propulsion in Europe, including the full range of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Net Zero maritime propulsion technologies listed in Union legislation316. In addition to</w:t>
      </w:r>
      <w:r>
        <w:t xml:space="preserve"> </w:t>
      </w:r>
      <w:r>
        <w:t xml:space="preserve">contributing to the decarbonisation of the maritime transport sector, such a mechanism could</w:t>
      </w:r>
      <w:r>
        <w:t xml:space="preserve"> </w:t>
      </w:r>
      <w:r>
        <w:t xml:space="preserve">also support the EU’s strategic autonomy by diversifying energy supplies, spurring innovation,</w:t>
      </w:r>
      <w:r>
        <w:t xml:space="preserve"> </w:t>
      </w:r>
      <w:r>
        <w:t xml:space="preserve">and contributing to creating new opportunities for industrial growth and job creation in the EU.</w:t>
      </w:r>
      <w:r>
        <w:br/>
      </w:r>
      <w:r>
        <w:t xml:space="preserve">In terms of design elements, different options could be considered, depending ultimately on</w:t>
      </w:r>
      <w:r>
        <w:t xml:space="preserve"> </w:t>
      </w:r>
      <w:r>
        <w:t xml:space="preserve">the chosen aim of the mechanism.</w:t>
      </w:r>
      <w:r>
        <w:t xml:space="preserve"> </w:t>
      </w:r>
      <w:r>
        <w:t xml:space="preserve">Table 1:</w:t>
      </w:r>
      <w:r>
        <w:t xml:space="preserve"> </w:t>
      </w:r>
      <w:r>
        <w:t xml:space="preserve">Possible design elements for a sustainable maritime alternative propulsion mechanism</w:t>
      </w:r>
      <w:r>
        <w:t xml:space="preserve"> </w:t>
      </w:r>
      <w:r>
        <w:t xml:space="preserve">Design</w:t>
      </w:r>
      <w:r>
        <w:t xml:space="preserve"> </w:t>
      </w:r>
      <w:r>
        <w:t xml:space="preserve">element</w:t>
      </w:r>
      <w:r>
        <w:t xml:space="preserve"> </w:t>
      </w:r>
      <w:r>
        <w:t xml:space="preserve">Options</w:t>
      </w:r>
      <w:r>
        <w:t xml:space="preserve"> </w:t>
      </w:r>
      <w:r>
        <w:t xml:space="preserve">Eligible fuels</w:t>
      </w:r>
      <w:r>
        <w:t xml:space="preserve"> </w:t>
      </w:r>
      <w:r>
        <w:t xml:space="preserve">or</w:t>
      </w:r>
      <w:r>
        <w:t xml:space="preserve"> </w:t>
      </w:r>
      <w:r>
        <w:t xml:space="preserve">technologies</w:t>
      </w:r>
      <w:r>
        <w:t xml:space="preserve"> </w:t>
      </w:r>
      <w:r>
        <w:t xml:space="preserve">•</w:t>
      </w:r>
      <w:r>
        <w:t xml:space="preserve"> </w:t>
      </w:r>
      <w:r>
        <w:t xml:space="preserve">Fuels produced and bunkered in the EU, and</w:t>
      </w:r>
      <w:r>
        <w:t xml:space="preserve"> </w:t>
      </w:r>
      <w:r>
        <w:t xml:space="preserve">•</w:t>
      </w:r>
      <w:r>
        <w:t xml:space="preserve"> </w:t>
      </w:r>
      <w:r>
        <w:t xml:space="preserve">Fuels zero-rated under EU ETS, or</w:t>
      </w:r>
      <w:r>
        <w:t xml:space="preserve"> </w:t>
      </w:r>
      <w:r>
        <w:t xml:space="preserve">•</w:t>
      </w:r>
      <w:r>
        <w:t xml:space="preserve"> </w:t>
      </w:r>
      <w:r>
        <w:t xml:space="preserve">Only certain types of fuels such as RFNBOs, or</w:t>
      </w:r>
      <w:r>
        <w:t xml:space="preserve"> </w:t>
      </w:r>
      <w:r>
        <w:t xml:space="preserve">•</w:t>
      </w:r>
      <w:r>
        <w:t xml:space="preserve"> </w:t>
      </w:r>
      <w:r>
        <w:t xml:space="preserve">Depending on what is (not) supported by a possible IMO mid-term</w:t>
      </w:r>
      <w:r>
        <w:t xml:space="preserve"> </w:t>
      </w:r>
      <w:r>
        <w:t xml:space="preserve">measure (e.g. reward mechanism)</w:t>
      </w:r>
      <w:r>
        <w:t xml:space="preserve"> </w:t>
      </w:r>
      <w:r>
        <w:t xml:space="preserve">•</w:t>
      </w:r>
      <w:r>
        <w:t xml:space="preserve"> </w:t>
      </w:r>
      <w:r>
        <w:t xml:space="preserve">Low carbon technologies such as wind propulsion assistance or ship</w:t>
      </w:r>
      <w:r>
        <w:t xml:space="preserve"> </w:t>
      </w:r>
      <w:r>
        <w:t xml:space="preserve">electrification:</w:t>
      </w:r>
      <w:r>
        <w:br/>
      </w:r>
      <w:r>
        <w:t xml:space="preserve">-</w:t>
      </w:r>
      <w:r>
        <w:t xml:space="preserve"> </w:t>
      </w:r>
      <w:r>
        <w:t xml:space="preserve">Flettner rotors</w:t>
      </w:r>
      <w:r>
        <w:t xml:space="preserve"> </w:t>
      </w:r>
      <w:r>
        <w:t xml:space="preserve">-</w:t>
      </w:r>
      <w:r>
        <w:t xml:space="preserve"> </w:t>
      </w:r>
      <w:r>
        <w:t xml:space="preserve">Suction wing sails</w:t>
      </w:r>
      <w:r>
        <w:t xml:space="preserve"> </w:t>
      </w:r>
      <w:r>
        <w:t xml:space="preserve">-</w:t>
      </w:r>
      <w:r>
        <w:t xml:space="preserve"> </w:t>
      </w:r>
      <w:r>
        <w:t xml:space="preserve">Towing kites</w:t>
      </w:r>
      <w:r>
        <w:t xml:space="preserve"> </w:t>
      </w:r>
      <w:r>
        <w:t xml:space="preserve">-</w:t>
      </w:r>
      <w:r>
        <w:t xml:space="preserve"> </w:t>
      </w:r>
      <w:r>
        <w:t xml:space="preserve">Rigid and semi-rigid wing sails</w:t>
      </w:r>
      <w:r>
        <w:t xml:space="preserve"> </w:t>
      </w:r>
      <w:r>
        <w:t xml:space="preserve">-</w:t>
      </w:r>
      <w:r>
        <w:t xml:space="preserve"> </w:t>
      </w:r>
      <w:r>
        <w:t xml:space="preserve">Electric propulsion systems for waterborne transport</w:t>
      </w:r>
      <w:r>
        <w:t xml:space="preserve"> </w:t>
      </w:r>
      <w:r>
        <w:t xml:space="preserve">Beneficiaries</w:t>
      </w:r>
      <w:r>
        <w:t xml:space="preserve"> </w:t>
      </w:r>
      <w:r>
        <w:t xml:space="preserve">•</w:t>
      </w:r>
      <w:r>
        <w:t xml:space="preserve"> </w:t>
      </w:r>
      <w:r>
        <w:t xml:space="preserve">Support could be received by shipping companies. Such an option would</w:t>
      </w:r>
      <w:r>
        <w:t xml:space="preserve"> </w:t>
      </w:r>
      <w:r>
        <w:t xml:space="preserve">be in line with the existing support design, and it would ensure</w:t>
      </w:r>
      <w:r>
        <w:t xml:space="preserve"> </w:t>
      </w:r>
      <w:r>
        <w:t xml:space="preserve">consistency with the logic of the ETS where the responsible entities are</w:t>
      </w:r>
      <w:r>
        <w:t xml:space="preserve"> </w:t>
      </w:r>
      <w:r>
        <w:t xml:space="preserve">the shipping companies.</w:t>
      </w:r>
      <w:r>
        <w:t xml:space="preserve"> </w:t>
      </w:r>
      <w:r>
        <w:t xml:space="preserve">•</w:t>
      </w:r>
      <w:r>
        <w:t xml:space="preserve"> </w:t>
      </w:r>
      <w:r>
        <w:t xml:space="preserve">Support could be directed to fuel/ propulsion mechanism producers.</w:t>
      </w:r>
      <w:r>
        <w:t xml:space="preserve"> </w:t>
      </w:r>
      <w:r>
        <w:t xml:space="preserve">Supporting the production side would entail a different design compared</w:t>
      </w:r>
      <w:r>
        <w:t xml:space="preserve"> </w:t>
      </w:r>
      <w:r>
        <w:t xml:space="preserve">to the existing ETS mechanism.</w:t>
      </w:r>
      <w:r>
        <w:t xml:space="preserve"> </w:t>
      </w:r>
      <w:r>
        <w:t xml:space="preserve">•</w:t>
      </w:r>
      <w:r>
        <w:t xml:space="preserve"> </w:t>
      </w:r>
      <w:r>
        <w:t xml:space="preserve">When linked to other technologies, support could be directed to</w:t>
      </w:r>
      <w:r>
        <w:t xml:space="preserve"> </w:t>
      </w:r>
      <w:r>
        <w:t xml:space="preserve">intermediaries providing performance-based services to decarbonise</w:t>
      </w:r>
      <w:r>
        <w:t xml:space="preserve"> </w:t>
      </w:r>
      <w:r>
        <w:t xml:space="preserve">shipping, e.g. Energy Service Companies offering performance-based</w:t>
      </w:r>
      <w:r>
        <w:t xml:space="preserve"> </w:t>
      </w:r>
      <w:r>
        <w:t xml:space="preserve">contracts to finance, install and maintain low-carbon solutions leading to</w:t>
      </w:r>
      <w:r>
        <w:t xml:space="preserve"> </w:t>
      </w:r>
      <w:r>
        <w:t xml:space="preserve">guaranteed fuel savings.</w:t>
      </w:r>
    </w:p>
    <w:p>
      <w:pPr>
        <w:pStyle w:val="BodyText"/>
      </w:pPr>
      <w:r>
        <w:t xml:space="preserve">How the price</w:t>
      </w:r>
      <w:r>
        <w:t xml:space="preserve"> </w:t>
      </w:r>
      <w:r>
        <w:t xml:space="preserve">difference</w:t>
      </w:r>
      <w:r>
        <w:t xml:space="preserve"> </w:t>
      </w:r>
      <w:r>
        <w:t xml:space="preserve">could be</w:t>
      </w:r>
      <w:r>
        <w:t xml:space="preserve"> </w:t>
      </w:r>
      <w:r>
        <w:t xml:space="preserve">calculated</w:t>
      </w:r>
      <w:r>
        <w:t xml:space="preserve"> </w:t>
      </w:r>
      <w:r>
        <w:t xml:space="preserve">price difference = eligible fuel price - (fossil fuel price + ETS price + FuelEU</w:t>
      </w:r>
      <w:r>
        <w:t xml:space="preserve"> </w:t>
      </w:r>
      <w:r>
        <w:t xml:space="preserve">over-compliance reward through pooling + FuelEU avoided penalties + possible</w:t>
      </w:r>
      <w:r>
        <w:t xml:space="preserve"> </w:t>
      </w:r>
      <w:r>
        <w:t xml:space="preserve">carbon pricing or reward from an IMO mid-term measure + [other relevant</w:t>
      </w:r>
      <w:r>
        <w:t xml:space="preserve"> </w:t>
      </w:r>
      <w:r>
        <w:t xml:space="preserve">monetary benefits])</w:t>
      </w:r>
      <w:r>
        <w:t xml:space="preserve"> </w:t>
      </w:r>
      <w:r>
        <w:t xml:space="preserve">Level of</w:t>
      </w:r>
      <w:r>
        <w:t xml:space="preserve"> </w:t>
      </w:r>
      <w:r>
        <w:t xml:space="preserve">support</w:t>
      </w:r>
      <w:r>
        <w:t xml:space="preserve"> </w:t>
      </w:r>
      <w:r>
        <w:t xml:space="preserve">•</w:t>
      </w:r>
      <w:r>
        <w:t xml:space="preserve"> </w:t>
      </w:r>
      <w:r>
        <w:t xml:space="preserve">Level of support could be differentiated by type of fuel or propulsion</w:t>
      </w:r>
      <w:r>
        <w:t xml:space="preserve"> </w:t>
      </w:r>
      <w:r>
        <w:t xml:space="preserve">technology.</w:t>
      </w:r>
      <w:r>
        <w:t xml:space="preserve"> </w:t>
      </w:r>
      <w:r>
        <w:t xml:space="preserve">•</w:t>
      </w:r>
      <w:r>
        <w:t xml:space="preserve"> </w:t>
      </w:r>
      <w:r>
        <w:t xml:space="preserve">Priority could be given to EU origin (targeted EU preference criteria)</w:t>
      </w:r>
      <w:r>
        <w:t xml:space="preserve"> </w:t>
      </w:r>
      <w:r>
        <w:t xml:space="preserve">•</w:t>
      </w:r>
      <w:r>
        <w:t xml:space="preserve"> </w:t>
      </w:r>
      <w:r>
        <w:t xml:space="preserve">Another basis for differentiation could be the level of technology</w:t>
      </w:r>
      <w:r>
        <w:t xml:space="preserve"> </w:t>
      </w:r>
      <w:r>
        <w:t xml:space="preserve">readiness and commercial availability, with alternative fuels with high</w:t>
      </w:r>
    </w:p>
    <w:p>
      <w:pPr>
        <w:pStyle w:val="BodyText"/>
      </w:pPr>
      <w:r>
        <w:t xml:space="preserve">316 See Commission Implementing Regulation (EU) 2025/1178 of 23 May 2025 on laying down rules for the</w:t>
      </w:r>
      <w:r>
        <w:t xml:space="preserve"> </w:t>
      </w:r>
      <w:r>
        <w:t xml:space="preserve">application of Regulation (EU) 2024/1735 of the European Parliament and of the Council as regards the list</w:t>
      </w:r>
      <w:r>
        <w:t xml:space="preserve"> </w:t>
      </w:r>
      <w:r>
        <w:t xml:space="preserve">of net-zero technology final products and their main specific components for the purposes of assessing the</w:t>
      </w:r>
      <w:r>
        <w:t xml:space="preserve"> </w:t>
      </w:r>
      <w:r>
        <w:t xml:space="preserve">contribution to resilience.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decarbonization potential but currently low readiness receiving higher</w:t>
      </w:r>
      <w:r>
        <w:t xml:space="preserve"> </w:t>
      </w:r>
      <w:r>
        <w:t xml:space="preserve">level of support, and fuels with limited market but high potential</w:t>
      </w:r>
      <w:r>
        <w:t xml:space="preserve"> </w:t>
      </w:r>
      <w:r>
        <w:t xml:space="preserve">receiving priority support until a more liquid market develops.</w:t>
      </w:r>
      <w:r>
        <w:br/>
      </w:r>
      <w:r>
        <w:t xml:space="preserve">•</w:t>
      </w:r>
      <w:r>
        <w:t xml:space="preserve"> </w:t>
      </w:r>
      <w:r>
        <w:t xml:space="preserve">A phased-approach could also be implemented with alternative</w:t>
      </w:r>
      <w:r>
        <w:t xml:space="preserve"> </w:t>
      </w:r>
      <w:r>
        <w:t xml:space="preserve">propulsion receiving a higher level of support in the first years, which is</w:t>
      </w:r>
      <w:r>
        <w:t xml:space="preserve"> </w:t>
      </w:r>
      <w:r>
        <w:t xml:space="preserve">then reduced over time and phased out eventually.</w:t>
      </w:r>
      <w:r>
        <w:br/>
      </w:r>
      <w:r>
        <w:t xml:space="preserve">•</w:t>
      </w:r>
      <w:r>
        <w:t xml:space="preserve"> </w:t>
      </w:r>
      <w:r>
        <w:t xml:space="preserve">Another basis for differentiation could be location, so as not to</w:t>
      </w:r>
      <w:r>
        <w:t xml:space="preserve"> </w:t>
      </w:r>
      <w:r>
        <w:t xml:space="preserve">discourage remote areas or specific situations.</w:t>
      </w:r>
      <w:r>
        <w:t xml:space="preserve"> </w:t>
      </w:r>
      <w:r>
        <w:t xml:space="preserve">Type of</w:t>
      </w:r>
      <w:r>
        <w:t xml:space="preserve"> </w:t>
      </w:r>
      <w:r>
        <w:t xml:space="preserve">incentive</w:t>
      </w:r>
      <w:r>
        <w:t xml:space="preserve"> </w:t>
      </w:r>
      <w:r>
        <w:t xml:space="preserve">•</w:t>
      </w:r>
      <w:r>
        <w:t xml:space="preserve"> </w:t>
      </w:r>
      <w:r>
        <w:t xml:space="preserve">EUAs could be provided to shipping companies to cover a certain part of</w:t>
      </w:r>
      <w:r>
        <w:t xml:space="preserve"> </w:t>
      </w:r>
      <w:r>
        <w:t xml:space="preserve">the price gap between eligible activity and fossil reference. A potential</w:t>
      </w:r>
      <w:r>
        <w:t xml:space="preserve"> </w:t>
      </w:r>
      <w:r>
        <w:t xml:space="preserve">formula to allocate the allowances to shipping companies could be the</w:t>
      </w:r>
      <w:r>
        <w:t xml:space="preserve"> </w:t>
      </w:r>
      <w:r>
        <w:t xml:space="preserve">following: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Direct financial subsidy through e.g. bidding / auctioning system</w:t>
      </w:r>
      <w:r>
        <w:t xml:space="preserve"> </w:t>
      </w:r>
      <w:r>
        <w:t xml:space="preserve">Timeline:</w:t>
      </w:r>
      <w:r>
        <w:t xml:space="preserve"> </w:t>
      </w:r>
      <w:r>
        <w:t xml:space="preserve">•</w:t>
      </w:r>
      <w:r>
        <w:t xml:space="preserve"> </w:t>
      </w:r>
      <w:r>
        <w:t xml:space="preserve">Built on the compliance cycle of EU ETS;</w:t>
      </w:r>
      <w:r>
        <w:br/>
      </w:r>
      <w:r>
        <w:t xml:space="preserve">•</w:t>
      </w:r>
      <w:r>
        <w:t xml:space="preserve"> </w:t>
      </w:r>
      <w:r>
        <w:t xml:space="preserve">Depending on timeline linked to a possible IMO mid-term measure; or,</w:t>
      </w:r>
      <w:r>
        <w:t xml:space="preserve"> </w:t>
      </w:r>
      <w:r>
        <w:t xml:space="preserve">•</w:t>
      </w:r>
      <w:r>
        <w:t xml:space="preserve"> </w:t>
      </w:r>
      <w:r>
        <w:t xml:space="preserve">Until reserve of allowances is exhausted.</w:t>
      </w:r>
      <w:r>
        <w:t xml:space="preserve"> </w:t>
      </w:r>
      <w:r>
        <w:t xml:space="preserve">Scope</w:t>
      </w:r>
      <w:r>
        <w:t xml:space="preserve"> </w:t>
      </w:r>
      <w:r>
        <w:t xml:space="preserve">•</w:t>
      </w:r>
      <w:r>
        <w:t xml:space="preserve"> </w:t>
      </w:r>
      <w:r>
        <w:t xml:space="preserve">In line with the EU ETS scope; or,</w:t>
      </w:r>
      <w:r>
        <w:t xml:space="preserve"> </w:t>
      </w:r>
      <w:r>
        <w:t xml:space="preserve">•</w:t>
      </w:r>
      <w:r>
        <w:t xml:space="preserve"> </w:t>
      </w:r>
      <w:r>
        <w:t xml:space="preserve">EU MRV scope</w:t>
      </w:r>
      <w:r>
        <w:t xml:space="preserve"> </w:t>
      </w:r>
      <w:r>
        <w:t xml:space="preserve">Designing a future mechanism along the characteristics of SAF support would certainly bring</w:t>
      </w:r>
      <w:r>
        <w:t xml:space="preserve"> </w:t>
      </w:r>
      <w:r>
        <w:t xml:space="preserve">some benefits. It would ensure policy consistency and bring a coherent set of demand certainty</w:t>
      </w:r>
      <w:r>
        <w:t xml:space="preserve"> </w:t>
      </w:r>
      <w:r>
        <w:t xml:space="preserve">for technology and fuel producers. Current EU ETS SAF support is also a well-understood</w:t>
      </w:r>
      <w:r>
        <w:t xml:space="preserve"> </w:t>
      </w:r>
      <w:r>
        <w:t xml:space="preserve">system, and stakeholders seem to favour such an approach. However, to be effective, such a</w:t>
      </w:r>
      <w:r>
        <w:t xml:space="preserve"> </w:t>
      </w:r>
      <w:r>
        <w:t xml:space="preserve">mechanism needs to reflect the many particularities of maritime transport, including the many</w:t>
      </w:r>
      <w:r>
        <w:t xml:space="preserve"> </w:t>
      </w:r>
      <w:r>
        <w:t xml:space="preserve">propulsion options available to the sector. In this context, a possible mechanism could be</w:t>
      </w:r>
      <w:r>
        <w:t xml:space="preserve"> </w:t>
      </w:r>
      <w:r>
        <w:t xml:space="preserve">characterised by the following main elements:</w:t>
      </w:r>
      <w:r>
        <w:t xml:space="preserve"> </w:t>
      </w:r>
      <w:r>
        <w:t xml:space="preserve">Table 2:</w:t>
      </w:r>
      <w:r>
        <w:t xml:space="preserve"> </w:t>
      </w:r>
      <w:r>
        <w:t xml:space="preserve">Key aspects of a SAF-like sustainable maritime alternative propulsion mechanism</w:t>
      </w:r>
      <w:r>
        <w:t xml:space="preserve"> </w:t>
      </w:r>
      <w:r>
        <w:t xml:space="preserve">Key aspects</w:t>
      </w:r>
      <w:r>
        <w:t xml:space="preserve"> </w:t>
      </w:r>
      <w:r>
        <w:t xml:space="preserve">Description</w:t>
      </w:r>
      <w:r>
        <w:br/>
      </w:r>
      <w:r>
        <w:t xml:space="preserve">Main purpose</w:t>
      </w:r>
      <w:r>
        <w:br/>
      </w:r>
      <w:r>
        <w:t xml:space="preserve">Incentivising fuel switch and other low-carbon propulsion technologies by</w:t>
      </w:r>
      <w:r>
        <w:t xml:space="preserve"> </w:t>
      </w:r>
      <w:r>
        <w:t xml:space="preserve">partially covering the price gap compared to the use of fossil fuel.</w:t>
      </w:r>
      <w:r>
        <w:t xml:space="preserve"> </w:t>
      </w:r>
      <w:r>
        <w:t xml:space="preserve">Incentivising EU technology fuel production (NZIA).</w:t>
      </w:r>
      <w:r>
        <w:br/>
      </w:r>
      <w:r>
        <w:t xml:space="preserve">Beneficiary</w:t>
      </w:r>
      <w:r>
        <w:br/>
      </w:r>
      <w:r>
        <w:t xml:space="preserve">Shipping company – ETS/MRV responsible entity.</w:t>
      </w:r>
      <w:r>
        <w:t xml:space="preserve"> </w:t>
      </w:r>
      <w:r>
        <w:t xml:space="preserve">Scope</w:t>
      </w:r>
      <w:r>
        <w:br/>
      </w:r>
      <w:r>
        <w:t xml:space="preserve">EU ETS scope:</w:t>
      </w:r>
      <w:r>
        <w:t xml:space="preserve"> </w:t>
      </w:r>
      <w:r>
        <w:t xml:space="preserve">•</w:t>
      </w:r>
      <w:r>
        <w:t xml:space="preserve"> </w:t>
      </w:r>
      <w:r>
        <w:t xml:space="preserve">100% of fuels/energy used/avoided for intra-EU voyages, or when the</w:t>
      </w:r>
      <w:r>
        <w:t xml:space="preserve"> </w:t>
      </w:r>
      <w:r>
        <w:t xml:space="preserve">ship is within EU ports;</w:t>
      </w:r>
      <w:r>
        <w:t xml:space="preserve"> </w:t>
      </w:r>
      <w:r>
        <w:t xml:space="preserve">•</w:t>
      </w:r>
      <w:r>
        <w:t xml:space="preserve"> </w:t>
      </w:r>
      <w:r>
        <w:t xml:space="preserve">50% of fuels/energy used/avoided for extra-EU voyages.</w:t>
      </w:r>
      <w:r>
        <w:t xml:space="preserve"> </w:t>
      </w:r>
      <w:r>
        <w:t xml:space="preserve">Type of</w:t>
      </w:r>
      <w:r>
        <w:t xml:space="preserve"> </w:t>
      </w:r>
      <w:r>
        <w:t xml:space="preserve">incentive</w:t>
      </w:r>
      <w:r>
        <w:br/>
      </w:r>
      <w:r>
        <w:t xml:space="preserve">EUAs</w:t>
      </w:r>
      <w:r>
        <w:br/>
      </w:r>
      <w:r>
        <w:t xml:space="preserve">Eligible fuels or</w:t>
      </w:r>
      <w:r>
        <w:t xml:space="preserve"> </w:t>
      </w:r>
      <w:r>
        <w:t xml:space="preserve">technologies</w:t>
      </w:r>
      <w:r>
        <w:br/>
      </w:r>
      <w:r>
        <w:t xml:space="preserve">Sustainable propulsion mechanisms and certified sustainable renewable and low-</w:t>
      </w:r>
      <w:r>
        <w:t xml:space="preserve"> </w:t>
      </w:r>
      <w:r>
        <w:t xml:space="preserve">carbon fuels produced and bunkered in Europe, as and if applicable subject to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zero-rating under the EU ETS and that fulfil specific life-cycle GHG intensity</w:t>
      </w:r>
      <w:r>
        <w:t xml:space="preserve"> </w:t>
      </w:r>
      <w:r>
        <w:t xml:space="preserve">limit to be determined.</w:t>
      </w:r>
      <w:r>
        <w:t xml:space="preserve"> </w:t>
      </w:r>
      <w:r>
        <w:t xml:space="preserve">Price difference</w:t>
      </w:r>
      <w:r>
        <w:t xml:space="preserve"> </w:t>
      </w:r>
      <w:r>
        <w:t xml:space="preserve">covered</w:t>
      </w:r>
      <w:r>
        <w:br/>
      </w:r>
      <w:r>
        <w:t xml:space="preserve">The share of price difference covered would take into account the criteria set</w:t>
      </w:r>
      <w:r>
        <w:t xml:space="preserve"> </w:t>
      </w:r>
      <w:r>
        <w:t xml:space="preserve">out in the above table, including the level of support envisaged for different</w:t>
      </w:r>
      <w:r>
        <w:t xml:space="preserve"> </w:t>
      </w:r>
      <w:r>
        <w:t xml:space="preserve">situations, E.g.</w:t>
      </w:r>
      <w:r>
        <w:t xml:space="preserve"> </w:t>
      </w:r>
      <w:r>
        <w:t xml:space="preserve">•</w:t>
      </w:r>
      <w:r>
        <w:t xml:space="preserve"> </w:t>
      </w:r>
      <w:r>
        <w:t xml:space="preserve">50% of the price gap for non-advanced biofuels or RFBNO fulfilling</w:t>
      </w:r>
      <w:r>
        <w:t xml:space="preserve"> </w:t>
      </w:r>
      <w:r>
        <w:t xml:space="preserve">the Renewable Energy Directive criteria, except for feed-based</w:t>
      </w:r>
      <w:r>
        <w:t xml:space="preserve"> </w:t>
      </w:r>
      <w:r>
        <w:t xml:space="preserve">biofuels;</w:t>
      </w:r>
      <w:r>
        <w:t xml:space="preserve"> </w:t>
      </w:r>
      <w:r>
        <w:t xml:space="preserve">•</w:t>
      </w:r>
      <w:r>
        <w:t xml:space="preserve"> </w:t>
      </w:r>
      <w:r>
        <w:t xml:space="preserve">70% for advanced biofuels;</w:t>
      </w:r>
      <w:r>
        <w:t xml:space="preserve"> </w:t>
      </w:r>
      <w:r>
        <w:t xml:space="preserve">•</w:t>
      </w:r>
      <w:r>
        <w:t xml:space="preserve"> </w:t>
      </w:r>
      <w:r>
        <w:t xml:space="preserve">90% for RFNBOs.</w:t>
      </w:r>
      <w:r>
        <w:t xml:space="preserve"> </w:t>
      </w:r>
      <w:r>
        <w:t xml:space="preserve">Timeline</w:t>
      </w:r>
      <w:r>
        <w:t xml:space="preserve"> </w:t>
      </w:r>
      <w:r>
        <w:t xml:space="preserve">•</w:t>
      </w:r>
      <w:r>
        <w:t xml:space="preserve"> </w:t>
      </w:r>
      <w:r>
        <w:t xml:space="preserve">Implementation harmonised with the ETS compliance mechanism (e.g. </w:t>
      </w:r>
      <w:r>
        <w:t xml:space="preserve"> </w:t>
      </w:r>
      <w:r>
        <w:t xml:space="preserve">monitoring, reporting and verification of fuel use embedded in the EU</w:t>
      </w:r>
      <w:r>
        <w:t xml:space="preserve"> </w:t>
      </w:r>
      <w:r>
        <w:t xml:space="preserve">MRV process and transfer of EUA through the ETS registry done by</w:t>
      </w:r>
      <w:r>
        <w:t xml:space="preserve"> </w:t>
      </w:r>
      <w:r>
        <w:t xml:space="preserve">Administering Authority).</w:t>
      </w:r>
      <w:r>
        <w:br/>
      </w:r>
      <w:r>
        <w:t xml:space="preserve">Other measures: Payments to IMO Fund for the benefit of Just and Equitable Transition in</w:t>
      </w:r>
      <w:r>
        <w:t xml:space="preserve"> </w:t>
      </w:r>
      <w:r>
        <w:t xml:space="preserve">SIDS and LDCs.</w:t>
      </w:r>
      <w:r>
        <w:br/>
      </w:r>
      <w:r>
        <w:t xml:space="preserve">This measure would imply reserving a certain share of revenues from auctioning allowances</w:t>
      </w:r>
      <w:r>
        <w:t xml:space="preserve"> </w:t>
      </w:r>
      <w:r>
        <w:t xml:space="preserve">concerning maritime emissions for payments on behalf of the EU to a possible future IMO</w:t>
      </w:r>
      <w:r>
        <w:t xml:space="preserve"> </w:t>
      </w:r>
      <w:r>
        <w:t xml:space="preserve">Fund to support the decarbonisation of the maritime sector. The payments would be paid to</w:t>
      </w:r>
      <w:r>
        <w:t xml:space="preserve"> </w:t>
      </w:r>
      <w:r>
        <w:t xml:space="preserve">such a future IMO Fund under the condition of benefitting projects in SIDS and LDC countries</w:t>
      </w:r>
      <w:r>
        <w:t xml:space="preserve"> </w:t>
      </w:r>
      <w:r>
        <w:t xml:space="preserve">to invest in shipping’s energy transition and to pursue a Just and Equitable Transition. Such</w:t>
      </w:r>
      <w:r>
        <w:t xml:space="preserve"> </w:t>
      </w:r>
      <w:r>
        <w:t xml:space="preserve">payments could also help to frontload a future IMO Fund in the first years, to ensure support</w:t>
      </w:r>
      <w:r>
        <w:t xml:space="preserve"> </w:t>
      </w:r>
      <w:r>
        <w:t xml:space="preserve">for SIDS and LDC countries at an early stage.</w:t>
      </w:r>
      <w:r>
        <w:t xml:space="preserve"> </w:t>
      </w:r>
      <w:r>
        <w:t xml:space="preserve">However, since the IMO adjourned its decision regarding the adoption of the IMO Net Zero</w:t>
      </w:r>
      <w:r>
        <w:t xml:space="preserve"> </w:t>
      </w:r>
      <w:r>
        <w:t xml:space="preserve">Framework until autumn 2026, it is not possible to establish the impact any potential payments</w:t>
      </w:r>
      <w:r>
        <w:t xml:space="preserve"> </w:t>
      </w:r>
      <w:r>
        <w:t xml:space="preserve">to such an IMO Fund would have nor how the payments would be distributed, and which</w:t>
      </w:r>
      <w:r>
        <w:t xml:space="preserve"> </w:t>
      </w:r>
      <w:r>
        <w:t xml:space="preserve">countries would benefit. In turn, it is not possible to assess how possible payments to the IMO</w:t>
      </w:r>
      <w:r>
        <w:t xml:space="preserve"> </w:t>
      </w:r>
      <w:r>
        <w:t xml:space="preserve">Fund would benefit the Just and Equitable Transition.</w:t>
      </w:r>
      <w:r>
        <w:br/>
      </w:r>
      <w:r>
        <w:t xml:space="preserve">Other measures: Further mobilising financing for the decarbonisation of maritime transport</w:t>
      </w:r>
      <w:r>
        <w:t xml:space="preserve"> </w:t>
      </w:r>
      <w:r>
        <w:t xml:space="preserve">through the Innovation Fund</w:t>
      </w:r>
      <w:r>
        <w:br/>
      </w:r>
      <w:r>
        <w:t xml:space="preserve">While the maritime sector already benefits from the Innovation Fund support to scale-up net-</w:t>
      </w:r>
      <w:r>
        <w:t xml:space="preserve"> </w:t>
      </w:r>
      <w:r>
        <w:t xml:space="preserve">zero and low-carbon technologies, the fund could further focus on the need of the sector, e.g. </w:t>
      </w:r>
      <w:r>
        <w:t xml:space="preserve"> </w:t>
      </w:r>
      <w:r>
        <w:t xml:space="preserve">by continuing proposing dedicated windows for maritime decarbonisation. In that respect, the</w:t>
      </w:r>
      <w:r>
        <w:t xml:space="preserve"> </w:t>
      </w:r>
      <w:r>
        <w:t xml:space="preserve">Commission already announced that it will open, in 2027, a dedicated maritime call. The</w:t>
      </w:r>
      <w:r>
        <w:t xml:space="preserve"> </w:t>
      </w:r>
      <w:r>
        <w:t xml:space="preserve">budget and scope of this call will be determined as appropriate by the Commission notably</w:t>
      </w:r>
      <w:r>
        <w:t xml:space="preserve"> </w:t>
      </w:r>
      <w:r>
        <w:t xml:space="preserve">based on the remaining Innovation Fund budget and the ETS pricing.</w:t>
      </w:r>
      <w:r>
        <w:t xml:space="preserve"> </w:t>
      </w:r>
      <w:r>
        <w:t xml:space="preserve">In practice, the Fund could continue to support the retrofitting of existing vessels and the</w:t>
      </w:r>
      <w:r>
        <w:t xml:space="preserve"> </w:t>
      </w:r>
      <w:r>
        <w:t xml:space="preserve">construction of new low or zero emission ships. It could allow supporting a wide range of</w:t>
      </w:r>
      <w:r>
        <w:t xml:space="preserve"> </w:t>
      </w:r>
      <w:r>
        <w:t xml:space="preserve">technologies, including alternative fuels (e.g. hydrogen, ammonia, methanol, biofuels),</w:t>
      </w:r>
      <w:r>
        <w:t xml:space="preserve"> </w:t>
      </w:r>
      <w:r>
        <w:t xml:space="preserve">propulsion systems (e.g. wind-assisted, battery-electric, hybrid) or energy efficiency measures</w:t>
      </w:r>
      <w:r>
        <w:t xml:space="preserve"> </w:t>
      </w:r>
      <w:r>
        <w:t xml:space="preserve">(e.g. waste heat recovery, hull design, air lubrication, optimisation tools). In addition, when</w:t>
      </w:r>
      <w:r>
        <w:t xml:space="preserve"> </w:t>
      </w:r>
      <w:r>
        <w:t xml:space="preserve">combined with the concept of “grant-as-a-service” or “auction-as-a-service”, dedicated</w:t>
      </w:r>
      <w:r>
        <w:t xml:space="preserve"> </w:t>
      </w:r>
      <w:r>
        <w:t xml:space="preserve">Innovation Fund windows for maritime would help mobilising additional national resources to</w:t>
      </w:r>
      <w:r>
        <w:t xml:space="preserve"> </w:t>
      </w:r>
      <w:r>
        <w:t xml:space="preserve">support the decarbonisation of the sector, including ETS auctioning revenues. It is not always</w:t>
      </w:r>
      <w:r>
        <w:t xml:space="preserve"> </w:t>
      </w:r>
      <w:r>
        <w:t xml:space="preserve">easy for Member States’ authorities to develop their own national programmes to support the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green transition of the shipping sector due to e.g. the cross-border nature of shipping (benefits</w:t>
      </w:r>
      <w:r>
        <w:t xml:space="preserve"> </w:t>
      </w:r>
      <w:r>
        <w:t xml:space="preserve">may occur outside the Member State providing support), the need to fulfil State aid rules, the</w:t>
      </w:r>
      <w:r>
        <w:t xml:space="preserve"> </w:t>
      </w:r>
      <w:r>
        <w:t xml:space="preserve">lack of precedent, the limited administrative capacity and technical expertise, the complexity</w:t>
      </w:r>
      <w:r>
        <w:t xml:space="preserve"> </w:t>
      </w:r>
      <w:r>
        <w:t xml:space="preserve">of the sector which entails different needs and solutions (e.g. short sea shipping vs deep sea</w:t>
      </w:r>
      <w:r>
        <w:t xml:space="preserve"> </w:t>
      </w:r>
      <w:r>
        <w:t xml:space="preserve">shipping) or the high technology diversity and uncertainty. For all these reasons, dedicated</w:t>
      </w:r>
      <w:r>
        <w:t xml:space="preserve"> </w:t>
      </w:r>
      <w:r>
        <w:t xml:space="preserve">maritime support under the Innovation Fund used as a vehicle for “grant-as-a-service” have the</w:t>
      </w:r>
      <w:r>
        <w:t xml:space="preserve"> </w:t>
      </w:r>
      <w:r>
        <w:t xml:space="preserve">potential to accelerate national action on shipping decarbonisation. They would allow Member</w:t>
      </w:r>
      <w:r>
        <w:t xml:space="preserve"> </w:t>
      </w:r>
      <w:r>
        <w:t xml:space="preserve">States to “plug into” a well-established EU system and to externalise the administering</w:t>
      </w:r>
      <w:r>
        <w:t xml:space="preserve"> </w:t>
      </w:r>
      <w:r>
        <w:t xml:space="preserve">complexity linked to the management of dedicated support programmes. Considering that</w:t>
      </w:r>
      <w:r>
        <w:t xml:space="preserve"> </w:t>
      </w:r>
      <w:r>
        <w:t xml:space="preserve">shipping is a pan-European and international industry, such a measure would also avoid</w:t>
      </w:r>
      <w:r>
        <w:t xml:space="preserve"> </w:t>
      </w:r>
      <w:r>
        <w:t xml:space="preserve">fragmentation and distortions in the market. It could also help address the risk of non-</w:t>
      </w:r>
      <w:r>
        <w:t xml:space="preserve"> </w:t>
      </w:r>
      <w:r>
        <w:t xml:space="preserve">compliance with State-aid rules.</w:t>
      </w:r>
      <w:r>
        <w:br/>
      </w:r>
      <w:r>
        <w:t xml:space="preserve">In addition, the Industrial Decarbonisation Bank is expected to play an important role in</w:t>
      </w:r>
      <w:r>
        <w:t xml:space="preserve"> </w:t>
      </w:r>
      <w:r>
        <w:t xml:space="preserve">supporting the production of sustainable maritime fuels. It will support projects with carbon</w:t>
      </w:r>
      <w:r>
        <w:t xml:space="preserve"> </w:t>
      </w:r>
      <w:r>
        <w:t xml:space="preserve">emission reduction as a metric to enable technology-neutral support across industrial sectors,</w:t>
      </w:r>
      <w:r>
        <w:t xml:space="preserve"> </w:t>
      </w:r>
      <w:r>
        <w:t xml:space="preserve">including through carbon contracts for difference. It will be designed to ensure a competitive</w:t>
      </w:r>
      <w:r>
        <w:t xml:space="preserve"> </w:t>
      </w:r>
      <w:r>
        <w:t xml:space="preserve">selection and a fair distribution of support across Member States. It will complement the ETS</w:t>
      </w:r>
      <w:r>
        <w:t xml:space="preserve"> </w:t>
      </w:r>
      <w:r>
        <w:t xml:space="preserve">price signal and help bridge the funding gap in both capital and operational expenditures.</w:t>
      </w:r>
      <w:r>
        <w:t xml:space="preserve"> </w:t>
      </w:r>
      <w:r>
        <w:t xml:space="preserve">1.3. Assessment of policy measures</w:t>
      </w:r>
      <w:r>
        <w:t xml:space="preserve"> </w:t>
      </w:r>
      <w:r>
        <w:t xml:space="preserve">1.3.1. Economic impacts</w:t>
      </w:r>
      <w:r>
        <w:t xml:space="preserve"> </w:t>
      </w:r>
      <w:r>
        <w:t xml:space="preserve">Increasing the recycling of EU ETS revenues in the maritime sector through a new sustainable</w:t>
      </w:r>
      <w:r>
        <w:t xml:space="preserve"> </w:t>
      </w:r>
      <w:r>
        <w:t xml:space="preserve">maritime alternative propulsion mechanism would improve the economic viability and</w:t>
      </w:r>
      <w:r>
        <w:t xml:space="preserve"> </w:t>
      </w:r>
      <w:r>
        <w:t xml:space="preserve">attractiveness of shipping decarbonisation solutions.</w:t>
      </w:r>
      <w:r>
        <w:t xml:space="preserve"> </w:t>
      </w:r>
      <w:r>
        <w:t xml:space="preserve">However, such economic impacts would largely depend on the funding volume allocated to the</w:t>
      </w:r>
      <w:r>
        <w:t xml:space="preserve"> </w:t>
      </w:r>
      <w:r>
        <w:t xml:space="preserve">mechanism. For this analysis, two different approaches have been considered. The first</w:t>
      </w:r>
      <w:r>
        <w:t xml:space="preserve"> </w:t>
      </w:r>
      <w:r>
        <w:t xml:space="preserve">approach aims to support the uptake of RFNBO as additional support to reach the levels in</w:t>
      </w:r>
      <w:r>
        <w:t xml:space="preserve"> </w:t>
      </w:r>
      <w:r>
        <w:t xml:space="preserve">FuelEU maritime (reaching at least 2%/year as from 2034). The second approach considers a</w:t>
      </w:r>
      <w:r>
        <w:t xml:space="preserve"> </w:t>
      </w:r>
      <w:r>
        <w:t xml:space="preserve">volume of funding estimated based on a SAF-like share approach as used in the current ETS</w:t>
      </w:r>
      <w:r>
        <w:t xml:space="preserve"> </w:t>
      </w:r>
      <w:r>
        <w:t xml:space="preserve">Directive.</w:t>
      </w:r>
      <w:r>
        <w:br/>
      </w:r>
      <w:r>
        <w:t xml:space="preserve">The table below shows the estimated economic impacts of each option, assuming a sustainable</w:t>
      </w:r>
      <w:r>
        <w:t xml:space="preserve"> </w:t>
      </w:r>
      <w:r>
        <w:t xml:space="preserve">maritime alternative propulsion mechanism designed in coherence with the current EU ETS</w:t>
      </w:r>
      <w:r>
        <w:t xml:space="preserve"> </w:t>
      </w:r>
      <w:r>
        <w:t xml:space="preserve">support (see table above on key aspects). Establishing a sustainable maritime alternative</w:t>
      </w:r>
      <w:r>
        <w:t xml:space="preserve"> </w:t>
      </w:r>
      <w:r>
        <w:t xml:space="preserve">propulsion mechanism to directly support the uptake of RFNBOs as additional support to reach</w:t>
      </w:r>
      <w:r>
        <w:t xml:space="preserve"> </w:t>
      </w:r>
      <w:r>
        <w:t xml:space="preserve">the levels of FuelEU maritime objectives would require around 26 million EUAs over 2031-</w:t>
      </w:r>
      <w:r>
        <w:t xml:space="preserve"> </w:t>
      </w:r>
      <w:r>
        <w:t xml:space="preserve">2040 to support the use and the production of EU sustainable propulsion. If a funding rate</w:t>
      </w:r>
      <w:r>
        <w:t xml:space="preserve"> </w:t>
      </w:r>
      <w:r>
        <w:t xml:space="preserve">similar to the current SAF was applied, it would lead to around 46 million EUAs being</w:t>
      </w:r>
      <w:r>
        <w:t xml:space="preserve"> </w:t>
      </w:r>
      <w:r>
        <w:t xml:space="preserve">attributed to bridge the price gap between sustainable propulsion and fossil fuels over 2031-</w:t>
      </w:r>
      <w:r>
        <w:t xml:space="preserve"> </w:t>
      </w:r>
      <w:r>
        <w:t xml:space="preserve">2040.</w:t>
      </w:r>
      <w:r>
        <w:t xml:space="preserve"> </w:t>
      </w:r>
      <w:r>
        <w:t xml:space="preserve">Table 3:</w:t>
      </w:r>
      <w:r>
        <w:t xml:space="preserve"> </w:t>
      </w:r>
      <w:r>
        <w:t xml:space="preserve">Economic impacts of different possible sustainable maritime propulsion mechanism</w:t>
      </w:r>
      <w:r>
        <w:t xml:space="preserve"> </w:t>
      </w:r>
      <w:r>
        <w:t xml:space="preserve">variations</w:t>
      </w:r>
      <w:r>
        <w:t xml:space="preserve"> </w:t>
      </w:r>
      <w:r>
        <w:t xml:space="preserve">SMAP mechanism</w:t>
      </w:r>
      <w:r>
        <w:t xml:space="preserve"> </w:t>
      </w:r>
      <w:r>
        <w:t xml:space="preserve">variations</w:t>
      </w:r>
      <w:r>
        <w:t xml:space="preserve"> </w:t>
      </w:r>
      <w:r>
        <w:t xml:space="preserve">Key assumptions</w:t>
      </w:r>
      <w:r>
        <w:t xml:space="preserve"> </w:t>
      </w:r>
      <w:r>
        <w:t xml:space="preserve">Period</w:t>
      </w:r>
      <w:r>
        <w:t xml:space="preserve"> </w:t>
      </w:r>
      <w:r>
        <w:t xml:space="preserve">Support in</w:t>
      </w:r>
      <w:r>
        <w:t xml:space="preserve"> </w:t>
      </w:r>
      <w:r>
        <w:t xml:space="preserve">M EUAs</w:t>
      </w:r>
      <w:r>
        <w:t xml:space="preserve"> </w:t>
      </w:r>
      <w:r>
        <w:t xml:space="preserve">2028-</w:t>
      </w:r>
      <w:r>
        <w:t xml:space="preserve"> </w:t>
      </w:r>
      <w:r>
        <w:t xml:space="preserve">2030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Supporting RFNBOs</w:t>
      </w:r>
      <w:r>
        <w:t xml:space="preserve"> </w:t>
      </w:r>
      <w:r>
        <w:t xml:space="preserve">uptake to meet</w:t>
      </w:r>
      <w:r>
        <w:t xml:space="preserve"> </w:t>
      </w:r>
      <w:r>
        <w:t xml:space="preserve">FuelEU’s objectives</w:t>
      </w:r>
      <w:r>
        <w:t xml:space="preserve"> </w:t>
      </w:r>
      <w:r>
        <w:t xml:space="preserve">- average maximum funding rate</w:t>
      </w:r>
      <w:r>
        <w:t xml:space="preserve"> </w:t>
      </w:r>
      <w:r>
        <w:t xml:space="preserve">of the price gap of 90% for</w:t>
      </w:r>
      <w:r>
        <w:t xml:space="preserve"> </w:t>
      </w:r>
      <w:r>
        <w:t xml:space="preserve">RFNBOs</w:t>
      </w:r>
      <w:r>
        <w:t xml:space="preserve"> </w:t>
      </w:r>
      <w:r>
        <w:t xml:space="preserve">- ETS scope coverage (EEA)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26</w:t>
      </w:r>
      <w:r>
        <w:t xml:space="preserve"> </w:t>
      </w:r>
      <w:r>
        <w:t xml:space="preserve">SAF -like share of cap</w:t>
      </w:r>
      <w:r>
        <w:t xml:space="preserve"> </w:t>
      </w:r>
      <w:r>
        <w:t xml:space="preserve">-</w:t>
      </w:r>
      <w:r>
        <w:t xml:space="preserve"> </w:t>
      </w:r>
      <w:r>
        <w:t xml:space="preserve">overall</w:t>
      </w:r>
      <w:r>
        <w:t xml:space="preserve"> </w:t>
      </w:r>
      <w:r>
        <w:t xml:space="preserve">funding</w:t>
      </w:r>
      <w:r>
        <w:t xml:space="preserve"> </w:t>
      </w:r>
      <w:r>
        <w:t xml:space="preserve">volume</w:t>
      </w:r>
      <w:r>
        <w:t xml:space="preserve"> </w:t>
      </w:r>
      <w:r>
        <w:t xml:space="preserve">corresponding to initial SAF</w:t>
      </w:r>
      <w:r>
        <w:t xml:space="preserve"> </w:t>
      </w:r>
      <w:r>
        <w:t xml:space="preserve">support {12%}.</w:t>
      </w:r>
      <w:r>
        <w:t xml:space="preserve"> </w:t>
      </w:r>
      <w:r>
        <w:t xml:space="preserve">2028-</w:t>
      </w:r>
      <w:r>
        <w:t xml:space="preserve"> </w:t>
      </w:r>
      <w:r>
        <w:t xml:space="preserve">2030</w:t>
      </w:r>
      <w:r>
        <w:t xml:space="preserve"> </w:t>
      </w:r>
      <w:r>
        <w:t xml:space="preserve">21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46</w:t>
      </w:r>
      <w:r>
        <w:t xml:space="preserve"> </w:t>
      </w:r>
      <w:r>
        <w:t xml:space="preserve">The amount of financial support in the form of EUAs would vary across the years, influenced</w:t>
      </w:r>
      <w:r>
        <w:t xml:space="preserve"> </w:t>
      </w:r>
      <w:r>
        <w:t xml:space="preserve">by several elements, such as the ETS price (i.e. the higher the ETS price, the lower the price</w:t>
      </w:r>
      <w:r>
        <w:t xml:space="preserve"> </w:t>
      </w:r>
      <w:r>
        <w:t xml:space="preserve">gap), or the objectives to be achieved in terms of sustainable propulsion uptake.</w:t>
      </w:r>
      <w:r>
        <w:br/>
      </w:r>
      <w:r>
        <w:t xml:space="preserve">The additional administrative burden for shipping companies, administrative authorities and</w:t>
      </w:r>
      <w:r>
        <w:t xml:space="preserve"> </w:t>
      </w:r>
      <w:r>
        <w:t xml:space="preserve">the EU is likely to be low as a sustainable maritime alternative propulsion mechanism could be</w:t>
      </w:r>
      <w:r>
        <w:t xml:space="preserve"> </w:t>
      </w:r>
      <w:r>
        <w:t xml:space="preserve">built on existing reporting requirements and compliance cycles. Additional administrative</w:t>
      </w:r>
      <w:r>
        <w:t xml:space="preserve"> </w:t>
      </w:r>
      <w:r>
        <w:t xml:space="preserve">burden could for instance come from the need to monitor, report and verify the origin of eligible</w:t>
      </w:r>
      <w:r>
        <w:t xml:space="preserve"> </w:t>
      </w:r>
      <w:r>
        <w:t xml:space="preserve">fuels (e.g. bunkered and produced in the EU).</w:t>
      </w:r>
      <w:r>
        <w:br/>
      </w:r>
      <w:r>
        <w:t xml:space="preserve">Depending on the funding volume attributed to the mechanism, it could support from around</w:t>
      </w:r>
      <w:r>
        <w:t xml:space="preserve"> </w:t>
      </w:r>
      <w:r>
        <w:t xml:space="preserve">0,5 Mtoe to 3 Mtoe of sustainable maritime fuels annually by 2035, which could significantly</w:t>
      </w:r>
      <w:r>
        <w:t xml:space="preserve"> </w:t>
      </w:r>
      <w:r>
        <w:t xml:space="preserve">contribute to building-up sustainable maritime capacity in the EU.</w:t>
      </w:r>
      <w:r>
        <w:t xml:space="preserve"> </w:t>
      </w:r>
      <w:r>
        <w:t xml:space="preserve">Another approach that could be considered as a starting point to determine the volume of a</w:t>
      </w:r>
      <w:r>
        <w:t xml:space="preserve"> </w:t>
      </w:r>
      <w:r>
        <w:t xml:space="preserve">SMAP mechanism is to cover the price gap to meet e.g. the GHG Fuel intensity trajectory</w:t>
      </w:r>
      <w:r>
        <w:t xml:space="preserve"> </w:t>
      </w:r>
      <w:r>
        <w:t xml:space="preserve">under discussion at IMO. Such an approach would potentially require a total of up to 200</w:t>
      </w:r>
      <w:r>
        <w:t xml:space="preserve"> </w:t>
      </w:r>
      <w:r>
        <w:t xml:space="preserve">million allowances, just for fuels, if one assumes full funding of the price gap and no IMO</w:t>
      </w:r>
      <w:r>
        <w:t xml:space="preserve"> </w:t>
      </w:r>
      <w:r>
        <w:t xml:space="preserve">rewards.</w:t>
      </w:r>
      <w:r>
        <w:t xml:space="preserve"> </w:t>
      </w:r>
      <w:r>
        <w:t xml:space="preserve">1.3.2. Environmental impacts</w:t>
      </w:r>
      <w:r>
        <w:t xml:space="preserve"> </w:t>
      </w:r>
      <w:r>
        <w:t xml:space="preserve">In terms of environmental impacts, the establishment of a sustainable maritime propulsion</w:t>
      </w:r>
      <w:r>
        <w:t xml:space="preserve"> </w:t>
      </w:r>
      <w:r>
        <w:t xml:space="preserve">mechanism would directly support the increased use of sustainable maritime fuels and</w:t>
      </w:r>
      <w:r>
        <w:t xml:space="preserve"> </w:t>
      </w:r>
      <w:r>
        <w:t xml:space="preserve">propulsion systems, which are key to unlock the decarbonisation of the maritime sector.</w:t>
      </w:r>
      <w:r>
        <w:br/>
      </w:r>
      <w:r>
        <w:t xml:space="preserve">By 2035, it could help deliver an annual GHG emissions reduction in the range of 1,7 to 9</w:t>
      </w:r>
      <w:r>
        <w:t xml:space="preserve"> </w:t>
      </w:r>
      <w:r>
        <w:t xml:space="preserve">MtCO2, depending on the funding volume made available.</w:t>
      </w:r>
      <w:r>
        <w:br/>
      </w:r>
      <w:r>
        <w:t xml:space="preserve">However, this effect is not directly visible in the PRIMES maritime model since the different</w:t>
      </w:r>
      <w:r>
        <w:t xml:space="preserve"> </w:t>
      </w:r>
      <w:r>
        <w:t xml:space="preserve">scenarios have all been modelled with the objective to achieve a certain level of GHG Fuel</w:t>
      </w:r>
      <w:r>
        <w:t xml:space="preserve"> </w:t>
      </w:r>
      <w:r>
        <w:t xml:space="preserve">Intensity reduction.</w:t>
      </w:r>
      <w:r>
        <w:br/>
      </w:r>
      <w:r>
        <w:t xml:space="preserve">1.3.3. Social impacts</w:t>
      </w:r>
      <w:r>
        <w:t xml:space="preserve"> </w:t>
      </w:r>
      <w:r>
        <w:t xml:space="preserve">By building up sustainable propulsion and renewable and low-carbon fuels capacity in the EU</w:t>
      </w:r>
      <w:r>
        <w:t xml:space="preserve"> </w:t>
      </w:r>
      <w:r>
        <w:t xml:space="preserve">for maritime transport, a sustainable maritime propulsion mechanism would offer substantial</w:t>
      </w:r>
      <w:r>
        <w:t xml:space="preserve"> </w:t>
      </w:r>
      <w:r>
        <w:t xml:space="preserve">opportunities for industrial growth and job creation in the EU, including in ports as energy</w:t>
      </w:r>
      <w:r>
        <w:t xml:space="preserve"> </w:t>
      </w:r>
      <w:r>
        <w:t xml:space="preserve">hubs, in raw materials, refineries and the distribution network.</w:t>
      </w:r>
      <w:r>
        <w:br/>
      </w:r>
      <w:r>
        <w:t xml:space="preserve">It could also help unlock the employment potential linked to the manufacturing and</w:t>
      </w:r>
      <w:r>
        <w:t xml:space="preserve"> </w:t>
      </w:r>
      <w:r>
        <w:t xml:space="preserve">installation/retrofit of wind propulsion assistance in Europe, estimated at over 5,800 jobs in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2030317, or the employment potential behind the use of electric ferries and RoPax vessels in</w:t>
      </w:r>
      <w:r>
        <w:t xml:space="preserve"> </w:t>
      </w:r>
      <w:r>
        <w:t xml:space="preserve">Europe (around 800 jobs in 2024-2030).</w:t>
      </w:r>
      <w:r>
        <w:t xml:space="preserve"> </w:t>
      </w:r>
      <w:r>
        <w:t xml:space="preserve">The upscaling of Europe’s sustainable maritime fuels and propulsion technology industry will</w:t>
      </w:r>
      <w:r>
        <w:t xml:space="preserve"> </w:t>
      </w:r>
      <w:r>
        <w:t xml:space="preserve">also lead to the EU being more energy independent, including in case of external menaces</w:t>
      </w:r>
      <w:r>
        <w:t xml:space="preserve"> </w:t>
      </w:r>
      <w:r>
        <w:t xml:space="preserve">hampering the energy supply. These key benefits are nevertheless not quantified.</w:t>
      </w:r>
      <w:r>
        <w:br/>
      </w:r>
      <w:r>
        <w:t xml:space="preserve">2. MEASURES TO FURTHER MITIGATE THE RISK OF EVASION</w:t>
      </w:r>
      <w:r>
        <w:t xml:space="preserve"> </w:t>
      </w:r>
      <w:r>
        <w:t xml:space="preserve">2.1. Scoping</w:t>
      </w:r>
      <w:r>
        <w:br/>
      </w:r>
      <w:r>
        <w:t xml:space="preserve">Evasive behaviours can be defined in a broad sense as operational adjustments from shipping</w:t>
      </w:r>
      <w:r>
        <w:t xml:space="preserve"> </w:t>
      </w:r>
      <w:r>
        <w:t xml:space="preserve">companies that avoid GHG emissions under ETS scope, other than due to improvements in</w:t>
      </w:r>
      <w:r>
        <w:t xml:space="preserve"> </w:t>
      </w:r>
      <w:r>
        <w:t xml:space="preserve">energy-efficiency or use of alternative fuels/cleaner ships.</w:t>
      </w:r>
      <w:r>
        <w:t xml:space="preserve"> </w:t>
      </w:r>
      <w:r>
        <w:t xml:space="preserve">Potential evasion risks include:</w:t>
      </w:r>
      <w:r>
        <w:t xml:space="preserve"> </w:t>
      </w:r>
      <w:r>
        <w:t xml:space="preserve">• Relocation of transhipment operations: The risk that vessel operators may decide to</w:t>
      </w:r>
      <w:r>
        <w:t xml:space="preserve"> </w:t>
      </w:r>
      <w:r>
        <w:t xml:space="preserve">relocate container transhipment activities in non-EU ports to reduce EU ETS costs. The</w:t>
      </w:r>
      <w:r>
        <w:t xml:space="preserve"> </w:t>
      </w:r>
      <w:r>
        <w:t xml:space="preserve">risk may depend on the container traffic flows at an individual port; it may be higher if</w:t>
      </w:r>
      <w:r>
        <w:t xml:space="preserve"> </w:t>
      </w:r>
      <w:r>
        <w:t xml:space="preserve">the port is mainly used for the transhipment of containers that are not intended to enter</w:t>
      </w:r>
      <w:r>
        <w:t xml:space="preserve"> </w:t>
      </w:r>
      <w:r>
        <w:t xml:space="preserve">the EU market.</w:t>
      </w:r>
      <w:r>
        <w:t xml:space="preserve"> </w:t>
      </w:r>
      <w:r>
        <w:t xml:space="preserve">• Addition of evasive port calls at nearby non-EU ports or changes in order of port calls:</w:t>
      </w:r>
      <w:r>
        <w:t xml:space="preserve"> </w:t>
      </w:r>
      <w:r>
        <w:t xml:space="preserve">The risk that operators may add extra port calls to their routes (or change order of port</w:t>
      </w:r>
      <w:r>
        <w:t xml:space="preserve"> </w:t>
      </w:r>
      <w:r>
        <w:t xml:space="preserve">calls) to reduce the length of the last leg before calling at an EU port (or the length of the</w:t>
      </w:r>
      <w:r>
        <w:t xml:space="preserve"> </w:t>
      </w:r>
      <w:r>
        <w:t xml:space="preserve">first leg after leaving an EU port) and hence reduce their EU ETS compliance costs.</w:t>
      </w:r>
      <w:r>
        <w:t xml:space="preserve"> </w:t>
      </w:r>
      <w:r>
        <w:t xml:space="preserve">• Shifting demand to other transport modes with higher environmental impacts: The risk</w:t>
      </w:r>
      <w:r>
        <w:t xml:space="preserve"> </w:t>
      </w:r>
      <w:r>
        <w:t xml:space="preserve">that freight companies may move freight transport from maritime to other modes, which</w:t>
      </w:r>
      <w:r>
        <w:t xml:space="preserve"> </w:t>
      </w:r>
      <w:r>
        <w:t xml:space="preserve">have higher emissions than maritime.</w:t>
      </w:r>
      <w:r>
        <w:t xml:space="preserve"> </w:t>
      </w:r>
      <w:r>
        <w:t xml:space="preserve">• Assigning best performing vessels to EU routes: The risk that vessel operators may elect</w:t>
      </w:r>
      <w:r>
        <w:t xml:space="preserve"> </w:t>
      </w:r>
      <w:r>
        <w:t xml:space="preserve">to use their most efficient vessels (with lowest emissions per tonne-mile) to routes that</w:t>
      </w:r>
      <w:r>
        <w:t xml:space="preserve"> </w:t>
      </w:r>
      <w:r>
        <w:t xml:space="preserve">include calls at EU ports and use their less well-performing vessels on other routes.</w:t>
      </w:r>
      <w:r>
        <w:t xml:space="preserve"> </w:t>
      </w:r>
      <w:r>
        <w:t xml:space="preserve">• Use of ships below size threshold: The risk that vessel operators, particularly those that</w:t>
      </w:r>
      <w:r>
        <w:t xml:space="preserve"> </w:t>
      </w:r>
      <w:r>
        <w:t xml:space="preserve">operate smaller vessels (but still above 5 000 GT), may choose to use vessels below the</w:t>
      </w:r>
      <w:r>
        <w:t xml:space="preserve"> </w:t>
      </w:r>
      <w:r>
        <w:t xml:space="preserve">5 000 GT threshold to avoid the need to surrender EU ETS allowances for their emissions.</w:t>
      </w:r>
      <w:r>
        <w:t xml:space="preserve"> </w:t>
      </w:r>
      <w:r>
        <w:t xml:space="preserve">Using smaller vessels would result in more voyages being needed to deliver the same</w:t>
      </w:r>
      <w:r>
        <w:t xml:space="preserve"> </w:t>
      </w:r>
      <w:r>
        <w:t xml:space="preserve">quantity of freight and thus likely overall higher emissions, having a negative impact on</w:t>
      </w:r>
      <w:r>
        <w:t xml:space="preserve"> </w:t>
      </w:r>
      <w:r>
        <w:t xml:space="preserve">the environmental effectiveness of the policy.</w:t>
      </w:r>
      <w:r>
        <w:t xml:space="preserve"> </w:t>
      </w:r>
      <w:r>
        <w:t xml:space="preserve">• Evasion linked to offshore service operations: current MRV rules define a “port of call”</w:t>
      </w:r>
      <w:r>
        <w:t xml:space="preserve"> </w:t>
      </w:r>
      <w:r>
        <w:t xml:space="preserve">in a way that may unintentionally incentivise use of non-EU bases by offshore vessels to</w:t>
      </w:r>
      <w:r>
        <w:t xml:space="preserve"> </w:t>
      </w:r>
      <w:r>
        <w:t xml:space="preserve">evade ETS obligations.</w:t>
      </w:r>
      <w:r>
        <w:t xml:space="preserve"> </w:t>
      </w:r>
      <w:r>
        <w:t xml:space="preserve">The main driver of evasive behaviour is the financial incentive for shipping companies to</w:t>
      </w:r>
      <w:r>
        <w:t xml:space="preserve"> </w:t>
      </w:r>
      <w:r>
        <w:t xml:space="preserve">minimise ETS compliance costs (including ETS payments or GHG mitigation costs) when</w:t>
      </w:r>
      <w:r>
        <w:t xml:space="preserve"> </w:t>
      </w:r>
      <w:r>
        <w:t xml:space="preserve">these exceed the costs of evasion (additional costs related to vessel operations and port calls).</w:t>
      </w:r>
      <w:r>
        <w:t xml:space="preserve"> </w:t>
      </w:r>
      <w:r>
        <w:t xml:space="preserve">This incentive may also depend on the companies’ ability to pass compliance costs to final</w:t>
      </w:r>
    </w:p>
    <w:p>
      <w:pPr>
        <w:pStyle w:val="BodyText"/>
      </w:pPr>
      <w:r>
        <w:t xml:space="preserve">317 RICARDO, 2026, Opportunities of the green transition for the EU maritime industry and value chain</w:t>
      </w:r>
      <w:r>
        <w:t xml:space="preserve"> </w:t>
      </w:r>
      <w:r>
        <w:t xml:space="preserve">(forthcoming) – figures for low scenario covering both direct and indirect jobs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consumers and on the application of other policies in third countries, which could result in</w:t>
      </w:r>
      <w:r>
        <w:t xml:space="preserve"> </w:t>
      </w:r>
      <w:r>
        <w:t xml:space="preserve">other carbon pricing signals. Beyond economic considerations, other factors are likely to</w:t>
      </w:r>
      <w:r>
        <w:t xml:space="preserve"> </w:t>
      </w:r>
      <w:r>
        <w:t xml:space="preserve">influence decision-making, including impacts on services (e.g. deviation or waiting times),</w:t>
      </w:r>
      <w:r>
        <w:t xml:space="preserve"> </w:t>
      </w:r>
      <w:r>
        <w:t xml:space="preserve">feasibility of evasion (e.g. accessibility of non-EU ports, berth availability, network</w:t>
      </w:r>
      <w:r>
        <w:t xml:space="preserve"> </w:t>
      </w:r>
      <w:r>
        <w:t xml:space="preserve">compatibility, investment policies), and specific risks (e.g. reputational concerns, geopolitics,</w:t>
      </w:r>
      <w:r>
        <w:t xml:space="preserve"> </w:t>
      </w:r>
      <w:r>
        <w:t xml:space="preserve">global trade patterns).</w:t>
      </w:r>
      <w:r>
        <w:t xml:space="preserve"> </w:t>
      </w:r>
      <w:r>
        <w:t xml:space="preserve">Evasive behaviours from shipping companies are problematic in three main ways. First, they</w:t>
      </w:r>
      <w:r>
        <w:t xml:space="preserve"> </w:t>
      </w:r>
      <w:r>
        <w:t xml:space="preserve">can undermine the environmental integrity of the EU ETS, as companies may surrender less</w:t>
      </w:r>
      <w:r>
        <w:t xml:space="preserve"> </w:t>
      </w:r>
      <w:r>
        <w:t xml:space="preserve">allowances without actually reducing emissions. In some cases, evasion can even increase</w:t>
      </w:r>
      <w:r>
        <w:t xml:space="preserve"> </w:t>
      </w:r>
      <w:r>
        <w:t xml:space="preserve">GHG emissions for equivalent transport activity (e.g. longer sailing distances or shifting</w:t>
      </w:r>
      <w:r>
        <w:t xml:space="preserve"> </w:t>
      </w:r>
      <w:r>
        <w:t xml:space="preserve">operations to higher-emission transport modes). Second, evasive behaviours can reduce traffic</w:t>
      </w:r>
      <w:r>
        <w:t xml:space="preserve"> </w:t>
      </w:r>
      <w:r>
        <w:t xml:space="preserve">and connectivity at EU container transhipment hubs, with wider economic impacts such as</w:t>
      </w:r>
      <w:r>
        <w:t xml:space="preserve"> </w:t>
      </w:r>
      <w:r>
        <w:t xml:space="preserve">higher costs or reduced access to key overseas markets. Third, evasion can lower ETS revenues,</w:t>
      </w:r>
      <w:r>
        <w:t xml:space="preserve"> </w:t>
      </w:r>
      <w:r>
        <w:t xml:space="preserve">reducing funds available to support maritime decarbonisation and broader climate objectives.</w:t>
      </w:r>
      <w:r>
        <w:t xml:space="preserve"> </w:t>
      </w:r>
      <w:r>
        <w:t xml:space="preserve">The application of the EU ETS to offshore vessels of 5 000 GT or above from 2027 may create</w:t>
      </w:r>
      <w:r>
        <w:t xml:space="preserve"> </w:t>
      </w:r>
      <w:r>
        <w:t xml:space="preserve">evasion risks for this segment. Current EU MRV rules define a “port of call” as a stop for cargo</w:t>
      </w:r>
      <w:r>
        <w:t xml:space="preserve"> </w:t>
      </w:r>
      <w:r>
        <w:t xml:space="preserve">loading/unloading, passenger embarkation/disembarkation, or crew changes for offshore</w:t>
      </w:r>
      <w:r>
        <w:t xml:space="preserve"> </w:t>
      </w:r>
      <w:r>
        <w:t xml:space="preserve">vessels. This definition may not fully capture the activities of offshore vessels. Consequently,</w:t>
      </w:r>
      <w:r>
        <w:t xml:space="preserve"> </w:t>
      </w:r>
      <w:r>
        <w:t xml:space="preserve">operators could re-route through non-EU ports to avoid triggering “port of call” requirements</w:t>
      </w:r>
      <w:r>
        <w:t xml:space="preserve"> </w:t>
      </w:r>
      <w:r>
        <w:t xml:space="preserve">and EU ETS obligations. This could create a competitive disadvantage for vessels calling at</w:t>
      </w:r>
      <w:r>
        <w:t xml:space="preserve"> </w:t>
      </w:r>
      <w:r>
        <w:t xml:space="preserve">EU ports, which must account for emissions during offshore activities, compared with vessels</w:t>
      </w:r>
      <w:r>
        <w:t xml:space="preserve"> </w:t>
      </w:r>
      <w:r>
        <w:t xml:space="preserve">avoiding EU ports despite operating in EU EEZs.</w:t>
      </w:r>
      <w:r>
        <w:t xml:space="preserve"> </w:t>
      </w:r>
      <w:r>
        <w:t xml:space="preserve">Current measures to address evasion risks</w:t>
      </w:r>
      <w:r>
        <w:t xml:space="preserve"> </w:t>
      </w:r>
      <w:r>
        <w:t xml:space="preserve">To mitigate evasion risks, the ETS Directive includes a strict “port of call” definition (i.e. </w:t>
      </w:r>
      <w:r>
        <w:t xml:space="preserve"> </w:t>
      </w:r>
      <w:r>
        <w:t xml:space="preserve">obligation to load/unload or embark/disembark cargo and passenger), which prevents</w:t>
      </w:r>
      <w:r>
        <w:t xml:space="preserve"> </w:t>
      </w:r>
      <w:r>
        <w:t xml:space="preserve">companies from making artificial port calls for evasion purposes. In addition, “neighbouring</w:t>
      </w:r>
      <w:r>
        <w:t xml:space="preserve"> </w:t>
      </w:r>
      <w:r>
        <w:t xml:space="preserve">container transhipment ports”318 are excluded from the “port of call” definition. This means</w:t>
      </w:r>
      <w:r>
        <w:t xml:space="preserve"> </w:t>
      </w:r>
      <w:r>
        <w:t xml:space="preserve">that stops at these non-EU ports cannot be considered under the Directive as the beginning or</w:t>
      </w:r>
      <w:r>
        <w:t xml:space="preserve"> </w:t>
      </w:r>
      <w:r>
        <w:t xml:space="preserve">the end of a voyage, reducing incentives to stop at these non-EU hubs before or after calling</w:t>
      </w:r>
      <w:r>
        <w:t xml:space="preserve"> </w:t>
      </w:r>
      <w:r>
        <w:t xml:space="preserve">EU ports. Based on the criteria set out in the ETS Directive, the Commission has established</w:t>
      </w:r>
      <w:r>
        <w:t xml:space="preserve"> </w:t>
      </w:r>
      <w:r>
        <w:t xml:space="preserve">the list319 of neighbouring container transhipment ports, which is to be updated biennially, and</w:t>
      </w:r>
      <w:r>
        <w:t xml:space="preserve"> </w:t>
      </w:r>
      <w:r>
        <w:t xml:space="preserve">which currently includes important transhipment hubs such as the ports of East Port Said in</w:t>
      </w:r>
      <w:r>
        <w:t xml:space="preserve"> </w:t>
      </w:r>
      <w:r>
        <w:t xml:space="preserve">Egypt and Tanger Med in Morocco. More recent data available to the Commission at the time</w:t>
      </w:r>
      <w:r>
        <w:t xml:space="preserve"> </w:t>
      </w:r>
      <w:r>
        <w:t xml:space="preserve">of preparing this impact assessment indicates that two additional ports, Abu Qir and Damietta,</w:t>
      </w:r>
      <w:r>
        <w:t xml:space="preserve"> </w:t>
      </w:r>
      <w:r>
        <w:t xml:space="preserve">in Egypt, also meet the criteria for neighbouring container transhipment ports and will be</w:t>
      </w:r>
      <w:r>
        <w:t xml:space="preserve"> </w:t>
      </w:r>
      <w:r>
        <w:t xml:space="preserve">considered for the revision of the list.</w:t>
      </w:r>
      <w:r>
        <w:t xml:space="preserve"> </w:t>
      </w:r>
      <w:r>
        <w:t xml:space="preserve">However, the current anti-evasion measures may present several limitations:</w:t>
      </w:r>
      <w:r>
        <w:t xml:space="preserve"> </w:t>
      </w:r>
      <w:r>
        <w:t xml:space="preserve">- They may not cover adequately neighbouring transhipment ports that pose a risk but are</w:t>
      </w:r>
      <w:r>
        <w:t xml:space="preserve"> </w:t>
      </w:r>
      <w:r>
        <w:t xml:space="preserve">below the current thresholds.</w:t>
      </w:r>
    </w:p>
    <w:p>
      <w:pPr>
        <w:pStyle w:val="BodyText"/>
      </w:pPr>
      <w:r>
        <w:t xml:space="preserve">318 Defined in Article 3ga(2) of the EU ETS Directive as ports where 1) the share of transhipment of containers</w:t>
      </w:r>
      <w:r>
        <w:t xml:space="preserve"> </w:t>
      </w:r>
      <w:r>
        <w:t xml:space="preserve">exceeds 65% of the port’s total container traffic during the most recent twelve-month period for which</w:t>
      </w:r>
      <w:r>
        <w:t xml:space="preserve"> </w:t>
      </w:r>
      <w:r>
        <w:t xml:space="preserve">relevant data are available, 2) the port’s location is outside the EU but less than 300 nautical miles from a</w:t>
      </w:r>
      <w:r>
        <w:t xml:space="preserve"> </w:t>
      </w:r>
      <w:r>
        <w:t xml:space="preserve">port under the jurisdiction of a Member State, 3) the port is located in a non-EU country for which that non-</w:t>
      </w:r>
      <w:r>
        <w:t xml:space="preserve"> </w:t>
      </w:r>
      <w:r>
        <w:t xml:space="preserve">EU country does not effectively apply measures equivalent to this Directive.</w:t>
      </w:r>
      <w:r>
        <w:br/>
      </w:r>
      <w:r>
        <w:t xml:space="preserve">319 Commission Implementing Regulation (EU) 2023/2297 of 26 October 2023 identifying neighbouring</w:t>
      </w:r>
      <w:r>
        <w:t xml:space="preserve"> </w:t>
      </w:r>
      <w:r>
        <w:t xml:space="preserve">container transhipment ports pursuant to Directive 2003/87/EC of the European Parliament and of the</w:t>
      </w:r>
      <w:r>
        <w:t xml:space="preserve"> </w:t>
      </w:r>
      <w:r>
        <w:t xml:space="preserve">Council, OJ L, 2023/2297, 27.10.2023, ELI: http://data.europa.eu/eli/reg_impl/2023/2297/oj</w:t>
      </w:r>
    </w:p>
    <w:p>
      <w:pPr>
        <w:pStyle w:val="BodyText"/>
      </w:pPr>
      <w:r>
        <w:t xml:space="preserve">273</w:t>
      </w:r>
    </w:p>
    <w:p>
      <w:pPr>
        <w:pStyle w:val="Compact"/>
        <w:numPr>
          <w:ilvl w:val="0"/>
          <w:numId w:val="1022"/>
        </w:numPr>
      </w:pPr>
      <w:r>
        <w:t xml:space="preserve">Ships performing extra-EU journeys with an intermediary stop at a “neighbouring non-EU</w:t>
      </w:r>
      <w:r>
        <w:t xml:space="preserve"> </w:t>
      </w:r>
      <w:r>
        <w:t xml:space="preserve">container transhipment ports” benefit from a lower ETS scope coverage for the leg to and</w:t>
      </w:r>
      <w:r>
        <w:t xml:space="preserve"> </w:t>
      </w:r>
      <w:r>
        <w:t xml:space="preserve">from the EU, compared to ships doing similar journeys but with an intermediary stop in the</w:t>
      </w:r>
      <w:r>
        <w:t xml:space="preserve"> </w:t>
      </w:r>
      <w:r>
        <w:t xml:space="preserve">EU.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They do not apply to container ships doing journeys from and to non-EU ports, with an</w:t>
      </w:r>
      <w:r>
        <w:t xml:space="preserve"> </w:t>
      </w:r>
      <w:r>
        <w:t xml:space="preserve">intermediary stop at a competing neighbouring non-EU port (such voyages fall outside the</w:t>
      </w:r>
      <w:r>
        <w:t xml:space="preserve"> </w:t>
      </w:r>
      <w:r>
        <w:t xml:space="preserve">EU scope).</w:t>
      </w:r>
    </w:p>
    <w:p>
      <w:pPr>
        <w:pStyle w:val="Compact"/>
        <w:numPr>
          <w:ilvl w:val="0"/>
          <w:numId w:val="1022"/>
        </w:numPr>
      </w:pPr>
      <w:r>
        <w:t xml:space="preserve">They do not completely address the risk of companies using feeder vessels operating from</w:t>
      </w:r>
      <w:r>
        <w:t xml:space="preserve"> </w:t>
      </w:r>
      <w:r>
        <w:t xml:space="preserve">neighbouring non-EU hub ports.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They do not prevent containerships from adding an extra port call in ports not reaching the</w:t>
      </w:r>
      <w:r>
        <w:t xml:space="preserve"> </w:t>
      </w:r>
      <w:r>
        <w:t xml:space="preserve">thresholds (e.g. in the UK) before entering or just after leaving the EU, with the objective</w:t>
      </w:r>
      <w:r>
        <w:t xml:space="preserve"> </w:t>
      </w:r>
      <w:r>
        <w:t xml:space="preserve">to reduce their ETS exposure. Similarly, operators may change the order of calls to minimise</w:t>
      </w:r>
      <w:r>
        <w:t xml:space="preserve"> </w:t>
      </w:r>
      <w:r>
        <w:t xml:space="preserve">their ETS costs.</w:t>
      </w:r>
      <w:r>
        <w:t xml:space="preserve"> </w:t>
      </w:r>
      <w:r>
        <w:t xml:space="preserve">Monitoring of evasion risks</w:t>
      </w:r>
      <w:r>
        <w:t xml:space="preserve"> </w:t>
      </w:r>
      <w:r>
        <w:t xml:space="preserve">The EU ETS Directive (Article 3gg) mandates the Commission to monitor the implementation</w:t>
      </w:r>
      <w:r>
        <w:t xml:space="preserve"> </w:t>
      </w:r>
      <w:r>
        <w:t xml:space="preserve">of the ETS extension to maritime transport and report its findings biennially. One of the</w:t>
      </w:r>
      <w:r>
        <w:t xml:space="preserve"> </w:t>
      </w:r>
      <w:r>
        <w:t xml:space="preserve">objectives of this monitoring clause is to detect possible changes in shipping companies’</w:t>
      </w:r>
      <w:r>
        <w:t xml:space="preserve"> </w:t>
      </w:r>
      <w:r>
        <w:t xml:space="preserve">behaviours, notably implementing or seeking alternatives to evade the requirements of the EU</w:t>
      </w:r>
      <w:r>
        <w:t xml:space="preserve"> </w:t>
      </w:r>
      <w:r>
        <w:t xml:space="preserve">ETS Directive, with the aim to prevent such behaviours at an early stage.</w:t>
      </w:r>
      <w:r>
        <w:t xml:space="preserve"> </w:t>
      </w:r>
      <w:r>
        <w:t xml:space="preserve">The first report on the implementation of the ETS for maritime transport320 analysed key</w:t>
      </w:r>
      <w:r>
        <w:t xml:space="preserve"> </w:t>
      </w:r>
      <w:r>
        <w:t xml:space="preserve">indicators for Q1–Q3 2024 related to potential evasive behaviours (transhipment relocation,</w:t>
      </w:r>
      <w:r>
        <w:t xml:space="preserve"> </w:t>
      </w:r>
      <w:r>
        <w:t xml:space="preserve">evasive port calls, modal shift and shifts to smaller vessels). It found no evidence of major</w:t>
      </w:r>
      <w:r>
        <w:t xml:space="preserve"> </w:t>
      </w:r>
      <w:r>
        <w:t xml:space="preserve">market changes attributable to the ETS. Traffic data showed no general trend in transhipment</w:t>
      </w:r>
      <w:r>
        <w:t xml:space="preserve"> </w:t>
      </w:r>
      <w:r>
        <w:t xml:space="preserve">relocation or additional stops at neighbouring non-EU ports. The analysis also found no signs</w:t>
      </w:r>
      <w:r>
        <w:t xml:space="preserve"> </w:t>
      </w:r>
      <w:r>
        <w:t xml:space="preserve">of modal shift to road transport or increased use of smaller vessels. Forward-looking indicators</w:t>
      </w:r>
      <w:r>
        <w:t xml:space="preserve"> </w:t>
      </w:r>
      <w:r>
        <w:t xml:space="preserve">(route announcements and planned port investments) similarly showed no broader behavioural</w:t>
      </w:r>
      <w:r>
        <w:t xml:space="preserve"> </w:t>
      </w:r>
      <w:r>
        <w:t xml:space="preserve">changes, aside from a few isolated cases of possible circumvention. No evidence was found of</w:t>
      </w:r>
      <w:r>
        <w:t xml:space="preserve"> </w:t>
      </w:r>
      <w:r>
        <w:t xml:space="preserve">reduced services to EU islands or outermost regions. However, these findings should be</w:t>
      </w:r>
      <w:r>
        <w:t xml:space="preserve"> </w:t>
      </w:r>
      <w:r>
        <w:t xml:space="preserve">interpreted with caution due to the analysis’ limitations and notably: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the significant impacts of the Red Sea crisis on maritime traffic, which resulted in many</w:t>
      </w:r>
      <w:r>
        <w:t xml:space="preserve"> </w:t>
      </w:r>
      <w:r>
        <w:t xml:space="preserve">shipping companies deviating their routes around South Africa, via the Cape of Good</w:t>
      </w:r>
      <w:r>
        <w:t xml:space="preserve"> </w:t>
      </w:r>
      <w:r>
        <w:t xml:space="preserve">Hope. This created a large distortion in maritime traffic indicators in 2024 (compared</w:t>
      </w:r>
      <w:r>
        <w:t xml:space="preserve"> </w:t>
      </w:r>
      <w:r>
        <w:t xml:space="preserve">to previous years), which made it more difficult to disentangle effects of EU ETS.</w:t>
      </w:r>
    </w:p>
    <w:p>
      <w:pPr>
        <w:pStyle w:val="Compact"/>
        <w:numPr>
          <w:ilvl w:val="0"/>
          <w:numId w:val="1022"/>
        </w:numPr>
      </w:pPr>
      <w:r>
        <w:t xml:space="preserve">the fact that 2024 was the first year of the ETS phase-in period, where only 40% of</w:t>
      </w:r>
      <w:r>
        <w:t xml:space="preserve"> </w:t>
      </w:r>
      <w:r>
        <w:t xml:space="preserve">emissions were subject to ETS compliance costs, which reduces financial incentives</w:t>
      </w:r>
      <w:r>
        <w:t xml:space="preserve"> </w:t>
      </w:r>
      <w:r>
        <w:t xml:space="preserve">of evasive behaviours.</w:t>
      </w:r>
    </w:p>
    <w:p>
      <w:pPr>
        <w:pStyle w:val="Compact"/>
        <w:numPr>
          <w:ilvl w:val="0"/>
          <w:numId w:val="1022"/>
        </w:numPr>
      </w:pPr>
      <w:r>
        <w:t xml:space="preserve">the limited time since its introduction. Given the high volatility of maritime traffic,</w:t>
      </w:r>
      <w:r>
        <w:t xml:space="preserve"> </w:t>
      </w:r>
      <w:r>
        <w:t xml:space="preserve">particularly in transhipment operations, this partial coverage limits the ability to reach</w:t>
      </w:r>
      <w:r>
        <w:t xml:space="preserve"> </w:t>
      </w:r>
      <w:r>
        <w:t xml:space="preserve">definitive conclusions from traffic data analysis. In addition, companies have limited</w:t>
      </w:r>
      <w:r>
        <w:t xml:space="preserve"> </w:t>
      </w:r>
      <w:r>
        <w:t xml:space="preserve">experience in the implementation of the system for maritime emissions.</w:t>
      </w:r>
    </w:p>
    <w:p>
      <w:pPr>
        <w:pStyle w:val="FirstParagraph"/>
      </w:pPr>
      <w:r>
        <w:t xml:space="preserve">320 European Commission (2025), REPORT FROM THE COMMISSION Monitoring of the implementation of</w:t>
      </w:r>
      <w:r>
        <w:t xml:space="preserve"> </w:t>
      </w:r>
      <w:r>
        <w:t xml:space="preserve">Directive 2003/87/EC in relation to maritime transport, available at: https://eur-lex.europa.eu/legal-</w:t>
      </w:r>
      <w:r>
        <w:t xml:space="preserve"> </w:t>
      </w:r>
      <w:r>
        <w:t xml:space="preserve">content/EN/TXT/?uri=celex:52025DC0110</w:t>
      </w:r>
    </w:p>
    <w:p>
      <w:pPr>
        <w:pStyle w:val="BodyText"/>
      </w:pPr>
      <w:r>
        <w:t xml:space="preserve">274</w:t>
      </w:r>
    </w:p>
    <w:p>
      <w:pPr>
        <w:pStyle w:val="Compact"/>
        <w:numPr>
          <w:ilvl w:val="0"/>
          <w:numId w:val="1023"/>
        </w:numPr>
      </w:pPr>
      <w:r>
        <w:t xml:space="preserve">data limitations, particularly data on transhipment operations, which is not publicly</w:t>
      </w:r>
      <w:r>
        <w:t xml:space="preserve"> </w:t>
      </w:r>
      <w:r>
        <w:t xml:space="preserve">available in a consistent manner for all ports.</w:t>
      </w:r>
      <w:r>
        <w:t xml:space="preserve"> </w:t>
      </w:r>
      <w:r>
        <w:t xml:space="preserve">The risk of evasive behaviours needs to continue being monitored closely, notably considering</w:t>
      </w:r>
      <w:r>
        <w:t xml:space="preserve"> </w:t>
      </w:r>
      <w:r>
        <w:t xml:space="preserve">the end of the ETS maritime phase-in period in 2026 (i.e. 100% of emissions subject to EU</w:t>
      </w:r>
      <w:r>
        <w:t xml:space="preserve"> </w:t>
      </w:r>
      <w:r>
        <w:t xml:space="preserve">ETS surrender obligations as from 2026), the entry into application of the FuelEU Maritime</w:t>
      </w:r>
      <w:r>
        <w:t xml:space="preserve"> </w:t>
      </w:r>
      <w:r>
        <w:t xml:space="preserve">Regulation from January 2025 and the current lack of mid-term measures applied via the IMO.</w:t>
      </w:r>
      <w:r>
        <w:t xml:space="preserve"> </w:t>
      </w:r>
      <w:r>
        <w:t xml:space="preserve">Summary of stakeholder views from the OPC</w:t>
      </w:r>
      <w:r>
        <w:br/>
      </w:r>
      <w:r>
        <w:t xml:space="preserve">A total of 29 out of 184 respondents rather agreed (11%) or strongly agreed (4%) that the current</w:t>
      </w:r>
      <w:r>
        <w:t xml:space="preserve"> </w:t>
      </w:r>
      <w:r>
        <w:t xml:space="preserve">measures are effective in preventing shipping companies from evading the requirements of the EU</w:t>
      </w:r>
      <w:r>
        <w:t xml:space="preserve"> </w:t>
      </w:r>
      <w:r>
        <w:t xml:space="preserve">ETS Directive. A further 23 respondents expressed a neutral view (13%). Smaller shares of</w:t>
      </w:r>
      <w:r>
        <w:t xml:space="preserve"> </w:t>
      </w:r>
      <w:r>
        <w:t xml:space="preserve">respondents rather disagreed or strongly disagreed (24; 13%). The largest group indicated do not</w:t>
      </w:r>
      <w:r>
        <w:t xml:space="preserve"> </w:t>
      </w:r>
      <w:r>
        <w:t xml:space="preserve">know (108, 59%).</w:t>
      </w:r>
      <w:r>
        <w:br/>
      </w:r>
      <w:r>
        <w:t xml:space="preserve">Regarding specific suggestions, the most frequently mentioned view was the need for stronger</w:t>
      </w:r>
      <w:r>
        <w:t xml:space="preserve"> </w:t>
      </w:r>
      <w:r>
        <w:t xml:space="preserve">monitoring and enforcement to prevent circumvention, including addressing rerouting,</w:t>
      </w:r>
      <w:r>
        <w:t xml:space="preserve"> </w:t>
      </w:r>
      <w:r>
        <w:t xml:space="preserve">transshipment, and port call issues (11 mentions). Several stakeholders called for alignment with the</w:t>
      </w:r>
      <w:r>
        <w:t xml:space="preserve"> </w:t>
      </w:r>
      <w:r>
        <w:t xml:space="preserve">IMO NZF and international harmonisation to maintain a level playing field (5 mentions), and</w:t>
      </w:r>
      <w:r>
        <w:t xml:space="preserve"> </w:t>
      </w:r>
      <w:r>
        <w:t xml:space="preserve">enhanced coordination among authorities, including EU ports and third countries (5 mentions).</w:t>
      </w:r>
      <w:r>
        <w:t xml:space="preserve"> </w:t>
      </w:r>
      <w:r>
        <w:t xml:space="preserve">Others highlighted the importance of stricter and proportionate penalties for non-compliance (4</w:t>
      </w:r>
      <w:r>
        <w:t xml:space="preserve"> </w:t>
      </w:r>
      <w:r>
        <w:t xml:space="preserve">mentions), use of digital tools and registries to improve tracking and transparency (3 mentions), and</w:t>
      </w:r>
      <w:r>
        <w:t xml:space="preserve"> </w:t>
      </w:r>
      <w:r>
        <w:t xml:space="preserve">regular reviews and updates of ETS scope and measures (3 mentions).</w:t>
      </w:r>
      <w:r>
        <w:br/>
      </w:r>
      <w:r>
        <w:t xml:space="preserve">Additional suggestions included clearer definitions of ports, transshipment, offshore, and exemptions</w:t>
      </w:r>
      <w:r>
        <w:t xml:space="preserve"> </w:t>
      </w:r>
      <w:r>
        <w:t xml:space="preserve">to reduce loopholes (2 mentions) and exemptions or compensations for regions with unique logistical</w:t>
      </w:r>
      <w:r>
        <w:t xml:space="preserve"> </w:t>
      </w:r>
      <w:r>
        <w:t xml:space="preserve">challenges (1 mention).</w:t>
      </w:r>
      <w:r>
        <w:br/>
      </w:r>
      <w:r>
        <w:t xml:space="preserve">2.2. Policy measures</w:t>
      </w:r>
      <w:r>
        <w:t xml:space="preserve"> </w:t>
      </w:r>
      <w:r>
        <w:t xml:space="preserve">2.2.1. RE1: Revise the list of neighbouring container transhipment ports</w:t>
      </w:r>
      <w:r>
        <w:t xml:space="preserve"> </w:t>
      </w:r>
      <w:r>
        <w:t xml:space="preserve">This measure RE1, aims to revise the criteria used to identify “neighbouring container</w:t>
      </w:r>
      <w:r>
        <w:t xml:space="preserve"> </w:t>
      </w:r>
      <w:r>
        <w:t xml:space="preserve">transhipment ports” under the ETS Directive. The revision could involve, for instance,</w:t>
      </w:r>
      <w:r>
        <w:t xml:space="preserve"> </w:t>
      </w:r>
      <w:r>
        <w:t xml:space="preserve">lowering the current transhipment incidence threshold or increasing the minimum distance</w:t>
      </w:r>
      <w:r>
        <w:t xml:space="preserve"> </w:t>
      </w:r>
      <w:r>
        <w:t xml:space="preserve">criterion. The objective is to ensure that the methodology adequately captures the non-EU ports</w:t>
      </w:r>
      <w:r>
        <w:t xml:space="preserve"> </w:t>
      </w:r>
      <w:r>
        <w:t xml:space="preserve">where the risk of relocation of container transhipment activities is the highest.</w:t>
      </w:r>
      <w:r>
        <w:t xml:space="preserve"> </w:t>
      </w:r>
      <w:r>
        <w:t xml:space="preserve">Article 3ga(2) of the EU ETS Directive sets out the conditions for identifying neighbouring</w:t>
      </w:r>
      <w:r>
        <w:t xml:space="preserve"> </w:t>
      </w:r>
      <w:r>
        <w:t xml:space="preserve">container transhipment ports. According to this provision, a port qualifies as a neighbouring</w:t>
      </w:r>
      <w:r>
        <w:t xml:space="preserve"> </w:t>
      </w:r>
      <w:r>
        <w:t xml:space="preserve">container transhipment port when it meets several criteria. The port’s share of transhipment of</w:t>
      </w:r>
      <w:r>
        <w:t xml:space="preserve"> </w:t>
      </w:r>
      <w:r>
        <w:t xml:space="preserve">containers must exceed 65 % of the total container traffic of that port during the most recent</w:t>
      </w:r>
      <w:r>
        <w:t xml:space="preserve"> </w:t>
      </w:r>
      <w:r>
        <w:t xml:space="preserve">twelve-month period for which relevant data are available. The port must also be located</w:t>
      </w:r>
      <w:r>
        <w:t xml:space="preserve"> </w:t>
      </w:r>
      <w:r>
        <w:t xml:space="preserve">outside the EU but less than 300 nautical miles from a port under the jurisdiction of a Member</w:t>
      </w:r>
      <w:r>
        <w:t xml:space="preserve"> </w:t>
      </w:r>
      <w:r>
        <w:t xml:space="preserve">State. However, ports located in a third country where measures equivalent to the EU ETS</w:t>
      </w:r>
      <w:r>
        <w:t xml:space="preserve"> </w:t>
      </w:r>
      <w:r>
        <w:t xml:space="preserve">Directive are effectively applied should not be identified as a “neighbouring container</w:t>
      </w:r>
      <w:r>
        <w:t xml:space="preserve"> </w:t>
      </w:r>
      <w:r>
        <w:t xml:space="preserve">transhipment port”.</w:t>
      </w:r>
      <w:r>
        <w:t xml:space="preserve"> </w:t>
      </w:r>
      <w:r>
        <w:t xml:space="preserve">The revision of the list of neighbouring container transhipment ports is expected to further</w:t>
      </w:r>
      <w:r>
        <w:t xml:space="preserve"> </w:t>
      </w:r>
      <w:r>
        <w:t xml:space="preserve">mitigate the risk of transhipment relocation by reducing the incentive to stop at non-EU hubs</w:t>
      </w:r>
      <w:r>
        <w:t xml:space="preserve"> </w:t>
      </w:r>
      <w:r>
        <w:t xml:space="preserve">before or after calling at EU ports. At the same time, the revision seeks to ensure the</w:t>
      </w:r>
      <w:r>
        <w:t xml:space="preserve"> </w:t>
      </w:r>
      <w:r>
        <w:t xml:space="preserve">proportionality of the measure.</w:t>
      </w:r>
      <w:r>
        <w:t xml:space="preserve"> </w:t>
      </w:r>
      <w:r>
        <w:t xml:space="preserve">In order to achieve these objectives, the revision may involve adjustments to one or more of</w:t>
      </w:r>
      <w:r>
        <w:t xml:space="preserve"> </w:t>
      </w:r>
      <w:r>
        <w:t xml:space="preserve">the following elements:</w:t>
      </w:r>
    </w:p>
    <w:p>
      <w:pPr>
        <w:pStyle w:val="FirstParagraph"/>
      </w:pPr>
      <w:r>
        <w:t xml:space="preserve">275</w:t>
      </w:r>
    </w:p>
    <w:p>
      <w:pPr>
        <w:pStyle w:val="BodyText"/>
      </w:pPr>
      <w:r>
        <w:t xml:space="preserve">• Increase distance threshold: Raising the distance threshold beyond 300 nautical miles</w:t>
      </w:r>
      <w:r>
        <w:t xml:space="preserve"> </w:t>
      </w:r>
      <w:r>
        <w:t xml:space="preserve">could, in principle, extend coverage to additional non-EU ports that might benefit from</w:t>
      </w:r>
      <w:r>
        <w:t xml:space="preserve"> </w:t>
      </w:r>
      <w:r>
        <w:t xml:space="preserve">evasion practices. However, as illustrated in the figure below, the vast majority of ports with</w:t>
      </w:r>
      <w:r>
        <w:t xml:space="preserve"> </w:t>
      </w:r>
      <w:r>
        <w:t xml:space="preserve">a significant transhipment incidence are located within 300 nautical miles of the nearest EU</w:t>
      </w:r>
      <w:r>
        <w:t xml:space="preserve"> </w:t>
      </w:r>
      <w:r>
        <w:t xml:space="preserve">port. The sole potential exceptions are the port of Ain Shukna (Egypt) and the port of</w:t>
      </w:r>
      <w:r>
        <w:t xml:space="preserve"> </w:t>
      </w:r>
      <w:r>
        <w:t xml:space="preserve">Caucedo in the Dominican Republic (close to Guadeloupe), where container transhipment</w:t>
      </w:r>
      <w:r>
        <w:t xml:space="preserve"> </w:t>
      </w:r>
      <w:r>
        <w:t xml:space="preserve">incidence is estimated at around 40%. On this basis, expanding the distance threshold would</w:t>
      </w:r>
      <w:r>
        <w:t xml:space="preserve"> </w:t>
      </w:r>
      <w:r>
        <w:t xml:space="preserve">not result in a meaningful revision of the list. It is therefore proposed to maintain the current</w:t>
      </w:r>
      <w:r>
        <w:t xml:space="preserve"> </w:t>
      </w:r>
      <w:r>
        <w:t xml:space="preserve">distance threshold.</w:t>
      </w:r>
      <w:r>
        <w:t xml:space="preserve"> </w:t>
      </w:r>
      <w:r>
        <w:t xml:space="preserve">• Lower transhipment incidence threshold: Transhipment incidence may be reduced below</w:t>
      </w:r>
      <w:r>
        <w:t xml:space="preserve"> </w:t>
      </w:r>
      <w:r>
        <w:t xml:space="preserve">the current 65% level to cover additional non-EU ports, which still have a high potential to</w:t>
      </w:r>
      <w:r>
        <w:t xml:space="preserve"> </w:t>
      </w:r>
      <w:r>
        <w:t xml:space="preserve">attract transhipment activities from EU ports. It is proposed to lower transhipment incidence</w:t>
      </w:r>
      <w:r>
        <w:t xml:space="preserve"> </w:t>
      </w:r>
      <w:r>
        <w:t xml:space="preserve">threshold to 50%. This follows a port hub definition in the literature321 and it would</w:t>
      </w:r>
      <w:r>
        <w:t xml:space="preserve"> </w:t>
      </w:r>
      <w:r>
        <w:t xml:space="preserve">safeguard the proportionality of the measure as the exclusion from the definition of ‘port of</w:t>
      </w:r>
      <w:r>
        <w:t xml:space="preserve"> </w:t>
      </w:r>
      <w:r>
        <w:t xml:space="preserve">call’ would continue applying to certain non-Union ports, where the transhipment of</w:t>
      </w:r>
      <w:r>
        <w:t xml:space="preserve"> </w:t>
      </w:r>
      <w:r>
        <w:t xml:space="preserve">containers accounts for most container traffic. As per the analysis in Figure 2, this change</w:t>
      </w:r>
      <w:r>
        <w:t xml:space="preserve"> </w:t>
      </w:r>
      <w:r>
        <w:t xml:space="preserve">of threshold could lead, in the short-term, to the identification of one additional</w:t>
      </w:r>
      <w:r>
        <w:t xml:space="preserve"> </w:t>
      </w:r>
      <w:r>
        <w:t xml:space="preserve">“neighbouring container transhipment port” (besides the two ports already on the list and</w:t>
      </w:r>
      <w:r>
        <w:t xml:space="preserve"> </w:t>
      </w:r>
      <w:r>
        <w:t xml:space="preserve">the two additional ports identified by virtue of recent available data) namely the port of</w:t>
      </w:r>
      <w:r>
        <w:t xml:space="preserve"> </w:t>
      </w:r>
      <w:r>
        <w:t xml:space="preserve">Tekirdağ in Türkiye.</w:t>
      </w:r>
      <w:r>
        <w:t xml:space="preserve"> </w:t>
      </w:r>
      <w:r>
        <w:t xml:space="preserve">• Increase list review frequency: The list of neighbouring container transhipment ports is</w:t>
      </w:r>
      <w:r>
        <w:t xml:space="preserve"> </w:t>
      </w:r>
      <w:r>
        <w:t xml:space="preserve">currently updated every two years. This frequency may be insufficient to capture major</w:t>
      </w:r>
      <w:r>
        <w:t xml:space="preserve"> </w:t>
      </w:r>
      <w:r>
        <w:t xml:space="preserve">disruptions in the shipping market, which can rapidly alter transhipment patterns. One</w:t>
      </w:r>
      <w:r>
        <w:t xml:space="preserve"> </w:t>
      </w:r>
      <w:r>
        <w:t xml:space="preserve">option would be to review the list on an annual basis, to ensure that it remains fully aligned</w:t>
      </w:r>
      <w:r>
        <w:t xml:space="preserve"> </w:t>
      </w:r>
      <w:r>
        <w:t xml:space="preserve">with market developments. More frequent, or ad-hoc updates based on shorter time series</w:t>
      </w:r>
      <w:r>
        <w:t xml:space="preserve"> </w:t>
      </w:r>
      <w:r>
        <w:t xml:space="preserve">than the current two-year period, would also ensure enough flexibility to swiftly consider</w:t>
      </w:r>
      <w:r>
        <w:t xml:space="preserve"> </w:t>
      </w:r>
      <w:r>
        <w:t xml:space="preserve">neighbouring ports under development or subject to major expansions and destined to</w:t>
      </w:r>
      <w:r>
        <w:t xml:space="preserve"> </w:t>
      </w:r>
      <w:r>
        <w:t xml:space="preserve">become major transhipment hubs. Examples of ports/terminals under development that</w:t>
      </w:r>
      <w:r>
        <w:t xml:space="preserve"> </w:t>
      </w:r>
      <w:r>
        <w:t xml:space="preserve">could attract transhipment activities in the near future include e.g. the ports of Nador West</w:t>
      </w:r>
      <w:r>
        <w:t xml:space="preserve"> </w:t>
      </w:r>
      <w:r>
        <w:t xml:space="preserve">Med (Morrocco)322, the port of Cherchell (Algeria)323 and the port of Dakhla (Morrocco)324.</w:t>
      </w:r>
      <w:r>
        <w:t xml:space="preserve"> </w:t>
      </w:r>
      <w:r>
        <w:t xml:space="preserve">At the same time, if the review does not lead to a change of the list, it is proposed that no</w:t>
      </w:r>
      <w:r>
        <w:t xml:space="preserve"> </w:t>
      </w:r>
      <w:r>
        <w:t xml:space="preserve">amendment of the corresponding legal act is needed.</w:t>
      </w:r>
    </w:p>
    <w:p>
      <w:pPr>
        <w:pStyle w:val="BodyText"/>
      </w:pPr>
      <w:r>
        <w:t xml:space="preserve">321 Notteboom, T., A. Pallis and J-P Rodrigue (2022) Port Economics, Management and Policy, New York:</w:t>
      </w:r>
      <w:r>
        <w:t xml:space="preserve"> </w:t>
      </w:r>
      <w:r>
        <w:t xml:space="preserve">Routledge. https://doi.org/10.4324/9780429318184</w:t>
      </w:r>
      <w:r>
        <w:t xml:space="preserve"> </w:t>
      </w:r>
      <w:r>
        <w:t xml:space="preserve">322 Due to be fully operational in 2027.</w:t>
      </w:r>
      <w:r>
        <w:t xml:space="preserve"> </w:t>
      </w:r>
      <w:r>
        <w:t xml:space="preserve">323 Major ‘El-Hamdania’ megaport expansion project relaunched in September 2025, completion date currently</w:t>
      </w:r>
      <w:r>
        <w:t xml:space="preserve"> </w:t>
      </w:r>
      <w:r>
        <w:t xml:space="preserve">unknown.</w:t>
      </w:r>
      <w:r>
        <w:br/>
      </w:r>
      <w:r>
        <w:t xml:space="preserve">324 Due to be completed in 2028.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Figure 2:</w:t>
      </w:r>
      <w:r>
        <w:t xml:space="preserve"> </w:t>
      </w:r>
      <w:r>
        <w:t xml:space="preserve">Illustration of the revision of the list of neighbouring transhipment ports with a 50%</w:t>
      </w:r>
      <w:r>
        <w:t xml:space="preserve"> </w:t>
      </w:r>
      <w:r>
        <w:t xml:space="preserve">transhipment incidence threshold. .</w:t>
      </w:r>
    </w:p>
    <w:p>
      <w:pPr>
        <w:pStyle w:val="BodyText"/>
      </w:pPr>
      <w:r>
        <w:t xml:space="preserve">Note: Vertical axis shows transhipment incidence in %, while horizontal axis shows distance to closest EU port</w:t>
      </w:r>
      <w:r>
        <w:t xml:space="preserve"> </w:t>
      </w:r>
      <w:r>
        <w:t xml:space="preserve">in nautical miles (nm). Size of the bubble shows annual transhipment traffic in TEUs. Bubbles in green represent</w:t>
      </w:r>
      <w:r>
        <w:t xml:space="preserve"> </w:t>
      </w:r>
      <w:r>
        <w:t xml:space="preserve">the neighbouring ports identified based on the distance to closest EU outermost regions</w:t>
      </w:r>
      <w:r>
        <w:t xml:space="preserve"> </w:t>
      </w:r>
      <w:r>
        <w:t xml:space="preserve">Source: Commission’s analysis based on data from EconDB and port traffic statistics</w:t>
      </w:r>
      <w:r>
        <w:t xml:space="preserve"> </w:t>
      </w:r>
      <w:r>
        <w:t xml:space="preserve">2.2.2. RE2: Ensuring that offshore activities by ships operating in EU waters are</w:t>
      </w:r>
      <w:r>
        <w:t xml:space="preserve"> </w:t>
      </w:r>
      <w:r>
        <w:t xml:space="preserve">covered, independently from their port of origin.</w:t>
      </w:r>
      <w:r>
        <w:t xml:space="preserve"> </w:t>
      </w:r>
      <w:r>
        <w:t xml:space="preserve">EU MRV and ETS elements may be amended to address the specific nature of offshore</w:t>
      </w:r>
      <w:r>
        <w:t xml:space="preserve"> </w:t>
      </w:r>
      <w:r>
        <w:t xml:space="preserve">activities occurring in EU waters. Elements that may be looked at include, among others, the</w:t>
      </w:r>
      <w:r>
        <w:t xml:space="preserve"> </w:t>
      </w:r>
      <w:r>
        <w:t xml:space="preserve">definition of ‘port of call’ or the definition of ‘voyage’. This measure would ensure that vessels</w:t>
      </w:r>
      <w:r>
        <w:t xml:space="preserve"> </w:t>
      </w:r>
      <w:r>
        <w:t xml:space="preserve">providing offshore services (e.g. by virtue of a contract, permit or licence or a UN/LOCODE</w:t>
      </w:r>
      <w:r>
        <w:t xml:space="preserve"> </w:t>
      </w:r>
      <w:r>
        <w:t xml:space="preserve">designator) in Member States’ territorial waters or Exclusive Economic Zones (EEZs) are</w:t>
      </w:r>
      <w:r>
        <w:t xml:space="preserve"> </w:t>
      </w:r>
      <w:r>
        <w:t xml:space="preserve">subject to the EU ETS, independently from where they come from or where they go to after</w:t>
      </w:r>
      <w:r>
        <w:t xml:space="preserve"> </w:t>
      </w:r>
      <w:r>
        <w:t xml:space="preserve">they conclude the activity. The implementation of this measure could rely on explicit permits</w:t>
      </w:r>
      <w:r>
        <w:t xml:space="preserve"> </w:t>
      </w:r>
      <w:r>
        <w:t xml:space="preserve">or licences issued by Member States to precisely identify the geographical locations of the</w:t>
      </w:r>
      <w:r>
        <w:t xml:space="preserve"> </w:t>
      </w:r>
      <w:r>
        <w:t xml:space="preserve">offshore activities, as in the case where a UN/LOCODE has not been formally designated for</w:t>
      </w:r>
      <w:r>
        <w:t xml:space="preserve"> </w:t>
      </w:r>
      <w:r>
        <w:t xml:space="preserve">a site, and the duration of such activities. Other aspects that may need to be addressed include</w:t>
      </w:r>
      <w:r>
        <w:t xml:space="preserve"> </w:t>
      </w:r>
      <w:r>
        <w:t xml:space="preserve">having clear criteria for identifying relevant offshore activities; having robust geolocation and</w:t>
      </w:r>
      <w:r>
        <w:t xml:space="preserve"> </w:t>
      </w:r>
      <w:r>
        <w:t xml:space="preserve">activity data to ensure reporting accuracy and reliable verification of emissions; and making</w:t>
      </w:r>
      <w:r>
        <w:t xml:space="preserve"> </w:t>
      </w:r>
      <w:r>
        <w:t xml:space="preserve">updates to Thetis-MRV to reflect the new definition and its implementation.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2.3. Assessment of policy measures</w:t>
      </w:r>
      <w:r>
        <w:t xml:space="preserve"> </w:t>
      </w:r>
      <w:r>
        <w:t xml:space="preserve">2.3.1. Economic impacts</w:t>
      </w:r>
      <w:r>
        <w:t xml:space="preserve"> </w:t>
      </w:r>
      <w:r>
        <w:t xml:space="preserve">2.3.1.1. Policy measure RE1</w:t>
      </w:r>
      <w:r>
        <w:br/>
      </w:r>
      <w:r>
        <w:t xml:space="preserve">The two main economic impacts of the possible relocation of transhipment activities could be</w:t>
      </w:r>
      <w:r>
        <w:t xml:space="preserve"> </w:t>
      </w:r>
      <w:r>
        <w:t xml:space="preserve">(i) lower port-related economic activities and (ii) higher import/export prices due to lower</w:t>
      </w:r>
      <w:r>
        <w:t xml:space="preserve"> </w:t>
      </w:r>
      <w:r>
        <w:t xml:space="preserve">connectivity. First, if lower port traffic occurs due to the relocation of transhipment activities,</w:t>
      </w:r>
      <w:r>
        <w:t xml:space="preserve"> </w:t>
      </w:r>
      <w:r>
        <w:t xml:space="preserve">it could translate into decreased gross value added and employment across port-related sectors,</w:t>
      </w:r>
      <w:r>
        <w:t xml:space="preserve"> </w:t>
      </w:r>
      <w:r>
        <w:t xml:space="preserve">with broader spillover effects in the hinterland economy. Second, the relocation of</w:t>
      </w:r>
      <w:r>
        <w:t xml:space="preserve"> </w:t>
      </w:r>
      <w:r>
        <w:t xml:space="preserve">transhipment activities from EU ports to non-EU ports could also have a negative impact on</w:t>
      </w:r>
      <w:r>
        <w:t xml:space="preserve"> </w:t>
      </w:r>
      <w:r>
        <w:t xml:space="preserve">connectivity, because of the reduction in frequency of direct services by container ships at EU</w:t>
      </w:r>
      <w:r>
        <w:t xml:space="preserve"> </w:t>
      </w:r>
      <w:r>
        <w:t xml:space="preserve">container transhipment ports. The reduction in the frequency of direct services might lead to</w:t>
      </w:r>
      <w:r>
        <w:t xml:space="preserve"> </w:t>
      </w:r>
      <w:r>
        <w:t xml:space="preserve">an increase in transit time and container shipping costs, and, in turn, this can lead to higher</w:t>
      </w:r>
      <w:r>
        <w:t xml:space="preserve"> </w:t>
      </w:r>
      <w:r>
        <w:t xml:space="preserve">import and export prices.</w:t>
      </w:r>
      <w:r>
        <w:t xml:space="preserve"> </w:t>
      </w:r>
      <w:r>
        <w:t xml:space="preserve">In case the relocation of transhipment activities from EU ports to non-EU ports occurs, it would</w:t>
      </w:r>
      <w:r>
        <w:t xml:space="preserve"> </w:t>
      </w:r>
      <w:r>
        <w:t xml:space="preserve">likely have different economic impacts across Member States and regions. For instance, the</w:t>
      </w:r>
      <w:r>
        <w:t xml:space="preserve"> </w:t>
      </w:r>
      <w:r>
        <w:t xml:space="preserve">impact on the economy might be more severe for regions and countries where port activity</w:t>
      </w:r>
      <w:r>
        <w:t xml:space="preserve"> </w:t>
      </w:r>
      <w:r>
        <w:t xml:space="preserve">represents a significant share of GDP and employment. In Member States and regions whose</w:t>
      </w:r>
      <w:r>
        <w:t xml:space="preserve"> </w:t>
      </w:r>
      <w:r>
        <w:t xml:space="preserve">economies are highly dependent on maritime transport services and where the number of ports</w:t>
      </w:r>
      <w:r>
        <w:t xml:space="preserve"> </w:t>
      </w:r>
      <w:r>
        <w:t xml:space="preserve">is limited, the relocation of transhipment activities might have a more severe impact on</w:t>
      </w:r>
      <w:r>
        <w:t xml:space="preserve"> </w:t>
      </w:r>
      <w:r>
        <w:t xml:space="preserve">connectivity and import/export prices325 than in Member States and regions with a greater</w:t>
      </w:r>
      <w:r>
        <w:t xml:space="preserve"> </w:t>
      </w:r>
      <w:r>
        <w:t xml:space="preserve">number of ports.</w:t>
      </w:r>
      <w:r>
        <w:br/>
      </w:r>
      <w:r>
        <w:t xml:space="preserve">Should RE1 effectively reduce transhipment relocation risks, it is also expected to limit the</w:t>
      </w:r>
      <w:r>
        <w:t xml:space="preserve"> </w:t>
      </w:r>
      <w:r>
        <w:t xml:space="preserve">broader economic impact associated with the relocation of transhipment activities from EU</w:t>
      </w:r>
      <w:r>
        <w:t xml:space="preserve"> </w:t>
      </w:r>
      <w:r>
        <w:t xml:space="preserve">ports to non-EU ports.</w:t>
      </w:r>
      <w:r>
        <w:br/>
      </w:r>
      <w:r>
        <w:t xml:space="preserve">In relation to competitiveness impacts on EU container transhipment ports, RE1 should lead to</w:t>
      </w:r>
      <w:r>
        <w:t xml:space="preserve"> </w:t>
      </w:r>
      <w:r>
        <w:t xml:space="preserve">the identification of additional “neighbouring container transhipment ports” under the ETS</w:t>
      </w:r>
      <w:r>
        <w:t xml:space="preserve"> </w:t>
      </w:r>
      <w:r>
        <w:t xml:space="preserve">Directive. According to present data and assuming no major changes in ports’ activities, RE1</w:t>
      </w:r>
      <w:r>
        <w:t xml:space="preserve"> </w:t>
      </w:r>
      <w:r>
        <w:t xml:space="preserve">could lead to the identification of the port of Tekirdağ in Türkiye, which represents a yearly</w:t>
      </w:r>
      <w:r>
        <w:t xml:space="preserve"> </w:t>
      </w:r>
      <w:r>
        <w:t xml:space="preserve">container transhipment volume of around 1.2 million TEU.</w:t>
      </w:r>
      <w:r>
        <w:t xml:space="preserve"> </w:t>
      </w:r>
      <w:r>
        <w:t xml:space="preserve">When considered together with the other “neighbouring container transhipment port, the scope</w:t>
      </w:r>
      <w:r>
        <w:t xml:space="preserve"> </w:t>
      </w:r>
      <w:r>
        <w:t xml:space="preserve">of the current anti-evasion would cover more than 80% of the container transhipment activities</w:t>
      </w:r>
      <w:r>
        <w:t xml:space="preserve"> </w:t>
      </w:r>
      <w:r>
        <w:t xml:space="preserve">taking place in non-EU Mediterranean countries.</w:t>
      </w:r>
      <w:r>
        <w:br/>
      </w:r>
      <w:r>
        <w:t xml:space="preserve">RE1 could also help better address the risk of evasion linked to future transhipment hubs, such</w:t>
      </w:r>
      <w:r>
        <w:t xml:space="preserve"> </w:t>
      </w:r>
      <w:r>
        <w:t xml:space="preserve">as the port of Cherchell in Algeria, the Port of Dakhla or Nador West Med in Morocco. By</w:t>
      </w:r>
      <w:r>
        <w:t xml:space="preserve"> </w:t>
      </w:r>
      <w:r>
        <w:t xml:space="preserve">reducing the attractiveness of relocating transhipment activities to non-EU transhipment ports,</w:t>
      </w:r>
      <w:r>
        <w:t xml:space="preserve"> </w:t>
      </w:r>
      <w:r>
        <w:t xml:space="preserve">RE1 should help maintain the market shares of EU container transhipment ports and contribute</w:t>
      </w:r>
      <w:r>
        <w:t xml:space="preserve"> </w:t>
      </w:r>
      <w:r>
        <w:t xml:space="preserve">to preserve their competitiveness.</w:t>
      </w:r>
      <w:r>
        <w:t xml:space="preserve"> </w:t>
      </w:r>
      <w:r>
        <w:t xml:space="preserve">2.3.1.2. Policy measure RE2</w:t>
      </w:r>
      <w:r>
        <w:t xml:space="preserve"> </w:t>
      </w:r>
      <w:r>
        <w:t xml:space="preserve">Measure RE2 ensures that all ships involved in relevant offshore activities in Member States’</w:t>
      </w:r>
      <w:r>
        <w:t xml:space="preserve"> </w:t>
      </w:r>
      <w:r>
        <w:t xml:space="preserve">territorial waters or Exclusive Economic Zones (EEZs) are subject to emissions regulation,</w:t>
      </w:r>
      <w:r>
        <w:t xml:space="preserve"> </w:t>
      </w:r>
      <w:r>
        <w:t xml:space="preserve">regardless of their flag or port of origin. This promotes more level playing field across the</w:t>
      </w:r>
    </w:p>
    <w:p>
      <w:pPr>
        <w:pStyle w:val="BodyText"/>
      </w:pPr>
      <w:r>
        <w:t xml:space="preserve">325 In these Member States and regions that are highly dependent on maritime transport services and where the</w:t>
      </w:r>
      <w:r>
        <w:t xml:space="preserve"> </w:t>
      </w:r>
      <w:r>
        <w:t xml:space="preserve">number of ports is limited, the relocation of container transhipment activities may affect trading activities and</w:t>
      </w:r>
      <w:r>
        <w:t xml:space="preserve"> </w:t>
      </w:r>
      <w:r>
        <w:t xml:space="preserve">increase import and export prices, e.g. for time-sensitive commodities like electronics, perishables, and</w:t>
      </w:r>
      <w:r>
        <w:t xml:space="preserve"> </w:t>
      </w:r>
      <w:r>
        <w:t xml:space="preserve">automotive parts routed through Mediterranean arcs.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sector and it would help safeguard the competitiveness of EU offshore operators based in the</w:t>
      </w:r>
      <w:r>
        <w:t xml:space="preserve"> </w:t>
      </w:r>
      <w:r>
        <w:t xml:space="preserve">EU. It should be noted that the EU offshore shipping fleet is a strategic asset for the European</w:t>
      </w:r>
      <w:r>
        <w:t xml:space="preserve"> </w:t>
      </w:r>
      <w:r>
        <w:t xml:space="preserve">Union, being a category of vessels that includes specialised vessels working, among others, on</w:t>
      </w:r>
      <w:r>
        <w:t xml:space="preserve"> </w:t>
      </w:r>
      <w:r>
        <w:t xml:space="preserve">offshore wind installation and maintenance, cable-laying and subsea construction. These</w:t>
      </w:r>
      <w:r>
        <w:t xml:space="preserve"> </w:t>
      </w:r>
      <w:r>
        <w:t xml:space="preserve">vessels provide services underpinning the EU’s energy security and digital connectivity and</w:t>
      </w:r>
      <w:r>
        <w:t xml:space="preserve"> </w:t>
      </w:r>
      <w:r>
        <w:t xml:space="preserve">are essential for the deployment of the EU’s offshore renewable capacity and</w:t>
      </w:r>
      <w:r>
        <w:br/>
      </w:r>
      <w:r>
        <w:t xml:space="preserve">telecommunications infrastructure. Maintaining a strong and competitive EU-based offshore</w:t>
      </w:r>
      <w:r>
        <w:t xml:space="preserve"> </w:t>
      </w:r>
      <w:r>
        <w:t xml:space="preserve">fleet safeguards industrial know-how, high-skilled maritime jobs and strategic autonomy, while</w:t>
      </w:r>
      <w:r>
        <w:t xml:space="preserve"> </w:t>
      </w:r>
      <w:r>
        <w:t xml:space="preserve">reducing dependence on non-EU operators for critical offshore services.</w:t>
      </w:r>
      <w:r>
        <w:t xml:space="preserve"> </w:t>
      </w:r>
      <w:r>
        <w:t xml:space="preserve">2.3.2. Environmental impacts</w:t>
      </w:r>
      <w:r>
        <w:t xml:space="preserve"> </w:t>
      </w:r>
      <w:r>
        <w:t xml:space="preserve">2.3.2.1. Policy measure RE1</w:t>
      </w:r>
      <w:r>
        <w:t xml:space="preserve"> </w:t>
      </w:r>
      <w:r>
        <w:t xml:space="preserve">RE1 would result, based on data at the time of preparing this impact assessment, in the inclusion</w:t>
      </w:r>
      <w:r>
        <w:t xml:space="preserve"> </w:t>
      </w:r>
      <w:r>
        <w:t xml:space="preserve">of one additional port, the port of Tekirdağ in Türkiye in addition to the four other ports on the</w:t>
      </w:r>
      <w:r>
        <w:t xml:space="preserve"> </w:t>
      </w:r>
      <w:r>
        <w:t xml:space="preserve">current list or not yet added.</w:t>
      </w:r>
      <w:r>
        <w:t xml:space="preserve"> </w:t>
      </w:r>
      <w:r>
        <w:t xml:space="preserve">Under the ETS Directive calls at ports identified as “neighbouring container transhipment</w:t>
      </w:r>
      <w:r>
        <w:t xml:space="preserve"> </w:t>
      </w:r>
      <w:r>
        <w:t xml:space="preserve">ports” cannot be considered as the starting or ending point of a voyage. Including these</w:t>
      </w:r>
      <w:r>
        <w:t xml:space="preserve"> </w:t>
      </w:r>
      <w:r>
        <w:t xml:space="preserve">additional ports would therefore alter the scope of EU ETS326 emissions. Compared to the</w:t>
      </w:r>
      <w:r>
        <w:t xml:space="preserve"> </w:t>
      </w:r>
      <w:r>
        <w:t xml:space="preserve">current list of neighbouring container transhipment ports (East Port Said and Tanger Med), the</w:t>
      </w:r>
      <w:r>
        <w:t xml:space="preserve"> </w:t>
      </w:r>
      <w:r>
        <w:t xml:space="preserve">ports of Abu Qir, Damietta and Tekirdağ have lower connectivity with EU ports and shorter</w:t>
      </w:r>
      <w:r>
        <w:t xml:space="preserve"> </w:t>
      </w:r>
      <w:r>
        <w:t xml:space="preserve">voyages, so emissions added to the EU ETS scope by virtue of adding these three ports to the</w:t>
      </w:r>
      <w:r>
        <w:t xml:space="preserve"> </w:t>
      </w:r>
      <w:r>
        <w:t xml:space="preserve">list would be relatively small (&lt;0.3% of EU ETS maritime emissions). This suggests that, based</w:t>
      </w:r>
      <w:r>
        <w:t xml:space="preserve"> </w:t>
      </w:r>
      <w:r>
        <w:t xml:space="preserve">on existing traffic, their inclusion would have a lower effect than the currently listed ports. The</w:t>
      </w:r>
      <w:r>
        <w:t xml:space="preserve"> </w:t>
      </w:r>
      <w:r>
        <w:t xml:space="preserve">two ports already in the list of neighbouring container transhipment ports between them</w:t>
      </w:r>
      <w:r>
        <w:t xml:space="preserve"> </w:t>
      </w:r>
      <w:r>
        <w:t xml:space="preserve">account for more than 90% of additional emissions relating to an expanded list of neighbouring</w:t>
      </w:r>
      <w:r>
        <w:t xml:space="preserve"> </w:t>
      </w:r>
      <w:r>
        <w:t xml:space="preserve">container transhipment ports. Among other potential ports for future consideration, particularly</w:t>
      </w:r>
      <w:r>
        <w:t xml:space="preserve"> </w:t>
      </w:r>
      <w:r>
        <w:t xml:space="preserve">if the threshold is lowered, London Gateway would contribute most to EU ETS emissions due</w:t>
      </w:r>
      <w:r>
        <w:t xml:space="preserve"> </w:t>
      </w:r>
      <w:r>
        <w:t xml:space="preserve">to its strong connectivity with EU ports.</w:t>
      </w:r>
      <w:r>
        <w:t xml:space="preserve"> </w:t>
      </w:r>
      <w:r>
        <w:t xml:space="preserve">2.3.2.2. Policy measure RE2</w:t>
      </w:r>
      <w:r>
        <w:t xml:space="preserve"> </w:t>
      </w:r>
      <w:r>
        <w:t xml:space="preserve">By covering emissions from all ships involved in relevant offshore activities in Member States’</w:t>
      </w:r>
      <w:r>
        <w:t xml:space="preserve"> </w:t>
      </w:r>
      <w:r>
        <w:t xml:space="preserve">territorial waters or EEZs , the following changes in the scope of emissions under the EU ETS</w:t>
      </w:r>
      <w:r>
        <w:t xml:space="preserve"> </w:t>
      </w:r>
      <w:r>
        <w:t xml:space="preserve">could occur:</w:t>
      </w:r>
      <w:r>
        <w:t xml:space="preserve"> </w:t>
      </w:r>
      <w:r>
        <w:t xml:space="preserve">- Case 1: for offshore vessels based in EU ports but performing offshore activities outside</w:t>
      </w:r>
      <w:r>
        <w:t xml:space="preserve"> </w:t>
      </w:r>
      <w:r>
        <w:t xml:space="preserve">MS’ territorial waters or EEZ, there would be reduction in in-scope emissions;</w:t>
      </w:r>
      <w:r>
        <w:t xml:space="preserve"> </w:t>
      </w:r>
      <w:r>
        <w:t xml:space="preserve">- Case 2: for offshore vessels performing voyages between non-EU ports and offshore sites</w:t>
      </w:r>
      <w:r>
        <w:t xml:space="preserve"> </w:t>
      </w:r>
      <w:r>
        <w:t xml:space="preserve">inside MS’ territorial waters or EEZs, there would be an increase in in-scope emissions.</w:t>
      </w:r>
      <w:r>
        <w:t xml:space="preserve"> </w:t>
      </w:r>
      <w:r>
        <w:t xml:space="preserve">The resulting change in covered ETS emissions would therefore depend on the frequency of</w:t>
      </w:r>
      <w:r>
        <w:t xml:space="preserve"> </w:t>
      </w:r>
      <w:r>
        <w:t xml:space="preserve">each case and their weighting in terms of total emissions that would fall under those cases.</w:t>
      </w:r>
      <w:r>
        <w:br/>
      </w:r>
      <w:r>
        <w:t xml:space="preserve">Analysis of offshore operators indicates that an absolute majority (77%) of calls by offshore</w:t>
      </w:r>
      <w:r>
        <w:t xml:space="preserve"> </w:t>
      </w:r>
      <w:r>
        <w:t xml:space="preserve">ships at EU ports are operated by EU-registered companies; the share of offshore ships operated</w:t>
      </w:r>
      <w:r>
        <w:t xml:space="preserve"> </w:t>
      </w:r>
      <w:r>
        <w:t xml:space="preserve">by EU companies and calling non-EU ports is also significant (42%). It may follow that the</w:t>
      </w:r>
    </w:p>
    <w:p>
      <w:pPr>
        <w:pStyle w:val="BodyText"/>
      </w:pPr>
      <w:r>
        <w:t xml:space="preserve">326 For example, for a journey starting at an EU port call and ending at an EU port call via a ‘neighbouring</w:t>
      </w:r>
      <w:r>
        <w:t xml:space="preserve"> </w:t>
      </w:r>
      <w:r>
        <w:t xml:space="preserve">container transhipment port’, 100% of the emissions are subject to surrender obligations in accordance with</w:t>
      </w:r>
      <w:r>
        <w:t xml:space="preserve"> </w:t>
      </w:r>
      <w:r>
        <w:t xml:space="preserve">Article 3ga of the EU ETS Directive.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likelihood of the change in scope represented by case 1 is greater, and therefore a net reduction</w:t>
      </w:r>
      <w:r>
        <w:t xml:space="preserve"> </w:t>
      </w:r>
      <w:r>
        <w:t xml:space="preserve">in emissions (from offshore activities) falling within EU ETS scope may occur.</w:t>
      </w:r>
      <w:r>
        <w:t xml:space="preserve"> </w:t>
      </w:r>
      <w:r>
        <w:t xml:space="preserve">2.3.3. Social impacts</w:t>
      </w:r>
      <w:r>
        <w:t xml:space="preserve"> </w:t>
      </w:r>
      <w:r>
        <w:t xml:space="preserve">Measures RE1 and RE2 should reduce potential negative social impacts from evasive</w:t>
      </w:r>
      <w:r>
        <w:t xml:space="preserve"> </w:t>
      </w:r>
      <w:r>
        <w:t xml:space="preserve">behaviours.</w:t>
      </w:r>
      <w:r>
        <w:br/>
      </w:r>
      <w:r>
        <w:t xml:space="preserve">In 2022, the port activities sector (including cargo and warehousing and port and water</w:t>
      </w:r>
      <w:r>
        <w:t xml:space="preserve"> </w:t>
      </w:r>
      <w:r>
        <w:t xml:space="preserve">projects) directly employed 423 000 people327, while the maritime transport sector (including</w:t>
      </w:r>
      <w:r>
        <w:t xml:space="preserve"> </w:t>
      </w:r>
      <w:r>
        <w:t xml:space="preserve">freight and passenger transport and services for transport) employed 392 800 people. Ports are</w:t>
      </w:r>
      <w:r>
        <w:t xml:space="preserve"> </w:t>
      </w:r>
      <w:r>
        <w:t xml:space="preserve">vital gateways for Europe, with 74% of goods entering or leaving Europe being transported by</w:t>
      </w:r>
      <w:r>
        <w:t xml:space="preserve"> </w:t>
      </w:r>
      <w:r>
        <w:t xml:space="preserve">sea and around 395 million passengers each year. Similarly, ports facilitate the exchange of</w:t>
      </w:r>
      <w:r>
        <w:t xml:space="preserve"> </w:t>
      </w:r>
      <w:r>
        <w:t xml:space="preserve">goods within the EU internal market and provide crucial links for islands and peripheral regions</w:t>
      </w:r>
      <w:r>
        <w:t xml:space="preserve"> </w:t>
      </w:r>
      <w:r>
        <w:t xml:space="preserve">with the rest of mainland Europe328.</w:t>
      </w:r>
      <w:r>
        <w:t xml:space="preserve"> </w:t>
      </w:r>
      <w:r>
        <w:t xml:space="preserve">The magnitude and distribution of port-related socio-economic impacts linked to the risk of</w:t>
      </w:r>
      <w:r>
        <w:t xml:space="preserve"> </w:t>
      </w:r>
      <w:r>
        <w:t xml:space="preserve">evasion depend on structural and contextual factors329. Even between EU transhipment ports,</w:t>
      </w:r>
      <w:r>
        <w:t xml:space="preserve"> </w:t>
      </w:r>
      <w:r>
        <w:t xml:space="preserve">the social impact of transhipment relocation can vary widely. The negative social impact is</w:t>
      </w:r>
      <w:r>
        <w:t xml:space="preserve"> </w:t>
      </w:r>
      <w:r>
        <w:t xml:space="preserve">likely to be more severe for regions whose economies are highly dependent on maritime</w:t>
      </w:r>
      <w:r>
        <w:t xml:space="preserve"> </w:t>
      </w:r>
      <w:r>
        <w:t xml:space="preserve">transport services via transhipment ports, because they lack alternative gateway ports.</w:t>
      </w:r>
      <w:r>
        <w:t xml:space="preserve"> </w:t>
      </w:r>
      <w:r>
        <w:t xml:space="preserve">Offshore vessels provide critical, specialised services to other important sectors, including, for</w:t>
      </w:r>
      <w:r>
        <w:t xml:space="preserve"> </w:t>
      </w:r>
      <w:r>
        <w:t xml:space="preserve">example, the EU offshore wind energy sector which in 2022 employed 17 300 people, a figure</w:t>
      </w:r>
      <w:r>
        <w:t xml:space="preserve"> </w:t>
      </w:r>
      <w:r>
        <w:t xml:space="preserve">that is expected to continue growing. This in turn provides opportunities for highly skilled</w:t>
      </w:r>
      <w:r>
        <w:t xml:space="preserve"> </w:t>
      </w:r>
      <w:r>
        <w:t xml:space="preserve">labour. Evasive behaviour in the offshore vessels sector that leads to competitive disadvantages</w:t>
      </w:r>
      <w:r>
        <w:t xml:space="preserve"> </w:t>
      </w:r>
      <w:r>
        <w:t xml:space="preserve">for EU-based operators could have wider consequential socio-economic negative impacts,</w:t>
      </w:r>
      <w:r>
        <w:t xml:space="preserve"> </w:t>
      </w:r>
      <w:r>
        <w:t xml:space="preserve">including loss of employment opportunities with a knock-on effect on communities reliant on</w:t>
      </w:r>
      <w:r>
        <w:t xml:space="preserve"> </w:t>
      </w:r>
      <w:r>
        <w:t xml:space="preserve">offshore vessel operations. Complementary measures to RE2, such as incentives to invest in</w:t>
      </w:r>
      <w:r>
        <w:t xml:space="preserve"> </w:t>
      </w:r>
      <w:r>
        <w:t xml:space="preserve">alternative fuels for offshore vessels could also be beneficial to prevent social impacts in the</w:t>
      </w:r>
      <w:r>
        <w:t xml:space="preserve"> </w:t>
      </w:r>
      <w:r>
        <w:t xml:space="preserve">long term.</w:t>
      </w:r>
    </w:p>
    <w:p>
      <w:pPr>
        <w:pStyle w:val="BodyText"/>
      </w:pPr>
      <w:r>
        <w:t xml:space="preserve">327 European Commission: Directorate-General for Maritime Affairs and Fisheries, Borriello, A., Calvo Santos,</w:t>
      </w:r>
      <w:r>
        <w:t xml:space="preserve"> </w:t>
      </w:r>
      <w:r>
        <w:t xml:space="preserve">A., Feyen, L., Ghiani, M. et al., The EU blue economy report 2025, Publications Office of the European</w:t>
      </w:r>
      <w:r>
        <w:t xml:space="preserve"> </w:t>
      </w:r>
      <w:r>
        <w:t xml:space="preserve">Union, 2025, https://data.europa.eu/doi/10.2771/2333701</w:t>
      </w:r>
      <w:r>
        <w:br/>
      </w:r>
      <w:r>
        <w:t xml:space="preserve">328 Rodrigue, J-P. &amp; Notteboom, T. (2022). Port Economics, Management and Policy, Chapter 11 “Ports and</w:t>
      </w:r>
      <w:r>
        <w:t xml:space="preserve"> </w:t>
      </w:r>
      <w:r>
        <w:t xml:space="preserve">Economic Development”, PortEconomics.eu.</w:t>
      </w:r>
      <w:r>
        <w:t xml:space="preserve"> </w:t>
      </w:r>
      <w:r>
        <w:t xml:space="preserve">329 Such as the economic structure of the surrounding region, hinterland integration (presence of rail, road, and</w:t>
      </w:r>
      <w:r>
        <w:t xml:space="preserve"> </w:t>
      </w:r>
      <w:r>
        <w:t xml:space="preserve">multimodal logistics corridors), or the type of ports (e.g. gateway ports vs. transhipment ports).</w:t>
      </w:r>
    </w:p>
    <w:p>
      <w:pPr>
        <w:pStyle w:val="BodyText"/>
      </w:pPr>
      <w:r>
        <w:t xml:space="preserve">280</w:t>
      </w:r>
    </w:p>
    <w:p>
      <w:pPr>
        <w:pStyle w:val="Compact"/>
        <w:numPr>
          <w:ilvl w:val="0"/>
          <w:numId w:val="1024"/>
        </w:numPr>
      </w:pPr>
      <w:r>
        <w:t xml:space="preserve">SIMPLIFICATION AND OTHER MEASURES TO ENHANCE ROBUSTNESS AND</w:t>
      </w:r>
      <w:r>
        <w:t xml:space="preserve"> </w:t>
      </w:r>
      <w:r>
        <w:t xml:space="preserve">EFFECTIVENESS OF THE IMPLEMENTATION SYSTEM FOR MARITIME</w:t>
      </w:r>
      <w:r>
        <w:br/>
      </w:r>
      <w:r>
        <w:t xml:space="preserve">3.1. Scoping</w:t>
      </w:r>
      <w:r>
        <w:br/>
      </w:r>
      <w:r>
        <w:t xml:space="preserve">The co-existence of different regulatory frameworks to decarbonise shipping at EU and global</w:t>
      </w:r>
      <w:r>
        <w:t xml:space="preserve"> </w:t>
      </w:r>
      <w:r>
        <w:t xml:space="preserve">level have introduced a set of parallel and sometimes overlapping requirements on shipping</w:t>
      </w:r>
      <w:r>
        <w:t xml:space="preserve"> </w:t>
      </w:r>
      <w:r>
        <w:t xml:space="preserve">companies. At the EU level, the EU ETS system was extended to maritime transport activities</w:t>
      </w:r>
      <w:r>
        <w:t xml:space="preserve"> </w:t>
      </w:r>
      <w:r>
        <w:t xml:space="preserve">starting in 2024 and, since 2025, a greenhouse gas intensity standard for energy used by ships</w:t>
      </w:r>
      <w:r>
        <w:t xml:space="preserve"> </w:t>
      </w:r>
      <w:r>
        <w:t xml:space="preserve">was introduced through the FuelEU Maritime Regulation. The IMO introduced a system</w:t>
      </w:r>
      <w:r>
        <w:t xml:space="preserve"> </w:t>
      </w:r>
      <w:r>
        <w:t xml:space="preserve">starting in 2019, mandating the monitoring and reporting of fuel consumption data, as a basis</w:t>
      </w:r>
      <w:r>
        <w:t xml:space="preserve"> </w:t>
      </w:r>
      <w:r>
        <w:t xml:space="preserve">to support IMO decarbonisation measures.</w:t>
      </w:r>
      <w:r>
        <w:br/>
      </w:r>
      <w:r>
        <w:t xml:space="preserve">The implementation of both the EU ETS maritime and of FuelEU Maritime is based on the</w:t>
      </w:r>
      <w:r>
        <w:t xml:space="preserve"> </w:t>
      </w:r>
      <w:r>
        <w:t xml:space="preserve">underlying EU MRV system, established in 2015330 to prepare for the EU ETS, upon which</w:t>
      </w:r>
      <w:r>
        <w:t xml:space="preserve"> </w:t>
      </w:r>
      <w:r>
        <w:t xml:space="preserve">FuelEU Maritime has also introduced additional requirements in 2023. As a consequence, the</w:t>
      </w:r>
      <w:r>
        <w:t xml:space="preserve"> </w:t>
      </w:r>
      <w:r>
        <w:t xml:space="preserve">MRV system required under ETS (i.e. MRV/ETS) and the one applicable under FuelEU</w:t>
      </w:r>
      <w:r>
        <w:t xml:space="preserve"> </w:t>
      </w:r>
      <w:r>
        <w:t xml:space="preserve">currently share many similarities in design, processes and involved actors, but remain formally</w:t>
      </w:r>
      <w:r>
        <w:t xml:space="preserve"> </w:t>
      </w:r>
      <w:r>
        <w:t xml:space="preserve">distinct and present some overlaps and divergences, thus causing operators the duplication of</w:t>
      </w:r>
      <w:r>
        <w:t xml:space="preserve"> </w:t>
      </w:r>
      <w:r>
        <w:t xml:space="preserve">compliance actions and interactions with relevant authorities331. Even tough synergies are</w:t>
      </w:r>
      <w:r>
        <w:t xml:space="preserve"> </w:t>
      </w:r>
      <w:r>
        <w:t xml:space="preserve">currently possible, those are limited to data collection onboard the ship and only partially</w:t>
      </w:r>
      <w:r>
        <w:t xml:space="preserve"> </w:t>
      </w:r>
      <w:r>
        <w:t xml:space="preserve">leveraged by shared functionalities in the IT reporting tool THETIS-MRV, acting as a “one-</w:t>
      </w:r>
      <w:r>
        <w:t xml:space="preserve"> </w:t>
      </w:r>
      <w:r>
        <w:t xml:space="preserve">stop shop” for shipping companies.</w:t>
      </w:r>
      <w:r>
        <w:br/>
      </w:r>
      <w:r>
        <w:t xml:space="preserve">Figure 3:</w:t>
      </w:r>
      <w:r>
        <w:t xml:space="preserve"> </w:t>
      </w:r>
      <w:r>
        <w:t xml:space="preserve">Current MRV/ETS/FuelEU compliance cycle, main steps</w:t>
      </w:r>
    </w:p>
    <w:p>
      <w:pPr>
        <w:pStyle w:val="FirstParagraph"/>
      </w:pPr>
      <w:r>
        <w:t xml:space="preserve">Source: Own illustration</w:t>
      </w:r>
    </w:p>
    <w:p>
      <w:pPr>
        <w:pStyle w:val="BodyText"/>
      </w:pPr>
      <w:r>
        <w:t xml:space="preserve">330 Through Regulation (EU) 2015/757 of the European Parliament and of the Council of 29 April 2015 on the</w:t>
      </w:r>
      <w:r>
        <w:t xml:space="preserve"> </w:t>
      </w:r>
      <w:r>
        <w:t xml:space="preserve">monitoring, reporting and verification of carbon dioxide emissions from maritime transport and amending</w:t>
      </w:r>
      <w:r>
        <w:t xml:space="preserve"> </w:t>
      </w:r>
      <w:r>
        <w:t xml:space="preserve">Directive 2009/16/EC (OJ L 123, 19.5.2015, pp. 55–76, ELI: http://data.europa.eu/eli/reg/2015/757/oj).</w:t>
      </w:r>
      <w:r>
        <w:t xml:space="preserve"> </w:t>
      </w:r>
      <w:r>
        <w:t xml:space="preserve">331 Synergies are currently already possible but mostly limited to data collection onboard the ship and only</w:t>
      </w:r>
      <w:r>
        <w:t xml:space="preserve"> </w:t>
      </w:r>
      <w:r>
        <w:t xml:space="preserve">partially mitigated by shared functionalities in the common IT reporting tool THETIS-MRV.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The different approaches to the regulated entity between EU MRV/EU ETS and FuelEU</w:t>
      </w:r>
      <w:r>
        <w:t xml:space="preserve"> </w:t>
      </w:r>
      <w:r>
        <w:t xml:space="preserve">Maritime332 may result into two different entities being responsible for the same ship under EU</w:t>
      </w:r>
      <w:r>
        <w:t xml:space="preserve"> </w:t>
      </w:r>
      <w:r>
        <w:t xml:space="preserve">MRV/ETS and FuelEU.</w:t>
      </w:r>
      <w:r>
        <w:br/>
      </w:r>
      <w:r>
        <w:t xml:space="preserve">The implementation of the EU ETS has also highlighted potential opportunities to increase the</w:t>
      </w:r>
      <w:r>
        <w:t xml:space="preserve"> </w:t>
      </w:r>
      <w:r>
        <w:t xml:space="preserve">robustness and effectiveness of the implementation system, both in respect of the role of</w:t>
      </w:r>
      <w:r>
        <w:t xml:space="preserve"> </w:t>
      </w:r>
      <w:r>
        <w:t xml:space="preserve">Administering Authorities in ensuring enforcement and of the compliance actions by shipping</w:t>
      </w:r>
      <w:r>
        <w:t xml:space="preserve"> </w:t>
      </w:r>
      <w:r>
        <w:t xml:space="preserve">companies.</w:t>
      </w:r>
      <w:r>
        <w:br/>
      </w:r>
      <w:r>
        <w:t xml:space="preserve">Summary of stakeholder views from the OPC</w:t>
      </w:r>
      <w:r>
        <w:br/>
      </w:r>
      <w:r>
        <w:t xml:space="preserve">When asked whether the administrative costs linked to the implementation of the ETS</w:t>
      </w:r>
      <w:r>
        <w:t xml:space="preserve"> </w:t>
      </w:r>
      <w:r>
        <w:t xml:space="preserve">extension to maritime transport are proportionate and reasonable, 16% (30 of 186) agreed with</w:t>
      </w:r>
      <w:r>
        <w:t xml:space="preserve"> </w:t>
      </w:r>
      <w:r>
        <w:t xml:space="preserve">the statement, while 25% (47 of 186) disagreed. A further 10% (19 of 186) were neutral and</w:t>
      </w:r>
      <w:r>
        <w:t xml:space="preserve"> </w:t>
      </w:r>
      <w:r>
        <w:t xml:space="preserve">48% (90 of 186) did not know. When asked to suggest possible improvements or</w:t>
      </w:r>
      <w:r>
        <w:t xml:space="preserve"> </w:t>
      </w:r>
      <w:r>
        <w:t xml:space="preserve">simplifications to streamline administrative costs, the most frequently cited view was that EU</w:t>
      </w:r>
      <w:r>
        <w:t xml:space="preserve"> </w:t>
      </w:r>
      <w:r>
        <w:t xml:space="preserve">ETS rules should be aligned with IMO NZF and FuelEU Maritime to avoid double regulation</w:t>
      </w:r>
      <w:r>
        <w:t xml:space="preserve"> </w:t>
      </w:r>
      <w:r>
        <w:t xml:space="preserve">(20 mentions). Closely related, stakeholders highlighted the need for standardising data</w:t>
      </w:r>
      <w:r>
        <w:t xml:space="preserve"> </w:t>
      </w:r>
      <w:r>
        <w:t xml:space="preserve">collection methodologies and reporting templates across EU MRV and IMO DCS (17</w:t>
      </w:r>
      <w:r>
        <w:t xml:space="preserve"> </w:t>
      </w:r>
      <w:r>
        <w:t xml:space="preserve">mentions) and the establishment of a single EU-level digital system to simplify reporting and</w:t>
      </w:r>
      <w:r>
        <w:t xml:space="preserve"> </w:t>
      </w:r>
      <w:r>
        <w:t xml:space="preserve">compliance (15 mentions). Several stakeholders stressed that clear and harmonised EU</w:t>
      </w:r>
      <w:r>
        <w:t xml:space="preserve"> </w:t>
      </w:r>
      <w:r>
        <w:t xml:space="preserve">guidance is essential to reduce interpretation risks (10 mentions), while others called for</w:t>
      </w:r>
      <w:r>
        <w:t xml:space="preserve"> </w:t>
      </w:r>
      <w:r>
        <w:t xml:space="preserve">simplified or tiered compliance frameworks for SMEs and small emitters (4 mentions),</w:t>
      </w:r>
      <w:r>
        <w:t xml:space="preserve"> </w:t>
      </w:r>
      <w:r>
        <w:t xml:space="preserve">administrative requirements to be simplified by reducing paperwork and procedural burdens (4</w:t>
      </w:r>
      <w:r>
        <w:t xml:space="preserve"> </w:t>
      </w:r>
      <w:r>
        <w:t xml:space="preserve">mentions), and administrative fees and verification costs to be reduced and standardised across</w:t>
      </w:r>
      <w:r>
        <w:t xml:space="preserve"> </w:t>
      </w:r>
      <w:r>
        <w:t xml:space="preserve">Member States (4 mentions).</w:t>
      </w:r>
      <w:r>
        <w:t xml:space="preserve"> </w:t>
      </w:r>
      <w:r>
        <w:t xml:space="preserve">When asked whether the ETS should further incentivise the uptake of renewable and low-</w:t>
      </w:r>
      <w:r>
        <w:t xml:space="preserve"> </w:t>
      </w:r>
      <w:r>
        <w:t xml:space="preserve">carbon maritime fuels based on Well-to-Wake emissions, 44 respondents (23%) strongly</w:t>
      </w:r>
      <w:r>
        <w:t xml:space="preserve"> </w:t>
      </w:r>
      <w:r>
        <w:t xml:space="preserve">agreed and 43 (23%) rather agreed. Nine respondents (5%) were neutral, 16 (8%) rather</w:t>
      </w:r>
      <w:r>
        <w:t xml:space="preserve"> </w:t>
      </w:r>
      <w:r>
        <w:t xml:space="preserve">disagreed, 8 (4%) strongly disagreed, and 71 (37%) indicated “do not know.” Stakeholders</w:t>
      </w:r>
      <w:r>
        <w:t xml:space="preserve"> </w:t>
      </w:r>
      <w:r>
        <w:t xml:space="preserve">emphasised that incentives must reflect full well-to-wake lifecycle emissions and exclude</w:t>
      </w:r>
      <w:r>
        <w:t xml:space="preserve"> </w:t>
      </w:r>
      <w:r>
        <w:t xml:space="preserve">unsustainable biofuels (17 mentions). Several stakeholders also emphasised that renewable and</w:t>
      </w:r>
      <w:r>
        <w:t xml:space="preserve"> </w:t>
      </w:r>
      <w:r>
        <w:t xml:space="preserve">low-carbon fuels need cost support to compete with conventional fuels (12 mentions) and that</w:t>
      </w:r>
      <w:r>
        <w:t xml:space="preserve"> </w:t>
      </w:r>
      <w:r>
        <w:t xml:space="preserve">fuel incentives should remain technology-neutral to support multiple low-carbon options (11</w:t>
      </w:r>
      <w:r>
        <w:t xml:space="preserve"> </w:t>
      </w:r>
      <w:r>
        <w:t xml:space="preserve">mentions). An equal number of stakeholders highlighted the need for EU ETS rules to be</w:t>
      </w:r>
      <w:r>
        <w:t xml:space="preserve"> </w:t>
      </w:r>
      <w:r>
        <w:t xml:space="preserve">aligned with FuelEU Maritime, RED III, and IMO frameworks to reduce overlap (11</w:t>
      </w:r>
      <w:r>
        <w:t xml:space="preserve"> </w:t>
      </w:r>
      <w:r>
        <w:t xml:space="preserve">mentions). Other frequently mentioned views included that ETS revenues should be reinvested</w:t>
      </w:r>
      <w:r>
        <w:t xml:space="preserve"> </w:t>
      </w:r>
      <w:r>
        <w:t xml:space="preserve">to de-risk clean fuel deployment and infrastructure (8 mentions), sustainability certification</w:t>
      </w:r>
      <w:r>
        <w:t xml:space="preserve"> </w:t>
      </w:r>
      <w:r>
        <w:t xml:space="preserve">should be standardised and centralised at the EU level (6 mentions), and reporting and</w:t>
      </w:r>
      <w:r>
        <w:t xml:space="preserve"> </w:t>
      </w:r>
      <w:r>
        <w:t xml:space="preserve">compliance processes should be simplified, digitalised, and streamlined (4 mentions).</w:t>
      </w:r>
      <w:r>
        <w:br/>
      </w:r>
      <w:r>
        <w:t xml:space="preserve">3.2. Policy measures</w:t>
      </w:r>
      <w:r>
        <w:t xml:space="preserve"> </w:t>
      </w:r>
      <w:r>
        <w:t xml:space="preserve">Policy measure EL1: simplification of the MRV/ETS regulatory framework for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332 The definitions of the regulated entity under EU ETS/EU MRV and FuelEU Maritime are aligned. The legally</w:t>
      </w:r>
      <w:r>
        <w:t xml:space="preserve"> </w:t>
      </w:r>
      <w:r>
        <w:t xml:space="preserve">non-binding FAQs of FuelEU Maritime explain that the ‘ISM Company’ distinct from the shipowner is the</w:t>
      </w:r>
      <w:r>
        <w:t xml:space="preserve"> </w:t>
      </w:r>
      <w:r>
        <w:t xml:space="preserve">entity responsible for compliance with FuelEU Maritime. By contrast, under EU ETS and EU MRV, the</w:t>
      </w:r>
      <w:r>
        <w:t xml:space="preserve"> </w:t>
      </w:r>
      <w:r>
        <w:t xml:space="preserve">regulated entity can be either the shipowner or the ISM Company, with the shipowner being the regulated</w:t>
      </w:r>
      <w:r>
        <w:t xml:space="preserve"> </w:t>
      </w:r>
      <w:r>
        <w:t xml:space="preserve">entity by default. The ISM Company refers to the entity responsible for the compliance of a ship with the</w:t>
      </w:r>
      <w:r>
        <w:t xml:space="preserve"> </w:t>
      </w:r>
      <w:r>
        <w:t xml:space="preserve">requirements of the International Management Code for the Safe Operation of Ships and for Pollution</w:t>
      </w:r>
      <w:r>
        <w:t xml:space="preserve"> </w:t>
      </w:r>
      <w:r>
        <w:t xml:space="preserve">Prevention.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This measure aims at upholding coherence across existing EU and IMO frameworks</w:t>
      </w:r>
      <w:r>
        <w:t xml:space="preserve"> </w:t>
      </w:r>
      <w:r>
        <w:t xml:space="preserve">(MRV/ETS/FuelEU/IMO DCS) for shipping decarbonisation through reducing existing gaps,</w:t>
      </w:r>
      <w:r>
        <w:t xml:space="preserve"> </w:t>
      </w:r>
      <w:r>
        <w:t xml:space="preserve">divergences, and duplications. As a consequence, shipping companies complying with those</w:t>
      </w:r>
      <w:r>
        <w:t xml:space="preserve"> </w:t>
      </w:r>
      <w:r>
        <w:t xml:space="preserve">frameworks will be able to exploit synergies, minimise undue burden, and ultimately reduce</w:t>
      </w:r>
      <w:r>
        <w:t xml:space="preserve"> </w:t>
      </w:r>
      <w:r>
        <w:t xml:space="preserve">administrative compliance costs. This measure is composed by the following elements:</w:t>
      </w:r>
      <w:r>
        <w:br/>
      </w:r>
      <w:r>
        <w:t xml:space="preserve">•</w:t>
      </w:r>
      <w:r>
        <w:t xml:space="preserve"> </w:t>
      </w:r>
      <w:r>
        <w:t xml:space="preserve">Redefine the compliance process for ETS and FuelEU, to be based on one single MRV</w:t>
      </w:r>
      <w:r>
        <w:t xml:space="preserve"> </w:t>
      </w:r>
      <w:r>
        <w:t xml:space="preserve">system limited to data collection, verification, and reporting distinct from further</w:t>
      </w:r>
      <w:r>
        <w:t xml:space="preserve"> </w:t>
      </w:r>
      <w:r>
        <w:t xml:space="preserve">requirements in respect of EU ETS and FuelEU obligations. To this end, the additional</w:t>
      </w:r>
      <w:r>
        <w:t xml:space="preserve"> </w:t>
      </w:r>
      <w:r>
        <w:t xml:space="preserve">monitoring requirements introduced by the FuelEU Maritime Regulation should be</w:t>
      </w:r>
      <w:r>
        <w:t xml:space="preserve"> </w:t>
      </w:r>
      <w:r>
        <w:t xml:space="preserve">brought under the MRV Regulation, so that companies monitor and report only once in</w:t>
      </w:r>
      <w:r>
        <w:t xml:space="preserve"> </w:t>
      </w:r>
      <w:r>
        <w:t xml:space="preserve">respect of the same ship. These include the requirement to monitor the following</w:t>
      </w:r>
      <w:r>
        <w:t xml:space="preserve"> </w:t>
      </w:r>
      <w:r>
        <w:t xml:space="preserve">parameters: the energy provided by on-shore power supply (OPS), the energy provided</w:t>
      </w:r>
      <w:r>
        <w:t xml:space="preserve"> </w:t>
      </w:r>
      <w:r>
        <w:t xml:space="preserve">by Zero-emission technology (ZET), the installation of wind assisted propulsion</w:t>
      </w:r>
      <w:r>
        <w:t xml:space="preserve"> </w:t>
      </w:r>
      <w:r>
        <w:t xml:space="preserve">(WASP), the applied well-to-tank emissions factors, the date, time and position when</w:t>
      </w:r>
      <w:r>
        <w:t xml:space="preserve"> </w:t>
      </w:r>
      <w:r>
        <w:t xml:space="preserve">entering and leaving the ice conditions and the distance travelled when sailing in ice</w:t>
      </w:r>
      <w:r>
        <w:t xml:space="preserve"> </w:t>
      </w:r>
      <w:r>
        <w:t xml:space="preserve">conditions, and the time spent at quayside and anchorage.</w:t>
      </w:r>
      <w:r>
        <w:br/>
      </w:r>
      <w:r>
        <w:t xml:space="preserve">•</w:t>
      </w:r>
      <w:r>
        <w:t xml:space="preserve"> </w:t>
      </w:r>
      <w:r>
        <w:t xml:space="preserve">Minimise existing discrepancies and misalignments on monitoring and reporting</w:t>
      </w:r>
      <w:r>
        <w:t xml:space="preserve"> </w:t>
      </w:r>
      <w:r>
        <w:t xml:space="preserve">requirements between EU MRV/ETS and FuelEU. Main elements for consideration to</w:t>
      </w:r>
      <w:r>
        <w:t xml:space="preserve"> </w:t>
      </w:r>
      <w:r>
        <w:t xml:space="preserve">this end should include the following elements:</w:t>
      </w:r>
      <w:r>
        <w:br/>
      </w:r>
      <w:r>
        <w:t xml:space="preserve">Table 4:</w:t>
      </w:r>
      <w:r>
        <w:t xml:space="preserve"> </w:t>
      </w:r>
      <w:r>
        <w:t xml:space="preserve">Comparison of selected monitoring and reporting requirements under EU MRV/ETS</w:t>
      </w:r>
      <w:r>
        <w:t xml:space="preserve"> </w:t>
      </w:r>
      <w:r>
        <w:t xml:space="preserve">and FuelEU Maritime</w:t>
      </w:r>
      <w:r>
        <w:t xml:space="preserve"> </w:t>
      </w:r>
      <w:r>
        <w:t xml:space="preserve">Element</w:t>
      </w:r>
      <w:r>
        <w:t xml:space="preserve"> </w:t>
      </w:r>
      <w:r>
        <w:t xml:space="preserve">EU MRV/ETS</w:t>
      </w:r>
      <w:r>
        <w:t xml:space="preserve"> </w:t>
      </w:r>
      <w:r>
        <w:t xml:space="preserve">FuelEU</w:t>
      </w:r>
      <w:r>
        <w:t xml:space="preserve"> </w:t>
      </w:r>
      <w:r>
        <w:t xml:space="preserve">Per-voyage</w:t>
      </w:r>
      <w:r>
        <w:t xml:space="preserve"> </w:t>
      </w:r>
      <w:r>
        <w:t xml:space="preserve">reporting</w:t>
      </w:r>
      <w:r>
        <w:br/>
      </w:r>
      <w:r>
        <w:t xml:space="preserve">Possible through THETIS-MRV but</w:t>
      </w:r>
      <w:r>
        <w:t xml:space="preserve"> </w:t>
      </w:r>
      <w:r>
        <w:t xml:space="preserve">not mandatory</w:t>
      </w:r>
      <w:r>
        <w:t xml:space="preserve"> </w:t>
      </w:r>
      <w:r>
        <w:t xml:space="preserve">Mandatory</w:t>
      </w:r>
      <w:r>
        <w:t xml:space="preserve"> </w:t>
      </w:r>
      <w:r>
        <w:t xml:space="preserve">Derogation</w:t>
      </w:r>
      <w:r>
        <w:t xml:space="preserve"> </w:t>
      </w:r>
      <w:r>
        <w:t xml:space="preserve">to</w:t>
      </w:r>
      <w:r>
        <w:t xml:space="preserve"> </w:t>
      </w:r>
      <w:r>
        <w:t xml:space="preserve">per-voyage</w:t>
      </w:r>
      <w:r>
        <w:t xml:space="preserve"> </w:t>
      </w:r>
      <w:r>
        <w:t xml:space="preserve">monitoring (i.e. </w:t>
      </w:r>
      <w:r>
        <w:t xml:space="preserve"> </w:t>
      </w:r>
      <w:r>
        <w:t xml:space="preserve">aggregate</w:t>
      </w:r>
      <w:r>
        <w:t xml:space="preserve"> </w:t>
      </w:r>
      <w:r>
        <w:t xml:space="preserve">annual</w:t>
      </w:r>
      <w:r>
        <w:t xml:space="preserve"> </w:t>
      </w:r>
      <w:r>
        <w:t xml:space="preserve">monitoring)</w:t>
      </w:r>
      <w:r>
        <w:br/>
      </w:r>
      <w:r>
        <w:t xml:space="preserve">Possible for ships that only perform</w:t>
      </w:r>
      <w:r>
        <w:t xml:space="preserve"> </w:t>
      </w:r>
      <w:r>
        <w:t xml:space="preserve">intra-EU voyages and undertake more</w:t>
      </w:r>
      <w:r>
        <w:t xml:space="preserve"> </w:t>
      </w:r>
      <w:r>
        <w:t xml:space="preserve">than 300 voyages each year</w:t>
      </w:r>
      <w:r>
        <w:t xml:space="preserve"> </w:t>
      </w:r>
      <w:r>
        <w:t xml:space="preserve">Not possible. All ships shall monitor on</w:t>
      </w:r>
      <w:r>
        <w:t xml:space="preserve"> </w:t>
      </w:r>
      <w:r>
        <w:t xml:space="preserve">a per-voyage basis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‘port</w:t>
      </w:r>
      <w:r>
        <w:t xml:space="preserve"> </w:t>
      </w:r>
      <w:r>
        <w:t xml:space="preserve">of call’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offshore ships333</w:t>
      </w:r>
      <w:r>
        <w:t xml:space="preserve"> </w:t>
      </w:r>
      <w:r>
        <w:t xml:space="preserve">Offshore ships trigger a port of call</w:t>
      </w:r>
      <w:r>
        <w:t xml:space="preserve"> </w:t>
      </w:r>
      <w:r>
        <w:t xml:space="preserve">when making stops to relieve crew, in</w:t>
      </w:r>
      <w:r>
        <w:t xml:space="preserve"> </w:t>
      </w:r>
      <w:r>
        <w:t xml:space="preserve">addition to stops for loading/unloading</w:t>
      </w:r>
      <w:r>
        <w:t xml:space="preserve"> </w:t>
      </w:r>
      <w:r>
        <w:t xml:space="preserve">cargo and embarking/disembarking</w:t>
      </w:r>
      <w:r>
        <w:t xml:space="preserve"> </w:t>
      </w:r>
      <w:r>
        <w:t xml:space="preserve">passengers</w:t>
      </w:r>
      <w:r>
        <w:br/>
      </w:r>
      <w:r>
        <w:t xml:space="preserve">Offshore ships trigger a port of call</w:t>
      </w:r>
      <w:r>
        <w:t xml:space="preserve"> </w:t>
      </w:r>
      <w:r>
        <w:t xml:space="preserve">only when stopping in port for</w:t>
      </w:r>
      <w:r>
        <w:t xml:space="preserve"> </w:t>
      </w:r>
      <w:r>
        <w:t xml:space="preserve">loading/unloading</w:t>
      </w:r>
      <w:r>
        <w:t xml:space="preserve"> </w:t>
      </w:r>
      <w:r>
        <w:t xml:space="preserve">cargo</w:t>
      </w:r>
      <w:r>
        <w:t xml:space="preserve"> </w:t>
      </w:r>
      <w:r>
        <w:t xml:space="preserve">and</w:t>
      </w:r>
      <w:r>
        <w:t xml:space="preserve"> </w:t>
      </w:r>
      <w:r>
        <w:t xml:space="preserve">embarking/disembarking passengers</w:t>
      </w:r>
      <w:r>
        <w:br/>
      </w:r>
      <w:r>
        <w:t xml:space="preserve">Timeline</w:t>
      </w:r>
      <w:r>
        <w:t xml:space="preserve"> </w:t>
      </w:r>
      <w:r>
        <w:t xml:space="preserve">for</w:t>
      </w:r>
      <w:r>
        <w:t xml:space="preserve"> </w:t>
      </w:r>
      <w:r>
        <w:t xml:space="preserve">reporting</w:t>
      </w:r>
      <w:r>
        <w:t xml:space="preserve"> </w:t>
      </w:r>
      <w:r>
        <w:t xml:space="preserve">Administering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can</w:t>
      </w:r>
      <w:r>
        <w:t xml:space="preserve"> </w:t>
      </w:r>
      <w:r>
        <w:t xml:space="preserve">anticipate the deadline of 31 March for</w:t>
      </w:r>
      <w:r>
        <w:t xml:space="preserve"> </w:t>
      </w:r>
      <w:r>
        <w:t xml:space="preserve">reports submission to an earlier date,</w:t>
      </w:r>
      <w:r>
        <w:t xml:space="preserve"> </w:t>
      </w:r>
      <w:r>
        <w:t xml:space="preserve">but not earlier than 28 February</w:t>
      </w:r>
      <w:r>
        <w:t xml:space="preserve"> </w:t>
      </w:r>
      <w:r>
        <w:t xml:space="preserve">(Article 11(1) EU MRV).</w:t>
      </w:r>
      <w:r>
        <w:br/>
      </w:r>
      <w:r>
        <w:t xml:space="preserve">Submission of the FuelEU report by</w:t>
      </w:r>
      <w:r>
        <w:t xml:space="preserve"> </w:t>
      </w:r>
      <w:r>
        <w:t xml:space="preserve">the verifier in the FuelEU database by</w:t>
      </w:r>
      <w:r>
        <w:t xml:space="preserve"> </w:t>
      </w:r>
      <w:r>
        <w:t xml:space="preserve">31 March. It is not possible for the</w:t>
      </w:r>
      <w:r>
        <w:t xml:space="preserve"> </w:t>
      </w:r>
      <w:r>
        <w:t xml:space="preserve">Administering State to set earlier</w:t>
      </w:r>
      <w:r>
        <w:t xml:space="preserve"> </w:t>
      </w:r>
      <w:r>
        <w:t xml:space="preserve">deadlines</w:t>
      </w:r>
      <w:r>
        <w:br/>
      </w:r>
      <w:r>
        <w:t xml:space="preserve">Deadline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to</w:t>
      </w:r>
      <w:r>
        <w:t xml:space="preserve"> </w:t>
      </w:r>
      <w:r>
        <w:t xml:space="preserve">submit data to</w:t>
      </w:r>
      <w:r>
        <w:t xml:space="preserve"> </w:t>
      </w:r>
      <w:r>
        <w:t xml:space="preserve">verifiers</w:t>
      </w:r>
      <w:r>
        <w:br/>
      </w:r>
      <w:r>
        <w:t xml:space="preserve">Not foreseen. The responsibility to</w:t>
      </w:r>
      <w:r>
        <w:t xml:space="preserve"> </w:t>
      </w:r>
      <w:r>
        <w:t xml:space="preserve">meet the reporting deadline for reports</w:t>
      </w:r>
      <w:r>
        <w:t xml:space="preserve"> </w:t>
      </w:r>
      <w:r>
        <w:t xml:space="preserve">submission is only in respect of</w:t>
      </w:r>
      <w:r>
        <w:t xml:space="preserve"> </w:t>
      </w:r>
      <w:r>
        <w:t xml:space="preserve">Administering</w:t>
      </w:r>
      <w:r>
        <w:t xml:space="preserve"> </w:t>
      </w:r>
      <w:r>
        <w:t xml:space="preserve">Authorities,</w:t>
      </w:r>
      <w:r>
        <w:t xml:space="preserve"> </w:t>
      </w:r>
      <w:r>
        <w:t xml:space="preserve">the</w:t>
      </w:r>
      <w:r>
        <w:t xml:space="preserve"> </w:t>
      </w:r>
      <w:r>
        <w:t xml:space="preserve">European Commission, and the Flag</w:t>
      </w:r>
      <w:r>
        <w:t xml:space="preserve"> </w:t>
      </w:r>
      <w:r>
        <w:t xml:space="preserve">State.</w:t>
      </w:r>
      <w:r>
        <w:br/>
      </w:r>
      <w:r>
        <w:t xml:space="preserve">Companies shall submit data by 31</w:t>
      </w:r>
      <w:r>
        <w:t xml:space="preserve"> </w:t>
      </w:r>
      <w:r>
        <w:t xml:space="preserve">January to their verifier through the</w:t>
      </w:r>
      <w:r>
        <w:t xml:space="preserve"> </w:t>
      </w:r>
      <w:r>
        <w:t xml:space="preserve">FuelEU draft report</w:t>
      </w:r>
    </w:p>
    <w:p>
      <w:pPr>
        <w:pStyle w:val="BodyText"/>
      </w:pPr>
      <w:r>
        <w:t xml:space="preserve">333 Monitoring and reporting requirements affecting offshore ships will have to be assessed considering parallel</w:t>
      </w:r>
      <w:r>
        <w:t xml:space="preserve"> </w:t>
      </w:r>
      <w:r>
        <w:t xml:space="preserve">revision of the offshore ship approach under ETS.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Reporting</w:t>
      </w:r>
      <w:r>
        <w:t xml:space="preserve"> </w:t>
      </w:r>
      <w:r>
        <w:t xml:space="preserve">requirements in</w:t>
      </w:r>
      <w:r>
        <w:t xml:space="preserve"> </w:t>
      </w:r>
      <w:r>
        <w:t xml:space="preserve">case of change</w:t>
      </w:r>
      <w:r>
        <w:t xml:space="preserve"> </w:t>
      </w:r>
      <w:r>
        <w:t xml:space="preserve">of</w:t>
      </w:r>
      <w:r>
        <w:t xml:space="preserve"> </w:t>
      </w:r>
      <w:r>
        <w:t xml:space="preserve">company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reporting</w:t>
      </w:r>
      <w:r>
        <w:t xml:space="preserve"> </w:t>
      </w:r>
      <w:r>
        <w:t xml:space="preserve">period</w:t>
      </w:r>
      <w:r>
        <w:t xml:space="preserve"> </w:t>
      </w:r>
      <w:r>
        <w:t xml:space="preserve">Under MRV the previous company is</w:t>
      </w:r>
      <w:r>
        <w:t xml:space="preserve"> </w:t>
      </w:r>
      <w:r>
        <w:t xml:space="preserve">required to submit a partial emissions</w:t>
      </w:r>
      <w:r>
        <w:t xml:space="preserve"> </w:t>
      </w:r>
      <w:r>
        <w:t xml:space="preserve">report at ship level, covering the</w:t>
      </w:r>
      <w:r>
        <w:t xml:space="preserve"> </w:t>
      </w:r>
      <w:r>
        <w:t xml:space="preserve">emissions under MRV and ETS scope</w:t>
      </w:r>
      <w:r>
        <w:t xml:space="preserve"> </w:t>
      </w:r>
      <w:r>
        <w:t xml:space="preserve">occurred during the period under which</w:t>
      </w:r>
      <w:r>
        <w:t xml:space="preserve"> </w:t>
      </w:r>
      <w:r>
        <w:t xml:space="preserve">the ship was under its responsibility.</w:t>
      </w:r>
      <w:r>
        <w:t xml:space="preserve"> </w:t>
      </w:r>
      <w:r>
        <w:t xml:space="preserve">The company responsible at the end of</w:t>
      </w:r>
      <w:r>
        <w:t xml:space="preserve"> </w:t>
      </w:r>
      <w:r>
        <w:t xml:space="preserve">the reporting period is required to</w:t>
      </w:r>
      <w:r>
        <w:t xml:space="preserve"> </w:t>
      </w:r>
      <w:r>
        <w:t xml:space="preserve">submit an end of year report which</w:t>
      </w:r>
      <w:r>
        <w:t xml:space="preserve"> </w:t>
      </w:r>
      <w:r>
        <w:t xml:space="preserve">shall include the emissions under MRV</w:t>
      </w:r>
      <w:r>
        <w:t xml:space="preserve"> </w:t>
      </w:r>
      <w:r>
        <w:t xml:space="preserve">scope for the entire reporting period.</w:t>
      </w:r>
      <w:r>
        <w:t xml:space="preserve"> </w:t>
      </w:r>
      <w:r>
        <w:t xml:space="preserve">Both companies are responsible for</w:t>
      </w:r>
      <w:r>
        <w:t xml:space="preserve"> </w:t>
      </w:r>
      <w:r>
        <w:t xml:space="preserve">ETS compliance only in respect of the</w:t>
      </w:r>
      <w:r>
        <w:t xml:space="preserve"> </w:t>
      </w:r>
      <w:r>
        <w:t xml:space="preserve">ship’s activities occurred over the</w:t>
      </w:r>
      <w:r>
        <w:t xml:space="preserve"> </w:t>
      </w:r>
      <w:r>
        <w:t xml:space="preserve">period during which the ship was under</w:t>
      </w:r>
      <w:r>
        <w:t xml:space="preserve"> </w:t>
      </w:r>
      <w:r>
        <w:t xml:space="preserve">their respective responsibility.</w:t>
      </w:r>
      <w:r>
        <w:br/>
      </w:r>
      <w:r>
        <w:t xml:space="preserve">The previous company is required to</w:t>
      </w:r>
      <w:r>
        <w:t xml:space="preserve"> </w:t>
      </w:r>
      <w:r>
        <w:t xml:space="preserve">submit a ship-specific FuelEU report,</w:t>
      </w:r>
      <w:r>
        <w:t xml:space="preserve"> </w:t>
      </w:r>
      <w:r>
        <w:t xml:space="preserve">covering the energy used under</w:t>
      </w:r>
      <w:r>
        <w:t xml:space="preserve"> </w:t>
      </w:r>
      <w:r>
        <w:t xml:space="preserve">FuelEU scope occurred during the</w:t>
      </w:r>
      <w:r>
        <w:t xml:space="preserve"> </w:t>
      </w:r>
      <w:r>
        <w:t xml:space="preserve">period under which the ship was under</w:t>
      </w:r>
      <w:r>
        <w:t xml:space="preserve"> </w:t>
      </w:r>
      <w:r>
        <w:t xml:space="preserve">its responsibility. Only the company</w:t>
      </w:r>
      <w:r>
        <w:t xml:space="preserve"> </w:t>
      </w:r>
      <w:r>
        <w:t xml:space="preserve">responsible for the ship at the end of</w:t>
      </w:r>
      <w:r>
        <w:t xml:space="preserve"> </w:t>
      </w:r>
      <w:r>
        <w:t xml:space="preserve">the reporting period is accountable for</w:t>
      </w:r>
      <w:r>
        <w:t xml:space="preserve"> </w:t>
      </w:r>
      <w:r>
        <w:t xml:space="preserve">compliance in respect of the ship’s</w:t>
      </w:r>
      <w:r>
        <w:t xml:space="preserve"> </w:t>
      </w:r>
      <w:r>
        <w:t xml:space="preserve">activities occurred during the entire</w:t>
      </w:r>
      <w:r>
        <w:t xml:space="preserve"> </w:t>
      </w:r>
      <w:r>
        <w:t xml:space="preserve">year.</w:t>
      </w:r>
      <w:r>
        <w:br/>
      </w:r>
      <w:r>
        <w:t xml:space="preserve">Deadline</w:t>
      </w:r>
      <w:r>
        <w:t xml:space="preserve"> </w:t>
      </w:r>
      <w:r>
        <w:t xml:space="preserve">for</w:t>
      </w:r>
      <w:r>
        <w:t xml:space="preserve"> </w:t>
      </w:r>
      <w:r>
        <w:t xml:space="preserve">Monitoring</w:t>
      </w:r>
      <w:r>
        <w:t xml:space="preserve"> </w:t>
      </w:r>
      <w:r>
        <w:t xml:space="preserve">Plan submission</w:t>
      </w:r>
      <w:r>
        <w:t xml:space="preserve"> </w:t>
      </w:r>
      <w:r>
        <w:t xml:space="preserve">for</w:t>
      </w:r>
      <w:r>
        <w:t xml:space="preserve"> </w:t>
      </w:r>
      <w:r>
        <w:t xml:space="preserve">new</w:t>
      </w:r>
      <w:r>
        <w:t xml:space="preserve"> </w:t>
      </w:r>
      <w:r>
        <w:t xml:space="preserve">companies</w:t>
      </w:r>
      <w:r>
        <w:br/>
      </w:r>
      <w:r>
        <w:t xml:space="preserve">No later than three months after each</w:t>
      </w:r>
      <w:r>
        <w:t xml:space="preserve"> </w:t>
      </w:r>
      <w:r>
        <w:t xml:space="preserve">ship’s first call in a port under scope</w:t>
      </w:r>
      <w:r>
        <w:t xml:space="preserve"> </w:t>
      </w:r>
      <w:r>
        <w:t xml:space="preserve">(Article 6(7) of EU MRV).</w:t>
      </w:r>
      <w:r>
        <w:br/>
      </w:r>
      <w:r>
        <w:t xml:space="preserve">No later than two months after each</w:t>
      </w:r>
      <w:r>
        <w:t xml:space="preserve"> </w:t>
      </w:r>
      <w:r>
        <w:t xml:space="preserve">ship’s first call in a port under scope</w:t>
      </w:r>
      <w:r>
        <w:br/>
      </w:r>
      <w:r>
        <w:t xml:space="preserve">•</w:t>
      </w:r>
      <w:r>
        <w:t xml:space="preserve"> </w:t>
      </w:r>
      <w:r>
        <w:t xml:space="preserve">Further align, and possibly merge, the relevant MRV documents into one unique</w:t>
      </w:r>
      <w:r>
        <w:t xml:space="preserve"> </w:t>
      </w:r>
      <w:r>
        <w:t xml:space="preserve">template (i.e. monitoring plans, emissions reports), so that companies can submit one</w:t>
      </w:r>
      <w:r>
        <w:t xml:space="preserve"> </w:t>
      </w:r>
      <w:r>
        <w:t xml:space="preserve">unique document under the revised MRV compliance cycle common to ETS and</w:t>
      </w:r>
      <w:r>
        <w:t xml:space="preserve"> </w:t>
      </w:r>
      <w:r>
        <w:t xml:space="preserve">FuelEU Maritime, thus maximising the implementation of the reporting-only-once</w:t>
      </w:r>
      <w:r>
        <w:t xml:space="preserve"> </w:t>
      </w:r>
      <w:r>
        <w:t xml:space="preserve">principle.</w:t>
      </w:r>
      <w:r>
        <w:br/>
      </w:r>
      <w:r>
        <w:t xml:space="preserve">•</w:t>
      </w:r>
      <w:r>
        <w:t xml:space="preserve"> </w:t>
      </w:r>
      <w:r>
        <w:t xml:space="preserve">Establish one unique verification and accreditation framework for MRV, EU ETS and</w:t>
      </w:r>
      <w:r>
        <w:t xml:space="preserve"> </w:t>
      </w:r>
      <w:r>
        <w:t xml:space="preserve">FuelEU under one single legal instrument.</w:t>
      </w:r>
      <w:r>
        <w:t xml:space="preserve"> </w:t>
      </w:r>
      <w:r>
        <w:t xml:space="preserve">•</w:t>
      </w:r>
      <w:r>
        <w:t xml:space="preserve"> </w:t>
      </w:r>
      <w:r>
        <w:t xml:space="preserve">Alignment of some EU MRV and IMO DCS requirements insofar definitions and</w:t>
      </w:r>
      <w:r>
        <w:t xml:space="preserve"> </w:t>
      </w:r>
      <w:r>
        <w:t xml:space="preserve">monitoring and reporting parameters (e.g. distance travelled, time spent at sea, split of</w:t>
      </w:r>
      <w:r>
        <w:t xml:space="preserve"> </w:t>
      </w:r>
      <w:r>
        <w:t xml:space="preserve">consumption by consumer type) without compromising the policy objectives of the EU</w:t>
      </w:r>
      <w:r>
        <w:t xml:space="preserve"> </w:t>
      </w:r>
      <w:r>
        <w:t xml:space="preserve">measures.</w:t>
      </w:r>
      <w:r>
        <w:br/>
      </w:r>
      <w:r>
        <w:t xml:space="preserve">Policy measure EL2: enhance the robustness and effectiveness of the ETS maritime</w:t>
      </w:r>
      <w:r>
        <w:t xml:space="preserve"> </w:t>
      </w:r>
      <w:r>
        <w:t xml:space="preserve">implementation and enforcement system</w:t>
      </w:r>
      <w:r>
        <w:br/>
      </w:r>
      <w:r>
        <w:t xml:space="preserve">The ETS maritime implementation since the latest (2023) revision has highlighted</w:t>
      </w:r>
      <w:r>
        <w:t xml:space="preserve"> </w:t>
      </w:r>
      <w:r>
        <w:t xml:space="preserve">opportunities to further support the role of Administering Authorities as enforcers of the</w:t>
      </w:r>
      <w:r>
        <w:t xml:space="preserve"> </w:t>
      </w:r>
      <w:r>
        <w:t xml:space="preserve">system. Further clarifying the role of the Administering Authority in respect of implementing</w:t>
      </w:r>
      <w:r>
        <w:t xml:space="preserve"> </w:t>
      </w:r>
      <w:r>
        <w:t xml:space="preserve">the MRV system, including with respect to those shipping companies which are only active</w:t>
      </w:r>
      <w:r>
        <w:t xml:space="preserve"> </w:t>
      </w:r>
      <w:r>
        <w:t xml:space="preserve">under MRV scope but not under the ETS/FuelEU scope, and establishing an ex officio</w:t>
      </w:r>
      <w:r>
        <w:t xml:space="preserve"> </w:t>
      </w:r>
      <w:r>
        <w:t xml:space="preserve">automatic attribution for non-compliant companies334 would represent key elements to support</w:t>
      </w:r>
      <w:r>
        <w:t xml:space="preserve"> </w:t>
      </w:r>
      <w:r>
        <w:t xml:space="preserve">Member States role in the system.</w:t>
      </w:r>
      <w:r>
        <w:br/>
      </w:r>
      <w:r>
        <w:t xml:space="preserve">As far as shipping companies are concerned, a mechanism to give to those entities responsible</w:t>
      </w:r>
      <w:r>
        <w:t xml:space="preserve"> </w:t>
      </w:r>
      <w:r>
        <w:t xml:space="preserve">for fewer emissions the possibility to form a pool to comply with their ETS obligations could</w:t>
      </w:r>
      <w:r>
        <w:t xml:space="preserve"> </w:t>
      </w:r>
      <w:r>
        <w:t xml:space="preserve">reduce the related administrative compliance cost. Further administrative costs reduction could</w:t>
      </w:r>
    </w:p>
    <w:p>
      <w:pPr>
        <w:pStyle w:val="BodyText"/>
      </w:pPr>
      <w:r>
        <w:t xml:space="preserve">334 In the current implementation framework shipping companies, which are not on the attribution list published</w:t>
      </w:r>
      <w:r>
        <w:t xml:space="preserve"> </w:t>
      </w:r>
      <w:r>
        <w:t xml:space="preserve">by the European Commission have to request attribution as they start activities under scope. Establishing ex</w:t>
      </w:r>
      <w:r>
        <w:t xml:space="preserve"> </w:t>
      </w:r>
      <w:r>
        <w:t xml:space="preserve">officio attribution on the basis of best available activity data would ensure that all companies active under</w:t>
      </w:r>
      <w:r>
        <w:t xml:space="preserve"> </w:t>
      </w:r>
      <w:r>
        <w:t xml:space="preserve">MRV scope are promptly put under the responsibility of an Administering Authority.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originate from derogating small ships335 (400-5000 gross tonnage) from the obligation to</w:t>
      </w:r>
      <w:r>
        <w:t xml:space="preserve"> </w:t>
      </w:r>
      <w:r>
        <w:t xml:space="preserve">monitor their emission on a per-voyage basis if they solely perform intra-EU activities over a</w:t>
      </w:r>
      <w:r>
        <w:t xml:space="preserve"> </w:t>
      </w:r>
      <w:r>
        <w:t xml:space="preserve">given reporting period, regardless of the number of journeys per year and independently from</w:t>
      </w:r>
      <w:r>
        <w:t xml:space="preserve"> </w:t>
      </w:r>
      <w:r>
        <w:t xml:space="preserve">pre-established schedule.</w:t>
      </w:r>
      <w:r>
        <w:t xml:space="preserve"> </w:t>
      </w:r>
      <w:r>
        <w:t xml:space="preserve">Policy measure EL3: The regulated entity in EU MRV and EU ETS is either the</w:t>
      </w:r>
      <w:r>
        <w:t xml:space="preserve"> </w:t>
      </w:r>
      <w:r>
        <w:t xml:space="preserve">shipowner or the ISM Company (distinct from the shipowner)</w:t>
      </w:r>
      <w:r>
        <w:t xml:space="preserve"> </w:t>
      </w:r>
      <w:r>
        <w:t xml:space="preserve">Under EL3, the current approach to the regulated entity in EU MRV and EU ETS is maintained.</w:t>
      </w:r>
      <w:r>
        <w:br/>
      </w:r>
      <w:r>
        <w:t xml:space="preserve">The current definition of ‘shipping company’ in the EU ETS Directive and EU MRV</w:t>
      </w:r>
      <w:r>
        <w:t xml:space="preserve"> </w:t>
      </w:r>
      <w:r>
        <w:t xml:space="preserve">Regulation remains unchanged and provides for flexibility as regards the entity responsible for</w:t>
      </w:r>
      <w:r>
        <w:t xml:space="preserve"> </w:t>
      </w:r>
      <w:r>
        <w:t xml:space="preserve">compliance with the EU ETS and EU MRV requirements in respect of the GHG emissions of</w:t>
      </w:r>
      <w:r>
        <w:t xml:space="preserve"> </w:t>
      </w:r>
      <w:r>
        <w:t xml:space="preserve">a ship. The regulated entity is either (i) the shipowner or (ii) the company that is distinct from</w:t>
      </w:r>
      <w:r>
        <w:t xml:space="preserve"> </w:t>
      </w:r>
      <w:r>
        <w:t xml:space="preserve">the shipowner and that is responsible for compliance with the International Management Code</w:t>
      </w:r>
      <w:r>
        <w:t xml:space="preserve"> </w:t>
      </w:r>
      <w:r>
        <w:t xml:space="preserve">for the Safe Operation of Ships and for Pollution Prevention (the ‘ISM Code’). The entity</w:t>
      </w:r>
      <w:r>
        <w:t xml:space="preserve"> </w:t>
      </w:r>
      <w:r>
        <w:t xml:space="preserve">responsible for compliance with the ISM Code is hereinafter referred to as the ‘ISM Company’.</w:t>
      </w:r>
      <w:r>
        <w:br/>
      </w:r>
      <w:r>
        <w:t xml:space="preserve">Under EL3, an alignment of the regulated entity in EU MRV, EU ETS and FuelEU Maritime</w:t>
      </w:r>
      <w:r>
        <w:t xml:space="preserve"> </w:t>
      </w:r>
      <w:r>
        <w:t xml:space="preserve">would require a change in the definition of ‘company’ in FuelEU Maritime. The definition of</w:t>
      </w:r>
      <w:r>
        <w:t xml:space="preserve"> </w:t>
      </w:r>
      <w:r>
        <w:t xml:space="preserve">‘company’ in the FuelEU Maritime Regulation should be amended (i) to refer to the definition</w:t>
      </w:r>
      <w:r>
        <w:t xml:space="preserve"> </w:t>
      </w:r>
      <w:r>
        <w:t xml:space="preserve">of ‘shipping company’ under the EU ETS Directive and (ii) to clarify that the entity responsible</w:t>
      </w:r>
      <w:r>
        <w:t xml:space="preserve"> </w:t>
      </w:r>
      <w:r>
        <w:t xml:space="preserve">for compliance under FuelEU Maritime must be the same as the one responsible for compliance</w:t>
      </w:r>
      <w:r>
        <w:t xml:space="preserve"> </w:t>
      </w:r>
      <w:r>
        <w:t xml:space="preserve">under EU ETS and EU MRV.</w:t>
      </w:r>
      <w:r>
        <w:br/>
      </w:r>
      <w:r>
        <w:t xml:space="preserve">The non-legally binding FAQs on FuelEU Maritime would also need to be amended336, because</w:t>
      </w:r>
      <w:r>
        <w:t xml:space="preserve"> </w:t>
      </w:r>
      <w:r>
        <w:t xml:space="preserve">the FAQs explain that the ISM Company distinct from the shipowner is the entity responsible</w:t>
      </w:r>
      <w:r>
        <w:t xml:space="preserve"> </w:t>
      </w:r>
      <w:r>
        <w:t xml:space="preserve">for compliance with FuelEU Maritime.</w:t>
      </w:r>
      <w:r>
        <w:br/>
      </w:r>
      <w:r>
        <w:t xml:space="preserve">Such alignment of the regulated entity in EU MRV, EU ETS and FuelEU Maritime under EL3</w:t>
      </w:r>
      <w:r>
        <w:t xml:space="preserve"> </w:t>
      </w:r>
      <w:r>
        <w:t xml:space="preserve">means that the same Member State is responsible for the enforcement of EU MRV, EU ETS</w:t>
      </w:r>
      <w:r>
        <w:t xml:space="preserve"> </w:t>
      </w:r>
      <w:r>
        <w:t xml:space="preserve">and FuelEU Maritime in respect of the emissions of a given ship, which would create synergies</w:t>
      </w:r>
      <w:r>
        <w:t xml:space="preserve"> </w:t>
      </w:r>
      <w:r>
        <w:t xml:space="preserve">with the simplification elements under EL1.</w:t>
      </w:r>
      <w:r>
        <w:t xml:space="preserve"> </w:t>
      </w:r>
      <w:r>
        <w:t xml:space="preserve">Other policy measures: the challenge of using a well-to-wake approach in the ETS</w:t>
      </w:r>
      <w:r>
        <w:t xml:space="preserve"> </w:t>
      </w:r>
      <w:r>
        <w:t xml:space="preserve">Maritime emissions reported under the EU ETS scope are those occurring on-board ships, also</w:t>
      </w:r>
      <w:r>
        <w:t xml:space="preserve"> </w:t>
      </w:r>
      <w:r>
        <w:t xml:space="preserve">called downstream emissions (Tank-to-Wake, TTW). Up-stream emissions from marine fuels</w:t>
      </w:r>
      <w:r>
        <w:t xml:space="preserve"> </w:t>
      </w:r>
      <w:r>
        <w:t xml:space="preserve">are hence not considered under the EU ETS, except if these fuels are produced in Europe,</w:t>
      </w:r>
      <w:r>
        <w:t xml:space="preserve"> </w:t>
      </w:r>
      <w:r>
        <w:t xml:space="preserve">through an installation falling under the ETS scope, such as a refinery. This situation may create</w:t>
      </w:r>
      <w:r>
        <w:t xml:space="preserve"> </w:t>
      </w:r>
      <w:r>
        <w:t xml:space="preserve">wrong incentives for shipping companies, encouraging the use of marine fuels with low</w:t>
      </w:r>
      <w:r>
        <w:t xml:space="preserve"> </w:t>
      </w:r>
      <w:r>
        <w:t xml:space="preserve">downstream emissions but potentially high up-stream emissions (e.g. grey ammonia).</w:t>
      </w:r>
    </w:p>
    <w:p>
      <w:pPr>
        <w:pStyle w:val="BodyText"/>
      </w:pPr>
      <w:r>
        <w:t xml:space="preserve">335 Between 400 and 5000 gross tonnages.</w:t>
      </w:r>
      <w:r>
        <w:br/>
      </w:r>
      <w:r>
        <w:t xml:space="preserve">336 https://transport.ec.europa.eu/transport-modes/maritime/decarbonising-maritime-transport-fueleu-</w:t>
      </w:r>
      <w:r>
        <w:t xml:space="preserve"> </w:t>
      </w:r>
      <w:r>
        <w:t xml:space="preserve">maritime/questions-and-answers-regulation-eu-20231805-use-renewable-and-low-carbon-fuels-maritime-</w:t>
      </w:r>
      <w:r>
        <w:t xml:space="preserve"> </w:t>
      </w:r>
      <w:r>
        <w:t xml:space="preserve">transport_en?mc_cid=0487626adf#general.</w:t>
      </w:r>
    </w:p>
    <w:p>
      <w:pPr>
        <w:pStyle w:val="BodyText"/>
      </w:pPr>
      <w:r>
        <w:t xml:space="preserve">The Q&amp;A was drafted by the services of the Directorate-General for Mobility and Transport of the European</w:t>
      </w:r>
      <w:r>
        <w:t xml:space="preserve"> </w:t>
      </w:r>
      <w:r>
        <w:t xml:space="preserve">Commission and does not have legal effect as regards the interpretation of FuelEUMaritime. “[i]n cases when</w:t>
      </w:r>
      <w:r>
        <w:t xml:space="preserve"> </w:t>
      </w:r>
      <w:r>
        <w:t xml:space="preserve">the shipowner has delegated the responsibilities to comply with the ISM Code to any other organisation or</w:t>
      </w:r>
      <w:r>
        <w:t xml:space="preserve"> </w:t>
      </w:r>
      <w:r>
        <w:t xml:space="preserve">person, then that organisation or person will become the ‘ISM company’ and it is also the entity responsible</w:t>
      </w:r>
      <w:r>
        <w:t xml:space="preserve"> </w:t>
      </w:r>
      <w:r>
        <w:t xml:space="preserve">for compliance with the FuelEU.”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In the current EU policy framework, this risk is mitigated by the interplay between the EU ETS</w:t>
      </w:r>
      <w:r>
        <w:t xml:space="preserve"> </w:t>
      </w:r>
      <w:r>
        <w:t xml:space="preserve">and other policies. Notably, GHG Fuel intensity obligations stemming from the FuelEU</w:t>
      </w:r>
      <w:r>
        <w:t xml:space="preserve"> </w:t>
      </w:r>
      <w:r>
        <w:t xml:space="preserve">Maritime Regulation are based on lifecycle accounting, comprising both upstream and</w:t>
      </w:r>
      <w:r>
        <w:t xml:space="preserve"> </w:t>
      </w:r>
      <w:r>
        <w:t xml:space="preserve">downstream emissions. The interaction between the Renewable Energy Directive and the EU</w:t>
      </w:r>
      <w:r>
        <w:t xml:space="preserve"> </w:t>
      </w:r>
      <w:r>
        <w:t xml:space="preserve">ETS also helps address this concern, since RED requires that fuels meet specific lifecycle GHG</w:t>
      </w:r>
      <w:r>
        <w:t xml:space="preserve"> </w:t>
      </w:r>
      <w:r>
        <w:t xml:space="preserve">emissions to be qualified as renewable fuels. For instance, the zero-rating of sustainable</w:t>
      </w:r>
      <w:r>
        <w:t xml:space="preserve"> </w:t>
      </w:r>
      <w:r>
        <w:t xml:space="preserve">biofuels and other renewable fuels under the ETS can only happen if these fuels comply with</w:t>
      </w:r>
      <w:r>
        <w:t xml:space="preserve"> </w:t>
      </w:r>
      <w:r>
        <w:t xml:space="preserve">the sustainability and life-cycle GHG savings criteria established by the RED. Furthermore, a</w:t>
      </w:r>
      <w:r>
        <w:t xml:space="preserve"> </w:t>
      </w:r>
      <w:r>
        <w:t xml:space="preserve">possible ETS support system could take the life-cycle emissions into due account.</w:t>
      </w:r>
      <w:r>
        <w:br/>
      </w:r>
      <w:r>
        <w:t xml:space="preserve">While in theory the ETS scope could be extended to cover up-stream emissions, such a change</w:t>
      </w:r>
      <w:r>
        <w:t xml:space="preserve"> </w:t>
      </w:r>
      <w:r>
        <w:t xml:space="preserve">would be very difficult to implement in practice. It would for instance lead to a risk of double</w:t>
      </w:r>
      <w:r>
        <w:t xml:space="preserve"> </w:t>
      </w:r>
      <w:r>
        <w:t xml:space="preserve">counting (i.e. in relation to the upstream emissions already covered under the ETS such as in</w:t>
      </w:r>
      <w:r>
        <w:t xml:space="preserve"> </w:t>
      </w:r>
      <w:r>
        <w:t xml:space="preserve">refineries or ammonia plants). It would also require additional monitoring, reporting and</w:t>
      </w:r>
      <w:r>
        <w:t xml:space="preserve"> </w:t>
      </w:r>
      <w:r>
        <w:t xml:space="preserve">verification rules, and create some unclarities in terms of responsibility. Furthermore, covering</w:t>
      </w:r>
      <w:r>
        <w:t xml:space="preserve"> </w:t>
      </w:r>
      <w:r>
        <w:t xml:space="preserve">upstream emissions only for maritime, would also create incoherence with the rest of the</w:t>
      </w:r>
      <w:r>
        <w:t xml:space="preserve"> </w:t>
      </w:r>
      <w:r>
        <w:t xml:space="preserve">sectors covered by the EU ETS. For these reasons, the possible extension of the ETS scope to</w:t>
      </w:r>
      <w:r>
        <w:t xml:space="preserve"> </w:t>
      </w:r>
      <w:r>
        <w:t xml:space="preserve">up-stream emissions is not further considered in the following sections.</w:t>
      </w:r>
      <w:r>
        <w:t xml:space="preserve"> </w:t>
      </w:r>
      <w:r>
        <w:t xml:space="preserve">3.3. Assessment of policy measures</w:t>
      </w:r>
      <w:r>
        <w:t xml:space="preserve"> </w:t>
      </w:r>
      <w:r>
        <w:t xml:space="preserve">3.3.1. Economic impacts</w:t>
      </w:r>
      <w:r>
        <w:t xml:space="preserve"> </w:t>
      </w:r>
      <w:r>
        <w:t xml:space="preserve">The simplification elements of policy measure EL1 are expected to positively impact the</w:t>
      </w:r>
      <w:r>
        <w:t xml:space="preserve"> </w:t>
      </w:r>
      <w:r>
        <w:t xml:space="preserve">administrative costs for the different stakeholders involved in the MRV/ETS cycle, with</w:t>
      </w:r>
      <w:r>
        <w:t xml:space="preserve"> </w:t>
      </w:r>
      <w:r>
        <w:t xml:space="preserve">shipping companies being the main beneficiaries of the resulting costs reductions.</w:t>
      </w:r>
      <w:r>
        <w:br/>
      </w:r>
      <w:r>
        <w:t xml:space="preserve">The evaluation of the MRV Maritime system collected relevant and updated inputs from</w:t>
      </w:r>
      <w:r>
        <w:t xml:space="preserve"> </w:t>
      </w:r>
      <w:r>
        <w:t xml:space="preserve">stakeholders, building on targeted questions on MRV cost components for operators337. The</w:t>
      </w:r>
      <w:r>
        <w:t xml:space="preserve"> </w:t>
      </w:r>
      <w:r>
        <w:t xml:space="preserve">evaluation estimated total annual MRV compliance cost for shipping companies to be around</w:t>
      </w:r>
      <w:r>
        <w:t xml:space="preserve"> </w:t>
      </w:r>
      <w:r>
        <w:t xml:space="preserve">EUR 47 million, with a median value per vessel at 3 150 euro. Respondents stressed that the</w:t>
      </w:r>
      <w:r>
        <w:t xml:space="preserve"> </w:t>
      </w:r>
      <w:r>
        <w:t xml:space="preserve">costs incurred are to a considerable extent shared with those to comply with overlapping</w:t>
      </w:r>
      <w:r>
        <w:t xml:space="preserve"> </w:t>
      </w:r>
      <w:r>
        <w:t xml:space="preserve">regulatory frameworks, indicating that synergies are very high in respect of FuelEU duties and</w:t>
      </w:r>
      <w:r>
        <w:t xml:space="preserve"> </w:t>
      </w:r>
      <w:r>
        <w:t xml:space="preserve">costs (above 70%) and high in respect of IMO DCS ones (above 50%). This confirms the room</w:t>
      </w:r>
      <w:r>
        <w:t xml:space="preserve"> </w:t>
      </w:r>
      <w:r>
        <w:t xml:space="preserve">for potential further, yet limited, synergies across systems, provided that the same regulated</w:t>
      </w:r>
      <w:r>
        <w:t xml:space="preserve"> </w:t>
      </w:r>
      <w:r>
        <w:t xml:space="preserve">entity is responsible in respect of a given ship, mostly in regard to data collection and data</w:t>
      </w:r>
      <w:r>
        <w:t xml:space="preserve"> </w:t>
      </w:r>
      <w:r>
        <w:t xml:space="preserve">aggregation (50% and more) and, to a smaller extent, for monitoring plan preparation,</w:t>
      </w:r>
      <w:r>
        <w:t xml:space="preserve"> </w:t>
      </w:r>
      <w:r>
        <w:t xml:space="preserve">exchanges with verifiers, and use of IT systems.</w:t>
      </w:r>
      <w:r>
        <w:br/>
      </w:r>
      <w:r>
        <w:t xml:space="preserve">Most of the elements covered under policy measure EL1 are expected to positively impact the</w:t>
      </w:r>
      <w:r>
        <w:t xml:space="preserve"> </w:t>
      </w:r>
      <w:r>
        <w:t xml:space="preserve">different main cost drivers of the MRV compliance process, but the quantification of the</w:t>
      </w:r>
      <w:r>
        <w:t xml:space="preserve"> </w:t>
      </w:r>
      <w:r>
        <w:t xml:space="preserve">relative contribution from each element remains particularly challenging. Still, on the basis of</w:t>
      </w:r>
      <w:r>
        <w:t xml:space="preserve"> </w:t>
      </w:r>
      <w:r>
        <w:t xml:space="preserve">the ranking provided by stakeholders on the (six) different cost drivers’ contribution to total</w:t>
      </w:r>
      <w:r>
        <w:t xml:space="preserve"> </w:t>
      </w:r>
      <w:r>
        <w:t xml:space="preserve">MRV compliance costs, refered to above, and of their linkage to the different elements under</w:t>
      </w:r>
      <w:r>
        <w:t xml:space="preserve"> </w:t>
      </w:r>
      <w:r>
        <w:t xml:space="preserve">policy measure EL1, a conservative estimate of cost reduction indicates that the full</w:t>
      </w:r>
      <w:r>
        <w:t xml:space="preserve"> </w:t>
      </w:r>
      <w:r>
        <w:t xml:space="preserve">implementation of the elements under EL1 could lead to savings for recurrent MRV</w:t>
      </w:r>
      <w:r>
        <w:t xml:space="preserve"> </w:t>
      </w:r>
      <w:r>
        <w:t xml:space="preserve">compliance costs incurred by companies between 10% and 20% compared to the current</w:t>
      </w:r>
      <w:r>
        <w:t xml:space="preserve"> </w:t>
      </w:r>
      <w:r>
        <w:t xml:space="preserve">situation338, as described in the following table:</w:t>
      </w:r>
    </w:p>
    <w:p>
      <w:pPr>
        <w:pStyle w:val="BodyText"/>
      </w:pPr>
      <w:r>
        <w:t xml:space="preserve">337 Further details in RICARDO, 2026, Support study for the evaluation of the EU Maritime MRV system in the</w:t>
      </w:r>
      <w:r>
        <w:t xml:space="preserve"> </w:t>
      </w:r>
      <w:r>
        <w:t xml:space="preserve">context of the ETS Directive review (forthcoming).</w:t>
      </w:r>
    </w:p>
    <w:p>
      <w:pPr>
        <w:pStyle w:val="BodyText"/>
      </w:pPr>
      <w:r>
        <w:t xml:space="preserve">338 Total MRV annual compliance cost are estimated at 47 EUR million with 3,150 EUR average cost per vessel.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Table 5:</w:t>
      </w:r>
      <w:r>
        <w:t xml:space="preserve"> </w:t>
      </w:r>
      <w:r>
        <w:t xml:space="preserve">Potential cost reduction by cost driver</w:t>
      </w:r>
      <w:r>
        <w:t xml:space="preserve"> </w:t>
      </w:r>
      <w:r>
        <w:t xml:space="preserve">MRV cost driver</w:t>
      </w:r>
      <w:r>
        <w:t xml:space="preserve"> </w:t>
      </w:r>
      <w:r>
        <w:t xml:space="preserve">Total annual MRV admin cost</w:t>
      </w:r>
      <w:r>
        <w:t xml:space="preserve"> </w:t>
      </w:r>
      <w:r>
        <w:t xml:space="preserve">reductions [EUR million]</w:t>
      </w:r>
      <w:r>
        <w:t xml:space="preserve"> </w:t>
      </w:r>
      <w:r>
        <w:t xml:space="preserve">Per vessel [EUR]</w:t>
      </w:r>
    </w:p>
    <w:p>
      <w:pPr>
        <w:pStyle w:val="BodyText"/>
      </w:pPr>
      <w:r>
        <w:t xml:space="preserve">Lower bound</w:t>
      </w:r>
      <w:r>
        <w:t xml:space="preserve"> </w:t>
      </w:r>
      <w:r>
        <w:t xml:space="preserve">Upper bound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Staff</w:t>
      </w:r>
      <w:r>
        <w:t xml:space="preserve"> </w:t>
      </w:r>
      <w:r>
        <w:t xml:space="preserve">time</w:t>
      </w:r>
      <w:r>
        <w:t xml:space="preserve"> </w:t>
      </w:r>
      <w:r>
        <w:t xml:space="preserve">(including</w:t>
      </w:r>
      <w:r>
        <w:t xml:space="preserve"> </w:t>
      </w:r>
      <w:r>
        <w:t xml:space="preserve">dedicated</w:t>
      </w:r>
      <w:r>
        <w:t xml:space="preserve"> </w:t>
      </w:r>
      <w:r>
        <w:t xml:space="preserve">training)</w:t>
      </w:r>
      <w:r>
        <w:t xml:space="preserve"> </w:t>
      </w:r>
      <w:r>
        <w:t xml:space="preserve">-0.9</w:t>
      </w:r>
      <w:r>
        <w:t xml:space="preserve"> </w:t>
      </w:r>
      <w:r>
        <w:t xml:space="preserve">-1.8</w:t>
      </w:r>
      <w:r>
        <w:t xml:space="preserve"> </w:t>
      </w:r>
      <w:r>
        <w:t xml:space="preserve">-62</w:t>
      </w:r>
      <w:r>
        <w:t xml:space="preserve"> </w:t>
      </w:r>
      <w:r>
        <w:t xml:space="preserve">-124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(onboard and company systems)</w:t>
      </w:r>
      <w:r>
        <w:t xml:space="preserve"> </w:t>
      </w:r>
      <w:r>
        <w:t xml:space="preserve">-0.8</w:t>
      </w:r>
      <w:r>
        <w:t xml:space="preserve"> </w:t>
      </w:r>
      <w:r>
        <w:t xml:space="preserve">-1.7</w:t>
      </w:r>
      <w:r>
        <w:t xml:space="preserve"> </w:t>
      </w:r>
      <w:r>
        <w:t xml:space="preserve">-56</w:t>
      </w:r>
      <w:r>
        <w:t xml:space="preserve"> </w:t>
      </w:r>
      <w:r>
        <w:t xml:space="preserve">-111</w:t>
      </w:r>
      <w:r>
        <w:t xml:space="preserve"> </w:t>
      </w:r>
      <w:r>
        <w:t xml:space="preserve">Verification fees</w:t>
      </w:r>
      <w:r>
        <w:t xml:space="preserve"> </w:t>
      </w:r>
      <w:r>
        <w:t xml:space="preserve">-0.8</w:t>
      </w:r>
      <w:r>
        <w:t xml:space="preserve"> </w:t>
      </w:r>
      <w:r>
        <w:t xml:space="preserve">-1.6</w:t>
      </w:r>
      <w:r>
        <w:t xml:space="preserve"> </w:t>
      </w:r>
      <w:r>
        <w:t xml:space="preserve">-54</w:t>
      </w:r>
      <w:r>
        <w:t xml:space="preserve"> </w:t>
      </w:r>
      <w:r>
        <w:t xml:space="preserve">-108</w:t>
      </w:r>
      <w:r>
        <w:t xml:space="preserve"> </w:t>
      </w:r>
      <w:r>
        <w:t xml:space="preserve">IT systems / digital tools for MRV</w:t>
      </w:r>
      <w:r>
        <w:t xml:space="preserve"> </w:t>
      </w:r>
      <w:r>
        <w:t xml:space="preserve">reporting (excluding THETIS MRV)</w:t>
      </w:r>
      <w:r>
        <w:t xml:space="preserve"> </w:t>
      </w:r>
      <w:r>
        <w:t xml:space="preserve">-0.8</w:t>
      </w:r>
      <w:r>
        <w:t xml:space="preserve"> </w:t>
      </w:r>
      <w:r>
        <w:t xml:space="preserve">-1.6</w:t>
      </w:r>
      <w:r>
        <w:t xml:space="preserve"> </w:t>
      </w:r>
      <w:r>
        <w:t xml:space="preserve">-53</w:t>
      </w:r>
      <w:r>
        <w:t xml:space="preserve"> </w:t>
      </w:r>
      <w:r>
        <w:t xml:space="preserve">-106</w:t>
      </w:r>
      <w:r>
        <w:t xml:space="preserve"> </w:t>
      </w:r>
      <w:r>
        <w:t xml:space="preserve">Preparation and revision of monitoring</w:t>
      </w:r>
      <w:r>
        <w:t xml:space="preserve"> </w:t>
      </w:r>
      <w:r>
        <w:t xml:space="preserve">plans</w:t>
      </w:r>
      <w:r>
        <w:t xml:space="preserve"> </w:t>
      </w:r>
      <w:r>
        <w:t xml:space="preserve">-0.7</w:t>
      </w:r>
      <w:r>
        <w:t xml:space="preserve"> </w:t>
      </w:r>
      <w:r>
        <w:t xml:space="preserve">-1.4</w:t>
      </w:r>
      <w:r>
        <w:t xml:space="preserve"> </w:t>
      </w:r>
      <w:r>
        <w:t xml:space="preserve">-47</w:t>
      </w:r>
      <w:r>
        <w:t xml:space="preserve"> </w:t>
      </w:r>
      <w:r>
        <w:t xml:space="preserve">-94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coordination/</w:t>
      </w:r>
      <w:r>
        <w:t xml:space="preserve"> </w:t>
      </w:r>
      <w:r>
        <w:t xml:space="preserve">interactions</w:t>
      </w:r>
      <w:r>
        <w:t xml:space="preserve"> </w:t>
      </w:r>
      <w:r>
        <w:t xml:space="preserve">with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authorities in charge of MRV/ETS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-0.7</w:t>
      </w:r>
      <w:r>
        <w:t xml:space="preserve"> </w:t>
      </w:r>
      <w:r>
        <w:t xml:space="preserve">-1.3</w:t>
      </w:r>
      <w:r>
        <w:t xml:space="preserve"> </w:t>
      </w:r>
      <w:r>
        <w:t xml:space="preserve">-44</w:t>
      </w:r>
      <w:r>
        <w:t xml:space="preserve"> </w:t>
      </w:r>
      <w:r>
        <w:t xml:space="preserve">-88</w:t>
      </w:r>
      <w:r>
        <w:t xml:space="preserve"> </w:t>
      </w:r>
      <w:r>
        <w:t xml:space="preserve">Total</w:t>
      </w:r>
      <w:r>
        <w:t xml:space="preserve"> </w:t>
      </w:r>
      <w:r>
        <w:t xml:space="preserve">-4.7</w:t>
      </w:r>
      <w:r>
        <w:t xml:space="preserve"> </w:t>
      </w:r>
      <w:r>
        <w:t xml:space="preserve">-9.4</w:t>
      </w:r>
      <w:r>
        <w:t xml:space="preserve"> </w:t>
      </w:r>
      <w:r>
        <w:t xml:space="preserve">-315</w:t>
      </w:r>
      <w:r>
        <w:t xml:space="preserve"> </w:t>
      </w:r>
      <w:r>
        <w:t xml:space="preserve">-630</w:t>
      </w:r>
      <w:r>
        <w:t xml:space="preserve"> </w:t>
      </w:r>
      <w:r>
        <w:t xml:space="preserve">Source: own analysis based on literature review and inputs collected during the evaluation of the MRV maritime</w:t>
      </w:r>
      <w:r>
        <w:t xml:space="preserve"> </w:t>
      </w:r>
      <w:r>
        <w:t xml:space="preserve">system as described above. Cost drivers are listed in order of importance, on the basis of average ranking by</w:t>
      </w:r>
      <w:r>
        <w:t xml:space="preserve"> </w:t>
      </w:r>
      <w:r>
        <w:t xml:space="preserve">respondents.</w:t>
      </w:r>
      <w:r>
        <w:br/>
      </w:r>
      <w:r>
        <w:t xml:space="preserve">Relevant cost reductions are further expected to also positively affect the administrative</w:t>
      </w:r>
      <w:r>
        <w:t xml:space="preserve"> </w:t>
      </w:r>
      <w:r>
        <w:t xml:space="preserve">compliance costs incurred under FuelEU Maritime, as those have a significant MRV-related</w:t>
      </w:r>
      <w:r>
        <w:t xml:space="preserve"> </w:t>
      </w:r>
      <w:r>
        <w:t xml:space="preserve">component which will be impacted by policy measure EL1339.</w:t>
      </w:r>
      <w:r>
        <w:br/>
      </w:r>
      <w:r>
        <w:t xml:space="preserve">Policy measure EL2 is expected to drive administrative costs reduction for Administering</w:t>
      </w:r>
      <w:r>
        <w:t xml:space="preserve"> </w:t>
      </w:r>
      <w:r>
        <w:t xml:space="preserve">Authorities (AA), due to efficiency gains resulting from the clearer identification of the roles</w:t>
      </w:r>
      <w:r>
        <w:t xml:space="preserve"> </w:t>
      </w:r>
      <w:r>
        <w:t xml:space="preserve">and responsibilities of the AA under the MRV cycle and the association of the same shipping</w:t>
      </w:r>
      <w:r>
        <w:t xml:space="preserve"> </w:t>
      </w:r>
      <w:r>
        <w:t xml:space="preserve">company to a given AA under both MRV/ETS and FuelEU, thus reducing potential</w:t>
      </w:r>
      <w:r>
        <w:t xml:space="preserve"> </w:t>
      </w:r>
      <w:r>
        <w:t xml:space="preserve">divergences. A positive economic (and environmental impact) is also expected from an</w:t>
      </w:r>
      <w:r>
        <w:t xml:space="preserve"> </w:t>
      </w:r>
      <w:r>
        <w:t xml:space="preserve">increase in the overall compliance rate (i.e. reduction of non-compliant shipping companies)</w:t>
      </w:r>
      <w:r>
        <w:t xml:space="preserve"> </w:t>
      </w:r>
      <w:r>
        <w:t xml:space="preserve">due to the faster and clearer attribution of non-compliant companies.</w:t>
      </w:r>
      <w:r>
        <w:br/>
      </w:r>
      <w:r>
        <w:t xml:space="preserve">Policy measure EL2 further bears potential for MRV administrative costs reduction for certain</w:t>
      </w:r>
      <w:r>
        <w:t xml:space="preserve"> </w:t>
      </w:r>
      <w:r>
        <w:t xml:space="preserve">operators, in so far it could give to certain small ships the possibility to monitor and report on</w:t>
      </w:r>
      <w:r>
        <w:t xml:space="preserve"> </w:t>
      </w:r>
      <w:r>
        <w:t xml:space="preserve">an annual aggregated basis, thus derogating from the general obligation to monitor relevant</w:t>
      </w:r>
      <w:r>
        <w:t xml:space="preserve"> </w:t>
      </w:r>
      <w:r>
        <w:t xml:space="preserve">parameters for each voyages. In 2023, approximately a third (32%, i.e. 2 100 ships) of the small</w:t>
      </w:r>
      <w:r>
        <w:t xml:space="preserve"> </w:t>
      </w:r>
      <w:r>
        <w:t xml:space="preserve">ships fleet sailed only intra-EU (Ricardo, 2025). The vast majority of these smaller vessels</w:t>
      </w:r>
    </w:p>
    <w:p>
      <w:pPr>
        <w:pStyle w:val="BodyText"/>
      </w:pPr>
      <w:r>
        <w:t xml:space="preserve">339 On the basis of the compliance cost estimates under the 2021 Impact Assessment accompanying the FuelEU</w:t>
      </w:r>
      <w:r>
        <w:t xml:space="preserve"> </w:t>
      </w:r>
      <w:r>
        <w:t xml:space="preserve">Maritime proposal by the Commission (SWD(2021) 635 final), the additional administrative cost reduction</w:t>
      </w:r>
      <w:r>
        <w:t xml:space="preserve"> </w:t>
      </w:r>
      <w:r>
        <w:t xml:space="preserve">for shipping companies can be expected to be up to EUR 22.4 million at 2025 prices (assuming yearly average</w:t>
      </w:r>
      <w:r>
        <w:t xml:space="preserve"> </w:t>
      </w:r>
      <w:r>
        <w:t xml:space="preserve">total administrative compliance cost for companies under FuelEU of around EUR 34.4 million and a reduction</w:t>
      </w:r>
      <w:r>
        <w:t xml:space="preserve"> </w:t>
      </w:r>
      <w:r>
        <w:t xml:space="preserve">of 65% from MRV-cost elements on total FuelEU costs).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wouldn’t be able to benefit from the present exemption rule, as they perform less than 300</w:t>
      </w:r>
      <w:r>
        <w:t xml:space="preserve"> </w:t>
      </w:r>
      <w:r>
        <w:t xml:space="preserve">voyages per year. Vessel categories with the highest share and absolute number of intra-EU</w:t>
      </w:r>
      <w:r>
        <w:t xml:space="preserve"> </w:t>
      </w:r>
      <w:r>
        <w:t xml:space="preserve">voyages, such as RoPax, tug and dredgers, and passenger vessels are expected to benefit the</w:t>
      </w:r>
      <w:r>
        <w:t xml:space="preserve"> </w:t>
      </w:r>
      <w:r>
        <w:t xml:space="preserve">most from such a simplification measure. A simplified data collection and management system</w:t>
      </w:r>
      <w:r>
        <w:t xml:space="preserve"> </w:t>
      </w:r>
      <w:r>
        <w:t xml:space="preserve">could reduce by half the average relevant compliance cost component for operators.</w:t>
      </w:r>
      <w:r>
        <w:t xml:space="preserve"> </w:t>
      </w:r>
      <w:r>
        <w:t xml:space="preserve">A pooling mechanism to provide additional flexibility in the compliance process, as envisaged</w:t>
      </w:r>
      <w:r>
        <w:t xml:space="preserve"> </w:t>
      </w:r>
      <w:r>
        <w:t xml:space="preserve">under EL 2, could further reduce the costs for those shipping companies responsible for fewer</w:t>
      </w:r>
      <w:r>
        <w:t xml:space="preserve"> </w:t>
      </w:r>
      <w:r>
        <w:t xml:space="preserve">emissions. Depending on the exact design of the pooling mechanism, it could decrease the ETS</w:t>
      </w:r>
      <w:r>
        <w:t xml:space="preserve"> </w:t>
      </w:r>
      <w:r>
        <w:t xml:space="preserve">compliance costs related to registry elements, for instance by centralising those through a</w:t>
      </w:r>
      <w:r>
        <w:t xml:space="preserve"> </w:t>
      </w:r>
      <w:r>
        <w:t xml:space="preserve">trustee acting for multiple small emitters, or positively impact other drivers of administrative</w:t>
      </w:r>
      <w:r>
        <w:t xml:space="preserve"> </w:t>
      </w:r>
      <w:r>
        <w:t xml:space="preserve">costs for companies (e.g. in terms of staff cost) by delegating data and reporting compilation</w:t>
      </w:r>
      <w:r>
        <w:t xml:space="preserve"> </w:t>
      </w:r>
      <w:r>
        <w:t xml:space="preserve">to a centralised third party. Responses to the light MRV evaluation show indeed that currently</w:t>
      </w:r>
      <w:r>
        <w:t xml:space="preserve"> </w:t>
      </w:r>
      <w:r>
        <w:t xml:space="preserve">larger fleets achieve lower per-vessel cost via shared systems and staff, while SMEs bear a</w:t>
      </w:r>
      <w:r>
        <w:t xml:space="preserve"> </w:t>
      </w:r>
      <w:r>
        <w:t xml:space="preserve">higher cost proportional to their fleet size.</w:t>
      </w:r>
      <w:r>
        <w:t xml:space="preserve"> </w:t>
      </w:r>
      <w:r>
        <w:t xml:space="preserve">An assessment from the previous impact assessment by Pons et al. (2021)340 identified that a</w:t>
      </w:r>
      <w:r>
        <w:t xml:space="preserve"> </w:t>
      </w:r>
      <w:r>
        <w:t xml:space="preserve">pooling mechanism might potentially lower the administrative effort by companies in the pool.</w:t>
      </w:r>
      <w:r>
        <w:t xml:space="preserve"> </w:t>
      </w:r>
      <w:r>
        <w:t xml:space="preserve">However, a pooling system applied only to the ETS compliance phase would not significantly</w:t>
      </w:r>
      <w:r>
        <w:t xml:space="preserve"> </w:t>
      </w:r>
      <w:r>
        <w:t xml:space="preserve">impact the MRV compliance cost, which represents the main component341 for small emitters</w:t>
      </w:r>
      <w:r>
        <w:t xml:space="preserve"> </w:t>
      </w:r>
      <w:r>
        <w:t xml:space="preserve">overall ETS participation costs, in particular when participants were already active under the</w:t>
      </w:r>
      <w:r>
        <w:t xml:space="preserve"> </w:t>
      </w:r>
      <w:r>
        <w:t xml:space="preserve">MRV and ETS scope before the introduction of the pooling mechanism and therefore have</w:t>
      </w:r>
      <w:r>
        <w:t xml:space="preserve"> </w:t>
      </w:r>
      <w:r>
        <w:t xml:space="preserve">already incurred into one-off costs to comply. In addition to this, even the application of a</w:t>
      </w:r>
      <w:r>
        <w:t xml:space="preserve"> </w:t>
      </w:r>
      <w:r>
        <w:t xml:space="preserve">pooling mechanism to MRV compliance would only bring limited MRV cost reduction to</w:t>
      </w:r>
      <w:r>
        <w:t xml:space="preserve"> </w:t>
      </w:r>
      <w:r>
        <w:t xml:space="preserve">companies, as many of those are already relying on third-party services for compliance342.</w:t>
      </w:r>
      <w:r>
        <w:br/>
      </w:r>
      <w:r>
        <w:t xml:space="preserve">The economic impacts of EL3 are mostly expected to relate to the regulatory costs for regulated</w:t>
      </w:r>
      <w:r>
        <w:t xml:space="preserve"> </w:t>
      </w:r>
      <w:r>
        <w:t xml:space="preserve">entities and public authorities of Member States. With EL3, no increase or decrease in the</w:t>
      </w:r>
      <w:r>
        <w:t xml:space="preserve"> </w:t>
      </w:r>
      <w:r>
        <w:t xml:space="preserve">current EU MRV and EU ETS administrative costs is expected for regulated entities and for</w:t>
      </w:r>
      <w:r>
        <w:t xml:space="preserve"> </w:t>
      </w:r>
      <w:r>
        <w:t xml:space="preserve">public authorities of Member States that are responsible for the enforcement of the EU MRV</w:t>
      </w:r>
      <w:r>
        <w:t xml:space="preserve"> </w:t>
      </w:r>
      <w:r>
        <w:t xml:space="preserve">and EU ETS.</w:t>
      </w:r>
      <w:r>
        <w:br/>
      </w:r>
      <w:r>
        <w:t xml:space="preserve">As regards the overall administrative costs for regulated entities under EU MRV, EU ETS and</w:t>
      </w:r>
      <w:r>
        <w:t xml:space="preserve"> </w:t>
      </w:r>
      <w:r>
        <w:t xml:space="preserve">FuelEU Maritime, EL3 is expected to contribute to a reduction in these administrative costs</w:t>
      </w:r>
      <w:r>
        <w:t xml:space="preserve"> </w:t>
      </w:r>
      <w:r>
        <w:t xml:space="preserve">thanks to the synergies produced and the consequent reduction in work hours need to complete</w:t>
      </w:r>
      <w:r>
        <w:t xml:space="preserve"> </w:t>
      </w:r>
      <w:r>
        <w:t xml:space="preserve">the different steps of the compliance cycle, especially when combined with EL1 and EL2.</w:t>
      </w:r>
      <w:r>
        <w:br/>
      </w:r>
      <w:r>
        <w:t xml:space="preserve">As regards the overall costs for public authorities in respect of the combined enforcement of</w:t>
      </w:r>
      <w:r>
        <w:t xml:space="preserve"> </w:t>
      </w:r>
      <w:r>
        <w:t xml:space="preserve">EU MRV, EU ETS and FuelEU Maritime, EL3 is expected to contribute to a reduction in these</w:t>
      </w:r>
      <w:r>
        <w:t xml:space="preserve"> </w:t>
      </w:r>
      <w:r>
        <w:t xml:space="preserve">costs. Under the current situation, one Member State might be responsible for enforcing the</w:t>
      </w:r>
      <w:r>
        <w:t xml:space="preserve"> </w:t>
      </w:r>
      <w:r>
        <w:t xml:space="preserve">EU MRV and EU ETS requirements in respect of one shipping company, while another</w:t>
      </w:r>
      <w:r>
        <w:t xml:space="preserve"> </w:t>
      </w:r>
      <w:r>
        <w:t xml:space="preserve">Member State might be responsible for enforcing the FuelEU requirements in respect of the</w:t>
      </w:r>
      <w:r>
        <w:t xml:space="preserve"> </w:t>
      </w:r>
      <w:r>
        <w:t xml:space="preserve">same shipping company, thus leading to some duplications. EL3 would remove such</w:t>
      </w:r>
      <w:r>
        <w:t xml:space="preserve"> </w:t>
      </w:r>
      <w:r>
        <w:t xml:space="preserve">duplications and lead to a decrease in the overall regulatory costs.</w:t>
      </w:r>
    </w:p>
    <w:p>
      <w:pPr>
        <w:pStyle w:val="BodyText"/>
      </w:pPr>
      <w:r>
        <w:t xml:space="preserve">340 Oeko’s compilation based Pons et al. (2021: Study on EU ETS for maritime transport and possible alternative</w:t>
      </w:r>
      <w:r>
        <w:t xml:space="preserve"> </w:t>
      </w:r>
      <w:r>
        <w:t xml:space="preserve">options of combinations to reduce greenhouse gas emissions, https://op.europa.eu/o/opportal-</w:t>
      </w:r>
      <w:r>
        <w:t xml:space="preserve"> </w:t>
      </w:r>
      <w:r>
        <w:t xml:space="preserve">service/download-handler?identifier=ba865136-353b-11ec-bd8e-</w:t>
      </w:r>
      <w:r>
        <w:t xml:space="preserve"> </w:t>
      </w:r>
      <w:r>
        <w:t xml:space="preserve">01aa75ed71a1&amp;format=pdf&amp;language=en&amp;productionSystem=cellar&amp;part=.</w:t>
      </w:r>
      <w:r>
        <w:t xml:space="preserve"> </w:t>
      </w:r>
      <w:r>
        <w:t xml:space="preserve">341 The 2021 Impact assessment estimated annual recurrent annual ETS administrative costs per company at</w:t>
      </w:r>
      <w:r>
        <w:t xml:space="preserve"> </w:t>
      </w:r>
      <w:r>
        <w:t xml:space="preserve">EUR 5,000 and one-off costs at around EUR 15,000.</w:t>
      </w:r>
      <w:r>
        <w:t xml:space="preserve"> </w:t>
      </w:r>
      <w:r>
        <w:t xml:space="preserve">342 38% SME respondents to the light MRV evaluation stated that they are already using third party support for</w:t>
      </w:r>
      <w:r>
        <w:t xml:space="preserve"> </w:t>
      </w:r>
      <w:r>
        <w:t xml:space="preserve">monitoring and reporting under MRV and over 80% of these SME use third parties also for monitoring and</w:t>
      </w:r>
      <w:r>
        <w:t xml:space="preserve"> </w:t>
      </w:r>
      <w:r>
        <w:t xml:space="preserve">reporting support for EU ETS, FuelEU and IMO DCS at the same time.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3.3.2. Environmental impacts</w:t>
      </w:r>
      <w:r>
        <w:t xml:space="preserve"> </w:t>
      </w:r>
      <w:r>
        <w:t xml:space="preserve">Policy measures EL1, EL2 and EL3 do not change the scope of GHG emissions covered by the</w:t>
      </w:r>
      <w:r>
        <w:t xml:space="preserve"> </w:t>
      </w:r>
      <w:r>
        <w:t xml:space="preserve">EU MRV and EU ETS.</w:t>
      </w:r>
      <w:r>
        <w:br/>
      </w:r>
      <w:r>
        <w:t xml:space="preserve">Yet, EL1, EL2 and EL3 are expected to enhance the robustness and effectiveness of the EU</w:t>
      </w:r>
      <w:r>
        <w:t xml:space="preserve"> </w:t>
      </w:r>
      <w:r>
        <w:t xml:space="preserve">MRV and EU ETS. Compared to the current situation, some positive environmental impacts</w:t>
      </w:r>
      <w:r>
        <w:t xml:space="preserve"> </w:t>
      </w:r>
      <w:r>
        <w:t xml:space="preserve">could derive from the increase of the compliance rates deriving from a more efficient</w:t>
      </w:r>
      <w:r>
        <w:t xml:space="preserve"> </w:t>
      </w:r>
      <w:r>
        <w:t xml:space="preserve">enforcement system by administering authorities (e.g. through ex officio attribution of</w:t>
      </w:r>
      <w:r>
        <w:t xml:space="preserve"> </w:t>
      </w:r>
      <w:r>
        <w:t xml:space="preserve">companies active under scope) and from the additional flexibilities provided to companies, in</w:t>
      </w:r>
      <w:r>
        <w:t xml:space="preserve"> </w:t>
      </w:r>
      <w:r>
        <w:t xml:space="preserve">particular small emitters.</w:t>
      </w:r>
      <w:r>
        <w:br/>
      </w:r>
      <w:r>
        <w:t xml:space="preserve">3.3.3. Social impacts</w:t>
      </w:r>
      <w:r>
        <w:t xml:space="preserve"> </w:t>
      </w:r>
      <w:r>
        <w:t xml:space="preserve">No significant impact on employment can be expected because of the implementation of policy</w:t>
      </w:r>
      <w:r>
        <w:t xml:space="preserve"> </w:t>
      </w:r>
      <w:r>
        <w:t xml:space="preserve">measures EL1, EL2 and EL3.</w:t>
      </w:r>
      <w:r>
        <w:br/>
      </w:r>
      <w:r>
        <w:t xml:space="preserve">4. MARITIME DEROGATIONS</w:t>
      </w:r>
      <w:r>
        <w:t xml:space="preserve"> </w:t>
      </w:r>
      <w:r>
        <w:t xml:space="preserve">4.1. Scoping</w:t>
      </w:r>
      <w:r>
        <w:br/>
      </w:r>
      <w:r>
        <w:t xml:space="preserve">The EU ETS Directive provides for some derogations concerning the surrendering obligation</w:t>
      </w:r>
      <w:r>
        <w:t xml:space="preserve"> </w:t>
      </w:r>
      <w:r>
        <w:t xml:space="preserve">of allowances until the end of 2030. These include:</w:t>
      </w:r>
      <w:r>
        <w:t xml:space="preserve"> </w:t>
      </w:r>
      <w:r>
        <w:t xml:space="preserve">• A temporary derogation for Ice-Class Ships (ICS, Article 12(3-e)), which may</w:t>
      </w:r>
      <w:r>
        <w:t xml:space="preserve"> </w:t>
      </w:r>
      <w:r>
        <w:t xml:space="preserve">surrender 5% fewer allowances than their verified emissions, provided that ships have</w:t>
      </w:r>
      <w:r>
        <w:t xml:space="preserve"> </w:t>
      </w:r>
      <w:r>
        <w:t xml:space="preserve">the ice class IA or IA Super or an equivalent ice class, established based on HELCOM</w:t>
      </w:r>
      <w:r>
        <w:t xml:space="preserve"> </w:t>
      </w:r>
      <w:r>
        <w:t xml:space="preserve">Recommendation 25/7;</w:t>
      </w:r>
      <w:r>
        <w:t xml:space="preserve"> </w:t>
      </w:r>
      <w:r>
        <w:t xml:space="preserve">• A temporary derogation for voyages between a port of a Member State and its</w:t>
      </w:r>
      <w:r>
        <w:t xml:space="preserve"> </w:t>
      </w:r>
      <w:r>
        <w:t xml:space="preserve">Outermost Region port (OMR, Article 12(3-b));</w:t>
      </w:r>
      <w:r>
        <w:t xml:space="preserve"> </w:t>
      </w:r>
      <w:r>
        <w:t xml:space="preserve">• The possibility for a Member State to request a temporary derogation for:</w:t>
      </w:r>
      <w:r>
        <w:br/>
      </w:r>
      <w:r>
        <w:t xml:space="preserve">o Voyages for passenger transport between a Member State with no land</w:t>
      </w:r>
      <w:r>
        <w:t xml:space="preserve"> </w:t>
      </w:r>
      <w:r>
        <w:t xml:space="preserve">connection and other closest Member State in the context of a transnational</w:t>
      </w:r>
      <w:r>
        <w:t xml:space="preserve"> </w:t>
      </w:r>
      <w:r>
        <w:t xml:space="preserve">Public Service Contract/Obligation (PSC/O, Article 12(3c));</w:t>
      </w:r>
      <w:r>
        <w:t xml:space="preserve"> </w:t>
      </w:r>
      <w:r>
        <w:t xml:space="preserve">o</w:t>
      </w:r>
      <w:r>
        <w:t xml:space="preserve"> </w:t>
      </w:r>
      <w:r>
        <w:t xml:space="preserve">Voyages for passenger transport between (small) island ports of a Member State</w:t>
      </w:r>
      <w:r>
        <w:t xml:space="preserve"> </w:t>
      </w:r>
      <w:r>
        <w:t xml:space="preserve">with no road or rail link with the mainland and with less than 200,000 permanent</w:t>
      </w:r>
      <w:r>
        <w:t xml:space="preserve"> </w:t>
      </w:r>
      <w:r>
        <w:t xml:space="preserve">residents (SIP, Article 12(3-d)).</w:t>
      </w:r>
      <w:r>
        <w:t xml:space="preserve"> </w:t>
      </w:r>
      <w:r>
        <w:t xml:space="preserve">The reasoning behind the different treatment of ice-class ships is that such ships, due to their</w:t>
      </w:r>
      <w:r>
        <w:t xml:space="preserve"> </w:t>
      </w:r>
      <w:r>
        <w:t xml:space="preserve">design, require more fuel343 to cover the same distance when compared to non-ice class ships.</w:t>
      </w:r>
      <w:r>
        <w:t xml:space="preserve"> </w:t>
      </w:r>
      <w:r>
        <w:t xml:space="preserve">As a consequence of their design, they tend to consume more fuel than comparable non-ice-</w:t>
      </w:r>
      <w:r>
        <w:t xml:space="preserve"> </w:t>
      </w:r>
      <w:r>
        <w:t xml:space="preserve">class vessels in ice-free waters. This results in proportionally higher emissions that are not due</w:t>
      </w:r>
      <w:r>
        <w:t xml:space="preserve"> </w:t>
      </w:r>
      <w:r>
        <w:t xml:space="preserve">to inefficiency but to essential safety and design requirements. A GHG emissions increase of</w:t>
      </w:r>
      <w:r>
        <w:t xml:space="preserve"> </w:t>
      </w:r>
      <w:r>
        <w:t xml:space="preserve">around 5% is generally assumed in comparison to purely open water designs. In addition, when</w:t>
      </w:r>
      <w:r>
        <w:t xml:space="preserve"> </w:t>
      </w:r>
      <w:r>
        <w:t xml:space="preserve">operating in ice-conditions, analysis shows that fuel consumption and emissions per distance</w:t>
      </w:r>
      <w:r>
        <w:t xml:space="preserve"> </w:t>
      </w:r>
      <w:r>
        <w:t xml:space="preserve">travelled may be up to 60% higher during periods of ice conditions compared to open water,</w:t>
      </w:r>
      <w:r>
        <w:t xml:space="preserve"> </w:t>
      </w:r>
      <w:r>
        <w:t xml:space="preserve">depending on factors such as ice thickness, ice concentration, the availability of icebreaker</w:t>
      </w:r>
      <w:r>
        <w:t xml:space="preserve"> </w:t>
      </w:r>
      <w:r>
        <w:t xml:space="preserve">support, and the proportion of the voyage taking place in ice-covered waters344.</w:t>
      </w:r>
    </w:p>
    <w:p>
      <w:pPr>
        <w:pStyle w:val="BodyText"/>
      </w:pPr>
      <w:r>
        <w:t xml:space="preserve">343 Solakivi, T., Kiiski, T. &amp; Ojala, L. On the cost of ice: estimating the premium of Ice Class container ships.</w:t>
      </w:r>
      <w:r>
        <w:t xml:space="preserve"> </w:t>
      </w:r>
      <w:r>
        <w:t xml:space="preserve">Marit Econ Logist 21, 207–222 (2019). https://doi.org/10.1057/s41278-017-0077-5</w:t>
      </w:r>
      <w:r>
        <w:t xml:space="preserve"> </w:t>
      </w:r>
      <w:r>
        <w:t xml:space="preserve">344 MEPC 76/INF.67, Annex titled</w:t>
      </w:r>
      <w:r>
        <w:t xml:space="preserve"> </w:t>
      </w:r>
      <w:r>
        <w:t xml:space="preserve">“Effects of sailing in ice conditions on the fuel oil consumption and attained</w:t>
      </w:r>
      <w:r>
        <w:t xml:space="preserve"> </w:t>
      </w:r>
      <w:r>
        <w:t xml:space="preserve">CII of ice-classed ships”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However, recent analysis shows that these impacts can vary between different vessel types. A</w:t>
      </w:r>
      <w:r>
        <w:t xml:space="preserve"> </w:t>
      </w:r>
      <w:r>
        <w:t xml:space="preserve">multivariable regression analysis345 covering seven vessel types and using EU MRV maritime</w:t>
      </w:r>
      <w:r>
        <w:t xml:space="preserve"> </w:t>
      </w:r>
      <w:r>
        <w:t xml:space="preserve">data over the period 2018–2022 showed that ice classification does not systematically</w:t>
      </w:r>
      <w:r>
        <w:t xml:space="preserve"> </w:t>
      </w:r>
      <w:r>
        <w:t xml:space="preserve">correspond to higher annual mean fuel consumption across all categories. More specifically,</w:t>
      </w:r>
      <w:r>
        <w:t xml:space="preserve"> </w:t>
      </w:r>
      <w:r>
        <w:t xml:space="preserve">according to this analysis, ice class has a statistically significant negative effect on fuel</w:t>
      </w:r>
      <w:r>
        <w:t xml:space="preserve"> </w:t>
      </w:r>
      <w:r>
        <w:t xml:space="preserve">consumption for bulk carriers, chemical tankers, and RoPax vessels, a significant positive</w:t>
      </w:r>
      <w:r>
        <w:t xml:space="preserve"> </w:t>
      </w:r>
      <w:r>
        <w:t xml:space="preserve">effect for general cargo ships and ro-ro vessels, and no clear or consistent effect for container</w:t>
      </w:r>
      <w:r>
        <w:t xml:space="preserve"> </w:t>
      </w:r>
      <w:r>
        <w:t xml:space="preserve">ships and oil tankers.</w:t>
      </w:r>
      <w:r>
        <w:br/>
      </w:r>
      <w:r>
        <w:t xml:space="preserve">The derogations for certain voyages stem from the particular circumstances of the</w:t>
      </w:r>
      <w:r>
        <w:t xml:space="preserve"> </w:t>
      </w:r>
      <w:r>
        <w:t xml:space="preserve">routes/regions (remoteness, connectivity issues). For example, outermost regions and islands</w:t>
      </w:r>
      <w:r>
        <w:t xml:space="preserve"> </w:t>
      </w:r>
      <w:r>
        <w:t xml:space="preserve">depend heavily on maritime transport for territorial continuity, economic activity, access to</w:t>
      </w:r>
      <w:r>
        <w:t xml:space="preserve"> </w:t>
      </w:r>
      <w:r>
        <w:t xml:space="preserve">essential products and social and regional cohesion.</w:t>
      </w:r>
      <w:r>
        <w:br/>
      </w:r>
      <w:r>
        <w:t xml:space="preserve">The derogations are of a time-limited nature, allowing operators in affected routes and regions</w:t>
      </w:r>
      <w:r>
        <w:t xml:space="preserve"> </w:t>
      </w:r>
      <w:r>
        <w:t xml:space="preserve">sufficient time to adapt to the requirements of the system and invest in low and zero-emission</w:t>
      </w:r>
      <w:r>
        <w:t xml:space="preserve"> </w:t>
      </w:r>
      <w:r>
        <w:t xml:space="preserve">technologies suitable for their specific operating conditions. This transition can already be</w:t>
      </w:r>
      <w:r>
        <w:t xml:space="preserve"> </w:t>
      </w:r>
      <w:r>
        <w:t xml:space="preserve">supported by ETS revenues. For instance, Greece is leveraging specific ETS revenues to</w:t>
      </w:r>
      <w:r>
        <w:t xml:space="preserve"> </w:t>
      </w:r>
      <w:r>
        <w:t xml:space="preserve">support the decarbonisation of islands through the Islands Decarbonisation Fund (IDF), which</w:t>
      </w:r>
      <w:r>
        <w:t xml:space="preserve"> </w:t>
      </w:r>
      <w:r>
        <w:t xml:space="preserve">should finance a range of energy transition projects including cold ironing infrastructures in</w:t>
      </w:r>
      <w:r>
        <w:t xml:space="preserve"> </w:t>
      </w:r>
      <w:r>
        <w:t xml:space="preserve">island ports, for a direct reduction of maritime emissions in the Greek islands. The temporary</w:t>
      </w:r>
      <w:r>
        <w:t xml:space="preserve"> </w:t>
      </w:r>
      <w:r>
        <w:t xml:space="preserve">nature of these derogations is important as permanent derogations would reduce the ETS’s</w:t>
      </w:r>
      <w:r>
        <w:t xml:space="preserve"> </w:t>
      </w:r>
      <w:r>
        <w:t xml:space="preserve">environmental coverage and integrity, distort competition and operational efficiency.</w:t>
      </w:r>
      <w:r>
        <w:br/>
      </w:r>
      <w:r>
        <w:t xml:space="preserve">The electrification of ferry routes serving small islands is increasingly recognised as a feasible</w:t>
      </w:r>
      <w:r>
        <w:t xml:space="preserve"> </w:t>
      </w:r>
      <w:r>
        <w:t xml:space="preserve">and strategically important opportunity for decarbonising regional maritime transport because</w:t>
      </w:r>
      <w:r>
        <w:t xml:space="preserve"> </w:t>
      </w:r>
      <w:r>
        <w:t xml:space="preserve">these routes are typically short and operate on predictable schedules, making them well suited</w:t>
      </w:r>
      <w:r>
        <w:t xml:space="preserve"> </w:t>
      </w:r>
      <w:r>
        <w:t xml:space="preserve">for electrification, which has already reached a high level of technological maturity. Coupled</w:t>
      </w:r>
      <w:r>
        <w:t xml:space="preserve"> </w:t>
      </w:r>
      <w:r>
        <w:t xml:space="preserve">with falling technology costs and the gradual expansion of onshore charging infrastructure,</w:t>
      </w:r>
      <w:r>
        <w:t xml:space="preserve"> </w:t>
      </w:r>
      <w:r>
        <w:t xml:space="preserve">carbon pricing would create a clear business case for investment in electric ferries on selected</w:t>
      </w:r>
      <w:r>
        <w:t xml:space="preserve"> </w:t>
      </w:r>
      <w:r>
        <w:t xml:space="preserve">island connections. Electrification could reduce emissions, stabilise operating costs, improve</w:t>
      </w:r>
      <w:r>
        <w:t xml:space="preserve"> </w:t>
      </w:r>
      <w:r>
        <w:t xml:space="preserve">service reliability, and support local maritime industries, thereby contributing to the long-term</w:t>
      </w:r>
      <w:r>
        <w:t xml:space="preserve"> </w:t>
      </w:r>
      <w:r>
        <w:t xml:space="preserve">economic resilience and connectivity of island communities. A timely and well-coordinated</w:t>
      </w:r>
      <w:r>
        <w:t xml:space="preserve"> </w:t>
      </w:r>
      <w:r>
        <w:t xml:space="preserve">transition towards these low-carbon solutions is therefore essential to secure the multiple</w:t>
      </w:r>
      <w:r>
        <w:t xml:space="preserve"> </w:t>
      </w:r>
      <w:r>
        <w:t xml:space="preserve">benefits of cleaner, more reliable, and cost-effective ferry services.346</w:t>
      </w:r>
      <w:r>
        <w:t xml:space="preserve"> </w:t>
      </w:r>
      <w:r>
        <w:t xml:space="preserve">As a basis for assessing the impact of the measures, it is important to understand the current</w:t>
      </w:r>
      <w:r>
        <w:t xml:space="preserve"> </w:t>
      </w:r>
      <w:r>
        <w:t xml:space="preserve">volume of the derogations. Thetis-MRV data on verified GHG emissions covered under the</w:t>
      </w:r>
      <w:r>
        <w:t xml:space="preserve"> </w:t>
      </w:r>
      <w:r>
        <w:t xml:space="preserve">EU ETS and the number of derogations in 2024 have been used in terms of different criteria.</w:t>
      </w:r>
      <w:r>
        <w:t xml:space="preserve"> </w:t>
      </w:r>
      <w:r>
        <w:t xml:space="preserve">According to the table below, in 2024, all derogations together amounted to 4.86 Mt CO2. This</w:t>
      </w:r>
      <w:r>
        <w:t xml:space="preserve"> </w:t>
      </w:r>
      <w:r>
        <w:t xml:space="preserve">corresponds to around 5% of the verified emissions for maritime transport under the EU ETS</w:t>
      </w:r>
      <w:r>
        <w:t xml:space="preserve"> </w:t>
      </w:r>
      <w:r>
        <w:t xml:space="preserve">in 2024 (90 Mt CO2). Half of the derogations were due to traffic linked to outermost regions</w:t>
      </w:r>
      <w:r>
        <w:t xml:space="preserve"> </w:t>
      </w:r>
      <w:r>
        <w:t xml:space="preserve">(50.8%) and more than one third was linked to the small islands derogation (37.2%).</w:t>
      </w:r>
      <w:r>
        <w:t xml:space="preserve"> </w:t>
      </w:r>
      <w:r>
        <w:t xml:space="preserve">Derogations related to ice-class ships amounted to 11,6%, while derogations for PSC/O were</w:t>
      </w:r>
    </w:p>
    <w:p>
      <w:pPr>
        <w:pStyle w:val="BodyText"/>
      </w:pPr>
      <w:r>
        <w:t xml:space="preserve">345 Mikko Heikkilä, Tiia Grönholm, Elisa Majamäki, Jukka-Pekka Jalkanen “Effect of ice class to vessel fuel</w:t>
      </w:r>
      <w:r>
        <w:t xml:space="preserve"> </w:t>
      </w:r>
      <w:r>
        <w:t xml:space="preserve">consumption based on real-life MRV data”, Transport Policy, Volume 148, 2024</w:t>
      </w:r>
      <w:r>
        <w:t xml:space="preserve"> </w:t>
      </w:r>
      <w:r>
        <w:t xml:space="preserve">346 RICARDO’ study on the opportunities of the green transition for shipping (forthcoming)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negligible. Considering the average price of EU allowances in 2024 (EUR 65 per allowance347</w:t>
      </w:r>
      <w:r>
        <w:t xml:space="preserve"> </w:t>
      </w:r>
      <w:r>
        <w:t xml:space="preserve">in 2025) and the application of the phase-in approach (surrendering obligation for 40% of the</w:t>
      </w:r>
      <w:r>
        <w:t xml:space="preserve"> </w:t>
      </w:r>
      <w:r>
        <w:t xml:space="preserve">verified emissions in 2024), it can be estimated that these derogations lead to a cost exemption</w:t>
      </w:r>
      <w:r>
        <w:t xml:space="preserve"> </w:t>
      </w:r>
      <w:r>
        <w:t xml:space="preserve">of around EUR 126 million in 2024 for shipping companies, EUR 64 million due to OMR and</w:t>
      </w:r>
      <w:r>
        <w:t xml:space="preserve"> </w:t>
      </w:r>
      <w:r>
        <w:t xml:space="preserve">EUR 47 million to SIP. Once shipping companies have to surrender allowances for 100% of</w:t>
      </w:r>
      <w:r>
        <w:t xml:space="preserve"> </w:t>
      </w:r>
      <w:r>
        <w:t xml:space="preserve">the verified emissions, the revenues forgone will amount to approximately EUR 320 million,</w:t>
      </w:r>
      <w:r>
        <w:t xml:space="preserve"> </w:t>
      </w:r>
      <w:r>
        <w:t xml:space="preserve">approximately EUR (165 million due to OMR and some EUR 120 million due to SIP).</w:t>
      </w:r>
      <w:r>
        <w:br/>
      </w:r>
      <w:r>
        <w:t xml:space="preserve">Table 6:</w:t>
      </w:r>
      <w:r>
        <w:t xml:space="preserve"> </w:t>
      </w:r>
      <w:r>
        <w:t xml:space="preserve">Derogations in 2024 by ship type</w:t>
      </w:r>
      <w:r>
        <w:t xml:space="preserve"> </w:t>
      </w:r>
      <w:r>
        <w:t xml:space="preserve">Ship type [kt CO2]</w:t>
      </w:r>
      <w:r>
        <w:t xml:space="preserve"> </w:t>
      </w:r>
      <w:r>
        <w:t xml:space="preserve">OMR</w:t>
      </w:r>
      <w:r>
        <w:t xml:space="preserve"> </w:t>
      </w:r>
      <w:r>
        <w:t xml:space="preserve">SIP</w:t>
      </w:r>
      <w:r>
        <w:t xml:space="preserve"> </w:t>
      </w:r>
      <w:r>
        <w:t xml:space="preserve">ICS</w:t>
      </w:r>
      <w:r>
        <w:t xml:space="preserve"> </w:t>
      </w:r>
      <w:r>
        <w:t xml:space="preserve">PSC/O</w:t>
      </w:r>
      <w:r>
        <w:t xml:space="preserve"> </w:t>
      </w:r>
      <w:r>
        <w:t xml:space="preserve">Total</w:t>
      </w:r>
      <w:r>
        <w:t xml:space="preserve"> </w:t>
      </w:r>
      <w:r>
        <w:t xml:space="preserve">Share</w:t>
      </w:r>
      <w:r>
        <w:t xml:space="preserve"> </w:t>
      </w:r>
      <w:r>
        <w:t xml:space="preserve">Ro-pax ship</w:t>
      </w:r>
      <w:r>
        <w:t xml:space="preserve"> </w:t>
      </w:r>
      <w:r>
        <w:t xml:space="preserve">737</w:t>
      </w:r>
      <w:r>
        <w:t xml:space="preserve"> </w:t>
      </w:r>
      <w:r>
        <w:t xml:space="preserve">1,795</w:t>
      </w:r>
      <w:r>
        <w:t xml:space="preserve"> </w:t>
      </w:r>
      <w:r>
        <w:t xml:space="preserve">95</w:t>
      </w:r>
      <w:r>
        <w:t xml:space="preserve"> </w:t>
      </w:r>
      <w:r>
        <w:t xml:space="preserve">16</w:t>
      </w:r>
      <w:r>
        <w:t xml:space="preserve"> </w:t>
      </w:r>
      <w:r>
        <w:t xml:space="preserve">2,643</w:t>
      </w:r>
      <w:r>
        <w:t xml:space="preserve"> </w:t>
      </w:r>
      <w:r>
        <w:t xml:space="preserve">54.4%</w:t>
      </w:r>
      <w:r>
        <w:t xml:space="preserve"> </w:t>
      </w:r>
      <w:r>
        <w:t xml:space="preserve">Container ship</w:t>
      </w:r>
      <w:r>
        <w:t xml:space="preserve"> </w:t>
      </w:r>
      <w:r>
        <w:t xml:space="preserve">1,001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1,120</w:t>
      </w:r>
      <w:r>
        <w:t xml:space="preserve"> </w:t>
      </w:r>
      <w:r>
        <w:t xml:space="preserve">23.1%</w:t>
      </w:r>
      <w:r>
        <w:t xml:space="preserve"> </w:t>
      </w:r>
      <w:r>
        <w:t xml:space="preserve">Passenger ship</w:t>
      </w:r>
      <w:r>
        <w:t xml:space="preserve"> </w:t>
      </w:r>
      <w:r>
        <w:t xml:space="preserve">220</w:t>
      </w:r>
      <w:r>
        <w:t xml:space="preserve"> </w:t>
      </w:r>
      <w:r>
        <w:t xml:space="preserve">13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4.9%</w:t>
      </w:r>
      <w:r>
        <w:t xml:space="preserve"> </w:t>
      </w:r>
      <w:r>
        <w:t xml:space="preserve">Ro-ro ship</w:t>
      </w:r>
      <w:r>
        <w:t xml:space="preserve"> </w:t>
      </w:r>
      <w:r>
        <w:t xml:space="preserve">131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4.1%</w:t>
      </w:r>
      <w:r>
        <w:t xml:space="preserve"> </w:t>
      </w:r>
      <w:r>
        <w:t xml:space="preserve">Oil tanker</w:t>
      </w:r>
      <w:r>
        <w:t xml:space="preserve"> </w:t>
      </w:r>
      <w:r>
        <w:t xml:space="preserve">81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2.7%</w:t>
      </w:r>
      <w:r>
        <w:t xml:space="preserve"> </w:t>
      </w:r>
      <w:r>
        <w:t xml:space="preserve">Chemical tanker</w:t>
      </w:r>
      <w:r>
        <w:t xml:space="preserve"> </w:t>
      </w:r>
      <w:r>
        <w:t xml:space="preserve">72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2.7%</w:t>
      </w:r>
      <w:r>
        <w:t xml:space="preserve"> </w:t>
      </w:r>
      <w:r>
        <w:t xml:space="preserve">General cargo ship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2.0%</w:t>
      </w:r>
      <w:r>
        <w:t xml:space="preserve"> </w:t>
      </w:r>
      <w:r>
        <w:t xml:space="preserve">Other ship types</w:t>
      </w:r>
      <w:r>
        <w:t xml:space="preserve"> </w:t>
      </w:r>
      <w:r>
        <w:t xml:space="preserve">45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1.4%</w:t>
      </w:r>
      <w:r>
        <w:t xml:space="preserve"> </w:t>
      </w:r>
      <w:r>
        <w:t xml:space="preserve">Container/ro-ro cargo</w:t>
      </w:r>
      <w:r>
        <w:t xml:space="preserve"> </w:t>
      </w:r>
      <w:r>
        <w:t xml:space="preserve">ship</w:t>
      </w:r>
      <w:r>
        <w:t xml:space="preserve"> </w:t>
      </w:r>
      <w:r>
        <w:t xml:space="preserve">46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1.2%</w:t>
      </w:r>
      <w:r>
        <w:t xml:space="preserve"> </w:t>
      </w:r>
      <w:r>
        <w:t xml:space="preserve">Refrigerated</w:t>
      </w:r>
      <w:r>
        <w:t xml:space="preserve"> </w:t>
      </w:r>
      <w:r>
        <w:t xml:space="preserve">cargo</w:t>
      </w:r>
      <w:r>
        <w:t xml:space="preserve"> </w:t>
      </w:r>
      <w:r>
        <w:t xml:space="preserve">carrier</w:t>
      </w:r>
      <w:r>
        <w:t xml:space="preserve"> </w:t>
      </w:r>
      <w:r>
        <w:t xml:space="preserve">58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1.2%</w:t>
      </w:r>
      <w:r>
        <w:t xml:space="preserve"> </w:t>
      </w:r>
      <w:r>
        <w:t xml:space="preserve">LNG carrier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0.9%</w:t>
      </w:r>
      <w:r>
        <w:t xml:space="preserve"> </w:t>
      </w:r>
      <w:r>
        <w:t xml:space="preserve">Vehicle carrier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0.6%</w:t>
      </w:r>
      <w:r>
        <w:t xml:space="preserve"> </w:t>
      </w:r>
      <w:r>
        <w:t xml:space="preserve">Bulk carrier</w:t>
      </w:r>
      <w:r>
        <w:t xml:space="preserve"> </w:t>
      </w:r>
      <w:r>
        <w:t xml:space="preserve">19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0.4%</w:t>
      </w:r>
      <w:r>
        <w:t xml:space="preserve"> </w:t>
      </w:r>
      <w:r>
        <w:t xml:space="preserve">Cruise Passenger ship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0.3%</w:t>
      </w:r>
      <w:r>
        <w:t xml:space="preserve"> </w:t>
      </w:r>
      <w:r>
        <w:t xml:space="preserve">Gas carrier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0.1%</w:t>
      </w:r>
      <w:r>
        <w:t xml:space="preserve"> </w:t>
      </w:r>
      <w:r>
        <w:t xml:space="preserve">Combination carrier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0.0%</w:t>
      </w:r>
      <w:r>
        <w:t xml:space="preserve"> </w:t>
      </w:r>
      <w:r>
        <w:t xml:space="preserve">Offshore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2,469</w:t>
      </w:r>
      <w:r>
        <w:t xml:space="preserve"> </w:t>
      </w:r>
      <w:r>
        <w:t xml:space="preserve">1,808</w:t>
      </w:r>
      <w:r>
        <w:t xml:space="preserve"> </w:t>
      </w:r>
      <w:r>
        <w:t xml:space="preserve">563</w:t>
      </w:r>
      <w:r>
        <w:t xml:space="preserve"> </w:t>
      </w:r>
      <w:r>
        <w:t xml:space="preserve">16</w:t>
      </w:r>
      <w:r>
        <w:t xml:space="preserve"> </w:t>
      </w:r>
      <w:r>
        <w:t xml:space="preserve">4,856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347 German Emissions Trading Authority (DEHSt) at the German Environment Agency. (2025). German</w:t>
      </w:r>
      <w:r>
        <w:t xml:space="preserve"> </w:t>
      </w:r>
      <w:r>
        <w:t xml:space="preserve">auctioning of emission allowances - Annual report 2024. In D. Lewandrowski &amp; N. Pauly (Eds.), German</w:t>
      </w:r>
      <w:r>
        <w:t xml:space="preserve"> </w:t>
      </w:r>
      <w:r>
        <w:t xml:space="preserve">Auctioning of Emission Allowances.</w:t>
      </w:r>
      <w:r>
        <w:br/>
      </w:r>
      <w:r>
        <w:t xml:space="preserve">https://www.dehst.de/SharedDocs/downloads/EN/auctioning/2025/2025_report_Q4.pdf?__blob=publicatio</w:t>
      </w:r>
      <w:r>
        <w:t xml:space="preserve"> </w:t>
      </w:r>
      <w:r>
        <w:t xml:space="preserve">nFile&amp;v=2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Share</w:t>
      </w:r>
      <w:r>
        <w:t xml:space="preserve"> </w:t>
      </w:r>
      <w:r>
        <w:t xml:space="preserve">50.8%</w:t>
      </w:r>
      <w:r>
        <w:t xml:space="preserve"> </w:t>
      </w:r>
      <w:r>
        <w:t xml:space="preserve">37.2%</w:t>
      </w:r>
      <w:r>
        <w:t xml:space="preserve"> </w:t>
      </w:r>
      <w:r>
        <w:t xml:space="preserve">11.6%</w:t>
      </w:r>
      <w:r>
        <w:t xml:space="preserve"> </w:t>
      </w:r>
      <w:r>
        <w:t xml:space="preserve">0.3%</w:t>
      </w:r>
      <w:r>
        <w:t xml:space="preserve"> </w:t>
      </w:r>
      <w:r>
        <w:t xml:space="preserve">100.0%</w:t>
      </w:r>
    </w:p>
    <w:p>
      <w:pPr>
        <w:pStyle w:val="BodyText"/>
      </w:pPr>
      <w:r>
        <w:t xml:space="preserve">Source: EMSA, Oeko’s calculations</w:t>
      </w:r>
      <w:r>
        <w:t xml:space="preserve"> </w:t>
      </w:r>
      <w:r>
        <w:t xml:space="preserve">In terms of ship types, Ro-pax ships (54%) and container ships (23%) profited the most from</w:t>
      </w:r>
      <w:r>
        <w:t xml:space="preserve"> </w:t>
      </w:r>
      <w:r>
        <w:t xml:space="preserve">the derogations. For all other ship types the share of total derogations was below 5% and for</w:t>
      </w:r>
      <w:r>
        <w:t xml:space="preserve"> </w:t>
      </w:r>
      <w:r>
        <w:t xml:space="preserve">most types even much smaller.</w:t>
      </w:r>
      <w:r>
        <w:t xml:space="preserve"> </w:t>
      </w:r>
      <w:r>
        <w:t xml:space="preserve">In terms of ship size, more than half of the derogations went to medium sized ships (from 5</w:t>
      </w:r>
      <w:r>
        <w:t xml:space="preserve"> </w:t>
      </w:r>
      <w:r>
        <w:t xml:space="preserve">000 to 24 999 GT), while large sized ships received one third of the derogations. Very large</w:t>
      </w:r>
      <w:r>
        <w:t xml:space="preserve"> </w:t>
      </w:r>
      <w:r>
        <w:t xml:space="preserve">ships (&gt; 75 000 GT) only received 11.5% of total derogations. The number of ships that</w:t>
      </w:r>
      <w:r>
        <w:t xml:space="preserve"> </w:t>
      </w:r>
      <w:r>
        <w:t xml:space="preserve">benefitted from existing derogations is also unevenly distributed among the size categories with</w:t>
      </w:r>
      <w:r>
        <w:t xml:space="preserve"> </w:t>
      </w:r>
      <w:r>
        <w:t xml:space="preserve">71% of the ships which received derogations being medium sized, 21% being large and 8% for</w:t>
      </w:r>
      <w:r>
        <w:t xml:space="preserve"> </w:t>
      </w:r>
      <w:r>
        <w:t xml:space="preserve">the very large ships.</w:t>
      </w:r>
      <w:r>
        <w:t xml:space="preserve"> </w:t>
      </w:r>
      <w:r>
        <w:t xml:space="preserve">While the OMR derogation accounted for half of the total derogations in terms of tCO2, only</w:t>
      </w:r>
      <w:r>
        <w:t xml:space="preserve"> </w:t>
      </w:r>
      <w:r>
        <w:t xml:space="preserve">around 30% of the ships who received derogations, received them due to OMR. Conversely,</w:t>
      </w:r>
      <w:r>
        <w:t xml:space="preserve"> </w:t>
      </w:r>
      <w:r>
        <w:t xml:space="preserve">derogations for ICS were much lower in terms of emissions (12% of the total derogation) but</w:t>
      </w:r>
      <w:r>
        <w:t xml:space="preserve"> </w:t>
      </w:r>
      <w:r>
        <w:t xml:space="preserve">more than two thirds of the ships which received derogations, received them due to their ICS</w:t>
      </w:r>
      <w:r>
        <w:t xml:space="preserve"> </w:t>
      </w:r>
      <w:r>
        <w:t xml:space="preserve">status.</w:t>
      </w:r>
      <w:r>
        <w:t xml:space="preserve"> </w:t>
      </w:r>
      <w:r>
        <w:t xml:space="preserve">Summary of stakeholder views from the OPC</w:t>
      </w:r>
      <w:r>
        <w:br/>
      </w:r>
      <w:r>
        <w:t xml:space="preserve">Through the position papers as part of the OPC, 14 stakeholders (out of which 8 were from</w:t>
      </w:r>
      <w:r>
        <w:t xml:space="preserve"> </w:t>
      </w:r>
      <w:r>
        <w:t xml:space="preserve">maritime industry/associations, the rest from NGOs and public authorities) supported</w:t>
      </w:r>
      <w:r>
        <w:t xml:space="preserve"> </w:t>
      </w:r>
      <w:r>
        <w:t xml:space="preserve">extending derogations for routes serving outermost regions, islands, and peripheral territories.</w:t>
      </w:r>
      <w:r>
        <w:t xml:space="preserve"> </w:t>
      </w:r>
      <w:r>
        <w:t xml:space="preserve">Nine stakeholders (out of which 6 were from maritime industry/associations) recommended</w:t>
      </w:r>
      <w:r>
        <w:t xml:space="preserve"> </w:t>
      </w:r>
      <w:r>
        <w:t xml:space="preserve">targeted exemptions for specific vessel types, including Ro-Pax, Ro-Ro, ferries, and vessels</w:t>
      </w:r>
      <w:r>
        <w:t xml:space="preserve"> </w:t>
      </w:r>
      <w:r>
        <w:t xml:space="preserve">under public service contracts, alongside compensatory mechanisms where needed.</w:t>
      </w:r>
      <w:r>
        <w:br/>
      </w:r>
      <w:r>
        <w:t xml:space="preserve">4.2. Policy measures</w:t>
      </w:r>
      <w:r>
        <w:t xml:space="preserve"> </w:t>
      </w:r>
      <w:r>
        <w:t xml:space="preserve">Policy measure DE0: Not extending the derogations:</w:t>
      </w:r>
      <w:r>
        <w:t xml:space="preserve"> </w:t>
      </w:r>
      <w:r>
        <w:t xml:space="preserve">All present temporary derogations related to ice-class ships, outermost regions, small islands</w:t>
      </w:r>
      <w:r>
        <w:t xml:space="preserve"> </w:t>
      </w:r>
      <w:r>
        <w:t xml:space="preserve">and PSC/PSO stop as from 2031.</w:t>
      </w:r>
      <w:r>
        <w:t xml:space="preserve"> </w:t>
      </w:r>
      <w:r>
        <w:t xml:space="preserve">Policy measure DE1: Extension of derogations for a limited time: Extension of existing</w:t>
      </w:r>
      <w:r>
        <w:t xml:space="preserve"> </w:t>
      </w:r>
      <w:r>
        <w:t xml:space="preserve">derogations for a limited time (e.g. until 2035) within the ETS.</w:t>
      </w:r>
      <w:r>
        <w:t xml:space="preserve"> </w:t>
      </w:r>
      <w:r>
        <w:t xml:space="preserve">4.3. Assessment of the measures</w:t>
      </w:r>
      <w:r>
        <w:t xml:space="preserve"> </w:t>
      </w:r>
      <w:r>
        <w:t xml:space="preserve">4.3.1. Environmental impacts</w:t>
      </w:r>
      <w:r>
        <w:t xml:space="preserve"> </w:t>
      </w:r>
      <w:r>
        <w:t xml:space="preserve">4.3.1.1.</w:t>
      </w:r>
      <w:r>
        <w:t xml:space="preserve"> </w:t>
      </w:r>
      <w:r>
        <w:t xml:space="preserve">Policy measure DE0: Not extending the derogations</w:t>
      </w:r>
      <w:r>
        <w:t xml:space="preserve"> </w:t>
      </w:r>
      <w:r>
        <w:t xml:space="preserve">Pursuant to the ETS directive, the derogations would end in 2030. Accordingly, additional 4.86</w:t>
      </w:r>
      <w:r>
        <w:t xml:space="preserve"> </w:t>
      </w:r>
      <w:r>
        <w:t xml:space="preserve">Mt CO2 would then be covered by the ETS surrendering obligation from 2031 onwards,</w:t>
      </w:r>
      <w:r>
        <w:t xml:space="preserve"> </w:t>
      </w:r>
      <w:r>
        <w:t xml:space="preserve">leading to an increase demand for EU allowances, without an increase of the cap. 2.5 Mt CO2</w:t>
      </w:r>
      <w:r>
        <w:t xml:space="preserve"> </w:t>
      </w:r>
      <w:r>
        <w:t xml:space="preserve">would be due to the inclusion of exempted OMR emissions, while 1.8 and 0.6 Mt CO2,</w:t>
      </w:r>
      <w:r>
        <w:t xml:space="preserve"> </w:t>
      </w:r>
      <w:r>
        <w:t xml:space="preserve">respectively would be due to SIP and ICS emissions. The emissions due to PSC/O would be</w:t>
      </w:r>
      <w:r>
        <w:t xml:space="preserve"> </w:t>
      </w:r>
      <w:r>
        <w:t xml:space="preserve">very small (0.02 Mt CO2).</w:t>
      </w:r>
      <w:r>
        <w:t xml:space="preserve"> </w:t>
      </w:r>
      <w:r>
        <w:t xml:space="preserve">The end of the derogations for ice-class ships would also lead to less allowances being</w:t>
      </w:r>
      <w:r>
        <w:t xml:space="preserve"> </w:t>
      </w:r>
      <w:r>
        <w:t xml:space="preserve">cancelled every year (around 0.5 Mt CO2) per year, counterbalancing somehow the possible</w:t>
      </w:r>
      <w:r>
        <w:t xml:space="preserve"> </w:t>
      </w:r>
      <w:r>
        <w:t xml:space="preserve">positive environmental impact linked to the end of the derogation for ice-class ships.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The end of the derogations would in general reinforce the contribution of the maritime transport</w:t>
      </w:r>
      <w:r>
        <w:t xml:space="preserve"> </w:t>
      </w:r>
      <w:r>
        <w:t xml:space="preserve">sector to EU’s climate targets. By exposing operators serving small islands, PSOs, or outermost</w:t>
      </w:r>
      <w:r>
        <w:t xml:space="preserve"> </w:t>
      </w:r>
      <w:r>
        <w:t xml:space="preserve">regions to the ETS carbon price signal, it would encourage greater energy efficiency through</w:t>
      </w:r>
      <w:r>
        <w:t xml:space="preserve"> </w:t>
      </w:r>
      <w:r>
        <w:t xml:space="preserve">operational measures (speed optimisation, route planning, hull maintenance), the use of</w:t>
      </w:r>
      <w:r>
        <w:t xml:space="preserve"> </w:t>
      </w:r>
      <w:r>
        <w:t xml:space="preserve">renewable and low-carbon fuels, electrification or it could accelerate the renewal of older, less</w:t>
      </w:r>
      <w:r>
        <w:t xml:space="preserve"> </w:t>
      </w:r>
      <w:r>
        <w:t xml:space="preserve">efficient vessels.</w:t>
      </w:r>
      <w:r>
        <w:t xml:space="preserve"> </w:t>
      </w:r>
      <w:r>
        <w:t xml:space="preserve">4.3.1.2.</w:t>
      </w:r>
      <w:r>
        <w:t xml:space="preserve"> </w:t>
      </w:r>
      <w:r>
        <w:t xml:space="preserve">Policy measure DE1: Extension of derogations for limited time</w:t>
      </w:r>
      <w:r>
        <w:t xml:space="preserve"> </w:t>
      </w:r>
      <w:r>
        <w:t xml:space="preserve">The impact of extending the existing derogations (OMR, SIP, ICS, PSC/O) until 2035 would</w:t>
      </w:r>
      <w:r>
        <w:t xml:space="preserve"> </w:t>
      </w:r>
      <w:r>
        <w:t xml:space="preserve">lead to around 24 MtCO2 being exempted from the obligation to surrender EU allowances over</w:t>
      </w:r>
      <w:r>
        <w:t xml:space="preserve"> </w:t>
      </w:r>
      <w:r>
        <w:t xml:space="preserve">the period 2031-2035. At the same time, it would lead to the cancellation of around 2,8 MtCO2</w:t>
      </w:r>
      <w:r>
        <w:t xml:space="preserve"> </w:t>
      </w:r>
      <w:r>
        <w:t xml:space="preserve">allowances over the same period, as a result of the application of the cancellation mechanism</w:t>
      </w:r>
      <w:r>
        <w:t xml:space="preserve"> </w:t>
      </w:r>
      <w:r>
        <w:t xml:space="preserve">for the ice-class ships derogation.</w:t>
      </w:r>
      <w:r>
        <w:br/>
      </w:r>
      <w:r>
        <w:t xml:space="preserve">Over time, the volume of exempted maritime emissions would increase in relative importance,</w:t>
      </w:r>
      <w:r>
        <w:t xml:space="preserve"> </w:t>
      </w:r>
      <w:r>
        <w:t xml:space="preserve">representing a growing share of the ETS cap increase linked to the ETS maritime extension.</w:t>
      </w:r>
      <w:r>
        <w:t xml:space="preserve"> </w:t>
      </w:r>
      <w:r>
        <w:t xml:space="preserve">From an environmental point of view, the extension of the present derogations could slow down</w:t>
      </w:r>
      <w:r>
        <w:t xml:space="preserve"> </w:t>
      </w:r>
      <w:r>
        <w:t xml:space="preserve">the green transition of shipping on certain routes and hinder the achievement of the EU 2050</w:t>
      </w:r>
      <w:r>
        <w:t xml:space="preserve"> </w:t>
      </w:r>
      <w:r>
        <w:t xml:space="preserve">climate objectives. Shipping companies would continue facing no financial incentive to</w:t>
      </w:r>
      <w:r>
        <w:t xml:space="preserve"> </w:t>
      </w:r>
      <w:r>
        <w:t xml:space="preserve">improve energy efficiency or adopt low-carbon solutions.</w:t>
      </w:r>
      <w:r>
        <w:t xml:space="preserve"> </w:t>
      </w:r>
      <w:r>
        <w:t xml:space="preserve">4.3.2. Economic impacts</w:t>
      </w:r>
      <w:r>
        <w:t xml:space="preserve"> </w:t>
      </w:r>
      <w:r>
        <w:t xml:space="preserve">These policy measures could have different economic impacts. They could change the</w:t>
      </w:r>
      <w:r>
        <w:t xml:space="preserve"> </w:t>
      </w:r>
      <w:r>
        <w:t xml:space="preserve">compliance and operating costs for individual companies, and they could affect the revenues</w:t>
      </w:r>
      <w:r>
        <w:t xml:space="preserve"> </w:t>
      </w:r>
      <w:r>
        <w:t xml:space="preserve">from the auctioning of EUAs.</w:t>
      </w:r>
      <w:r>
        <w:br/>
      </w:r>
      <w:r>
        <w:t xml:space="preserve">4.3.2.1.</w:t>
      </w:r>
      <w:r>
        <w:t xml:space="preserve"> </w:t>
      </w:r>
      <w:r>
        <w:t xml:space="preserve">Policy measure DE0: Not extending the derogations</w:t>
      </w:r>
      <w:r>
        <w:br/>
      </w:r>
      <w:r>
        <w:t xml:space="preserve">Not extending the derogations beyond 2030 would increase the cost for shipping companies</w:t>
      </w:r>
      <w:r>
        <w:t xml:space="preserve"> </w:t>
      </w:r>
      <w:r>
        <w:t xml:space="preserve">as it would increase their surrendering obligations by around 5 million EUAs. The impact on</w:t>
      </w:r>
      <w:r>
        <w:t xml:space="preserve"> </w:t>
      </w:r>
      <w:r>
        <w:t xml:space="preserve">shipping companies would vary with factors such as route coverage, carbon price, distance,</w:t>
      </w:r>
      <w:r>
        <w:t xml:space="preserve"> </w:t>
      </w:r>
      <w:r>
        <w:t xml:space="preserve">ship type, and fuel efficiency, but all operators currently benefiting from derogations would</w:t>
      </w:r>
      <w:r>
        <w:t xml:space="preserve"> </w:t>
      </w:r>
      <w:r>
        <w:t xml:space="preserve">face higher ETS compliance costs once this end. Given these additional burdens, DE0 would</w:t>
      </w:r>
      <w:r>
        <w:t xml:space="preserve"> </w:t>
      </w:r>
      <w:r>
        <w:t xml:space="preserve">likely result in slight increase transport prices for the end consumers, especially affecting small</w:t>
      </w:r>
      <w:r>
        <w:t xml:space="preserve"> </w:t>
      </w:r>
      <w:r>
        <w:t xml:space="preserve">islands and outermost regions that rely heavily on maritime links. In addition, the higher</w:t>
      </w:r>
      <w:r>
        <w:t xml:space="preserve"> </w:t>
      </w:r>
      <w:r>
        <w:t xml:space="preserve">compliance burden may have a detrimental effect on the viability of services on niche routes,</w:t>
      </w:r>
      <w:r>
        <w:t xml:space="preserve"> </w:t>
      </w:r>
      <w:r>
        <w:t xml:space="preserve">in case companies face challenges to reduce their emissions and cannot pass through the costs.</w:t>
      </w:r>
      <w:r>
        <w:br/>
      </w:r>
      <w:r>
        <w:t xml:space="preserve">Ending derogations would generate limited extra ETS revenues, linked to the end of the</w:t>
      </w:r>
      <w:r>
        <w:t xml:space="preserve"> </w:t>
      </w:r>
      <w:r>
        <w:t xml:space="preserve">cancellation mechanism for the ice-class ships derogation. Member States could mitigate some</w:t>
      </w:r>
      <w:r>
        <w:t xml:space="preserve"> </w:t>
      </w:r>
      <w:r>
        <w:t xml:space="preserve">of the economic impacts induced by the end of derogation by allocating part of their ETS</w:t>
      </w:r>
      <w:r>
        <w:t xml:space="preserve"> </w:t>
      </w:r>
      <w:r>
        <w:t xml:space="preserve">revenues specifically to support the decarbonisation of maritime links serving islands and</w:t>
      </w:r>
      <w:r>
        <w:t xml:space="preserve"> </w:t>
      </w:r>
      <w:r>
        <w:t xml:space="preserve">outermost regions. This targeted reinvestment could reduce cost impacts, improve the</w:t>
      </w:r>
      <w:r>
        <w:t xml:space="preserve"> </w:t>
      </w:r>
      <w:r>
        <w:t xml:space="preserve">resilience of local economies and ensure that the transition contributes directly to cleaner, more</w:t>
      </w:r>
      <w:r>
        <w:t xml:space="preserve"> </w:t>
      </w:r>
      <w:r>
        <w:t xml:space="preserve">efficient transport in these regions.</w:t>
      </w:r>
      <w:r>
        <w:t xml:space="preserve"> </w:t>
      </w:r>
      <w:r>
        <w:t xml:space="preserve">The competent authorities face modest additional administrative burdens, primarily related to</w:t>
      </w:r>
      <w:r>
        <w:t xml:space="preserve"> </w:t>
      </w:r>
      <w:r>
        <w:t xml:space="preserve">verifying compliance through allowance surrender and enforcement activities. This is because</w:t>
      </w:r>
      <w:r>
        <w:t xml:space="preserve"> </w:t>
      </w:r>
      <w:r>
        <w:t xml:space="preserve">MRV for maritime emissions is already required due to the MRV regulation.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4.3.2.2.</w:t>
      </w:r>
      <w:r>
        <w:t xml:space="preserve"> </w:t>
      </w:r>
      <w:r>
        <w:t xml:space="preserve">Policy measure DE1: Extension of derogations for limited time</w:t>
      </w:r>
      <w:r>
        <w:t xml:space="preserve"> </w:t>
      </w:r>
      <w:r>
        <w:t xml:space="preserve">Policy measure DE1, as the opposite of DE0, would generate identical economic effects but in</w:t>
      </w:r>
      <w:r>
        <w:t xml:space="preserve"> </w:t>
      </w:r>
      <w:r>
        <w:t xml:space="preserve">reverse, and no increase in ETS revenues. For ice-class ships, extending derogations would</w:t>
      </w:r>
      <w:r>
        <w:t xml:space="preserve"> </w:t>
      </w:r>
      <w:r>
        <w:t xml:space="preserve">help preserve affordability on icy northern routes and contribute to limit public icebreaking</w:t>
      </w:r>
      <w:r>
        <w:t xml:space="preserve"> </w:t>
      </w:r>
      <w:r>
        <w:t xml:space="preserve">costs, which in Finland alone amount to EUR 35–60 million annually. It would also allow</w:t>
      </w:r>
      <w:r>
        <w:t xml:space="preserve"> </w:t>
      </w:r>
      <w:r>
        <w:t xml:space="preserve">operators serving small islands and outermost regions to continue avoiding ETS compliance</w:t>
      </w:r>
      <w:r>
        <w:t xml:space="preserve"> </w:t>
      </w:r>
      <w:r>
        <w:t xml:space="preserve">costs, supporting route viability and giving more time to deploy OPS, bunkering infrastructure,</w:t>
      </w:r>
      <w:r>
        <w:t xml:space="preserve"> </w:t>
      </w:r>
      <w:r>
        <w:t xml:space="preserve">and energy-efficient vessels. DE1 would further help contain short-term inflation in island</w:t>
      </w:r>
      <w:r>
        <w:t xml:space="preserve"> </w:t>
      </w:r>
      <w:r>
        <w:t xml:space="preserve">economies and support regional cohesion.</w:t>
      </w:r>
      <w:r>
        <w:t xml:space="preserve"> </w:t>
      </w:r>
      <w:r>
        <w:t xml:space="preserve">However, under DE1 shipping companies would lack financial incentives to cut GHG</w:t>
      </w:r>
      <w:r>
        <w:t xml:space="preserve"> </w:t>
      </w:r>
      <w:r>
        <w:t xml:space="preserve">emissions until 2035, making efficiency improvements, the use of low-carbon fuels, and</w:t>
      </w:r>
      <w:r>
        <w:t xml:space="preserve"> </w:t>
      </w:r>
      <w:r>
        <w:t xml:space="preserve">electrification less attractive. This may lock operators into fossil-fuel-based fleets and delay</w:t>
      </w:r>
      <w:r>
        <w:t xml:space="preserve"> </w:t>
      </w:r>
      <w:r>
        <w:t xml:space="preserve">clean-energy port investments. Overall, prolonged derogations risk slowing climate action and</w:t>
      </w:r>
      <w:r>
        <w:t xml:space="preserve"> </w:t>
      </w:r>
      <w:r>
        <w:t xml:space="preserve">increasing long-term decarbonisation costs in the affected regions.</w:t>
      </w:r>
      <w:r>
        <w:t xml:space="preserve"> </w:t>
      </w:r>
      <w:r>
        <w:t xml:space="preserve">4.3.3. Social Impacts</w:t>
      </w:r>
      <w:r>
        <w:br/>
      </w:r>
      <w:r>
        <w:t xml:space="preserve">4.3.3.1.</w:t>
      </w:r>
      <w:r>
        <w:t xml:space="preserve"> </w:t>
      </w:r>
      <w:r>
        <w:t xml:space="preserve">Policy measure DE0: Not extending the derogations</w:t>
      </w:r>
      <w:r>
        <w:t xml:space="preserve"> </w:t>
      </w:r>
      <w:r>
        <w:t xml:space="preserve">Outermost regions and small islands depend on reliable and frequent maritime transport</w:t>
      </w:r>
      <w:r>
        <w:t xml:space="preserve"> </w:t>
      </w:r>
      <w:r>
        <w:t xml:space="preserve">services. Changes in transport cost may hamper the connectivity of these regions and thus</w:t>
      </w:r>
      <w:r>
        <w:t xml:space="preserve"> </w:t>
      </w:r>
      <w:r>
        <w:t xml:space="preserve">impact the access to essential services such as healthcare, education and employment, inducing</w:t>
      </w:r>
      <w:r>
        <w:t xml:space="preserve"> </w:t>
      </w:r>
      <w:r>
        <w:t xml:space="preserve">implications for the quality of life or impact tourism flows.</w:t>
      </w:r>
      <w:r>
        <w:t xml:space="preserve"> </w:t>
      </w:r>
      <w:r>
        <w:t xml:space="preserve">At the same time, fuel prices have already fluctuated significantly in the past and the carbon</w:t>
      </w:r>
      <w:r>
        <w:t xml:space="preserve"> </w:t>
      </w:r>
      <w:r>
        <w:t xml:space="preserve">price signal could have an effect comparable to the cost impact of fuel-price volatility. Based</w:t>
      </w:r>
      <w:r>
        <w:t xml:space="preserve"> </w:t>
      </w:r>
      <w:r>
        <w:t xml:space="preserve">on data from the IEA on bunker fuel prices the standard deviation in the period October 2020</w:t>
      </w:r>
      <w:r>
        <w:t xml:space="preserve"> </w:t>
      </w:r>
      <w:r>
        <w:t xml:space="preserve">to September 2025 was 35%. Even before the COVID pandemic (January 2014 to December</w:t>
      </w:r>
      <w:r>
        <w:t xml:space="preserve"> </w:t>
      </w:r>
      <w:r>
        <w:t xml:space="preserve">2019) the standard deviation was 28%. Given a fuel price of EUR 500 per tonne of fuel, this is</w:t>
      </w:r>
      <w:r>
        <w:t xml:space="preserve"> </w:t>
      </w:r>
      <w:r>
        <w:t xml:space="preserve">equivalent to EUR 175/140 per tonne of fuel or an allowance price of approximately EUR</w:t>
      </w:r>
      <w:r>
        <w:t xml:space="preserve"> </w:t>
      </w:r>
      <w:r>
        <w:t xml:space="preserve">56/45 per EUA. Even though the current allowance price is higher than the standard deviation</w:t>
      </w:r>
      <w:r>
        <w:t xml:space="preserve"> </w:t>
      </w:r>
      <w:r>
        <w:t xml:space="preserve">of fuel prices, the difference between the lowest and highest fuel prices is higher than then</w:t>
      </w:r>
      <w:r>
        <w:t xml:space="preserve"> </w:t>
      </w:r>
      <w:r>
        <w:t xml:space="preserve">current EUA price of approximately EUR 70-80 per EUA. Still, removing derogations would</w:t>
      </w:r>
      <w:r>
        <w:t xml:space="preserve"> </w:t>
      </w:r>
      <w:r>
        <w:t xml:space="preserve">mean that sudden increases in fuel or carbon prices could pose a risk to stable, predictable</w:t>
      </w:r>
      <w:r>
        <w:t xml:space="preserve"> </w:t>
      </w:r>
      <w:r>
        <w:t xml:space="preserve">maritime connectivity for these EU regions.</w:t>
      </w:r>
      <w:r>
        <w:t xml:space="preserve"> </w:t>
      </w:r>
      <w:r>
        <w:t xml:space="preserve">For the connectivity of small islands and outermost regions, this cost increase could undermine</w:t>
      </w:r>
      <w:r>
        <w:t xml:space="preserve"> </w:t>
      </w:r>
      <w:r>
        <w:t xml:space="preserve">the affordability and frequency of maritime links. These regions already face challenges due to</w:t>
      </w:r>
      <w:r>
        <w:t xml:space="preserve"> </w:t>
      </w:r>
      <w:r>
        <w:t xml:space="preserve">remoteness and limited transport options, and higher shipping costs might discourage both</w:t>
      </w:r>
      <w:r>
        <w:t xml:space="preserve"> </w:t>
      </w:r>
      <w:r>
        <w:t xml:space="preserve">passenger and cargo operators from serving them regularly or at competitive rates. EU’s</w:t>
      </w:r>
      <w:r>
        <w:t xml:space="preserve"> </w:t>
      </w:r>
      <w:r>
        <w:t xml:space="preserve">outermost regions are more vulnerable due to significantly longer voyage legs than other intra-</w:t>
      </w:r>
      <w:r>
        <w:t xml:space="preserve"> </w:t>
      </w:r>
      <w:r>
        <w:t xml:space="preserve">EU journeys and, on average, have lower GDP per capita compared to their national and wider</w:t>
      </w:r>
      <w:r>
        <w:t xml:space="preserve"> </w:t>
      </w:r>
      <w:r>
        <w:t xml:space="preserve">EU averages. Increased cost for essential transport services could thus contribute to widen the</w:t>
      </w:r>
      <w:r>
        <w:t xml:space="preserve"> </w:t>
      </w:r>
      <w:r>
        <w:t xml:space="preserve">GDP gap.</w:t>
      </w:r>
      <w:r>
        <w:t xml:space="preserve"> </w:t>
      </w:r>
      <w:r>
        <w:t xml:space="preserve">Since ensuring connections is essential for small islands and outermost regions, some of the</w:t>
      </w:r>
      <w:r>
        <w:t xml:space="preserve"> </w:t>
      </w:r>
      <w:r>
        <w:t xml:space="preserve">transport services are conducted under public service obligations (PSO). Under these</w:t>
      </w:r>
      <w:r>
        <w:t xml:space="preserve"> </w:t>
      </w:r>
      <w:r>
        <w:t xml:space="preserve">obligations contracted shipping companies have to provide a determined transport service</w:t>
      </w:r>
      <w:r>
        <w:t xml:space="preserve"> </w:t>
      </w:r>
      <w:r>
        <w:t xml:space="preserve">(frequency, capacity, etc.) at a fixed price. Since the price is lower than the cost of supplying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these services, the price gap is closed through public funding pursuant to Council Regulation</w:t>
      </w:r>
      <w:r>
        <w:t xml:space="preserve"> </w:t>
      </w:r>
      <w:r>
        <w:t xml:space="preserve">(EEC) No 3577/92348. Nevertheless, services covered by PSO may not be directly impacted but</w:t>
      </w:r>
      <w:r>
        <w:t xml:space="preserve"> </w:t>
      </w:r>
      <w:r>
        <w:t xml:space="preserve">only in the longer-term if governments might have to reduce the capacity under PSO due to</w:t>
      </w:r>
      <w:r>
        <w:t xml:space="preserve"> </w:t>
      </w:r>
      <w:r>
        <w:t xml:space="preserve">limited budgets.</w:t>
      </w:r>
      <w:r>
        <w:t xml:space="preserve"> </w:t>
      </w:r>
      <w:r>
        <w:t xml:space="preserve">Shipping is essential for connecting geographically isolated regions, such as islands and remote</w:t>
      </w:r>
      <w:r>
        <w:t xml:space="preserve"> </w:t>
      </w:r>
      <w:r>
        <w:t xml:space="preserve">coastal communities, to their mainland and other major hubs. When it occurs, mobility poverty</w:t>
      </w:r>
      <w:r>
        <w:t xml:space="preserve"> </w:t>
      </w:r>
      <w:r>
        <w:t xml:space="preserve">can perpetuate the core-periphery socioeconomic structure of these regions, leading to a lack</w:t>
      </w:r>
      <w:r>
        <w:t xml:space="preserve"> </w:t>
      </w:r>
      <w:r>
        <w:t xml:space="preserve">of attractiveness, coupled with a poor organisation of transport services and thus, barriers to</w:t>
      </w:r>
      <w:r>
        <w:t xml:space="preserve"> </w:t>
      </w:r>
      <w:r>
        <w:t xml:space="preserve">accessing education and jobs (Maucorps, et al., 2025). Hence, to the extent that additional cost</w:t>
      </w:r>
      <w:r>
        <w:t xml:space="preserve"> </w:t>
      </w:r>
      <w:r>
        <w:t xml:space="preserve">due to the end of derogation pose a risk that service providers might reduce the frequency of</w:t>
      </w:r>
      <w:r>
        <w:t xml:space="preserve"> </w:t>
      </w:r>
      <w:r>
        <w:t xml:space="preserve">their operations or increase prices for passengers and cargo – even in the context of PSOs-, this</w:t>
      </w:r>
      <w:r>
        <w:t xml:space="preserve"> </w:t>
      </w:r>
      <w:r>
        <w:t xml:space="preserve">could possibly have indirect negative impacts on healthcare, education and jobs. It could also</w:t>
      </w:r>
      <w:r>
        <w:t xml:space="preserve"> </w:t>
      </w:r>
      <w:r>
        <w:t xml:space="preserve">increase the pressure to migrate for work or education.</w:t>
      </w:r>
      <w:r>
        <w:t xml:space="preserve"> </w:t>
      </w:r>
      <w:r>
        <w:t xml:space="preserve">Furthermore, ice class ships are of pivotal importance in facilitating year-round maritime</w:t>
      </w:r>
      <w:r>
        <w:t xml:space="preserve"> </w:t>
      </w:r>
      <w:r>
        <w:t xml:space="preserve">connectivity and supply for regions with ports that experience sea ice or adverse winter</w:t>
      </w:r>
      <w:r>
        <w:t xml:space="preserve"> </w:t>
      </w:r>
      <w:r>
        <w:t xml:space="preserve">conditions. Not continuing ICS derogations could be detrimental for critical logistics and</w:t>
      </w:r>
      <w:r>
        <w:t xml:space="preserve"> </w:t>
      </w:r>
      <w:r>
        <w:t xml:space="preserve">regular services when ice conditions would otherwise prevent conventional vessels from</w:t>
      </w:r>
      <w:r>
        <w:t xml:space="preserve"> </w:t>
      </w:r>
      <w:r>
        <w:t xml:space="preserve">reaching these locations. However, in a recent study349 it was concluded that not all of the</w:t>
      </w:r>
      <w:r>
        <w:t xml:space="preserve"> </w:t>
      </w:r>
      <w:r>
        <w:t xml:space="preserve">assessed ICS ship types have higher annual mean fuel consumption and thus emissions (see</w:t>
      </w:r>
      <w:r>
        <w:t xml:space="preserve"> </w:t>
      </w:r>
      <w:r>
        <w:t xml:space="preserve">above).</w:t>
      </w:r>
      <w:r>
        <w:t xml:space="preserve"> </w:t>
      </w:r>
      <w:r>
        <w:t xml:space="preserve">While the supply of goods and certain services relies on maritime transport, tourism often relies</w:t>
      </w:r>
      <w:r>
        <w:t xml:space="preserve"> </w:t>
      </w:r>
      <w:r>
        <w:t xml:space="preserve">more on aviation. However, maritime tourism, especially cruise, could also possibly face route</w:t>
      </w:r>
      <w:r>
        <w:t xml:space="preserve"> </w:t>
      </w:r>
      <w:r>
        <w:t xml:space="preserve">changes in order to avoid ETS costs, which may negatively impact specific ports and regional</w:t>
      </w:r>
      <w:r>
        <w:t xml:space="preserve"> </w:t>
      </w:r>
      <w:r>
        <w:t xml:space="preserve">communities. (In addition, ending derogations would expose ships such as Ro-pax, passenger</w:t>
      </w:r>
      <w:r>
        <w:t xml:space="preserve"> </w:t>
      </w:r>
      <w:r>
        <w:t xml:space="preserve">and Ro-ro ships, “which have high average per-vessel emissions within the scope” 350. Tourism</w:t>
      </w:r>
      <w:r>
        <w:t xml:space="preserve"> </w:t>
      </w:r>
      <w:r>
        <w:t xml:space="preserve">demand is highly price-sensitive in aviation and moderate in maritime tourism, but the risk of</w:t>
      </w:r>
      <w:r>
        <w:t xml:space="preserve"> </w:t>
      </w:r>
      <w:r>
        <w:t xml:space="preserve">competitive disadvantage is notable for both if cost differentials between EU and non-EU</w:t>
      </w:r>
      <w:r>
        <w:t xml:space="preserve"> </w:t>
      </w:r>
      <w:r>
        <w:t xml:space="preserve">destinations grow. For instance, stakeholders foresee “an additional cost of close to EUR 30</w:t>
      </w:r>
      <w:r>
        <w:t xml:space="preserve"> </w:t>
      </w:r>
      <w:r>
        <w:t xml:space="preserve">000 for each port of call for large liners in the Caribbean Sea”, which “will reduce the</w:t>
      </w:r>
      <w:r>
        <w:t xml:space="preserve"> </w:t>
      </w:r>
      <w:r>
        <w:t xml:space="preserve">competitiveness of the outermost regions’ cruise and container ship sectors compared to</w:t>
      </w:r>
      <w:r>
        <w:t xml:space="preserve"> </w:t>
      </w:r>
      <w:r>
        <w:t xml:space="preserve">neighbouring territories that do not apply such requirements”351. Martinique, for example, “is</w:t>
      </w:r>
      <w:r>
        <w:t xml:space="preserve"> </w:t>
      </w:r>
      <w:r>
        <w:t xml:space="preserve">an expensive place in comparison to neighbouring islands (e.g. Sainte-Lucia, Barbados) that</w:t>
      </w:r>
      <w:r>
        <w:t xml:space="preserve"> </w:t>
      </w:r>
      <w:r>
        <w:t xml:space="preserve">use weaker currencies and apply lower taxes,” leading to reduced attractiveness (Maucorps, et</w:t>
      </w:r>
      <w:r>
        <w:t xml:space="preserve"> </w:t>
      </w:r>
      <w:r>
        <w:t xml:space="preserve">al., 2025).</w:t>
      </w:r>
    </w:p>
    <w:p>
      <w:pPr>
        <w:pStyle w:val="BodyText"/>
      </w:pPr>
      <w:r>
        <w:t xml:space="preserve">348 Council Regulation (EEC) No 3577/92 of 7 December 1992 applying the principle of freedom to provide</w:t>
      </w:r>
      <w:r>
        <w:t xml:space="preserve"> </w:t>
      </w:r>
      <w:r>
        <w:t xml:space="preserve">services to maritime transport within Member States (maritime cabotage) Official Journal L 364, 12/12/1992</w:t>
      </w:r>
      <w:r>
        <w:t xml:space="preserve"> </w:t>
      </w:r>
      <w:r>
        <w:t xml:space="preserve">P. 0007 - 0010</w:t>
      </w:r>
      <w:r>
        <w:t xml:space="preserve"> </w:t>
      </w:r>
      <w:r>
        <w:t xml:space="preserve">349 Heikkilä, M., Grönholm, T., Majamäki, E., &amp; Jalkanen, J. (2024). Effect of ice class to vessel fuel</w:t>
      </w:r>
      <w:r>
        <w:t xml:space="preserve"> </w:t>
      </w:r>
      <w:r>
        <w:t xml:space="preserve">consumption based on real-life MRV data. Transport Policy, 148, 168–180.</w:t>
      </w:r>
      <w:r>
        <w:br/>
      </w:r>
      <w:r>
        <w:t xml:space="preserve">https://doi.org/10.1016/j.tranpol.2024.01.014</w:t>
      </w:r>
      <w:r>
        <w:t xml:space="preserve"> </w:t>
      </w:r>
      <w:r>
        <w:t xml:space="preserve">350 CE Delft &amp; DLR 2021, Research for TRAN Committee – Maritime shipping, aviation and the EU ETS:</w:t>
      </w:r>
      <w:r>
        <w:t xml:space="preserve"> </w:t>
      </w:r>
      <w:r>
        <w:t xml:space="preserve">challenges and impacts, Final report, European Parliament, Policy Department for Structural and Cohesion</w:t>
      </w:r>
      <w:r>
        <w:t xml:space="preserve"> </w:t>
      </w:r>
      <w:r>
        <w:t xml:space="preserve">Policies, Brussels.</w:t>
      </w:r>
      <w:r>
        <w:t xml:space="preserve"> </w:t>
      </w:r>
      <w:r>
        <w:t xml:space="preserve">351 Maucorps, A., Martín, J., Dentinho, T., Ranély Vergé-Dépré, C., Picazo Peral, P., &amp; Fortuna, M. (2025).</w:t>
      </w:r>
      <w:r>
        <w:t xml:space="preserve"> </w:t>
      </w:r>
      <w:r>
        <w:t xml:space="preserve">Research for TRAN Committee – Transport and Tourism in Outermost Regions. Brussels: European</w:t>
      </w:r>
      <w:r>
        <w:t xml:space="preserve"> </w:t>
      </w:r>
      <w:r>
        <w:t xml:space="preserve">Parliament, Policy Department for Transport, Employment and Social Affairs.</w:t>
      </w:r>
    </w:p>
    <w:p>
      <w:pPr>
        <w:pStyle w:val="BodyText"/>
      </w:pPr>
      <w:r>
        <w:t xml:space="preserve">https://www.europarl.europa.eu/RegData/etudes/STUD/2025/759311/CASP_STU(2025)759311_EN.pdf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4.3.3.2.</w:t>
      </w:r>
      <w:r>
        <w:t xml:space="preserve"> </w:t>
      </w:r>
      <w:r>
        <w:t xml:space="preserve">Policy measure DE1: Extension of derogations for limited time</w:t>
      </w:r>
      <w:r>
        <w:t xml:space="preserve"> </w:t>
      </w:r>
      <w:r>
        <w:t xml:space="preserve">If the derogations and specific rules were to continue beyond 2030, the social impacts described</w:t>
      </w:r>
      <w:r>
        <w:t xml:space="preserve"> </w:t>
      </w:r>
      <w:r>
        <w:t xml:space="preserve">in the previous section would not apply. Stakeholders who currently benefit from exemptions</w:t>
      </w:r>
      <w:r>
        <w:t xml:space="preserve"> </w:t>
      </w:r>
      <w:r>
        <w:t xml:space="preserve">would continue to do so, meaning that the situation in the affected regions would remain largely</w:t>
      </w:r>
      <w:r>
        <w:t xml:space="preserve"> </w:t>
      </w:r>
      <w:r>
        <w:t xml:space="preserve">unchanged in terms of traffic patterns, income, connectivity, and related aspects.</w:t>
      </w:r>
      <w:r>
        <w:t xml:space="preserve"> </w:t>
      </w:r>
      <w:r>
        <w:t xml:space="preserve">5. COHERENCE WITH THE IMPLEMENTATION OF THE GLOBAL IMO MEASURE</w:t>
      </w:r>
      <w:r>
        <w:t xml:space="preserve"> </w:t>
      </w:r>
      <w:r>
        <w:t xml:space="preserve">5.1. Scoping</w:t>
      </w:r>
      <w:r>
        <w:t xml:space="preserve"> </w:t>
      </w:r>
      <w:r>
        <w:t xml:space="preserve">To address GHG emissions from international maritime activities globally, the EU has</w:t>
      </w:r>
      <w:r>
        <w:t xml:space="preserve"> </w:t>
      </w:r>
      <w:r>
        <w:t xml:space="preserve">actively supported the adoption of the revised IMO 2023 Strategy as well as of IMO mid-term</w:t>
      </w:r>
      <w:r>
        <w:t xml:space="preserve"> </w:t>
      </w:r>
      <w:r>
        <w:t xml:space="preserve">measures, in particular the Net Zero Framework (NZF). At the Marine Environment</w:t>
      </w:r>
      <w:r>
        <w:t xml:space="preserve"> </w:t>
      </w:r>
      <w:r>
        <w:t xml:space="preserve">Protection Committee (MEPC) 83rd meeting in April 2025, the International Maritime</w:t>
      </w:r>
      <w:r>
        <w:t xml:space="preserve"> </w:t>
      </w:r>
      <w:r>
        <w:t xml:space="preserve">Organization (IMO) reached an agreement on the core elements of its Net-Zero Framework .</w:t>
      </w:r>
      <w:r>
        <w:br/>
      </w:r>
      <w:r>
        <w:t xml:space="preserve">In October 2025, the IMO’s Marine Environment Protection Committee decided to adjourn</w:t>
      </w:r>
      <w:r>
        <w:t xml:space="preserve"> </w:t>
      </w:r>
      <w:r>
        <w:t xml:space="preserve">discussions on the adoption of the Net-Zero Framework for one year. Whether the IMO NZF</w:t>
      </w:r>
      <w:r>
        <w:t xml:space="preserve"> </w:t>
      </w:r>
      <w:r>
        <w:t xml:space="preserve">is adopted (in its entirety or partially) remains open.</w:t>
      </w:r>
      <w:r>
        <w:t xml:space="preserve"> </w:t>
      </w:r>
      <w:r>
        <w:t xml:space="preserve">This Impact Assessment acknowledges that the IMO NZF is currently the only agreed IMO</w:t>
      </w:r>
      <w:r>
        <w:t xml:space="preserve"> </w:t>
      </w:r>
      <w:r>
        <w:t xml:space="preserve">mid-term measure, and that no environmentally more ambitious measures are being</w:t>
      </w:r>
      <w:r>
        <w:t xml:space="preserve"> </w:t>
      </w:r>
      <w:r>
        <w:t xml:space="preserve">considered at IMO. A review of the ETS Directive in relation to an IMO mid-term measure</w:t>
      </w:r>
      <w:r>
        <w:t xml:space="preserve"> </w:t>
      </w:r>
      <w:r>
        <w:t xml:space="preserve">is required by Article 3gg, with certain conditions.</w:t>
      </w:r>
      <w:r>
        <w:br/>
      </w:r>
      <w:r>
        <w:t xml:space="preserve">This section aims to assess possible measures that would ensure coherence between the</w:t>
      </w:r>
      <w:r>
        <w:t xml:space="preserve"> </w:t>
      </w:r>
      <w:r>
        <w:t xml:space="preserve">implementation of the ETS and the implementation of an IMO mid-term measure, in a way</w:t>
      </w:r>
      <w:r>
        <w:t xml:space="preserve"> </w:t>
      </w:r>
      <w:r>
        <w:t xml:space="preserve">that preserves the effectiveness and environmental integrity of the EU ETS, while maximising</w:t>
      </w:r>
      <w:r>
        <w:t xml:space="preserve"> </w:t>
      </w:r>
      <w:r>
        <w:t xml:space="preserve">their regulatory efficiency (e.g. avoiding any significant double burden).</w:t>
      </w:r>
      <w:r>
        <w:t xml:space="preserve"> </w:t>
      </w:r>
      <w:r>
        <w:t xml:space="preserve">Drivers to the problem</w:t>
      </w:r>
      <w:r>
        <w:br/>
      </w:r>
      <w:r>
        <w:t xml:space="preserve">Several differences between the ETS Maritime and an IMO mid-term measure could lead to</w:t>
      </w:r>
      <w:r>
        <w:t xml:space="preserve"> </w:t>
      </w:r>
      <w:r>
        <w:t xml:space="preserve">possible lack of coherence:</w:t>
      </w:r>
      <w:r>
        <w:br/>
      </w:r>
      <w:r>
        <w:t xml:space="preserve">•</w:t>
      </w:r>
      <w:r>
        <w:t xml:space="preserve"> </w:t>
      </w:r>
      <w:r>
        <w:t xml:space="preserve">System type: The EU framework combines a cap-and-trade Emissions Trading System</w:t>
      </w:r>
      <w:r>
        <w:t xml:space="preserve"> </w:t>
      </w:r>
      <w:r>
        <w:t xml:space="preserve">with a GHG fuel intensity regulation (FuelEU). The EU ETS provides high certainty of</w:t>
      </w:r>
      <w:r>
        <w:t xml:space="preserve"> </w:t>
      </w:r>
      <w:r>
        <w:t xml:space="preserve">emissions reduction since the ETS cap sets the overall volume of greenhouse gases that</w:t>
      </w:r>
      <w:r>
        <w:t xml:space="preserve"> </w:t>
      </w:r>
      <w:r>
        <w:t xml:space="preserve">can be emitted by installations and operators under the system. However, the emissions</w:t>
      </w:r>
      <w:r>
        <w:t xml:space="preserve"> </w:t>
      </w:r>
      <w:r>
        <w:t xml:space="preserve">reduction under the ETS will happen first in sectors where they are most cost-effective</w:t>
      </w:r>
      <w:r>
        <w:t xml:space="preserve"> </w:t>
      </w:r>
      <w:r>
        <w:t xml:space="preserve">and this is why the EU ETS is combined with a GHG fuel intensity regulation at EU level</w:t>
      </w:r>
      <w:r>
        <w:t xml:space="preserve"> </w:t>
      </w:r>
      <w:r>
        <w:t xml:space="preserve">to support the decarbonisation of shipping. Although no measure is yet adopted at IMO,</w:t>
      </w:r>
      <w:r>
        <w:t xml:space="preserve"> </w:t>
      </w:r>
      <w:r>
        <w:t xml:space="preserve">it is unlikely that a future global measure will include a cap-and–trade system. The</w:t>
      </w:r>
      <w:r>
        <w:t xml:space="preserve"> </w:t>
      </w:r>
      <w:r>
        <w:t xml:space="preserve">measures contemplated so far (such as the NZF) represented a combination of a fuel</w:t>
      </w:r>
      <w:r>
        <w:t xml:space="preserve"> </w:t>
      </w:r>
      <w:r>
        <w:t xml:space="preserve">standard with an economic element.</w:t>
      </w:r>
      <w:r>
        <w:br/>
      </w:r>
      <w:r>
        <w:t xml:space="preserve">•</w:t>
      </w:r>
      <w:r>
        <w:t xml:space="preserve"> </w:t>
      </w:r>
      <w:r>
        <w:t xml:space="preserve">GHG price formation and scope: Under the EU ETS, every tonne of CO₂e emitted must</w:t>
      </w:r>
      <w:r>
        <w:t xml:space="preserve"> </w:t>
      </w:r>
      <w:r>
        <w:t xml:space="preserve">be matched with an allowance352. Additionally, the price formation in the EU ETS is</w:t>
      </w:r>
      <w:r>
        <w:t xml:space="preserve"> </w:t>
      </w:r>
      <w:r>
        <w:t xml:space="preserve">market-driven and expressed in EUR. The measures considered so far by IMO, involved</w:t>
      </w:r>
      <w:r>
        <w:t xml:space="preserve"> </w:t>
      </w:r>
      <w:r>
        <w:t xml:space="preserve">fixed GHG prices expressed in USD.</w:t>
      </w:r>
    </w:p>
    <w:p>
      <w:pPr>
        <w:pStyle w:val="BodyText"/>
      </w:pPr>
      <w:r>
        <w:t xml:space="preserve">352 The favourable treatment (zero-rating) is restricted to emissions stemming from the use of bio-sourced and</w:t>
      </w:r>
      <w:r>
        <w:t xml:space="preserve"> </w:t>
      </w:r>
      <w:r>
        <w:t xml:space="preserve">other types of alternative fuels that are certified compliant with the sustainability requirements of the</w:t>
      </w:r>
      <w:r>
        <w:t xml:space="preserve"> </w:t>
      </w:r>
      <w:r>
        <w:t xml:space="preserve">Renewable Energy Directive (Directive 2018/2001).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Enforcement: Under MARPOL Annex VI, the primary responsibility for implementation</w:t>
      </w:r>
      <w:r>
        <w:t xml:space="preserve"> </w:t>
      </w:r>
      <w:r>
        <w:t xml:space="preserve">and enforcement lies with the Administration of the flag States which ratified and</w:t>
      </w:r>
      <w:r>
        <w:t xml:space="preserve"> </w:t>
      </w:r>
      <w:r>
        <w:t xml:space="preserve">implemented the amendments. Unlike the EU MRV system, the IMO framework sets only</w:t>
      </w:r>
      <w:r>
        <w:t xml:space="preserve"> </w:t>
      </w:r>
      <w:r>
        <w:t xml:space="preserve">basic roles for the IMO Registry and the flag states but does not (yet) provide detailed</w:t>
      </w:r>
      <w:r>
        <w:t xml:space="preserve"> </w:t>
      </w:r>
      <w:r>
        <w:t xml:space="preserve">rules for independent third-party verification. Specific guidelines on reporting and</w:t>
      </w:r>
      <w:r>
        <w:t xml:space="preserve"> </w:t>
      </w:r>
      <w:r>
        <w:t xml:space="preserve">verification of the annual GFI of fuels used by ships are still under development at IMO</w:t>
      </w:r>
      <w:r>
        <w:t xml:space="preserve"> </w:t>
      </w:r>
      <w:r>
        <w:t xml:space="preserve">level.</w:t>
      </w:r>
      <w:r>
        <w:br/>
      </w:r>
      <w:r>
        <w:t xml:space="preserve">•</w:t>
      </w:r>
      <w:r>
        <w:t xml:space="preserve"> </w:t>
      </w:r>
      <w:r>
        <w:t xml:space="preserve">Scope:</w:t>
      </w:r>
      <w:r>
        <w:br/>
      </w:r>
      <w:r>
        <w:t xml:space="preserve">- The IMO 2023 Strategy considers a well-to-tank (WTW) scope for GHG emissions</w:t>
      </w:r>
      <w:r>
        <w:t xml:space="preserve"> </w:t>
      </w:r>
      <w:r>
        <w:t xml:space="preserve">(carbon dioxide emissions (CO2), methane emissions (CH4) as well as nitrous oxide</w:t>
      </w:r>
      <w:r>
        <w:t xml:space="preserve"> </w:t>
      </w:r>
      <w:r>
        <w:t xml:space="preserve">(N2O) emissions), while the EU ETS considers a tank-to-wake (TTW) scope, with a</w:t>
      </w:r>
      <w:r>
        <w:t xml:space="preserve"> </w:t>
      </w:r>
      <w:r>
        <w:t xml:space="preserve">zero-rating mechanism acting as an incentive to GHG savings resulting from bio-</w:t>
      </w:r>
      <w:r>
        <w:t xml:space="preserve"> </w:t>
      </w:r>
      <w:r>
        <w:t xml:space="preserve">sourced and other types of alternative fuels that are certified compliant with the</w:t>
      </w:r>
      <w:r>
        <w:t xml:space="preserve"> </w:t>
      </w:r>
      <w:r>
        <w:t xml:space="preserve">sustainability requirements of the Renewable Energy Directive (Directive 2018/2001).</w:t>
      </w:r>
    </w:p>
    <w:p>
      <w:pPr>
        <w:pStyle w:val="Compact"/>
        <w:numPr>
          <w:ilvl w:val="0"/>
          <w:numId w:val="1025"/>
        </w:numPr>
      </w:pPr>
      <w:r>
        <w:t xml:space="preserve">In terms of geographical scope, the IMO measures apply to 100% of fuel consumed</w:t>
      </w:r>
      <w:r>
        <w:t xml:space="preserve"> </w:t>
      </w:r>
      <w:r>
        <w:t xml:space="preserve">over the calendar year, irrespective of the geographical location of port calls whereas</w:t>
      </w:r>
      <w:r>
        <w:t xml:space="preserve"> </w:t>
      </w:r>
      <w:r>
        <w:t xml:space="preserve">EU ETS applies to 100% of GHG emissions that occur between two EU ports and</w:t>
      </w:r>
      <w:r>
        <w:t xml:space="preserve"> </w:t>
      </w:r>
      <w:r>
        <w:t xml:space="preserve">when ships are within EU ports, but 50% of emissions from voyages starting or ending</w:t>
      </w:r>
      <w:r>
        <w:t xml:space="preserve"> </w:t>
      </w:r>
      <w:r>
        <w:t xml:space="preserve">outside of the EU.</w:t>
      </w:r>
      <w:r>
        <w:br/>
      </w:r>
      <w:r>
        <w:t xml:space="preserve">•</w:t>
      </w:r>
      <w:r>
        <w:t xml:space="preserve"> </w:t>
      </w:r>
      <w:r>
        <w:t xml:space="preserve">Timing: while the EU ETS applies to maritime transport emissions since January 2024,</w:t>
      </w:r>
      <w:r>
        <w:t xml:space="preserve"> </w:t>
      </w:r>
      <w:r>
        <w:t xml:space="preserve">the current review of the EU ETS is going to set the cap until 2040 along with the Climate</w:t>
      </w:r>
      <w:r>
        <w:t xml:space="preserve"> </w:t>
      </w:r>
      <w:r>
        <w:t xml:space="preserve">Law targets. An IMO measure would not apply (and is implemented) before 2029. Once</w:t>
      </w:r>
      <w:r>
        <w:t xml:space="preserve"> </w:t>
      </w:r>
      <w:r>
        <w:t xml:space="preserve">adopted, an IMO measure will only enter into force, if at least one third of the IMO</w:t>
      </w:r>
      <w:r>
        <w:t xml:space="preserve"> </w:t>
      </w:r>
      <w:r>
        <w:t xml:space="preserve">Member States or Member States, which combined merchant fleets constitutes not less</w:t>
      </w:r>
      <w:r>
        <w:t xml:space="preserve"> </w:t>
      </w:r>
      <w:r>
        <w:t xml:space="preserve">than 50 per cent of the gross tonnage of the world’s merchant fleet, does not notify</w:t>
      </w:r>
      <w:r>
        <w:t xml:space="preserve"> </w:t>
      </w:r>
      <w:r>
        <w:t xml:space="preserve">objections to the IMO within 10 months from adoption.</w:t>
      </w:r>
      <w:r>
        <w:br/>
      </w:r>
      <w:r>
        <w:t xml:space="preserve">•</w:t>
      </w:r>
      <w:r>
        <w:t xml:space="preserve"> </w:t>
      </w:r>
      <w:r>
        <w:t xml:space="preserve">Levels of GHG emissions reductions: The EU has legally committed to reducing</w:t>
      </w:r>
      <w:r>
        <w:t xml:space="preserve"> </w:t>
      </w:r>
      <w:r>
        <w:t xml:space="preserve">economy-wide GHG emissions by at least 55% by 2030, and a 90% reduction (with a</w:t>
      </w:r>
      <w:r>
        <w:t xml:space="preserve"> </w:t>
      </w:r>
      <w:r>
        <w:t xml:space="preserve">domestic target of 85% and up to 5% of international carbon credits) has been agreed for</w:t>
      </w:r>
      <w:r>
        <w:t xml:space="preserve"> </w:t>
      </w:r>
      <w:r>
        <w:t xml:space="preserve">2040, both relative to 1990 levels. Although there is no formal sectoral target for maritime</w:t>
      </w:r>
      <w:r>
        <w:t xml:space="preserve"> </w:t>
      </w:r>
      <w:r>
        <w:t xml:space="preserve">transport, the sector has been included in the EU ETS, which is expected to achieve a 62%</w:t>
      </w:r>
      <w:r>
        <w:t xml:space="preserve"> </w:t>
      </w:r>
      <w:r>
        <w:t xml:space="preserve">emissions reduction by 2030 compared to 2005 levels, consistent with the broader</w:t>
      </w:r>
      <w:r>
        <w:t xml:space="preserve"> </w:t>
      </w:r>
      <w:r>
        <w:t xml:space="preserve">economy-wide trajectory.</w:t>
      </w:r>
      <w:r>
        <w:t xml:space="preserve"> </w:t>
      </w:r>
      <w:r>
        <w:t xml:space="preserve">•</w:t>
      </w:r>
      <w:r>
        <w:t xml:space="preserve"> </w:t>
      </w:r>
      <w:r>
        <w:t xml:space="preserve">Level of participation: Participation to any IMO mid-term measure implementing the</w:t>
      </w:r>
      <w:r>
        <w:t xml:space="preserve"> </w:t>
      </w:r>
      <w:r>
        <w:t xml:space="preserve">2023 Strategy, generally, will depend on whether a vessel’s flag State has ratified</w:t>
      </w:r>
      <w:r>
        <w:t xml:space="preserve"> </w:t>
      </w:r>
      <w:r>
        <w:t xml:space="preserve">MARPOL convention and specifically Annex VI. Ships registered in the 88 states that</w:t>
      </w:r>
      <w:r>
        <w:t xml:space="preserve"> </w:t>
      </w:r>
      <w:r>
        <w:t xml:space="preserve">have not ratified MARPOL Annex VI account for around 3.3% of the world’s merchant</w:t>
      </w:r>
      <w:r>
        <w:t xml:space="preserve"> </w:t>
      </w:r>
      <w:r>
        <w:t xml:space="preserve">fleet by gross tonnage (IMO, 2020). Although port control activities act as an important</w:t>
      </w:r>
      <w:r>
        <w:t xml:space="preserve"> </w:t>
      </w:r>
      <w:r>
        <w:t xml:space="preserve">safeguard, substantial risk would arise if multiple high-volume jurisdictions decide not to</w:t>
      </w:r>
      <w:r>
        <w:t xml:space="preserve"> </w:t>
      </w:r>
      <w:r>
        <w:t xml:space="preserve">implement the IMO mid-term measure, resulting in a significant number of voyages fully</w:t>
      </w:r>
      <w:r>
        <w:t xml:space="preserve"> </w:t>
      </w:r>
      <w:r>
        <w:t xml:space="preserve">excluded from the system at both ends. By contrast, the EU ETS applies, irrespective of</w:t>
      </w:r>
      <w:r>
        <w:t xml:space="preserve"> </w:t>
      </w:r>
      <w:r>
        <w:t xml:space="preserve">flag, ensuring consistent application on the basis of port activity rather than flag State</w:t>
      </w:r>
      <w:r>
        <w:t xml:space="preserve"> </w:t>
      </w:r>
      <w:r>
        <w:t xml:space="preserve">ratification.</w:t>
      </w:r>
      <w:r>
        <w:br/>
      </w:r>
      <w:r>
        <w:t xml:space="preserve">•</w:t>
      </w:r>
      <w:r>
        <w:t xml:space="preserve"> </w:t>
      </w:r>
      <w:r>
        <w:t xml:space="preserve">Risk of low enforceability: Even with broad legal implementation, enforcement of the</w:t>
      </w:r>
      <w:r>
        <w:t xml:space="preserve"> </w:t>
      </w:r>
      <w:r>
        <w:t xml:space="preserve">IMO mid-term measure will remain decentralised, potentially leading to inconsistencies</w:t>
      </w:r>
      <w:r>
        <w:t xml:space="preserve"> </w:t>
      </w:r>
      <w:r>
        <w:t xml:space="preserve">across jurisdictions. Until the respective guidelines are adopted, there remains uncertainty</w:t>
      </w:r>
    </w:p>
    <w:p>
      <w:pPr>
        <w:pStyle w:val="FirstParagraph"/>
      </w:pPr>
      <w:r>
        <w:t xml:space="preserve">297</w:t>
      </w:r>
    </w:p>
    <w:p>
      <w:pPr>
        <w:pStyle w:val="BodyText"/>
      </w:pPr>
      <w:r>
        <w:t xml:space="preserve">about how verification will be conducted in practice across flag States, creating potential</w:t>
      </w:r>
      <w:r>
        <w:t xml:space="preserve"> </w:t>
      </w:r>
      <w:r>
        <w:t xml:space="preserve">inconsistencies in enforcement. However, enforcement in practice will also depend</w:t>
      </w:r>
      <w:r>
        <w:t xml:space="preserve"> </w:t>
      </w:r>
      <w:r>
        <w:t xml:space="preserve">heavily on port States, as they hold direct jurisdiction over vessels calling at their ports.</w:t>
      </w:r>
      <w:r>
        <w:br/>
      </w:r>
      <w:r>
        <w:t xml:space="preserve">Beyond the above-mentioned differences, the implementation of an IMO mid-term measure</w:t>
      </w:r>
      <w:r>
        <w:br/>
      </w:r>
      <w:r>
        <w:t xml:space="preserve">together with the EU ETS and EU maritime MRV, without any changes, could lead to the</w:t>
      </w:r>
      <w:r>
        <w:t xml:space="preserve"> </w:t>
      </w:r>
      <w:r>
        <w:t xml:space="preserve">following inefficiencies:</w:t>
      </w:r>
      <w:r>
        <w:br/>
      </w:r>
      <w:r>
        <w:t xml:space="preserve">•</w:t>
      </w:r>
      <w:r>
        <w:t xml:space="preserve"> </w:t>
      </w:r>
      <w:r>
        <w:t xml:space="preserve">Double administrative burden: Ships above 5 000GT performing voyages from/to EU</w:t>
      </w:r>
      <w:r>
        <w:t xml:space="preserve"> </w:t>
      </w:r>
      <w:r>
        <w:t xml:space="preserve">ports would have to comply with both the EU ETS and the IMO mid-term measure. In</w:t>
      </w:r>
      <w:r>
        <w:t xml:space="preserve"> </w:t>
      </w:r>
      <w:r>
        <w:t xml:space="preserve">2024, some 3 300 companies, operating around 13 000 active vessels were subject to</w:t>
      </w:r>
      <w:r>
        <w:t xml:space="preserve"> </w:t>
      </w:r>
      <w:r>
        <w:t xml:space="preserve">compliance under the EU ETS. These figures provide therefore an upper-bound estimate</w:t>
      </w:r>
      <w:r>
        <w:t xml:space="preserve"> </w:t>
      </w:r>
      <w:r>
        <w:t xml:space="preserve">of the number of entities and ships potentially exposed to both policies. Without changes,</w:t>
      </w:r>
      <w:r>
        <w:t xml:space="preserve"> </w:t>
      </w:r>
      <w:r>
        <w:t xml:space="preserve">the application of the EU ETS and the IMO mid-term measure could entail some double</w:t>
      </w:r>
      <w:r>
        <w:t xml:space="preserve"> </w:t>
      </w:r>
      <w:r>
        <w:t xml:space="preserve">regulation, in the sense that a share of the shipping emissions could eventually be subject</w:t>
      </w:r>
      <w:r>
        <w:t xml:space="preserve"> </w:t>
      </w:r>
      <w:r>
        <w:t xml:space="preserve">to GHG pricing under both the ETS and the IMO mid-term measure. In addition, this</w:t>
      </w:r>
      <w:r>
        <w:t xml:space="preserve"> </w:t>
      </w:r>
      <w:r>
        <w:t xml:space="preserve">situation could entail additional administrative burden for companies as they would have</w:t>
      </w:r>
      <w:r>
        <w:t xml:space="preserve"> </w:t>
      </w:r>
      <w:r>
        <w:t xml:space="preserve">to implement two parallel monitoring, reporting, verification obligations. However, to a</w:t>
      </w:r>
      <w:r>
        <w:t xml:space="preserve"> </w:t>
      </w:r>
      <w:r>
        <w:t xml:space="preserve">certain extent, companies already have two separate MRV systems, with the co-existence</w:t>
      </w:r>
      <w:r>
        <w:t xml:space="preserve"> </w:t>
      </w:r>
      <w:r>
        <w:t xml:space="preserve">of the EU maritime MRV and the IMO Data Collection System. These two systems create</w:t>
      </w:r>
      <w:r>
        <w:t xml:space="preserve"> </w:t>
      </w:r>
      <w:r>
        <w:t xml:space="preserve">some additional administrative burden due to e.g. differences in data granularity,</w:t>
      </w:r>
      <w:r>
        <w:t xml:space="preserve"> </w:t>
      </w:r>
      <w:r>
        <w:t xml:space="preserve">verification rules or system design but they also allow for some operational synergies. EU</w:t>
      </w:r>
      <w:r>
        <w:t xml:space="preserve"> </w:t>
      </w:r>
      <w:r>
        <w:t xml:space="preserve">Member States’ authorities could also face some additional administrative burden linked</w:t>
      </w:r>
      <w:r>
        <w:t xml:space="preserve"> </w:t>
      </w:r>
      <w:r>
        <w:t xml:space="preserve">to different enforcement rules. This administrative burden dimension is assessed further</w:t>
      </w:r>
      <w:r>
        <w:t xml:space="preserve"> </w:t>
      </w:r>
      <w:r>
        <w:t xml:space="preserve">in the part on simplification.</w:t>
      </w:r>
      <w:r>
        <w:br/>
      </w:r>
      <w:r>
        <w:t xml:space="preserve">•</w:t>
      </w:r>
      <w:r>
        <w:t xml:space="preserve"> </w:t>
      </w:r>
      <w:r>
        <w:t xml:space="preserve">Double financial burden: to a certain extent, EU legislators intended that a double</w:t>
      </w:r>
      <w:r>
        <w:t xml:space="preserve"> </w:t>
      </w:r>
      <w:r>
        <w:t xml:space="preserve">financial burden exists between the EU ETS and FuelEU. This is namely the case for the</w:t>
      </w:r>
      <w:r>
        <w:t xml:space="preserve"> </w:t>
      </w:r>
      <w:r>
        <w:t xml:space="preserve">most polluting ships not in compliance with FuelEU trajectory that pay a FuelEU penalty</w:t>
      </w:r>
      <w:r>
        <w:t xml:space="preserve"> </w:t>
      </w:r>
      <w:r>
        <w:t xml:space="preserve">for non-compliance in parallel to the EU ETS surrendering obligation. An IMO mid-term</w:t>
      </w:r>
      <w:r>
        <w:t xml:space="preserve"> </w:t>
      </w:r>
      <w:r>
        <w:t xml:space="preserve">measure could add additional burden to ships already subject to FuelEU and ETS maritime</w:t>
      </w:r>
      <w:r>
        <w:t xml:space="preserve"> </w:t>
      </w:r>
      <w:r>
        <w:t xml:space="preserve">without the relationship being clarified. The extent to which there is a double burden will</w:t>
      </w:r>
      <w:r>
        <w:t xml:space="preserve"> </w:t>
      </w:r>
      <w:r>
        <w:t xml:space="preserve">depend on the environmental performance of the vessel and whether the vessel has</w:t>
      </w:r>
      <w:r>
        <w:t xml:space="preserve"> </w:t>
      </w:r>
      <w:r>
        <w:t xml:space="preserve">performed activities eligible under the ETS.</w:t>
      </w:r>
      <w:r>
        <w:br/>
      </w:r>
      <w:r>
        <w:t xml:space="preserve">Summary of stakeholder views from the OPC</w:t>
      </w:r>
      <w:r>
        <w:br/>
      </w:r>
      <w:r>
        <w:t xml:space="preserve">In the OPC, 107 respondents provided views on the coherence between the EU ETS and a</w:t>
      </w:r>
      <w:r>
        <w:t xml:space="preserve"> </w:t>
      </w:r>
      <w:r>
        <w:t xml:space="preserve">potential IMO global market-based measure for maritime transport. The most frequently cited</w:t>
      </w:r>
      <w:r>
        <w:t xml:space="preserve"> </w:t>
      </w:r>
      <w:r>
        <w:t xml:space="preserve">concern was the need to avoid duplication or double administrative burdens arising from</w:t>
      </w:r>
      <w:r>
        <w:t xml:space="preserve"> </w:t>
      </w:r>
      <w:r>
        <w:t xml:space="preserve">parallel EU and IMO systems (75 mentions), followed by calls for potential harmonisation</w:t>
      </w:r>
      <w:r>
        <w:t xml:space="preserve"> </w:t>
      </w:r>
      <w:r>
        <w:t xml:space="preserve">between EU and IMO measures (70 mentions). 45 stakeholders supported phasing out or</w:t>
      </w:r>
      <w:r>
        <w:t xml:space="preserve"> </w:t>
      </w:r>
      <w:r>
        <w:t xml:space="preserve">replacing the EU ETS with an IMO-based system once operational, while 15 emphasised</w:t>
      </w:r>
      <w:r>
        <w:t xml:space="preserve"> </w:t>
      </w:r>
      <w:r>
        <w:t xml:space="preserve">retaining the EU ETS to maintain environmental ambition and ensure EU leadership on</w:t>
      </w:r>
      <w:r>
        <w:t xml:space="preserve"> </w:t>
      </w:r>
      <w:r>
        <w:t xml:space="preserve">decarbonisation. 8 respondents raised concerns about competitiveness risks such as flagging</w:t>
      </w:r>
      <w:r>
        <w:t xml:space="preserve"> </w:t>
      </w:r>
      <w:r>
        <w:t xml:space="preserve">out or investment diversion, and six supported mutual recognition of compliance mechanisms</w:t>
      </w:r>
      <w:r>
        <w:t xml:space="preserve"> </w:t>
      </w:r>
      <w:r>
        <w:t xml:space="preserve">between the EU and IMO frameworks. A smaller group (3 respondents) called for early</w:t>
      </w:r>
      <w:r>
        <w:t xml:space="preserve"> </w:t>
      </w:r>
      <w:r>
        <w:t xml:space="preserve">coordination and transitional support during any phase-out, and 2 proposed differentiated or</w:t>
      </w:r>
      <w:r>
        <w:t xml:space="preserve"> </w:t>
      </w:r>
      <w:r>
        <w:t xml:space="preserve">simplified rules to reduce administrative burdens for specific vessel types. Overall,</w:t>
      </w:r>
      <w:r>
        <w:t xml:space="preserve"> </w:t>
      </w:r>
      <w:r>
        <w:t xml:space="preserve">stakeholders broadly agreed that the EU should work toward coherence with an IMO global</w:t>
      </w:r>
      <w:r>
        <w:t xml:space="preserve"> </w:t>
      </w:r>
      <w:r>
        <w:t xml:space="preserve">measure while ensuring high environmental integrity and avoiding duplicative costs or</w:t>
      </w:r>
      <w:r>
        <w:t xml:space="preserve"> </w:t>
      </w:r>
      <w:r>
        <w:t xml:space="preserve">regulatory overlap.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5.2. Policy measures</w:t>
      </w:r>
      <w:r>
        <w:t xml:space="preserve"> </w:t>
      </w:r>
      <w:r>
        <w:t xml:space="preserve">Policy measure IMO: Deduction to avoid a significant double burden for shipping</w:t>
      </w:r>
      <w:r>
        <w:t xml:space="preserve"> </w:t>
      </w:r>
      <w:r>
        <w:t xml:space="preserve">companies when complying with both the EU ETS and an IMO mid-term measure.</w:t>
      </w:r>
      <w:r>
        <w:br/>
      </w:r>
      <w:r>
        <w:t xml:space="preserve">This measure proposes to allow for a reduction of the amount of allowances to be surrendered</w:t>
      </w:r>
      <w:r>
        <w:t xml:space="preserve"> </w:t>
      </w:r>
      <w:r>
        <w:t xml:space="preserve">by shipping companies under the EU ETS on the basis of the emissions that are both covered</w:t>
      </w:r>
      <w:r>
        <w:t xml:space="preserve"> </w:t>
      </w:r>
      <w:r>
        <w:t xml:space="preserve">by the ETS and subject to regulation and GHG pricing under a future IMO mid-term measure.</w:t>
      </w:r>
      <w:r>
        <w:t xml:space="preserve"> </w:t>
      </w:r>
      <w:r>
        <w:t xml:space="preserve">Such a deduction would have to meet several criteria to avoid a significant double burden for</w:t>
      </w:r>
      <w:r>
        <w:t xml:space="preserve"> </w:t>
      </w:r>
      <w:r>
        <w:t xml:space="preserve">shipping companies, while safeguarding the environmental credibility of the EU framework.</w:t>
      </w:r>
      <w:r>
        <w:t xml:space="preserve"> </w:t>
      </w:r>
      <w:r>
        <w:t xml:space="preserve">In this context, it would have to be accompanied by the cancellation of an equivalent amount</w:t>
      </w:r>
      <w:r>
        <w:t xml:space="preserve"> </w:t>
      </w:r>
      <w:r>
        <w:t xml:space="preserve">of allowances under the ETS.</w:t>
      </w:r>
      <w:r>
        <w:t xml:space="preserve"> </w:t>
      </w:r>
      <w:r>
        <w:t xml:space="preserve">This section describes possible design configurations for a potential deduction mechanism,</w:t>
      </w:r>
      <w:r>
        <w:t xml:space="preserve"> </w:t>
      </w:r>
      <w:r>
        <w:t xml:space="preserve">namely in relation to:</w:t>
      </w:r>
      <w:r>
        <w:t xml:space="preserve"> </w:t>
      </w:r>
      <w:r>
        <w:t xml:space="preserve">• The metric of the deduction mechanism</w:t>
      </w:r>
      <w:r>
        <w:br/>
      </w:r>
      <w:r>
        <w:t xml:space="preserve">• The process to determine the GFI to be considered for calculating the amount of</w:t>
      </w:r>
      <w:r>
        <w:t xml:space="preserve"> </w:t>
      </w:r>
      <w:r>
        <w:t xml:space="preserve">emissions to be deducted</w:t>
      </w:r>
      <w:r>
        <w:t xml:space="preserve"> </w:t>
      </w:r>
      <w:r>
        <w:t xml:space="preserve">• Well-to-wake (WTW) or tank-to-wake (TTW) approach</w:t>
      </w:r>
      <w:r>
        <w:br/>
      </w:r>
      <w:r>
        <w:t xml:space="preserve">• Treatment of emissions from fuels that are zero-rated under the EU ETS</w:t>
      </w:r>
      <w:r>
        <w:t xml:space="preserve"> </w:t>
      </w:r>
      <w:r>
        <w:t xml:space="preserve">5.3. Analysis of design options and their assessment</w:t>
      </w:r>
      <w:r>
        <w:t xml:space="preserve"> </w:t>
      </w:r>
      <w:r>
        <w:t xml:space="preserve">5.3.1. Metric of the deduction mechanism (Design Option 1)</w:t>
      </w:r>
      <w:r>
        <w:t xml:space="preserve"> </w:t>
      </w:r>
      <w:r>
        <w:t xml:space="preserve">The IMO mid-term measure and the EU ETS regulate different emissions scopes. They are</w:t>
      </w:r>
      <w:r>
        <w:t xml:space="preserve"> </w:t>
      </w:r>
      <w:r>
        <w:t xml:space="preserve">subject to different price formation mechanisms, which could ultimately lead to different</w:t>
      </w:r>
      <w:r>
        <w:t xml:space="preserve"> </w:t>
      </w:r>
      <w:r>
        <w:t xml:space="preserve">compliance costs for regulated vessels and shipping companies. To avoid significant double</w:t>
      </w:r>
      <w:r>
        <w:t xml:space="preserve"> </w:t>
      </w:r>
      <w:r>
        <w:t xml:space="preserve">burden, two options are analysed regarding the possible deduction of ETS emissions, in case</w:t>
      </w:r>
      <w:r>
        <w:t xml:space="preserve"> </w:t>
      </w:r>
      <w:r>
        <w:t xml:space="preserve">they are regulated and priced under the IMO global measure: with and without a minimum</w:t>
      </w:r>
      <w:r>
        <w:t xml:space="preserve"> </w:t>
      </w:r>
      <w:r>
        <w:t xml:space="preserve">carbon price.</w:t>
      </w:r>
      <w:r>
        <w:br/>
      </w:r>
      <w:r>
        <w:t xml:space="preserve">As a first option, the deduction would allow shipping companies to surrender fewer ETS</w:t>
      </w:r>
      <w:r>
        <w:t xml:space="preserve"> </w:t>
      </w:r>
      <w:r>
        <w:t xml:space="preserve">allowances on the basis of the emissions (in tCO2e) priced both under the IMO mid-term</w:t>
      </w:r>
      <w:r>
        <w:t xml:space="preserve"> </w:t>
      </w:r>
      <w:r>
        <w:t xml:space="preserve">measure and the EU ETS, and independently from the carbon price signal imposed in the IMO.</w:t>
      </w:r>
      <w:r>
        <w:t xml:space="preserve"> </w:t>
      </w:r>
      <w:r>
        <w:t xml:space="preserve">This option would leave to the IMO the responsibility for pricing these emissions and ensure</w:t>
      </w:r>
      <w:r>
        <w:t xml:space="preserve"> </w:t>
      </w:r>
      <w:r>
        <w:t xml:space="preserve">that there is no double regulation in terms of GHG pricing.</w:t>
      </w:r>
      <w:r>
        <w:t xml:space="preserve"> </w:t>
      </w:r>
      <w:r>
        <w:t xml:space="preserve">A second option would be to allow shipping companies to surrender fewer allowances on the</w:t>
      </w:r>
      <w:r>
        <w:t xml:space="preserve"> </w:t>
      </w:r>
      <w:r>
        <w:t xml:space="preserve">basis of the emissions (in tCO2e) priced both under the IMO mid-term measure and the EU</w:t>
      </w:r>
      <w:r>
        <w:t xml:space="preserve"> </w:t>
      </w:r>
      <w:r>
        <w:t xml:space="preserve">ETS, but this time with a safeguard mechanism to ensure a minimum carbon price signal in</w:t>
      </w:r>
      <w:r>
        <w:t xml:space="preserve"> </w:t>
      </w:r>
      <w:r>
        <w:t xml:space="preserve">line with the EU ETS price. This mechanism would ensure that when GHG pricing from the</w:t>
      </w:r>
      <w:r>
        <w:t xml:space="preserve"> </w:t>
      </w:r>
      <w:r>
        <w:t xml:space="preserve">IMO mid-term measure is lower than the EU ETS average yearly price, the amount of</w:t>
      </w:r>
      <w:r>
        <w:t xml:space="preserve"> </w:t>
      </w:r>
      <w:r>
        <w:t xml:space="preserve">emissions to be exempted is corrected by multiplying it by the ratio between the IMO GHG</w:t>
      </w:r>
      <w:r>
        <w:t xml:space="preserve"> </w:t>
      </w:r>
      <w:r>
        <w:t xml:space="preserve">price and the EU ETS annual average price. This option would still leave to IMO the</w:t>
      </w:r>
      <w:r>
        <w:t xml:space="preserve"> </w:t>
      </w:r>
      <w:r>
        <w:t xml:space="preserve">responsibility for pricing these emissions but it would add a condition to safeguard a minimum</w:t>
      </w:r>
      <w:r>
        <w:t xml:space="preserve"> </w:t>
      </w:r>
      <w:r>
        <w:t xml:space="preserve">carbon price level.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Table 7:</w:t>
      </w:r>
      <w:r>
        <w:t xml:space="preserve"> </w:t>
      </w:r>
      <w:r>
        <w:t xml:space="preserve">Design options for the adjustment mechanism: Metric of the adjustment mechanism</w:t>
      </w:r>
      <w:r>
        <w:br/>
      </w:r>
      <w:r>
        <w:t xml:space="preserve">Design option</w:t>
      </w:r>
      <w:r>
        <w:br/>
      </w:r>
      <w:r>
        <w:t xml:space="preserve">Advantages</w:t>
      </w:r>
      <w:r>
        <w:br/>
      </w:r>
      <w:r>
        <w:t xml:space="preserve">Disadvantages</w:t>
      </w:r>
      <w:r>
        <w:br/>
      </w:r>
      <w:r>
        <w:t xml:space="preserve">1a Deduction approach:</w:t>
      </w:r>
      <w:r>
        <w:t xml:space="preserve"> </w:t>
      </w:r>
      <w:r>
        <w:t xml:space="preserve">Adjust the EU ETS</w:t>
      </w:r>
      <w:r>
        <w:t xml:space="preserve"> </w:t>
      </w:r>
      <w:r>
        <w:t xml:space="preserve">surrendering obligation</w:t>
      </w:r>
      <w:r>
        <w:t xml:space="preserve"> </w:t>
      </w:r>
      <w:r>
        <w:t xml:space="preserve">by deducting all the EU</w:t>
      </w:r>
      <w:r>
        <w:t xml:space="preserve"> </w:t>
      </w:r>
      <w:r>
        <w:t xml:space="preserve">ETS scope emissions</w:t>
      </w:r>
      <w:r>
        <w:t xml:space="preserve"> </w:t>
      </w:r>
      <w:r>
        <w:t xml:space="preserve">priced under IMO mid-</w:t>
      </w:r>
      <w:r>
        <w:t xml:space="preserve"> </w:t>
      </w:r>
      <w:r>
        <w:t xml:space="preserve">term measure</w:t>
      </w:r>
      <w:r>
        <w:br/>
      </w:r>
      <w:r>
        <w:t xml:space="preserve">Simple, can be incorporated as a</w:t>
      </w:r>
      <w:r>
        <w:t xml:space="preserve"> </w:t>
      </w:r>
      <w:r>
        <w:t xml:space="preserve">derogation in the legislation.</w:t>
      </w:r>
      <w:r>
        <w:br/>
      </w:r>
      <w:r>
        <w:t xml:space="preserve">It would ensure no double</w:t>
      </w:r>
      <w:r>
        <w:t xml:space="preserve"> </w:t>
      </w:r>
      <w:r>
        <w:t xml:space="preserve">regulation in terms of GHG</w:t>
      </w:r>
      <w:r>
        <w:t xml:space="preserve"> </w:t>
      </w:r>
      <w:r>
        <w:t xml:space="preserve">pricing.</w:t>
      </w:r>
      <w:r>
        <w:br/>
      </w:r>
      <w:r>
        <w:t xml:space="preserve">It would not involve exposure to</w:t>
      </w:r>
      <w:r>
        <w:t xml:space="preserve"> </w:t>
      </w:r>
      <w:r>
        <w:t xml:space="preserve">the USD-EUR exchange rates.</w:t>
      </w:r>
      <w:r>
        <w:br/>
      </w:r>
      <w:r>
        <w:t xml:space="preserve">Risk of excessive derogations if</w:t>
      </w:r>
      <w:r>
        <w:t xml:space="preserve"> </w:t>
      </w:r>
      <w:r>
        <w:t xml:space="preserve">the IMO verification and</w:t>
      </w:r>
      <w:r>
        <w:t xml:space="preserve"> </w:t>
      </w:r>
      <w:r>
        <w:t xml:space="preserve">enforcement processes are not</w:t>
      </w:r>
      <w:r>
        <w:t xml:space="preserve"> </w:t>
      </w:r>
      <w:r>
        <w:t xml:space="preserve">sufficiently robust.</w:t>
      </w:r>
    </w:p>
    <w:p>
      <w:pPr>
        <w:pStyle w:val="BodyText"/>
      </w:pPr>
      <w:r>
        <w:t xml:space="preserve">Lower compliance costs under</w:t>
      </w:r>
      <w:r>
        <w:t xml:space="preserve"> </w:t>
      </w:r>
      <w:r>
        <w:t xml:space="preserve">the IMO would weaken the</w:t>
      </w:r>
      <w:r>
        <w:t xml:space="preserve"> </w:t>
      </w:r>
      <w:r>
        <w:t xml:space="preserve">incentives of the EU framework</w:t>
      </w:r>
      <w:r>
        <w:t xml:space="preserve"> </w:t>
      </w:r>
      <w:r>
        <w:t xml:space="preserve">to reduce emissions.</w:t>
      </w:r>
      <w:r>
        <w:br/>
      </w:r>
      <w:r>
        <w:t xml:space="preserve">1b Deduction as 1 a but</w:t>
      </w:r>
      <w:r>
        <w:t xml:space="preserve"> </w:t>
      </w:r>
      <w:r>
        <w:t xml:space="preserve">taking into account the</w:t>
      </w:r>
      <w:r>
        <w:t xml:space="preserve"> </w:t>
      </w:r>
      <w:r>
        <w:t xml:space="preserve">price difference between</w:t>
      </w:r>
      <w:r>
        <w:t xml:space="preserve"> </w:t>
      </w:r>
      <w:r>
        <w:t xml:space="preserve">the ETS and IMO</w:t>
      </w:r>
      <w:r>
        <w:t xml:space="preserve"> </w:t>
      </w:r>
      <w:r>
        <w:t xml:space="preserve">measure</w:t>
      </w:r>
      <w:r>
        <w:br/>
      </w:r>
      <w:r>
        <w:t xml:space="preserve">Same as for 1a, and could prevent</w:t>
      </w:r>
      <w:r>
        <w:t xml:space="preserve"> </w:t>
      </w:r>
      <w:r>
        <w:t xml:space="preserve">IMO price signal from dropping</w:t>
      </w:r>
      <w:r>
        <w:t xml:space="preserve"> </w:t>
      </w:r>
      <w:r>
        <w:t xml:space="preserve">below the EU ETS price, which</w:t>
      </w:r>
      <w:r>
        <w:t xml:space="preserve"> </w:t>
      </w:r>
      <w:r>
        <w:t xml:space="preserve">would weaken the price signal for</w:t>
      </w:r>
      <w:r>
        <w:t xml:space="preserve"> </w:t>
      </w:r>
      <w:r>
        <w:t xml:space="preserve">investors and shipping companies.</w:t>
      </w:r>
      <w:r>
        <w:t xml:space="preserve"> </w:t>
      </w:r>
      <w:r>
        <w:t xml:space="preserve">Risk of excessive derogations if</w:t>
      </w:r>
      <w:r>
        <w:t xml:space="preserve"> </w:t>
      </w:r>
      <w:r>
        <w:t xml:space="preserve">IMO verification and</w:t>
      </w:r>
      <w:r>
        <w:t xml:space="preserve"> </w:t>
      </w:r>
      <w:r>
        <w:t xml:space="preserve">enforcement processes are not</w:t>
      </w:r>
      <w:r>
        <w:t xml:space="preserve"> </w:t>
      </w:r>
      <w:r>
        <w:t xml:space="preserve">sufficiently robust. The</w:t>
      </w:r>
      <w:r>
        <w:t xml:space="preserve"> </w:t>
      </w:r>
      <w:r>
        <w:t xml:space="preserve">correction mechanism may</w:t>
      </w:r>
      <w:r>
        <w:t xml:space="preserve"> </w:t>
      </w:r>
      <w:r>
        <w:t xml:space="preserve">cause additional administrative</w:t>
      </w:r>
      <w:r>
        <w:t xml:space="preserve"> </w:t>
      </w:r>
      <w:r>
        <w:t xml:space="preserve">costs.</w:t>
      </w:r>
      <w:r>
        <w:br/>
      </w:r>
      <w:r>
        <w:t xml:space="preserve">5.3.2. Process to determine GFI to be considered to determine the deduction (Design</w:t>
      </w:r>
      <w:r>
        <w:t xml:space="preserve"> </w:t>
      </w:r>
      <w:r>
        <w:t xml:space="preserve">Option 2)</w:t>
      </w:r>
      <w:r>
        <w:t xml:space="preserve"> </w:t>
      </w:r>
      <w:r>
        <w:t xml:space="preserve">Determining the amount of emissions subject to both ETS and IMO pricing could require</w:t>
      </w:r>
      <w:r>
        <w:t xml:space="preserve"> </w:t>
      </w:r>
      <w:r>
        <w:t xml:space="preserve">assuming an attained GFI on voyages subject to a double burden. There are several options for</w:t>
      </w:r>
      <w:r>
        <w:t xml:space="preserve"> </w:t>
      </w:r>
      <w:r>
        <w:t xml:space="preserve">obtaining this value.</w:t>
      </w:r>
      <w:r>
        <w:t xml:space="preserve"> </w:t>
      </w:r>
      <w:r>
        <w:t xml:space="preserve">The first option is to use the attained GFI when reported under the IMO via the company’s</w:t>
      </w:r>
      <w:r>
        <w:t xml:space="preserve"> </w:t>
      </w:r>
      <w:r>
        <w:t xml:space="preserve">Statement of Compliance (reported annually). The underlying assumption is that the global</w:t>
      </w:r>
      <w:r>
        <w:t xml:space="preserve"> </w:t>
      </w:r>
      <w:r>
        <w:t xml:space="preserve">GFI also applies to voyages under the EU ETS. Since the global GFI is expected to be higher</w:t>
      </w:r>
      <w:r>
        <w:t xml:space="preserve"> </w:t>
      </w:r>
      <w:r>
        <w:t xml:space="preserve">than EU-specific GFI (due to existing EU decarbonisation policies), emissions/costs eligible</w:t>
      </w:r>
      <w:r>
        <w:t xml:space="preserve"> </w:t>
      </w:r>
      <w:r>
        <w:t xml:space="preserve">for the deduction may be higher, i.e., the deductions could potentially overcompensate shipping</w:t>
      </w:r>
      <w:r>
        <w:t xml:space="preserve"> </w:t>
      </w:r>
      <w:r>
        <w:t xml:space="preserve">companies.</w:t>
      </w:r>
      <w:r>
        <w:t xml:space="preserve"> </w:t>
      </w:r>
      <w:r>
        <w:t xml:space="preserve">A second option is to use the FuelEU / MRV GFI (based on EU methodology). This would</w:t>
      </w:r>
      <w:r>
        <w:t xml:space="preserve"> </w:t>
      </w:r>
      <w:r>
        <w:t xml:space="preserve">reflect the actual GFI attained on voyages subject to a double burden, relying only on existing</w:t>
      </w:r>
      <w:r>
        <w:t xml:space="preserve"> </w:t>
      </w:r>
      <w:r>
        <w:t xml:space="preserve">EU-specific data. However, different accounting systems between Fuel EU/MRV and IMO</w:t>
      </w:r>
      <w:r>
        <w:t xml:space="preserve"> </w:t>
      </w:r>
      <w:r>
        <w:t xml:space="preserve">may lead to substantial differences with the attained GFI under the IMO rules. In principle, the</w:t>
      </w:r>
      <w:r>
        <w:t xml:space="preserve"> </w:t>
      </w:r>
      <w:r>
        <w:t xml:space="preserve">emissions/costs to be deducted would be smaller, avoiding overcompensation.</w:t>
      </w:r>
      <w:r>
        <w:t xml:space="preserve"> </w:t>
      </w:r>
      <w:r>
        <w:t xml:space="preserve">Finally, the third option is to simulate the equivalent IMO GFI using data reported through the</w:t>
      </w:r>
      <w:r>
        <w:t xml:space="preserve"> </w:t>
      </w:r>
      <w:r>
        <w:t xml:space="preserve">EU MRV system (but using the IMO methodology to estimate the attained GFI). This would</w:t>
      </w:r>
      <w:r>
        <w:t xml:space="preserve"> </w:t>
      </w:r>
      <w:r>
        <w:t xml:space="preserve">reflect only EU-specific data, and the accounting system would fully match that of the IMO,</w:t>
      </w:r>
      <w:r>
        <w:t xml:space="preserve"> </w:t>
      </w:r>
      <w:r>
        <w:t xml:space="preserve">avoiding different results and overcompensation.</w:t>
      </w:r>
      <w:r>
        <w:t xml:space="preserve"> </w:t>
      </w:r>
      <w:r>
        <w:t xml:space="preserve">Table 8:</w:t>
      </w:r>
      <w:r>
        <w:t xml:space="preserve"> </w:t>
      </w:r>
      <w:r>
        <w:t xml:space="preserve">Design options for the adjustment mechanism: Process to determine GFI</w:t>
      </w:r>
      <w:r>
        <w:br/>
      </w:r>
      <w:r>
        <w:t xml:space="preserve">Design option</w:t>
      </w:r>
      <w:r>
        <w:br/>
      </w:r>
      <w:r>
        <w:t xml:space="preserve">Advantages</w:t>
      </w:r>
      <w:r>
        <w:br/>
      </w:r>
      <w:r>
        <w:t xml:space="preserve">Disadvantages</w:t>
      </w:r>
      <w:r>
        <w:br/>
      </w:r>
      <w:r>
        <w:t xml:space="preserve">2a IMO NZF GFI: Use the</w:t>
      </w:r>
      <w:r>
        <w:t xml:space="preserve"> </w:t>
      </w:r>
      <w:r>
        <w:t xml:space="preserve">attained</w:t>
      </w:r>
      <w:r>
        <w:t xml:space="preserve"> </w:t>
      </w:r>
      <w:r>
        <w:t xml:space="preserve">GFI</w:t>
      </w:r>
      <w:r>
        <w:t xml:space="preserve"> </w:t>
      </w:r>
      <w:r>
        <w:t xml:space="preserve">reported</w:t>
      </w:r>
      <w:r>
        <w:t xml:space="preserve"> </w:t>
      </w:r>
      <w:r>
        <w:t xml:space="preserve">under the IMO via the</w:t>
      </w:r>
      <w:r>
        <w:t xml:space="preserve"> </w:t>
      </w:r>
      <w:r>
        <w:t xml:space="preserve">company’s Statement of</w:t>
      </w:r>
      <w:r>
        <w:t xml:space="preserve"> </w:t>
      </w:r>
      <w:r>
        <w:t xml:space="preserve">Compliance</w:t>
      </w:r>
      <w:r>
        <w:br/>
      </w:r>
      <w:r>
        <w:t xml:space="preserve">Simple,</w:t>
      </w:r>
      <w:r>
        <w:t xml:space="preserve"> </w:t>
      </w:r>
      <w:r>
        <w:t xml:space="preserve">reduced</w:t>
      </w:r>
      <w:r>
        <w:t xml:space="preserve"> </w:t>
      </w:r>
      <w:r>
        <w:t xml:space="preserve">need</w:t>
      </w:r>
      <w:r>
        <w:t xml:space="preserve"> </w:t>
      </w:r>
      <w:r>
        <w:t xml:space="preserve">for additional administrative</w:t>
      </w:r>
      <w:r>
        <w:t xml:space="preserve"> </w:t>
      </w:r>
      <w:r>
        <w:t xml:space="preserve">steps.</w:t>
      </w:r>
      <w:r>
        <w:br/>
      </w:r>
      <w:r>
        <w:t xml:space="preserve">Possible</w:t>
      </w:r>
      <w:r>
        <w:t xml:space="preserve"> </w:t>
      </w:r>
      <w:r>
        <w:t xml:space="preserve">over-compensation</w:t>
      </w:r>
      <w:r>
        <w:t xml:space="preserve"> </w:t>
      </w:r>
      <w:r>
        <w:t xml:space="preserve">if</w:t>
      </w:r>
      <w:r>
        <w:t xml:space="preserve"> </w:t>
      </w:r>
      <w:r>
        <w:t xml:space="preserve">voyages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EU</w:t>
      </w:r>
      <w:r>
        <w:t xml:space="preserve"> </w:t>
      </w:r>
      <w:r>
        <w:t xml:space="preserve">ETS</w:t>
      </w:r>
      <w:r>
        <w:t xml:space="preserve"> </w:t>
      </w:r>
      <w:r>
        <w:t xml:space="preserve">requirements operate with</w:t>
      </w:r>
      <w:r>
        <w:t xml:space="preserve"> </w:t>
      </w:r>
      <w:r>
        <w:t xml:space="preserve">cleaner</w:t>
      </w:r>
      <w:r>
        <w:t xml:space="preserve"> </w:t>
      </w:r>
      <w:r>
        <w:t xml:space="preserve">fuels than the vessel’s annual, global</w:t>
      </w:r>
      <w:r>
        <w:t xml:space="preserve"> </w:t>
      </w:r>
      <w:r>
        <w:t xml:space="preserve">average. Relying on the IMO NZF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compliance cycle may also require</w:t>
      </w:r>
      <w:r>
        <w:t xml:space="preserve"> </w:t>
      </w:r>
      <w:r>
        <w:t xml:space="preserve">timeline adjustments of the EU</w:t>
      </w:r>
      <w:r>
        <w:t xml:space="preserve"> </w:t>
      </w:r>
      <w:r>
        <w:t xml:space="preserve">ETS or imply delays in deductions.</w:t>
      </w:r>
      <w:r>
        <w:br/>
      </w:r>
      <w:r>
        <w:t xml:space="preserve">2b FuelEU Maritime GFI:</w:t>
      </w:r>
      <w:r>
        <w:t xml:space="preserve"> </w:t>
      </w:r>
      <w:r>
        <w:t xml:space="preserve">Use</w:t>
      </w:r>
      <w:r>
        <w:t xml:space="preserve"> </w:t>
      </w:r>
      <w:r>
        <w:t xml:space="preserve">the FuelEU /</w:t>
      </w:r>
      <w:r>
        <w:t xml:space="preserve"> </w:t>
      </w:r>
      <w:r>
        <w:t xml:space="preserve">MRV</w:t>
      </w:r>
      <w:r>
        <w:t xml:space="preserve"> </w:t>
      </w:r>
      <w:r>
        <w:t xml:space="preserve">GFI</w:t>
      </w:r>
      <w:r>
        <w:br/>
      </w:r>
      <w:r>
        <w:t xml:space="preserve">Use of data already available</w:t>
      </w:r>
      <w:r>
        <w:t xml:space="preserve"> </w:t>
      </w:r>
      <w:r>
        <w:t xml:space="preserve">under EU MRV to obtain</w:t>
      </w:r>
      <w:r>
        <w:t xml:space="preserve"> </w:t>
      </w:r>
      <w:r>
        <w:t xml:space="preserve">results specific to voyages</w:t>
      </w:r>
      <w:r>
        <w:t xml:space="preserve"> </w:t>
      </w:r>
      <w:r>
        <w:t xml:space="preserve">subject to EU ETS.</w:t>
      </w:r>
      <w:r>
        <w:br/>
      </w:r>
      <w:r>
        <w:t xml:space="preserve">Potential differences in the GHG</w:t>
      </w:r>
      <w:r>
        <w:t xml:space="preserve"> </w:t>
      </w:r>
      <w:r>
        <w:t xml:space="preserve">calculation methods under EU ETS</w:t>
      </w:r>
      <w:r>
        <w:t xml:space="preserve"> </w:t>
      </w:r>
      <w:r>
        <w:t xml:space="preserve">and IMO NZF could lead to over- or</w:t>
      </w:r>
      <w:r>
        <w:t xml:space="preserve"> </w:t>
      </w:r>
      <w:r>
        <w:t xml:space="preserve">underestimating the portion of IMO</w:t>
      </w:r>
      <w:r>
        <w:t xml:space="preserve"> </w:t>
      </w:r>
      <w:r>
        <w:t xml:space="preserve">NZF compliance costs attributable to</w:t>
      </w:r>
      <w:r>
        <w:t xml:space="preserve"> </w:t>
      </w:r>
      <w:r>
        <w:t xml:space="preserve">voyages also subject to the EU ETS</w:t>
      </w:r>
      <w:r>
        <w:t xml:space="preserve"> </w:t>
      </w:r>
      <w:r>
        <w:t xml:space="preserve">2c</w:t>
      </w:r>
      <w:r>
        <w:t xml:space="preserve"> </w:t>
      </w:r>
      <w:r>
        <w:t xml:space="preserve">Simulated</w:t>
      </w:r>
      <w:r>
        <w:t xml:space="preserve"> </w:t>
      </w:r>
      <w:r>
        <w:t xml:space="preserve">GFI:</w:t>
      </w:r>
      <w:r>
        <w:t xml:space="preserve"> </w:t>
      </w:r>
      <w:r>
        <w:t xml:space="preserve">Simulate the equivalent</w:t>
      </w:r>
      <w:r>
        <w:t xml:space="preserve"> </w:t>
      </w:r>
      <w:r>
        <w:t xml:space="preserve">IMO</w:t>
      </w:r>
      <w:r>
        <w:t xml:space="preserve"> </w:t>
      </w:r>
      <w:r>
        <w:t xml:space="preserve">GFI</w:t>
      </w:r>
      <w:r>
        <w:t xml:space="preserve"> </w:t>
      </w:r>
      <w:r>
        <w:t xml:space="preserve">using</w:t>
      </w:r>
      <w:r>
        <w:t xml:space="preserve"> </w:t>
      </w:r>
      <w:r>
        <w:t xml:space="preserve">data</w:t>
      </w:r>
      <w:r>
        <w:t xml:space="preserve"> </w:t>
      </w:r>
      <w:r>
        <w:t xml:space="preserve">reported through the EU</w:t>
      </w:r>
      <w:r>
        <w:t xml:space="preserve"> </w:t>
      </w:r>
      <w:r>
        <w:t xml:space="preserve">MRV system</w:t>
      </w:r>
      <w:r>
        <w:br/>
      </w:r>
      <w:r>
        <w:t xml:space="preserve">Precise</w:t>
      </w:r>
      <w:r>
        <w:t xml:space="preserve"> </w:t>
      </w:r>
      <w:r>
        <w:t xml:space="preserve">estimates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incurred double burden</w:t>
      </w:r>
      <w:r>
        <w:t xml:space="preserve"> </w:t>
      </w:r>
      <w:r>
        <w:t xml:space="preserve">on</w:t>
      </w:r>
      <w:r>
        <w:t xml:space="preserve"> </w:t>
      </w:r>
      <w:r>
        <w:t xml:space="preserve">voyages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both</w:t>
      </w:r>
      <w:r>
        <w:t xml:space="preserve"> </w:t>
      </w:r>
      <w:r>
        <w:t xml:space="preserve">frameworks.</w:t>
      </w:r>
      <w:r>
        <w:br/>
      </w:r>
      <w:r>
        <w:t xml:space="preserve">Distinct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under</w:t>
      </w:r>
      <w:r>
        <w:t xml:space="preserve"> </w:t>
      </w:r>
      <w:r>
        <w:t xml:space="preserve">EU</w:t>
      </w:r>
      <w:r>
        <w:t xml:space="preserve"> </w:t>
      </w:r>
      <w:r>
        <w:t xml:space="preserve">MRV</w:t>
      </w:r>
      <w:r>
        <w:t xml:space="preserve"> </w:t>
      </w:r>
      <w:r>
        <w:t xml:space="preserve">for FuelEU Maritime and EU ETS</w:t>
      </w:r>
      <w:r>
        <w:t xml:space="preserve"> </w:t>
      </w:r>
      <w:r>
        <w:t xml:space="preserve">for voyages between ports in and</w:t>
      </w:r>
      <w:r>
        <w:t xml:space="preserve"> </w:t>
      </w:r>
      <w:r>
        <w:t xml:space="preserve">outside the EU may result in</w:t>
      </w:r>
      <w:r>
        <w:t xml:space="preserve"> </w:t>
      </w:r>
      <w:r>
        <w:t xml:space="preserve">misalignment of estimates.24</w:t>
      </w:r>
      <w:r>
        <w:br/>
      </w:r>
      <w:r>
        <w:t xml:space="preserve">5.3.3. Well-to-wake (WTW) or tank-to-wake (TTW) approach (Design Option 3)</w:t>
      </w:r>
      <w:r>
        <w:t xml:space="preserve"> </w:t>
      </w:r>
      <w:r>
        <w:t xml:space="preserve">A key difference between the IMO mid-term measures implementing the 2023 Strategy and</w:t>
      </w:r>
      <w:r>
        <w:t xml:space="preserve"> </w:t>
      </w:r>
      <w:r>
        <w:t xml:space="preserve">the EU ETS is that the IMO 2023 Strategy refers to Well-to-Wake (WtW) emissions, while the</w:t>
      </w:r>
      <w:r>
        <w:t xml:space="preserve"> </w:t>
      </w:r>
      <w:r>
        <w:t xml:space="preserve">EU ETS only considers tailpipe emissions (tank-to-wake, TtW). There are two options for</w:t>
      </w:r>
      <w:r>
        <w:t xml:space="preserve"> </w:t>
      </w:r>
      <w:r>
        <w:t xml:space="preserve">accounting for this difference in the design of the IMO deduction measure:</w:t>
      </w:r>
      <w:r>
        <w:br/>
      </w:r>
      <w:r>
        <w:t xml:space="preserve">• deduct from the surrendering obligations emissions priced under both the EU ETS and</w:t>
      </w:r>
      <w:r>
        <w:t xml:space="preserve"> </w:t>
      </w:r>
      <w:r>
        <w:t xml:space="preserve">the IMO mid-term measure, based on TtW emissions.</w:t>
      </w:r>
      <w:r>
        <w:br/>
      </w:r>
      <w:r>
        <w:t xml:space="preserve">• deduct from the surrendering obligations emissions priced under both the EU ETS and</w:t>
      </w:r>
      <w:r>
        <w:t xml:space="preserve"> </w:t>
      </w:r>
      <w:r>
        <w:t xml:space="preserve">the IMO mid-term measure, based on WtW emissions.</w:t>
      </w:r>
      <w:r>
        <w:br/>
      </w:r>
      <w:r>
        <w:t xml:space="preserve">Table provides an overview of both options and their advantages and disadvantages.</w:t>
      </w:r>
      <w:r>
        <w:t xml:space="preserve"> </w:t>
      </w:r>
      <w:r>
        <w:t xml:space="preserve">Table 9:</w:t>
      </w:r>
      <w:r>
        <w:t xml:space="preserve"> </w:t>
      </w:r>
      <w:r>
        <w:t xml:space="preserve">Design options for the adjustment mechanism: Well-to-wake (WTW) or tank-to-wake</w:t>
      </w:r>
      <w:r>
        <w:t xml:space="preserve"> </w:t>
      </w:r>
      <w:r>
        <w:t xml:space="preserve">(TTW) approach</w:t>
      </w:r>
      <w:r>
        <w:br/>
      </w:r>
      <w:r>
        <w:t xml:space="preserve">Design option</w:t>
      </w:r>
      <w:r>
        <w:br/>
      </w:r>
      <w:r>
        <w:t xml:space="preserve">Advantages</w:t>
      </w:r>
      <w:r>
        <w:br/>
      </w:r>
      <w:r>
        <w:t xml:space="preserve">Disadvantages</w:t>
      </w:r>
      <w:r>
        <w:br/>
      </w:r>
      <w:r>
        <w:t xml:space="preserve">3a TTW: Only</w:t>
      </w:r>
      <w:r>
        <w:t xml:space="preserve"> </w:t>
      </w:r>
      <w:r>
        <w:t xml:space="preserve">the proportion</w:t>
      </w:r>
      <w:r>
        <w:t xml:space="preserve"> </w:t>
      </w:r>
      <w:r>
        <w:t xml:space="preserve">of</w:t>
      </w:r>
      <w:r>
        <w:t xml:space="preserve"> </w:t>
      </w:r>
      <w:r>
        <w:t xml:space="preserve">TTW</w:t>
      </w:r>
      <w:r>
        <w:t xml:space="preserve"> </w:t>
      </w:r>
      <w:r>
        <w:t xml:space="preserve">emissions</w:t>
      </w:r>
      <w:r>
        <w:t xml:space="preserve"> </w:t>
      </w:r>
      <w:r>
        <w:t xml:space="preserve">falling</w:t>
      </w:r>
      <w:r>
        <w:t xml:space="preserve"> </w:t>
      </w:r>
      <w:r>
        <w:t xml:space="preserve">under</w:t>
      </w:r>
      <w:r>
        <w:t xml:space="preserve"> </w:t>
      </w:r>
      <w:r>
        <w:t xml:space="preserve">IMO can be</w:t>
      </w:r>
      <w:r>
        <w:t xml:space="preserve"> </w:t>
      </w:r>
      <w:r>
        <w:t xml:space="preserve">deducted</w:t>
      </w:r>
      <w:r>
        <w:br/>
      </w:r>
      <w:r>
        <w:t xml:space="preserve">Ensures better alignment with the scope</w:t>
      </w:r>
      <w:r>
        <w:t xml:space="preserve"> </w:t>
      </w:r>
      <w:r>
        <w:t xml:space="preserve">of emissions under the EU ETS maritime</w:t>
      </w:r>
      <w:r>
        <w:t xml:space="preserve"> </w:t>
      </w:r>
      <w:r>
        <w:t xml:space="preserve">transport extension.</w:t>
      </w:r>
      <w:r>
        <w:br/>
      </w:r>
      <w:r>
        <w:t xml:space="preserve">Requires recalculating the attained</w:t>
      </w:r>
      <w:r>
        <w:t xml:space="preserve"> </w:t>
      </w:r>
      <w:r>
        <w:t xml:space="preserve">GFI value to reflect only TTW</w:t>
      </w:r>
      <w:r>
        <w:t xml:space="preserve"> </w:t>
      </w:r>
      <w:r>
        <w:t xml:space="preserve">emissions.</w:t>
      </w:r>
      <w:r>
        <w:t xml:space="preserve"> </w:t>
      </w:r>
      <w:r>
        <w:t xml:space="preserve">Does not reflect the fact that some</w:t>
      </w:r>
      <w:r>
        <w:t xml:space="preserve"> </w:t>
      </w:r>
      <w:r>
        <w:t xml:space="preserve">upstream emissions linked to the</w:t>
      </w:r>
      <w:r>
        <w:t xml:space="preserve"> </w:t>
      </w:r>
      <w:r>
        <w:t xml:space="preserve">production of marine fuels in the EU</w:t>
      </w:r>
      <w:r>
        <w:t xml:space="preserve"> </w:t>
      </w:r>
      <w:r>
        <w:t xml:space="preserve">could also fall under the scope of the</w:t>
      </w:r>
      <w:r>
        <w:t xml:space="preserve"> </w:t>
      </w:r>
      <w:r>
        <w:t xml:space="preserve">ETS.</w:t>
      </w:r>
      <w:r>
        <w:t xml:space="preserve"> </w:t>
      </w:r>
      <w:r>
        <w:t xml:space="preserve">3b</w:t>
      </w:r>
      <w:r>
        <w:t xml:space="preserve"> </w:t>
      </w:r>
      <w:r>
        <w:t xml:space="preserve">WTW: All</w:t>
      </w:r>
      <w:r>
        <w:t xml:space="preserve"> </w:t>
      </w:r>
      <w:r>
        <w:t xml:space="preserve">emissions (on a</w:t>
      </w:r>
      <w:r>
        <w:t xml:space="preserve"> </w:t>
      </w:r>
      <w:r>
        <w:t xml:space="preserve">WTW</w:t>
      </w:r>
      <w:r>
        <w:t xml:space="preserve"> </w:t>
      </w:r>
      <w:r>
        <w:t xml:space="preserve">basis)</w:t>
      </w:r>
      <w:r>
        <w:t xml:space="preserve"> </w:t>
      </w:r>
      <w:r>
        <w:t xml:space="preserve">falling</w:t>
      </w:r>
      <w:r>
        <w:t xml:space="preserve"> </w:t>
      </w:r>
      <w:r>
        <w:t xml:space="preserve">under</w:t>
      </w:r>
      <w:r>
        <w:t xml:space="preserve"> </w:t>
      </w:r>
      <w:r>
        <w:t xml:space="preserve">IMO can be</w:t>
      </w:r>
      <w:r>
        <w:t xml:space="preserve"> </w:t>
      </w:r>
      <w:r>
        <w:t xml:space="preserve">deducted</w:t>
      </w:r>
      <w:r>
        <w:br/>
      </w:r>
      <w:r>
        <w:t xml:space="preserve">Simple approach. Compatible with 3a.</w:t>
      </w:r>
      <w:r>
        <w:br/>
      </w:r>
      <w:r>
        <w:t xml:space="preserve">Ensures</w:t>
      </w:r>
      <w:r>
        <w:t xml:space="preserve"> </w:t>
      </w:r>
      <w:r>
        <w:t xml:space="preserve">better</w:t>
      </w:r>
      <w:r>
        <w:t xml:space="preserve"> </w:t>
      </w:r>
      <w:r>
        <w:t xml:space="preserve">alignment</w:t>
      </w:r>
      <w:r>
        <w:t xml:space="preserve"> </w:t>
      </w:r>
      <w:r>
        <w:t xml:space="preserve">with</w:t>
      </w:r>
      <w:r>
        <w:t xml:space="preserve"> </w:t>
      </w:r>
      <w:r>
        <w:t xml:space="preserve">the double burden perceived by shipping</w:t>
      </w:r>
      <w:r>
        <w:t xml:space="preserve"> </w:t>
      </w:r>
      <w:r>
        <w:t xml:space="preserve">companies.</w:t>
      </w:r>
      <w:r>
        <w:t xml:space="preserve"> </w:t>
      </w:r>
      <w:r>
        <w:t xml:space="preserve">Reflect the fact that some upstream</w:t>
      </w:r>
      <w:r>
        <w:t xml:space="preserve"> </w:t>
      </w:r>
      <w:r>
        <w:t xml:space="preserve">emissions are also covered under the EU</w:t>
      </w:r>
      <w:r>
        <w:t xml:space="preserve"> </w:t>
      </w:r>
      <w:r>
        <w:t xml:space="preserve">ETS linked to the production of marine</w:t>
      </w:r>
      <w:r>
        <w:t xml:space="preserve"> </w:t>
      </w:r>
      <w:r>
        <w:t xml:space="preserve">fuels.</w:t>
      </w:r>
      <w:r>
        <w:t xml:space="preserve"> </w:t>
      </w: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could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overcompensation</w:t>
      </w:r>
      <w:r>
        <w:t xml:space="preserve"> </w:t>
      </w:r>
      <w:r>
        <w:t xml:space="preserve">as</w:t>
      </w:r>
      <w:r>
        <w:t xml:space="preserve"> </w:t>
      </w:r>
      <w:r>
        <w:t xml:space="preserve">the adjustment mechanism</w:t>
      </w:r>
      <w:r>
        <w:t xml:space="preserve"> </w:t>
      </w:r>
      <w:r>
        <w:t xml:space="preserve">would</w:t>
      </w:r>
      <w:r>
        <w:t xml:space="preserve"> </w:t>
      </w:r>
      <w:r>
        <w:t xml:space="preserve">apply to WTT emissions, which are</w:t>
      </w:r>
      <w:r>
        <w:t xml:space="preserve"> </w:t>
      </w:r>
      <w:r>
        <w:t xml:space="preserve">not necessarily subject to the EU ETS</w:t>
      </w:r>
      <w:r>
        <w:t xml:space="preserve"> </w:t>
      </w:r>
      <w:r>
        <w:t xml:space="preserve">and therefore face no double burden.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5.3.4. Treatment of emissions from fuels that are zero-rated under the EU ETS (Design</w:t>
      </w:r>
      <w:r>
        <w:t xml:space="preserve"> </w:t>
      </w:r>
      <w:r>
        <w:t xml:space="preserve">Option 4)</w:t>
      </w:r>
      <w:r>
        <w:t xml:space="preserve"> </w:t>
      </w:r>
      <w:r>
        <w:t xml:space="preserve">An additional aspect of the deduction closely related to the process to determine the attained</w:t>
      </w:r>
      <w:r>
        <w:t xml:space="preserve"> </w:t>
      </w:r>
      <w:r>
        <w:t xml:space="preserve">GFI is how to treat emissions from fuels that are zero-rated under the EU ETS, meaning that</w:t>
      </w:r>
      <w:r>
        <w:t xml:space="preserve"> </w:t>
      </w:r>
      <w:r>
        <w:t xml:space="preserve">they do not incur ETS compliance requirements. By contrast, these fuels may not be zero-rated</w:t>
      </w:r>
      <w:r>
        <w:t xml:space="preserve"> </w:t>
      </w:r>
      <w:r>
        <w:t xml:space="preserve">under an IMO mid-term measure and their use may count into the attained GFI of a vessel.</w:t>
      </w:r>
      <w:r>
        <w:t xml:space="preserve"> </w:t>
      </w:r>
      <w:r>
        <w:t xml:space="preserve">There are two options on how to treat compliance costs related to these fuels in the deduction.</w:t>
      </w:r>
      <w:r>
        <w:t xml:space="preserve"> </w:t>
      </w:r>
      <w:r>
        <w:t xml:space="preserve">The first option is to discount IMO compliance requirements arising from the use of fuels zero-</w:t>
      </w:r>
      <w:r>
        <w:t xml:space="preserve"> </w:t>
      </w:r>
      <w:r>
        <w:t xml:space="preserve">rated under the EU ETS when determining the applicable deduction, as the absence of EU ETS</w:t>
      </w:r>
      <w:r>
        <w:t xml:space="preserve"> </w:t>
      </w:r>
      <w:r>
        <w:t xml:space="preserve">requirements for these emissions means that there is no double burden.</w:t>
      </w:r>
      <w:r>
        <w:t xml:space="preserve"> </w:t>
      </w:r>
      <w:r>
        <w:t xml:space="preserve">As second option, the deduction could also account for emissions from fuels that are zero-rated</w:t>
      </w:r>
      <w:r>
        <w:t xml:space="preserve"> </w:t>
      </w:r>
      <w:r>
        <w:t xml:space="preserve">under the EU ETS, meaning that these fuels would still be considered within the deductible</w:t>
      </w:r>
      <w:r>
        <w:t xml:space="preserve"> </w:t>
      </w:r>
      <w:r>
        <w:t xml:space="preserve">even though they are not subject to double charging.</w:t>
      </w:r>
      <w:r>
        <w:br/>
      </w:r>
      <w:r>
        <w:t xml:space="preserve">Table 10: Design options for the adjustment mechanism: Treatment of emissions from fuels that</w:t>
      </w:r>
      <w:r>
        <w:t xml:space="preserve"> </w:t>
      </w:r>
      <w:r>
        <w:t xml:space="preserve">are zero-rated under the EU ETS</w:t>
      </w:r>
      <w:r>
        <w:br/>
      </w:r>
      <w:r>
        <w:t xml:space="preserve">Design option</w:t>
      </w:r>
      <w:r>
        <w:br/>
      </w:r>
      <w:r>
        <w:t xml:space="preserve">Advantages</w:t>
      </w:r>
      <w:r>
        <w:br/>
      </w:r>
      <w:r>
        <w:t xml:space="preserve">Disadvantages</w:t>
      </w:r>
      <w:r>
        <w:br/>
      </w:r>
      <w:r>
        <w:t xml:space="preserve">4a Discount emissions from</w:t>
      </w:r>
      <w:r>
        <w:t xml:space="preserve"> </w:t>
      </w:r>
      <w:r>
        <w:t xml:space="preserve">zero-rated</w:t>
      </w:r>
      <w:r>
        <w:t xml:space="preserve"> </w:t>
      </w:r>
      <w:r>
        <w:t xml:space="preserve">fuels</w:t>
      </w:r>
      <w:r>
        <w:t xml:space="preserve"> </w:t>
      </w:r>
      <w:r>
        <w:t xml:space="preserve">from</w:t>
      </w:r>
      <w:r>
        <w:t xml:space="preserve"> </w:t>
      </w:r>
      <w:r>
        <w:t xml:space="preserve">deductible:</w:t>
      </w:r>
      <w:r>
        <w:t xml:space="preserve"> </w:t>
      </w:r>
      <w:r>
        <w:t xml:space="preserve">The portion of</w:t>
      </w:r>
      <w:r>
        <w:t xml:space="preserve"> </w:t>
      </w:r>
      <w:r>
        <w:t xml:space="preserve">emissions from zero-rated fuels</w:t>
      </w:r>
      <w:r>
        <w:t xml:space="preserve"> </w:t>
      </w:r>
      <w:r>
        <w:t xml:space="preserve">is not eligible for deduction</w:t>
      </w:r>
      <w:r>
        <w:br/>
      </w:r>
      <w:r>
        <w:t xml:space="preserve">Avoid compensation for</w:t>
      </w:r>
      <w:r>
        <w:t xml:space="preserve"> </w:t>
      </w:r>
      <w:r>
        <w:t xml:space="preserve">IMO compliance costs</w:t>
      </w:r>
      <w:r>
        <w:t xml:space="preserve"> </w:t>
      </w:r>
      <w:r>
        <w:t xml:space="preserve">related to emissions that are</w:t>
      </w:r>
      <w:r>
        <w:t xml:space="preserve"> </w:t>
      </w:r>
      <w:r>
        <w:t xml:space="preserve">not subject to</w:t>
      </w:r>
      <w:r>
        <w:t xml:space="preserve"> </w:t>
      </w:r>
      <w:r>
        <w:t xml:space="preserve">a double burden.</w:t>
      </w:r>
      <w:r>
        <w:t xml:space="preserve"> </w:t>
      </w:r>
      <w:r>
        <w:t xml:space="preserve">Requires detailed</w:t>
      </w:r>
      <w:r>
        <w:t xml:space="preserve"> </w:t>
      </w:r>
      <w:r>
        <w:t xml:space="preserve">information on the fuel use</w:t>
      </w:r>
      <w:r>
        <w:t xml:space="preserve"> </w:t>
      </w:r>
      <w:r>
        <w:t xml:space="preserve">of a vessel to calculate the</w:t>
      </w:r>
      <w:r>
        <w:t xml:space="preserve"> </w:t>
      </w:r>
      <w:r>
        <w:t xml:space="preserve">share of emissions from</w:t>
      </w:r>
      <w:r>
        <w:t xml:space="preserve"> </w:t>
      </w:r>
      <w:r>
        <w:t xml:space="preserve">fuels zero-rated under the</w:t>
      </w:r>
      <w:r>
        <w:t xml:space="preserve"> </w:t>
      </w:r>
      <w:r>
        <w:t xml:space="preserve">EU ETS, available from EU</w:t>
      </w:r>
      <w:r>
        <w:t xml:space="preserve"> </w:t>
      </w:r>
      <w:r>
        <w:t xml:space="preserve">MRV.</w:t>
      </w:r>
      <w:r>
        <w:t xml:space="preserve"> </w:t>
      </w:r>
      <w:r>
        <w:t xml:space="preserve">4b Include emissions from</w:t>
      </w:r>
      <w:r>
        <w:t xml:space="preserve"> </w:t>
      </w:r>
      <w:r>
        <w:t xml:space="preserve">zero-rated fuels in deductible:</w:t>
      </w:r>
      <w:r>
        <w:t xml:space="preserve"> </w:t>
      </w:r>
      <w:r>
        <w:t xml:space="preserve">The portion of emissions from</w:t>
      </w:r>
      <w:r>
        <w:t xml:space="preserve"> </w:t>
      </w:r>
      <w:r>
        <w:t xml:space="preserve">zero-rated fuels is eligible for</w:t>
      </w:r>
      <w:r>
        <w:t xml:space="preserve"> </w:t>
      </w:r>
      <w:r>
        <w:t xml:space="preserve">deduction</w:t>
      </w:r>
      <w:r>
        <w:br/>
      </w:r>
      <w:r>
        <w:t xml:space="preserve">Simple</w:t>
      </w:r>
      <w:r>
        <w:t xml:space="preserve"> </w:t>
      </w:r>
      <w:r>
        <w:t xml:space="preserve">approach. Compatible with</w:t>
      </w:r>
      <w:r>
        <w:t xml:space="preserve"> </w:t>
      </w:r>
      <w:r>
        <w:t xml:space="preserve">3a. Provide additional</w:t>
      </w:r>
      <w:r>
        <w:t xml:space="preserve"> </w:t>
      </w:r>
      <w:r>
        <w:t xml:space="preserve">incentives to deploy fuels</w:t>
      </w:r>
      <w:r>
        <w:t xml:space="preserve"> </w:t>
      </w:r>
      <w:r>
        <w:t xml:space="preserve">that are zero-rated</w:t>
      </w:r>
      <w:r>
        <w:t xml:space="preserve"> </w:t>
      </w:r>
      <w:r>
        <w:t xml:space="preserve">under the EU ETS.</w:t>
      </w:r>
      <w:r>
        <w:t xml:space="preserve"> </w:t>
      </w:r>
      <w:r>
        <w:t xml:space="preserve">Leads to overcompensation</w:t>
      </w:r>
      <w:r>
        <w:t xml:space="preserve"> </w:t>
      </w:r>
      <w:r>
        <w:t xml:space="preserve">as</w:t>
      </w:r>
      <w:r>
        <w:t xml:space="preserve"> </w:t>
      </w:r>
      <w:r>
        <w:t xml:space="preserve">the adjustment mechanism</w:t>
      </w:r>
      <w:r>
        <w:t xml:space="preserve"> </w:t>
      </w:r>
      <w:r>
        <w:t xml:space="preserve">would cover a portion of</w:t>
      </w:r>
      <w:r>
        <w:t xml:space="preserve"> </w:t>
      </w:r>
      <w:r>
        <w:t xml:space="preserve">emissions not subject to</w:t>
      </w:r>
      <w:r>
        <w:t xml:space="preserve"> </w:t>
      </w:r>
      <w:r>
        <w:t xml:space="preserve">the double burden.</w:t>
      </w:r>
      <w:r>
        <w:t xml:space="preserve"> </w:t>
      </w:r>
      <w:r>
        <w:t xml:space="preserve">5.4. Economic analysis</w:t>
      </w:r>
      <w:r>
        <w:t xml:space="preserve"> </w:t>
      </w:r>
      <w:r>
        <w:t xml:space="preserve">5.4.1. Configuration of deduction design variations</w:t>
      </w:r>
      <w:r>
        <w:br/>
      </w:r>
      <w:r>
        <w:t xml:space="preserve">Based on the deduction design variables presented above, four distinct variations of the</w:t>
      </w:r>
      <w:r>
        <w:t xml:space="preserve"> </w:t>
      </w:r>
      <w:r>
        <w:t xml:space="preserve">deduction design were defined for further assessment. The variable selection of the four</w:t>
      </w:r>
      <w:r>
        <w:t xml:space="preserve"> </w:t>
      </w:r>
      <w:r>
        <w:t xml:space="preserve">variations reflect their expected capacity to perform against the objective of the deduction, i.e. </w:t>
      </w:r>
      <w:r>
        <w:t xml:space="preserve"> </w:t>
      </w:r>
      <w:r>
        <w:t xml:space="preserve">to reduce any significant double burden faced by shipping companies for compliance</w:t>
      </w:r>
      <w:r>
        <w:t xml:space="preserve"> </w:t>
      </w:r>
      <w:r>
        <w:t xml:space="preserve">requirements under any IMO mid-term measure and the EU ETS related to emissions that fall</w:t>
      </w:r>
      <w:r>
        <w:t xml:space="preserve"> </w:t>
      </w:r>
      <w:r>
        <w:t xml:space="preserve">under the scope of both systems.</w:t>
      </w:r>
      <w:r>
        <w:br/>
      </w:r>
      <w:r>
        <w:t xml:space="preserve">Table 11: Variations of the deduction to be assessed</w:t>
      </w:r>
      <w:r>
        <w:t xml:space="preserve"> </w:t>
      </w:r>
      <w:r>
        <w:t xml:space="preserve">Variant</w:t>
      </w:r>
      <w:r>
        <w:t xml:space="preserve"> </w:t>
      </w:r>
      <w:r>
        <w:t xml:space="preserve">1.</w:t>
      </w:r>
      <w:r>
        <w:t xml:space="preserve"> </w:t>
      </w:r>
      <w:r>
        <w:t xml:space="preserve">Metric</w:t>
      </w:r>
      <w:r>
        <w:br/>
      </w:r>
      <w:r>
        <w:t xml:space="preserve">2.Process to determine</w:t>
      </w:r>
      <w:r>
        <w:t xml:space="preserve"> </w:t>
      </w:r>
      <w:r>
        <w:t xml:space="preserve">GFI</w:t>
      </w:r>
      <w:r>
        <w:t xml:space="preserve"> </w:t>
      </w:r>
      <w:r>
        <w:t xml:space="preserve">3. TtW vs</w:t>
      </w:r>
      <w:r>
        <w:t xml:space="preserve"> </w:t>
      </w:r>
      <w:r>
        <w:t xml:space="preserve">WtW</w:t>
      </w:r>
      <w:r>
        <w:t xml:space="preserve"> </w:t>
      </w:r>
      <w:r>
        <w:t xml:space="preserve">4. ETS zero-rated</w:t>
      </w:r>
      <w:r>
        <w:t xml:space="preserve"> </w:t>
      </w:r>
      <w:r>
        <w:t xml:space="preserve">emissions</w:t>
      </w:r>
      <w:r>
        <w:t xml:space="preserve"> </w:t>
      </w:r>
      <w:r>
        <w:t xml:space="preserve">IMO0 No</w:t>
      </w:r>
      <w:r>
        <w:t xml:space="preserve"> </w:t>
      </w:r>
      <w:r>
        <w:t xml:space="preserve">adjustment</w:t>
      </w:r>
      <w:r>
        <w:t xml:space="preserve"> </w:t>
      </w:r>
      <w:r>
        <w:t xml:space="preserve">mechanism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IMO1-a</w:t>
      </w:r>
      <w:r>
        <w:t xml:space="preserve"> </w:t>
      </w:r>
      <w:r>
        <w:t xml:space="preserve">Deduction</w:t>
      </w:r>
      <w:r>
        <w:t xml:space="preserve"> </w:t>
      </w:r>
      <w:r>
        <w:t xml:space="preserve">1b</w:t>
      </w:r>
      <w:r>
        <w:t xml:space="preserve"> </w:t>
      </w:r>
      <w:r>
        <w:t xml:space="preserve">2c Simulated GFI or 3a</w:t>
      </w:r>
      <w:r>
        <w:t xml:space="preserve"> </w:t>
      </w:r>
      <w:r>
        <w:t xml:space="preserve">IMO NZF GFI</w:t>
      </w:r>
      <w:r>
        <w:t xml:space="preserve"> </w:t>
      </w:r>
      <w:r>
        <w:t xml:space="preserve">3b: WtW</w:t>
      </w:r>
      <w:r>
        <w:t xml:space="preserve"> </w:t>
      </w:r>
      <w:r>
        <w:t xml:space="preserve">4b Included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approach –</w:t>
      </w:r>
      <w:r>
        <w:t xml:space="preserve"> </w:t>
      </w:r>
      <w:r>
        <w:t xml:space="preserve">Price</w:t>
      </w:r>
      <w:r>
        <w:t xml:space="preserve"> </w:t>
      </w:r>
      <w:r>
        <w:t xml:space="preserve">corrected</w:t>
      </w:r>
      <w:r>
        <w:t xml:space="preserve"> </w:t>
      </w:r>
      <w:r>
        <w:t xml:space="preserve">(WTW)</w:t>
      </w:r>
      <w:r>
        <w:t xml:space="preserve"> </w:t>
      </w:r>
      <w:r>
        <w:t xml:space="preserve">IMO1-b</w:t>
      </w:r>
      <w:r>
        <w:t xml:space="preserve"> </w:t>
      </w:r>
      <w:r>
        <w:t xml:space="preserve">Deduction</w:t>
      </w:r>
      <w:r>
        <w:t xml:space="preserve"> </w:t>
      </w:r>
      <w:r>
        <w:t xml:space="preserve">approach –</w:t>
      </w:r>
      <w:r>
        <w:t xml:space="preserve"> </w:t>
      </w:r>
      <w:r>
        <w:t xml:space="preserve">Price</w:t>
      </w:r>
      <w:r>
        <w:t xml:space="preserve"> </w:t>
      </w:r>
      <w:r>
        <w:t xml:space="preserve">corrected</w:t>
      </w:r>
      <w:r>
        <w:br/>
      </w:r>
      <w:r>
        <w:t xml:space="preserve">(TTW)</w:t>
      </w:r>
      <w:r>
        <w:t xml:space="preserve"> </w:t>
      </w:r>
      <w:r>
        <w:t xml:space="preserve">1b</w:t>
      </w:r>
      <w:r>
        <w:t xml:space="preserve"> </w:t>
      </w:r>
      <w:r>
        <w:t xml:space="preserve">2c Simulated GFI or 3a</w:t>
      </w:r>
      <w:r>
        <w:t xml:space="preserve"> </w:t>
      </w:r>
      <w:r>
        <w:t xml:space="preserve">IMO NZF GFI</w:t>
      </w:r>
      <w:r>
        <w:t xml:space="preserve"> </w:t>
      </w:r>
      <w:r>
        <w:t xml:space="preserve">3a: TtW</w:t>
      </w:r>
      <w:r>
        <w:t xml:space="preserve"> </w:t>
      </w:r>
      <w:r>
        <w:t xml:space="preserve">4b Included</w:t>
      </w:r>
      <w:r>
        <w:t xml:space="preserve"> </w:t>
      </w:r>
      <w:r>
        <w:t xml:space="preserve">The selection for design option 1 faces a trade-off between administrative burden and the risk</w:t>
      </w:r>
      <w:r>
        <w:t xml:space="preserve"> </w:t>
      </w:r>
      <w:r>
        <w:t xml:space="preserve">of weakening the resulting carbon price signal. The deduction approach (1a) may lead to</w:t>
      </w:r>
      <w:r>
        <w:t xml:space="preserve"> </w:t>
      </w:r>
      <w:r>
        <w:t xml:space="preserve">excessive pricing risk if IMO carbon pricing is lower than the EU ETS price. Based on these</w:t>
      </w:r>
      <w:r>
        <w:t xml:space="preserve"> </w:t>
      </w:r>
      <w:r>
        <w:t xml:space="preserve">grounds, the price-corrected deduction approach (1b) would be the preferred option. For design</w:t>
      </w:r>
      <w:r>
        <w:t xml:space="preserve"> </w:t>
      </w:r>
      <w:r>
        <w:t xml:space="preserve">option 2, option 2c or option 2a appear preferable as they avoid possible differences between</w:t>
      </w:r>
      <w:r>
        <w:t xml:space="preserve"> </w:t>
      </w:r>
      <w:r>
        <w:t xml:space="preserve">the GFI calculations of FuelEU and IMO. For selecting design option 3, TtW (3a) may be</w:t>
      </w:r>
      <w:r>
        <w:t xml:space="preserve"> </w:t>
      </w:r>
      <w:r>
        <w:t xml:space="preserve">preferable, because it is aligned with the EU ETS scope, however the WtW approach (3b) is</w:t>
      </w:r>
      <w:r>
        <w:t xml:space="preserve"> </w:t>
      </w:r>
      <w:r>
        <w:t xml:space="preserve">chosen as it is likely to have a higher acceptability, higher deduction from EU ETS and imply</w:t>
      </w:r>
      <w:r>
        <w:t xml:space="preserve"> </w:t>
      </w:r>
      <w:r>
        <w:t xml:space="preserve">less of administrative burden. For design option 4, option 4b was chosen, as including</w:t>
      </w:r>
      <w:r>
        <w:t xml:space="preserve"> </w:t>
      </w:r>
      <w:r>
        <w:t xml:space="preserve">emissions related to fuels that are zero-rated under the EU ETS would be easier to implement</w:t>
      </w:r>
      <w:r>
        <w:t xml:space="preserve"> </w:t>
      </w:r>
      <w:r>
        <w:t xml:space="preserve">and provide additional incentives to support their deployment.</w:t>
      </w:r>
      <w:r>
        <w:t xml:space="preserve"> </w:t>
      </w:r>
      <w:r>
        <w:t xml:space="preserve">5.4.2. Administrative costs</w:t>
      </w:r>
      <w:r>
        <w:t xml:space="preserve"> </w:t>
      </w:r>
      <w:r>
        <w:t xml:space="preserve">In addition to direct compliance costs, implementation of an IMO mid-term measure would</w:t>
      </w:r>
      <w:r>
        <w:t xml:space="preserve"> </w:t>
      </w:r>
      <w:r>
        <w:t xml:space="preserve">generate additional administrative costs, as various actors, including shipping companies and</w:t>
      </w:r>
      <w:r>
        <w:t xml:space="preserve"> </w:t>
      </w:r>
      <w:r>
        <w:t xml:space="preserve">administrators, would be required to undertake additional reporting, verification and</w:t>
      </w:r>
      <w:r>
        <w:t xml:space="preserve"> </w:t>
      </w:r>
      <w:r>
        <w:t xml:space="preserve">compliance-related activities. In some cases, these activities would overlap with processes</w:t>
      </w:r>
      <w:r>
        <w:t xml:space="preserve"> </w:t>
      </w:r>
      <w:r>
        <w:t xml:space="preserve">already required under the EU ETS or the EU maritime MRV, thereby creating a double</w:t>
      </w:r>
      <w:r>
        <w:t xml:space="preserve"> </w:t>
      </w:r>
      <w:r>
        <w:t xml:space="preserve">administrative burden in case there is no potential synergies with existing processes. See the</w:t>
      </w:r>
      <w:r>
        <w:t xml:space="preserve"> </w:t>
      </w:r>
      <w:r>
        <w:t xml:space="preserve">section on simplification for a comparison of the processes and options to simplify and align</w:t>
      </w:r>
      <w:r>
        <w:t xml:space="preserve"> </w:t>
      </w:r>
      <w:r>
        <w:t xml:space="preserve">them.</w:t>
      </w:r>
      <w:r>
        <w:t xml:space="preserve"> </w:t>
      </w:r>
      <w:r>
        <w:t xml:space="preserve">5.4.2.1.</w:t>
      </w:r>
      <w:r>
        <w:t xml:space="preserve"> </w:t>
      </w:r>
      <w:r>
        <w:t xml:space="preserve">ETS revenues</w:t>
      </w:r>
      <w:r>
        <w:t xml:space="preserve"> </w:t>
      </w:r>
      <w:r>
        <w:t xml:space="preserve">The application of the cancellation mechanism accompanying the IMO deduction measure</w:t>
      </w:r>
      <w:r>
        <w:t xml:space="preserve"> </w:t>
      </w:r>
      <w:r>
        <w:t xml:space="preserve">would lead to reduced ETS revenues. The scope of this reduction will depend on the stringency</w:t>
      </w:r>
      <w:r>
        <w:t xml:space="preserve"> </w:t>
      </w:r>
      <w:r>
        <w:t xml:space="preserve">of the IMO mid-measure and the use of fuels by ships subject to this measure.</w:t>
      </w:r>
      <w:r>
        <w:t xml:space="preserve"> </w:t>
      </w:r>
      <w:r>
        <w:t xml:space="preserve">5.5. Environmental impacts</w:t>
      </w:r>
      <w:r>
        <w:t xml:space="preserve"> </w:t>
      </w:r>
      <w:r>
        <w:t xml:space="preserve">The introduction of a deduction mechanism is intended to reduce the additional compliance</w:t>
      </w:r>
      <w:r>
        <w:t xml:space="preserve"> </w:t>
      </w:r>
      <w:r>
        <w:t xml:space="preserve">burden created by the overlap between the EU ETS and a possible future IMO mid-term</w:t>
      </w:r>
      <w:r>
        <w:t xml:space="preserve"> </w:t>
      </w:r>
      <w:r>
        <w:t xml:space="preserve">measure. By lowering the effective compliance costs for vessels subject to both systems, the</w:t>
      </w:r>
      <w:r>
        <w:t xml:space="preserve"> </w:t>
      </w:r>
      <w:r>
        <w:t xml:space="preserve">mechanism aims to prevent double charging of emissions. However, this raises questions</w:t>
      </w:r>
      <w:r>
        <w:t xml:space="preserve"> </w:t>
      </w:r>
      <w:r>
        <w:t xml:space="preserve">regarding its potential impact on environmental integrity. In practice, the cancellation of</w:t>
      </w:r>
      <w:r>
        <w:t xml:space="preserve"> </w:t>
      </w:r>
      <w:r>
        <w:t xml:space="preserve">allowances that would accompany the deduction mechanism would address such a risk.</w:t>
      </w:r>
      <w:r>
        <w:t xml:space="preserve"> </w:t>
      </w:r>
      <w:r>
        <w:t xml:space="preserve">The deduction mechanism (with the price safeguard system) would not lead to a substantial</w:t>
      </w:r>
      <w:r>
        <w:t xml:space="preserve"> </w:t>
      </w:r>
      <w:r>
        <w:t xml:space="preserve">reduction in the total carbon price faced by operators, since the reduction in ETS carbon price</w:t>
      </w:r>
      <w:r>
        <w:t xml:space="preserve"> </w:t>
      </w:r>
      <w:r>
        <w:t xml:space="preserve">signal would be compensated by the carbon price signal coming from the IMO mid-term</w:t>
      </w:r>
      <w:r>
        <w:t xml:space="preserve"> </w:t>
      </w:r>
      <w:r>
        <w:t xml:space="preserve">measures. Therefore, it would not weaken the economic incentive to abate emissions or invest</w:t>
      </w:r>
      <w:r>
        <w:t xml:space="preserve"> </w:t>
      </w:r>
      <w:r>
        <w:t xml:space="preserve">in low- and zero-carbon technologies and operations.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Overall, the mechanism primarily affects the distribution of compliance costs across regimes,</w:t>
      </w:r>
      <w:r>
        <w:t xml:space="preserve"> </w:t>
      </w:r>
      <w:r>
        <w:t xml:space="preserve">without measurable effects on total abatement levels or the strength of decarbonisation</w:t>
      </w:r>
      <w:r>
        <w:t xml:space="preserve"> </w:t>
      </w:r>
      <w:r>
        <w:t xml:space="preserve">incentives.</w:t>
      </w:r>
      <w:r>
        <w:br/>
      </w:r>
      <w:r>
        <w:t xml:space="preserve">5.6. Social impacts</w:t>
      </w:r>
      <w:r>
        <w:t xml:space="preserve"> </w:t>
      </w:r>
      <w:r>
        <w:t xml:space="preserve">Since the measures considered in this chapter are replacing EU ETS payments with IMO</w:t>
      </w:r>
      <w:r>
        <w:t xml:space="preserve"> </w:t>
      </w:r>
      <w:r>
        <w:t xml:space="preserve">contributions, no social impacts are expected beyond those identified in the general report.</w:t>
      </w:r>
      <w:r>
        <w:t xml:space="preserve"> </w:t>
      </w:r>
      <w:r>
        <w:t xml:space="preserve">6. ETS OR MRV AS A SERVICE</w:t>
      </w:r>
      <w:r>
        <w:t xml:space="preserve"> </w:t>
      </w:r>
      <w:r>
        <w:t xml:space="preserve">6.1. Scoping</w:t>
      </w:r>
      <w:r>
        <w:br/>
      </w:r>
      <w:r>
        <w:t xml:space="preserve">To help achieving the global emission reductions to meet the 1.5 degrees target of the Paris</w:t>
      </w:r>
      <w:r>
        <w:t xml:space="preserve"> </w:t>
      </w:r>
      <w:r>
        <w:t xml:space="preserve">Agreement, the EU engages with countries outside the EU to promote the green transition and</w:t>
      </w:r>
      <w:r>
        <w:t xml:space="preserve"> </w:t>
      </w:r>
      <w:r>
        <w:t xml:space="preserve">the development of carbon pricing and carbon markets worldwide.</w:t>
      </w:r>
      <w:r>
        <w:t xml:space="preserve"> </w:t>
      </w:r>
      <w:r>
        <w:t xml:space="preserve">The EU has been at the forefront of shipping decarbonisation, adopting in 2015 its own system</w:t>
      </w:r>
      <w:r>
        <w:t xml:space="preserve"> </w:t>
      </w:r>
      <w:r>
        <w:t xml:space="preserve">to Monitor, Report and Verify emissions from maritime transport activities (EU MRV), thereby</w:t>
      </w:r>
      <w:r>
        <w:t xml:space="preserve"> </w:t>
      </w:r>
      <w:r>
        <w:t xml:space="preserve">applying reporting requirements for large ships calling at EU ports already in 2018. Building</w:t>
      </w:r>
      <w:r>
        <w:t xml:space="preserve"> </w:t>
      </w:r>
      <w:r>
        <w:t xml:space="preserve">on eight years of experience under the MRV Framework, the EU can share its knowledge and</w:t>
      </w:r>
      <w:r>
        <w:t xml:space="preserve"> </w:t>
      </w:r>
      <w:r>
        <w:t xml:space="preserve">IT tools with third countries interested in developing their own MRV, as a first step to collect</w:t>
      </w:r>
      <w:r>
        <w:t xml:space="preserve"> </w:t>
      </w:r>
      <w:r>
        <w:t xml:space="preserve">robust verified emissions data to inform policy measures to decarbonise the sector.</w:t>
      </w:r>
      <w:r>
        <w:br/>
      </w:r>
      <w:r>
        <w:t xml:space="preserve">From 2024, the EU ETS system has applied to large ships calling at EU ports, irrespective of</w:t>
      </w:r>
      <w:r>
        <w:t xml:space="preserve"> </w:t>
      </w:r>
      <w:r>
        <w:t xml:space="preserve">the flag they fly. Especially, in the event that the IMO market-based measure is not applied, to</w:t>
      </w:r>
      <w:r>
        <w:t xml:space="preserve"> </w:t>
      </w:r>
      <w:r>
        <w:t xml:space="preserve">promote the adoption of consistent carbon pricing mechanisms in non-EU countries, the EU</w:t>
      </w:r>
      <w:r>
        <w:t xml:space="preserve"> </w:t>
      </w:r>
      <w:r>
        <w:t xml:space="preserve">could offer the EU MRV/ETS as a service and contribute to standardised administrative</w:t>
      </w:r>
      <w:r>
        <w:t xml:space="preserve"> </w:t>
      </w:r>
      <w:r>
        <w:t xml:space="preserve">procedures and stable stream of revenues to decarbonise shipping.</w:t>
      </w:r>
      <w:r>
        <w:br/>
      </w:r>
      <w:r>
        <w:t xml:space="preserve">6.2. Policy measures</w:t>
      </w:r>
      <w:r>
        <w:t xml:space="preserve"> </w:t>
      </w:r>
      <w:r>
        <w:t xml:space="preserve">Policy measure 1 (PM1): “Offer the use of EU MRV implementation tools and expertise</w:t>
      </w:r>
      <w:r>
        <w:t xml:space="preserve"> </w:t>
      </w:r>
      <w:r>
        <w:t xml:space="preserve">to non-EU countries”: it would allow third countries to use EU MRV implementation tools</w:t>
      </w:r>
      <w:r>
        <w:t xml:space="preserve"> </w:t>
      </w:r>
      <w:r>
        <w:t xml:space="preserve">and procedures for the implementation of their own MRV system, where appropriate with</w:t>
      </w:r>
      <w:r>
        <w:t xml:space="preserve"> </w:t>
      </w:r>
      <w:r>
        <w:t xml:space="preserve">regard to costs. Third countries could:</w:t>
      </w:r>
      <w:r>
        <w:br/>
      </w:r>
      <w:r>
        <w:t xml:space="preserve">• Have access to the IT system THETIS-MRV developed by the European Maritime</w:t>
      </w:r>
      <w:r>
        <w:t xml:space="preserve"> </w:t>
      </w:r>
      <w:r>
        <w:t xml:space="preserve">Safety Agency (EMSA) for the implementation of EU MRV requirements. The IT</w:t>
      </w:r>
      <w:r>
        <w:t xml:space="preserve"> </w:t>
      </w:r>
      <w:r>
        <w:t xml:space="preserve">system could be updated with the introduction of dedicated user function for the</w:t>
      </w:r>
      <w:r>
        <w:t xml:space="preserve"> </w:t>
      </w:r>
      <w:r>
        <w:t xml:space="preserve">authorities of non-EU countries, so that shipping companies could report once through</w:t>
      </w:r>
      <w:r>
        <w:t xml:space="preserve"> </w:t>
      </w:r>
      <w:r>
        <w:t xml:space="preserve">the same system.</w:t>
      </w:r>
      <w:r>
        <w:br/>
      </w:r>
      <w:r>
        <w:t xml:space="preserve">• Benefit from technical support from EU authorities, Member States, and agencies in</w:t>
      </w:r>
      <w:r>
        <w:t xml:space="preserve"> </w:t>
      </w:r>
      <w:r>
        <w:t xml:space="preserve">developing their own national MRV system, including through exchange of best</w:t>
      </w:r>
      <w:r>
        <w:t xml:space="preserve"> </w:t>
      </w:r>
      <w:r>
        <w:t xml:space="preserve">practices and capacity building support, with the objective of maximising synergies</w:t>
      </w:r>
      <w:r>
        <w:t xml:space="preserve"> </w:t>
      </w:r>
      <w:r>
        <w:t xml:space="preserve">across EU and non-EU MRV systems.</w:t>
      </w:r>
      <w:r>
        <w:br/>
      </w:r>
      <w:r>
        <w:t xml:space="preserve">This measure would lead to considerable resource savings for third countries, while enhancing</w:t>
      </w:r>
      <w:r>
        <w:t xml:space="preserve"> </w:t>
      </w:r>
      <w:r>
        <w:t xml:space="preserve">the coherence and harmonisation of different MRV systems for maritime, thus supporting the</w:t>
      </w:r>
      <w:r>
        <w:t xml:space="preserve"> </w:t>
      </w:r>
      <w:r>
        <w:t xml:space="preserve">emergence of coordinated regional approaches, which would ultimately reduce administrative</w:t>
      </w:r>
      <w:r>
        <w:t xml:space="preserve"> </w:t>
      </w:r>
      <w:r>
        <w:t xml:space="preserve">burden for shipping companies operating internationally.</w:t>
      </w:r>
      <w:r>
        <w:br/>
      </w:r>
      <w:r>
        <w:t xml:space="preserve">Policy measure 2 (PM2) “MRV/ETS as a service - Extending the MRV/ETS scope to</w:t>
      </w:r>
      <w:r>
        <w:t xml:space="preserve"> </w:t>
      </w:r>
      <w:r>
        <w:t xml:space="preserve">widen carbon pricing”: to use existing infrastructure to benefit third countries from having</w:t>
      </w:r>
      <w:r>
        <w:t xml:space="preserve"> </w:t>
      </w:r>
      <w:r>
        <w:t xml:space="preserve">their 50% share of maritime transport emissions from voyages to/from EEA ports directly in</w:t>
      </w:r>
      <w:r>
        <w:t xml:space="preserve"> </w:t>
      </w:r>
      <w:r>
        <w:t xml:space="preserve">the ETS, with their share of revenues from carbon pricing going directly to them (‘fair share’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approach). This is an alternative to third countries establishing their own distinct MRV/ETS,</w:t>
      </w:r>
      <w:r>
        <w:t xml:space="preserve"> </w:t>
      </w:r>
      <w:r>
        <w:t xml:space="preserve">by which the EU would use its tools and capabilities for the MRV/ETS implementation</w:t>
      </w:r>
      <w:r>
        <w:t xml:space="preserve"> </w:t>
      </w:r>
      <w:r>
        <w:t xml:space="preserve">affecting the share of maritime transport emissions outside the current EU ETS scope i.e. the</w:t>
      </w:r>
      <w:r>
        <w:t xml:space="preserve"> </w:t>
      </w:r>
      <w:r>
        <w:t xml:space="preserve">50% not covered by EU ETS currently. As a result, the 50% revenues from the third countries’</w:t>
      </w:r>
      <w:r>
        <w:t xml:space="preserve"> </w:t>
      </w:r>
      <w:r>
        <w:t xml:space="preserve">share of emissions would go directly to third countries to finance green transition.</w:t>
      </w:r>
      <w:r>
        <w:br/>
      </w:r>
      <w:r>
        <w:t xml:space="preserve">This approach would involve amending the ETS Directive, to adjust the ETS scope to</w:t>
      </w:r>
      <w:r>
        <w:t xml:space="preserve"> </w:t>
      </w:r>
      <w:r>
        <w:t xml:space="preserve">implement this approach for specific third countries not covered under the current scope. Such</w:t>
      </w:r>
      <w:r>
        <w:t xml:space="preserve"> </w:t>
      </w:r>
      <w:r>
        <w:t xml:space="preserve">an extension could rely on the data currently reported under EU MRV, which requires since</w:t>
      </w:r>
      <w:r>
        <w:t xml:space="preserve"> </w:t>
      </w:r>
      <w:r>
        <w:t xml:space="preserve">2018 the reporting of 100% of emissions for extra-EEA voyages. As in the current EU MRV,</w:t>
      </w:r>
      <w:r>
        <w:t xml:space="preserve"> </w:t>
      </w:r>
      <w:r>
        <w:t xml:space="preserve">emissions between two non-EEA ports and within non-EEA ports would not be covered.</w:t>
      </w:r>
      <w:r>
        <w:br/>
      </w:r>
      <w:r>
        <w:t xml:space="preserve">Policy measure 3 (PM3) “EU ETS as a facilitator - facilitating the establishment of carbon</w:t>
      </w:r>
      <w:r>
        <w:t xml:space="preserve"> </w:t>
      </w:r>
      <w:r>
        <w:t xml:space="preserve">pricing mechanisms for shipping in third countries by sharing tools or experience”:</w:t>
      </w:r>
      <w:r>
        <w:br/>
      </w:r>
      <w:r>
        <w:t xml:space="preserve">The EU could help third countries to establish their own national ETS or GHG levy for</w:t>
      </w:r>
      <w:r>
        <w:t xml:space="preserve"> </w:t>
      </w:r>
      <w:r>
        <w:t xml:space="preserve">shipping. PM1 offering the use of MRV implementation tools is included in PM3. PM3</w:t>
      </w:r>
      <w:r>
        <w:t xml:space="preserve"> </w:t>
      </w:r>
      <w:r>
        <w:t xml:space="preserve">includes sharing ETS implementation knowledge and EU experience, with the view of</w:t>
      </w:r>
      <w:r>
        <w:t xml:space="preserve"> </w:t>
      </w:r>
      <w:r>
        <w:t xml:space="preserve">implementing carbon price mechanism with harmonised procedures and stream of revenues to</w:t>
      </w:r>
      <w:r>
        <w:t xml:space="preserve"> </w:t>
      </w:r>
      <w:r>
        <w:t xml:space="preserve">support shipping decarbonisation. PM3 could lead to third countries who established their own</w:t>
      </w:r>
      <w:r>
        <w:t xml:space="preserve"> </w:t>
      </w:r>
      <w:r>
        <w:t xml:space="preserve">ETS or GHG levy for shipping to link up with the EU maritime ETS. Each ETS would cover</w:t>
      </w:r>
      <w:r>
        <w:t xml:space="preserve"> </w:t>
      </w:r>
      <w:r>
        <w:t xml:space="preserve">its respective emissions, thereby generating revenues for each separate ETS system. Emissions</w:t>
      </w:r>
      <w:r>
        <w:t xml:space="preserve"> </w:t>
      </w:r>
      <w:r>
        <w:t xml:space="preserve">between two non-EEA ports and within non-EEA ports would be covered in this option as well.</w:t>
      </w:r>
      <w:r>
        <w:t xml:space="preserve"> </w:t>
      </w:r>
      <w:r>
        <w:t xml:space="preserve">In the case of candidate countries, they could be fully integrated in the EU ETS, without the</w:t>
      </w:r>
      <w:r>
        <w:t xml:space="preserve"> </w:t>
      </w:r>
      <w:r>
        <w:t xml:space="preserve">need to establish national ETS system for maritime before completion of accession. Emissions</w:t>
      </w:r>
      <w:r>
        <w:t xml:space="preserve"> </w:t>
      </w:r>
      <w:r>
        <w:t xml:space="preserve">between two non-EEA ports and within non-EEA ports would be covered in this option as well.</w:t>
      </w:r>
      <w:r>
        <w:br/>
      </w:r>
      <w:r>
        <w:t xml:space="preserve">6.3. Assessment of policy measures</w:t>
      </w:r>
      <w:r>
        <w:t xml:space="preserve"> </w:t>
      </w:r>
      <w:r>
        <w:t xml:space="preserve">6.3.1. Economic impacts</w:t>
      </w:r>
      <w:r>
        <w:t xml:space="preserve"> </w:t>
      </w:r>
      <w:r>
        <w:t xml:space="preserve">PM1 which aims at giving access to EU MRV tools and procedures to third countries for their</w:t>
      </w:r>
      <w:r>
        <w:t xml:space="preserve"> </w:t>
      </w:r>
      <w:r>
        <w:t xml:space="preserve">own system would lead to minimal positive economic impacts. It would lead to harmonised</w:t>
      </w:r>
      <w:r>
        <w:t xml:space="preserve"> </w:t>
      </w:r>
      <w:r>
        <w:t xml:space="preserve">MRV standards, easier processes for shipping companies through harmonised platforms, and</w:t>
      </w:r>
      <w:r>
        <w:t xml:space="preserve"> </w:t>
      </w:r>
      <w:r>
        <w:t xml:space="preserve">knowledge sharing.</w:t>
      </w:r>
      <w:r>
        <w:br/>
      </w:r>
      <w:r>
        <w:t xml:space="preserve">PM2 is expected to lead to positive economic impacts for EU ports, through an increased level</w:t>
      </w:r>
      <w:r>
        <w:t xml:space="preserve"> </w:t>
      </w:r>
      <w:r>
        <w:t xml:space="preserve">playing field in the sector. There would also be no new monitoring requirements for shipping</w:t>
      </w:r>
      <w:r>
        <w:t xml:space="preserve"> </w:t>
      </w:r>
      <w:r>
        <w:t xml:space="preserve">companies in terms of MRV. However, shipping companies would need to report separately</w:t>
      </w:r>
      <w:r>
        <w:t xml:space="preserve"> </w:t>
      </w:r>
      <w:r>
        <w:t xml:space="preserve">the amounts of emissions linked to voyages between the EU and related third countries.</w:t>
      </w:r>
      <w:r>
        <w:br/>
      </w:r>
      <w:r>
        <w:t xml:space="preserve">PM3 is also expected to lead to positive economic impacts. Candidate countries joining the</w:t>
      </w:r>
      <w:r>
        <w:t xml:space="preserve"> </w:t>
      </w:r>
      <w:r>
        <w:t xml:space="preserve">ETS would lead to an increased cap and thus generate more revenues. It would also help</w:t>
      </w:r>
      <w:r>
        <w:t xml:space="preserve"> </w:t>
      </w:r>
      <w:r>
        <w:t xml:space="preserve">address potential risk of evasion and carbon leakage.</w:t>
      </w:r>
      <w:r>
        <w:t xml:space="preserve"> </w:t>
      </w:r>
      <w:r>
        <w:t xml:space="preserve">6.3.2. Environmental impacts</w:t>
      </w:r>
      <w:r>
        <w:t xml:space="preserve"> </w:t>
      </w:r>
      <w:r>
        <w:t xml:space="preserve">This analysis considers emissions for Montenegro, Albania, Moldova, Ukraine and Georgia.</w:t>
      </w:r>
      <w:r>
        <w:t xml:space="preserve"> </w:t>
      </w:r>
      <w:r>
        <w:t xml:space="preserve">The emissions analysis for these countries draws on port-call data for vessels above 5,000 GT</w:t>
      </w:r>
      <w:r>
        <w:t xml:space="preserve"> </w:t>
      </w:r>
      <w:r>
        <w:t xml:space="preserve">within the scope of the EU ETS. Using shortest-route distances and ship-type specific CO₂</w:t>
      </w:r>
      <w:r>
        <w:t xml:space="preserve"> </w:t>
      </w:r>
      <w:r>
        <w:t xml:space="preserve">intensity curves derived from MRV data (tonnes of CO₂ per NM per DWT), all voyages were</w:t>
      </w:r>
      <w:r>
        <w:t xml:space="preserve"> </w:t>
      </w:r>
      <w:r>
        <w:t xml:space="preserve">classified into three categories with the following rules:</w:t>
      </w:r>
      <w:r>
        <w:t xml:space="preserve"> </w:t>
      </w:r>
      <w:r>
        <w:t xml:space="preserve">• ‘Country ↔ World’ are treated and added as Inbound/Outbound voyage (meaning that</w:t>
      </w:r>
      <w:r>
        <w:t xml:space="preserve"> </w:t>
      </w:r>
      <w:r>
        <w:t xml:space="preserve">50% of emissions are to be considered)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• ‘Country ↔ EEA’ are subtracted from the old Inbound/Outbound totals and added to</w:t>
      </w:r>
      <w:r>
        <w:t xml:space="preserve"> </w:t>
      </w:r>
      <w:r>
        <w:t xml:space="preserve">Intra-EEA voyages (100% of the emissions are to be included)</w:t>
      </w:r>
      <w:r>
        <w:t xml:space="preserve"> </w:t>
      </w:r>
      <w:r>
        <w:t xml:space="preserve">• ‘Intra country’ voyages are added to Intra-EEA voyages totals (100% of the emissions</w:t>
      </w:r>
      <w:r>
        <w:t xml:space="preserve"> </w:t>
      </w:r>
      <w:r>
        <w:t xml:space="preserve">are to be included).</w:t>
      </w:r>
      <w:r>
        <w:t xml:space="preserve"> </w:t>
      </w:r>
      <w:r>
        <w:t xml:space="preserve">The results, as shown in the table below, indicate that the five candidate countries would</w:t>
      </w:r>
      <w:r>
        <w:t xml:space="preserve"> </w:t>
      </w:r>
      <w:r>
        <w:t xml:space="preserve">collectively add approximately 1.13 Mton of CO₂ emissions to the EU MRV scope. Ukraine</w:t>
      </w:r>
      <w:r>
        <w:t xml:space="preserve"> </w:t>
      </w:r>
      <w:r>
        <w:t xml:space="preserve">accounts for the largest share (70%), followed by Georgia (12%) and Albania (11%), while</w:t>
      </w:r>
      <w:r>
        <w:t xml:space="preserve"> </w:t>
      </w:r>
      <w:r>
        <w:t xml:space="preserve">Montenegro contributes 6% and Moldova’s share is under 1%.</w:t>
      </w:r>
      <w:r>
        <w:br/>
      </w:r>
      <w:r>
        <w:t xml:space="preserve">Table 12: Estimated CO2 emissions (tons) for selected candidate countries, based on 2024 port-</w:t>
      </w:r>
      <w:r>
        <w:t xml:space="preserve"> </w:t>
      </w:r>
      <w:r>
        <w:t xml:space="preserve">call data (MRV scope)</w:t>
      </w:r>
      <w:r>
        <w:t xml:space="preserve"> </w:t>
      </w:r>
      <w:r>
        <w:t xml:space="preserve">Route</w:t>
      </w:r>
      <w:r>
        <w:t xml:space="preserve"> </w:t>
      </w:r>
      <w:r>
        <w:t xml:space="preserve">category</w:t>
      </w:r>
      <w:r>
        <w:t xml:space="preserve"> </w:t>
      </w:r>
      <w:r>
        <w:t xml:space="preserve">Montenegro</w:t>
      </w:r>
      <w:r>
        <w:t xml:space="preserve"> </w:t>
      </w:r>
      <w:r>
        <w:t xml:space="preserve">Albania</w:t>
      </w:r>
      <w:r>
        <w:t xml:space="preserve"> </w:t>
      </w:r>
      <w:r>
        <w:t xml:space="preserve">Moldova</w:t>
      </w:r>
      <w:r>
        <w:t xml:space="preserve"> </w:t>
      </w:r>
      <w:r>
        <w:t xml:space="preserve">Ukraine353</w:t>
      </w:r>
      <w:r>
        <w:t xml:space="preserve"> </w:t>
      </w:r>
      <w:r>
        <w:t xml:space="preserve">Georgia</w:t>
      </w:r>
      <w:r>
        <w:t xml:space="preserve"> </w:t>
      </w:r>
      <w:r>
        <w:t xml:space="preserve">Total CO2</w:t>
      </w:r>
      <w:r>
        <w:t xml:space="preserve"> </w:t>
      </w:r>
      <w:r>
        <w:t xml:space="preserve">(Tonne)</w:t>
      </w:r>
      <w:r>
        <w:t xml:space="preserve"> </w:t>
      </w:r>
      <w:r>
        <w:t xml:space="preserve">Country</w:t>
      </w:r>
      <w:r>
        <w:t xml:space="preserve"> </w:t>
      </w:r>
      <w:r>
        <w:t xml:space="preserve">↔ World</w:t>
      </w:r>
      <w:r>
        <w:t xml:space="preserve"> </w:t>
      </w:r>
      <w:r>
        <w:t xml:space="preserve">19,555</w:t>
      </w:r>
      <w:r>
        <w:t xml:space="preserve"> </w:t>
      </w:r>
      <w:r>
        <w:t xml:space="preserve">59,264</w:t>
      </w:r>
      <w:r>
        <w:t xml:space="preserve"> </w:t>
      </w:r>
      <w:r>
        <w:t xml:space="preserve">1,635</w:t>
      </w:r>
      <w:r>
        <w:t xml:space="preserve"> </w:t>
      </w:r>
      <w:r>
        <w:t xml:space="preserve">1,358,488</w:t>
      </w:r>
      <w:r>
        <w:t xml:space="preserve"> </w:t>
      </w:r>
      <w:r>
        <w:t xml:space="preserve">191,467</w:t>
      </w:r>
      <w:r>
        <w:t xml:space="preserve"> </w:t>
      </w:r>
      <w:r>
        <w:t xml:space="preserve">1,630,408</w:t>
      </w:r>
      <w:r>
        <w:t xml:space="preserve"> </w:t>
      </w:r>
      <w:r>
        <w:t xml:space="preserve">Country</w:t>
      </w:r>
      <w:r>
        <w:t xml:space="preserve"> </w:t>
      </w:r>
      <w:r>
        <w:t xml:space="preserve">↔ EEA</w:t>
      </w:r>
      <w:r>
        <w:t xml:space="preserve"> </w:t>
      </w:r>
      <w:r>
        <w:t xml:space="preserve">138,739</w:t>
      </w:r>
      <w:r>
        <w:t xml:space="preserve"> </w:t>
      </w:r>
      <w:r>
        <w:t xml:space="preserve">225,613</w:t>
      </w:r>
      <w:r>
        <w:t xml:space="preserve"> </w:t>
      </w:r>
      <w:r>
        <w:t xml:space="preserve">642</w:t>
      </w:r>
      <w:r>
        <w:t xml:space="preserve"> </w:t>
      </w:r>
      <w:r>
        <w:t xml:space="preserve">341,322</w:t>
      </w:r>
      <w:r>
        <w:t xml:space="preserve"> </w:t>
      </w:r>
      <w:r>
        <w:t xml:space="preserve">107,055</w:t>
      </w:r>
      <w:r>
        <w:t xml:space="preserve"> </w:t>
      </w:r>
      <w:r>
        <w:t xml:space="preserve">813,372</w:t>
      </w:r>
      <w:r>
        <w:t xml:space="preserve"> </w:t>
      </w:r>
      <w:r>
        <w:t xml:space="preserve">Intra-</w:t>
      </w:r>
      <w:r>
        <w:t xml:space="preserve"> </w:t>
      </w:r>
      <w:r>
        <w:t xml:space="preserve">Country</w:t>
      </w:r>
      <w:r>
        <w:t xml:space="preserve"> </w:t>
      </w:r>
      <w:r>
        <w:t xml:space="preserve">voyages</w:t>
      </w:r>
    </w:p>
    <w:p>
      <w:pPr>
        <w:pStyle w:val="BodyText"/>
      </w:pPr>
      <w:r>
        <w:t xml:space="preserve">349</w:t>
      </w:r>
    </w:p>
    <w:p>
      <w:pPr>
        <w:pStyle w:val="BodyText"/>
      </w:pPr>
      <w:r>
        <w:t xml:space="preserve">43,487</w:t>
      </w:r>
      <w:r>
        <w:t xml:space="preserve"> </w:t>
      </w:r>
      <w:r>
        <w:t xml:space="preserve">1,167</w:t>
      </w:r>
      <w:r>
        <w:t xml:space="preserve"> </w:t>
      </w:r>
      <w:r>
        <w:t xml:space="preserve">45,002</w:t>
      </w:r>
      <w:r>
        <w:t xml:space="preserve"> </w:t>
      </w:r>
      <w:r>
        <w:t xml:space="preserve">Within</w:t>
      </w:r>
      <w:r>
        <w:t xml:space="preserve"> </w:t>
      </w:r>
      <w:r>
        <w:t xml:space="preserve">port</w:t>
      </w:r>
      <w:r>
        <w:t xml:space="preserve"> </w:t>
      </w:r>
      <w:r>
        <w:t xml:space="preserve">emissions</w:t>
      </w:r>
      <w:r>
        <w:t xml:space="preserve"> </w:t>
      </w:r>
      <w:r>
        <w:t xml:space="preserve">9,537</w:t>
      </w:r>
    </w:p>
    <w:p>
      <w:pPr>
        <w:pStyle w:val="BodyText"/>
      </w:pPr>
      <w:r>
        <w:t xml:space="preserve">17,185</w:t>
      </w:r>
      <w:r>
        <w:t xml:space="preserve"> </w:t>
      </w:r>
      <w:r>
        <w:t xml:space="preserve">137</w:t>
      </w:r>
      <w:r>
        <w:t xml:space="preserve"> </w:t>
      </w:r>
      <w:r>
        <w:t xml:space="preserve">105,033</w:t>
      </w:r>
      <w:r>
        <w:t xml:space="preserve"> </w:t>
      </w:r>
      <w:r>
        <w:t xml:space="preserve">18,056</w:t>
      </w:r>
      <w:r>
        <w:t xml:space="preserve"> </w:t>
      </w:r>
      <w:r>
        <w:t xml:space="preserve">149,949</w:t>
      </w:r>
      <w:r>
        <w:t xml:space="preserve"> </w:t>
      </w:r>
      <w:r>
        <w:t xml:space="preserve">Total</w:t>
      </w:r>
      <w:r>
        <w:t xml:space="preserve"> </w:t>
      </w:r>
      <w:r>
        <w:t xml:space="preserve">167,831</w:t>
      </w:r>
      <w:r>
        <w:t xml:space="preserve"> </w:t>
      </w:r>
      <w:r>
        <w:t xml:space="preserve">302,410</w:t>
      </w:r>
      <w:r>
        <w:t xml:space="preserve"> </w:t>
      </w:r>
      <w:r>
        <w:t xml:space="preserve">2,415</w:t>
      </w:r>
      <w:r>
        <w:t xml:space="preserve"> </w:t>
      </w:r>
      <w:r>
        <w:t xml:space="preserve">1,848,330</w:t>
      </w:r>
      <w:r>
        <w:t xml:space="preserve"> </w:t>
      </w:r>
      <w:r>
        <w:t xml:space="preserve">317,745</w:t>
      </w:r>
      <w:r>
        <w:t xml:space="preserve"> </w:t>
      </w:r>
      <w:r>
        <w:t xml:space="preserve">2,638,731</w:t>
      </w:r>
      <w:r>
        <w:t xml:space="preserve"> </w:t>
      </w:r>
      <w:r>
        <w:t xml:space="preserve">%</w:t>
      </w:r>
      <w:r>
        <w:t xml:space="preserve"> </w:t>
      </w:r>
      <w:r>
        <w:t xml:space="preserve">6%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70%</w:t>
      </w:r>
      <w:r>
        <w:t xml:space="preserve"> </w:t>
      </w:r>
      <w:r>
        <w:t xml:space="preserve">12%</w:t>
      </w:r>
      <w:r>
        <w:t xml:space="preserve"> </w:t>
      </w:r>
      <w:r>
        <w:t xml:space="preserve">100%</w:t>
      </w:r>
      <w:r>
        <w:t xml:space="preserve"> </w:t>
      </w:r>
      <w:r>
        <w:t xml:space="preserve">Source: EMSA’s estimates and calculations</w:t>
      </w:r>
      <w:r>
        <w:t xml:space="preserve"> </w:t>
      </w:r>
      <w:r>
        <w:t xml:space="preserve">Depending on the design of the policy measure, environmental impacts may vary. Policy</w:t>
      </w:r>
      <w:r>
        <w:t xml:space="preserve"> </w:t>
      </w:r>
      <w:r>
        <w:t xml:space="preserve">measure 1 of offering the use of EU MRV implementation tools to a third country is not</w:t>
      </w:r>
      <w:r>
        <w:t xml:space="preserve"> </w:t>
      </w:r>
      <w:r>
        <w:t xml:space="preserve">expected to lead to significant emission reduction on the short-term.</w:t>
      </w:r>
      <w:r>
        <w:br/>
      </w:r>
      <w:r>
        <w:t xml:space="preserve">Policy measure 2 of extending the scope of GHG emissions under the ETS to match the current</w:t>
      </w:r>
      <w:r>
        <w:t xml:space="preserve"> </w:t>
      </w:r>
      <w:r>
        <w:t xml:space="preserve">MRV coverage and cover the 50% of extra-EEA emissions not covered under the current scope</w:t>
      </w:r>
      <w:r>
        <w:t xml:space="preserve"> </w:t>
      </w:r>
      <w:r>
        <w:t xml:space="preserve">of ETS (i.e. voyage emissions from the candidate country ports to EEA ports) is expected to</w:t>
      </w:r>
      <w:r>
        <w:t xml:space="preserve"> </w:t>
      </w:r>
      <w:r>
        <w:t xml:space="preserve">lead to positive environmental impacts. Based on 2024 estimated emissions, this approach</w:t>
      </w:r>
      <w:r>
        <w:t xml:space="preserve"> </w:t>
      </w:r>
      <w:r>
        <w:t xml:space="preserve">would add to the EU ETS scope 0.41 MtCO2 (i.e. 50% of 813,372 tCO2) from the voyages</w:t>
      </w:r>
      <w:r>
        <w:t xml:space="preserve"> </w:t>
      </w:r>
      <w:r>
        <w:t xml:space="preserve">between EEA ports and candidate country ports (see Table 12).</w:t>
      </w:r>
      <w:r>
        <w:t xml:space="preserve"> </w:t>
      </w:r>
      <w:r>
        <w:t xml:space="preserve">Policy measure 3 application to candidate countries would lead to represent an estimated</w:t>
      </w:r>
      <w:r>
        <w:t xml:space="preserve"> </w:t>
      </w:r>
      <w:r>
        <w:t xml:space="preserve">increase of only 1.51% (i.e. around 1.42 Mt CO2) to the emissions currently under EU ETS</w:t>
      </w:r>
      <w:r>
        <w:t xml:space="preserve"> </w:t>
      </w:r>
      <w:r>
        <w:t xml:space="preserve">scope, resulting from the addition of emissions both from international voyages starting or</w:t>
      </w:r>
      <w:r>
        <w:t xml:space="preserve"> </w:t>
      </w:r>
      <w:r>
        <w:t xml:space="preserve">ending from the ports of candidate countries (i.e. 50% of 2,443,780 tCO2 ), emissions from</w:t>
      </w:r>
      <w:r>
        <w:t xml:space="preserve"> </w:t>
      </w:r>
      <w:r>
        <w:t xml:space="preserve">voyages between ports of the candidate country (i.e. 45,002 tCO2 as in Table 12) and from</w:t>
      </w:r>
      <w:r>
        <w:t xml:space="preserve"> </w:t>
      </w:r>
      <w:r>
        <w:t xml:space="preserve">emissions within the ports of those candidate countries (149,949 tCO2 as in Table 12). Overall,</w:t>
      </w:r>
      <w:r>
        <w:t xml:space="preserve"> </w:t>
      </w:r>
      <w:r>
        <w:t xml:space="preserve">these figures indicate that incorporating emissions from these five countries would have a very</w:t>
      </w:r>
    </w:p>
    <w:p>
      <w:pPr>
        <w:pStyle w:val="BodyText"/>
      </w:pPr>
      <w:r>
        <w:t xml:space="preserve">353 Estimated CO2 emissions for Ukraine are based on 2019 port-call data, to adjust for the disruption of activity</w:t>
      </w:r>
      <w:r>
        <w:t xml:space="preserve"> </w:t>
      </w:r>
      <w:r>
        <w:t xml:space="preserve">levels determined by the Russian war of aggression since 2022.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limited impact on the functioning of the EU ETS for maritime transport, while having a strong</w:t>
      </w:r>
      <w:r>
        <w:t xml:space="preserve"> </w:t>
      </w:r>
      <w:r>
        <w:t xml:space="preserve">positive environmental impact by addressing candidate countries’ fair share of emissions.</w:t>
      </w:r>
    </w:p>
    <w:p>
      <w:pPr>
        <w:pStyle w:val="BodyText"/>
      </w:pPr>
      <w:r>
        <w:t xml:space="preserve">Table 13: CO2 emissions (ktons), under EU ETS from selected candidate countries (PM3)</w:t>
      </w:r>
      <w:r>
        <w:t xml:space="preserve"> </w:t>
      </w:r>
      <w:r>
        <w:t xml:space="preserve">Route</w:t>
      </w:r>
      <w:r>
        <w:t xml:space="preserve"> </w:t>
      </w:r>
      <w:r>
        <w:t xml:space="preserve">category</w:t>
      </w:r>
      <w:r>
        <w:t xml:space="preserve"> </w:t>
      </w:r>
      <w:r>
        <w:t xml:space="preserve">Emissions under EU</w:t>
      </w:r>
      <w:r>
        <w:t xml:space="preserve"> </w:t>
      </w:r>
      <w:r>
        <w:t xml:space="preserve">ETS 2024</w:t>
      </w:r>
      <w:r>
        <w:t xml:space="preserve"> </w:t>
      </w:r>
      <w:r>
        <w:t xml:space="preserve">Emissions under EU ETS 2024 (with</w:t>
      </w:r>
      <w:r>
        <w:t xml:space="preserve"> </w:t>
      </w:r>
      <w:r>
        <w:t xml:space="preserve">selected candidate countries)</w:t>
      </w:r>
      <w:r>
        <w:t xml:space="preserve"> </w:t>
      </w:r>
      <w:r>
        <w:t xml:space="preserve">%</w:t>
      </w:r>
      <w:r>
        <w:t xml:space="preserve"> </w:t>
      </w:r>
      <w:r>
        <w:t xml:space="preserve">increase</w:t>
      </w:r>
      <w:r>
        <w:t xml:space="preserve"> </w:t>
      </w:r>
      <w:r>
        <w:t xml:space="preserve">Extra-EU</w:t>
      </w:r>
      <w:r>
        <w:t xml:space="preserve"> </w:t>
      </w:r>
      <w:r>
        <w:t xml:space="preserve">voyages</w:t>
      </w:r>
      <w:r>
        <w:t xml:space="preserve"> </w:t>
      </w:r>
      <w:r>
        <w:t xml:space="preserve">50,700</w:t>
      </w:r>
      <w:r>
        <w:t xml:space="preserve"> </w:t>
      </w:r>
      <w:r>
        <w:t xml:space="preserve">51,109</w:t>
      </w:r>
      <w:r>
        <w:t xml:space="preserve"> </w:t>
      </w:r>
      <w:r>
        <w:t xml:space="preserve">0.81%</w:t>
      </w:r>
      <w:r>
        <w:t xml:space="preserve"> </w:t>
      </w:r>
      <w:r>
        <w:t xml:space="preserve">Intra-EU</w:t>
      </w:r>
      <w:r>
        <w:t xml:space="preserve"> </w:t>
      </w:r>
      <w:r>
        <w:t xml:space="preserve">voyages</w:t>
      </w:r>
      <w:r>
        <w:t xml:space="preserve"> </w:t>
      </w:r>
      <w:r>
        <w:t xml:space="preserve">34,700</w:t>
      </w:r>
      <w:r>
        <w:t xml:space="preserve"> </w:t>
      </w:r>
      <w:r>
        <w:t xml:space="preserve">35,558</w:t>
      </w:r>
      <w:r>
        <w:t xml:space="preserve"> </w:t>
      </w:r>
      <w:r>
        <w:t xml:space="preserve">2.47%</w:t>
      </w:r>
      <w:r>
        <w:t xml:space="preserve"> </w:t>
      </w:r>
      <w:r>
        <w:t xml:space="preserve">Within port</w:t>
      </w:r>
      <w:r>
        <w:t xml:space="preserve"> </w:t>
      </w:r>
      <w:r>
        <w:t xml:space="preserve">emissions</w:t>
      </w:r>
      <w:r>
        <w:t xml:space="preserve"> </w:t>
      </w:r>
      <w:r>
        <w:t xml:space="preserve">8,200</w:t>
      </w:r>
      <w:r>
        <w:t xml:space="preserve"> </w:t>
      </w:r>
      <w:r>
        <w:t xml:space="preserve">8,350</w:t>
      </w:r>
      <w:r>
        <w:t xml:space="preserve"> </w:t>
      </w:r>
      <w:r>
        <w:t xml:space="preserve">1.83%</w:t>
      </w:r>
      <w:r>
        <w:t xml:space="preserve"> </w:t>
      </w:r>
      <w:r>
        <w:t xml:space="preserve">Total</w:t>
      </w:r>
      <w:r>
        <w:t xml:space="preserve"> </w:t>
      </w:r>
      <w:r>
        <w:t xml:space="preserve">93,600</w:t>
      </w:r>
      <w:r>
        <w:t xml:space="preserve"> </w:t>
      </w:r>
      <w:r>
        <w:t xml:space="preserve">95,017</w:t>
      </w:r>
      <w:r>
        <w:t xml:space="preserve"> </w:t>
      </w:r>
      <w:r>
        <w:t xml:space="preserve">1.51%</w:t>
      </w:r>
      <w:r>
        <w:t xml:space="preserve"> </w:t>
      </w:r>
      <w:r>
        <w:t xml:space="preserve">Source: MRV 2024 data provided by EMSA</w:t>
      </w:r>
      <w:r>
        <w:t xml:space="preserve"> </w:t>
      </w:r>
      <w:r>
        <w:t xml:space="preserve">6.3.3. Social impacts</w:t>
      </w:r>
      <w:r>
        <w:t xml:space="preserve"> </w:t>
      </w:r>
      <w:r>
        <w:t xml:space="preserve">PM1 is not expected to lead to any social impacts. PM2 and PM3 are expected to lead to some</w:t>
      </w:r>
      <w:r>
        <w:t xml:space="preserve"> </w:t>
      </w:r>
      <w:r>
        <w:t xml:space="preserve">positive social impacts. With revenues from ETS, governments could support the</w:t>
      </w:r>
      <w:r>
        <w:t xml:space="preserve"> </w:t>
      </w:r>
      <w:r>
        <w:t xml:space="preserve">decarbonisation of their economy, leading e.g. to job creation, greater resilience, or reduced</w:t>
      </w:r>
      <w:r>
        <w:t xml:space="preserve"> </w:t>
      </w:r>
      <w:r>
        <w:t xml:space="preserve">energy bills.</w:t>
      </w:r>
      <w:r>
        <w:t xml:space="preserve"> </w:t>
      </w:r>
      <w:r>
        <w:t xml:space="preserve">7. INCLUSION OF EMISSIONS FROM SHIPS BELOW 5000 GROSS TONNAGE</w:t>
      </w:r>
      <w:r>
        <w:t xml:space="preserve"> </w:t>
      </w:r>
      <w:r>
        <w:t xml:space="preserve">7.1. Scoping</w:t>
      </w:r>
      <w:r>
        <w:br/>
      </w:r>
      <w:r>
        <w:t xml:space="preserve">The ETS Directive requires the Commission to examine354 the feasibility and economic,</w:t>
      </w:r>
      <w:r>
        <w:t xml:space="preserve"> </w:t>
      </w:r>
      <w:r>
        <w:t xml:space="preserve">environmental and social impacts of including smaller vessels (400-4,999 GT) in the ETS by</w:t>
      </w:r>
      <w:r>
        <w:t xml:space="preserve"> </w:t>
      </w:r>
      <w:r>
        <w:t xml:space="preserve">no later than 31 December 2026. Since 2025, the EU MRV Regulation has been expanded to</w:t>
      </w:r>
      <w:r>
        <w:t xml:space="preserve"> </w:t>
      </w:r>
      <w:r>
        <w:t xml:space="preserve">cover both general cargo vessels between 400 and 4,999 GT and offshore ships of and above</w:t>
      </w:r>
      <w:r>
        <w:t xml:space="preserve"> </w:t>
      </w:r>
      <w:r>
        <w:t xml:space="preserve">400 GT as these vessel categories are the top emitters within this segment.</w:t>
      </w:r>
      <w:r>
        <w:br/>
      </w:r>
      <w:r>
        <w:t xml:space="preserve">Vessels between 400 and 4,999 GT calling at EU ports in 2023 emitted around 19 MtCO₂e</w:t>
      </w:r>
      <w:r>
        <w:t xml:space="preserve"> </w:t>
      </w:r>
      <w:r>
        <w:t xml:space="preserve">under the MRV scope, compared to a total of 126.7 MtCO₂e reported under MRV in the same</w:t>
      </w:r>
      <w:r>
        <w:t xml:space="preserve"> </w:t>
      </w:r>
      <w:r>
        <w:t xml:space="preserve">year. This means that smaller vessels account for approximately 15% of total CO2e emissions</w:t>
      </w:r>
      <w:r>
        <w:t xml:space="preserve"> </w:t>
      </w:r>
      <w:r>
        <w:t xml:space="preserve">reported under EU MRV in 2023. Smaller vessel categories currently included in MRV355</w:t>
      </w:r>
      <w:r>
        <w:t xml:space="preserve"> </w:t>
      </w:r>
      <w:r>
        <w:t xml:space="preserve">represents 6.1% of total emissions, the categories currently included under MRV but only as</w:t>
      </w:r>
      <w:r>
        <w:t xml:space="preserve"> </w:t>
      </w:r>
      <w:r>
        <w:t xml:space="preserve">large vessels above 5,000 GT represent 5.8% of total emissions, and categories completely</w:t>
      </w:r>
      <w:r>
        <w:t xml:space="preserve"> </w:t>
      </w:r>
      <w:r>
        <w:t xml:space="preserve">exempted from MRV accounts for 2.9% of total emissions. Excluding these GHG emissions</w:t>
      </w:r>
      <w:r>
        <w:t xml:space="preserve"> </w:t>
      </w:r>
      <w:r>
        <w:t xml:space="preserve">from the scope of the EU ETS (in the absence of other similar regulatory or carbon pricing</w:t>
      </w:r>
      <w:r>
        <w:t xml:space="preserve"> </w:t>
      </w:r>
      <w:r>
        <w:t xml:space="preserve">measures) means that this market segment is not properly internalising its climate impacts. This</w:t>
      </w:r>
      <w:r>
        <w:t xml:space="preserve"> </w:t>
      </w:r>
      <w:r>
        <w:t xml:space="preserve">is also problematic given that low and zero carbon technologies and fuels are often piloted and</w:t>
      </w:r>
      <w:r>
        <w:t xml:space="preserve"> </w:t>
      </w:r>
      <w:r>
        <w:t xml:space="preserve">implemented first in smaller vessels.</w:t>
      </w:r>
    </w:p>
    <w:p>
      <w:pPr>
        <w:pStyle w:val="BodyText"/>
      </w:pPr>
      <w:r>
        <w:t xml:space="preserve">354 The analysis for the ETS scope builds on the report from the Commission assessing the potential inclusion of</w:t>
      </w:r>
      <w:r>
        <w:t xml:space="preserve"> </w:t>
      </w:r>
      <w:r>
        <w:t xml:space="preserve">additional smaller ships under the scope of the EU MRV Regulation published in March 2025:</w:t>
      </w:r>
      <w:r>
        <w:t xml:space="preserve"> </w:t>
      </w:r>
      <w:r>
        <w:t xml:space="preserve">https://climate.ec.europa.eu/document/download/dc0e2810-b32c-4366-86d5-</w:t>
      </w:r>
      <w:r>
        <w:t xml:space="preserve"> </w:t>
      </w:r>
      <w:r>
        <w:t xml:space="preserve">9b7ef97ad785_en?filename=Review%20of%20the%20EU%20maritime%20MRV%20regulation%20on%2</w:t>
      </w:r>
      <w:r>
        <w:t xml:space="preserve"> </w:t>
      </w:r>
      <w:r>
        <w:t xml:space="preserve">0the%20possible%20inclusion%20of%20smaller%20ships.pdf</w:t>
      </w:r>
      <w:r>
        <w:br/>
      </w:r>
      <w:r>
        <w:t xml:space="preserve">355 Smaller (400–4999 GT) General Cargo and Offshore vessels, included in the scope from 2025. The</w:t>
      </w:r>
      <w:r>
        <w:t xml:space="preserve"> </w:t>
      </w:r>
      <w:r>
        <w:t xml:space="preserve">supporting study to the Report referred to in footnote no.54 contains further details on the contribution to total</w:t>
      </w:r>
      <w:r>
        <w:t xml:space="preserve"> </w:t>
      </w:r>
      <w:r>
        <w:t xml:space="preserve">emissions by vessel type.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The use of operational energy efficiency measures or the uptake of low and zero carbon fuels</w:t>
      </w:r>
      <w:r>
        <w:t xml:space="preserve"> </w:t>
      </w:r>
      <w:r>
        <w:t xml:space="preserve">in smaller vessels is not being incentivised by the global policy framework as smaller vessels</w:t>
      </w:r>
      <w:r>
        <w:t xml:space="preserve"> </w:t>
      </w:r>
      <w:r>
        <w:t xml:space="preserve">above 400 GT but less than 5,000 GT are excluded from relevant instruments356 at IMO level.</w:t>
      </w:r>
      <w:r>
        <w:br/>
      </w:r>
      <w:r>
        <w:t xml:space="preserve">It is to be noted tough that several EU Member States have already taken measures to</w:t>
      </w:r>
      <w:r>
        <w:t xml:space="preserve"> </w:t>
      </w:r>
      <w:r>
        <w:t xml:space="preserve">decarbonise smaller vessels segment, including for instance taxation-related measures or</w:t>
      </w:r>
      <w:r>
        <w:t xml:space="preserve"> </w:t>
      </w:r>
      <w:r>
        <w:t xml:space="preserve">voluntary ‘opt-ins’357 within the ‘ETS2’ for buildings, road transport and additional sectors e.g.</w:t>
      </w:r>
      <w:r>
        <w:br/>
      </w:r>
      <w:r>
        <w:t xml:space="preserve">for fishing, leisure boats or inland navigation358. However, these ETS2 voluntary “opt-ins”</w:t>
      </w:r>
      <w:r>
        <w:t xml:space="preserve"> </w:t>
      </w:r>
      <w:r>
        <w:t xml:space="preserve">would not necessarily overlap with an extension of the EU ETS to smaller vessels considering</w:t>
      </w:r>
      <w:r>
        <w:t xml:space="preserve"> </w:t>
      </w:r>
      <w:r>
        <w:t xml:space="preserve">that they presently either focus on inland navigation or exclude commercial navigation.</w:t>
      </w:r>
      <w:r>
        <w:t xml:space="preserve"> </w:t>
      </w:r>
      <w:r>
        <w:t xml:space="preserve">Including smaller vessels under ETS2 would present both potential benefits and drawbacks.</w:t>
      </w:r>
      <w:r>
        <w:t xml:space="preserve"> </w:t>
      </w:r>
      <w:r>
        <w:t xml:space="preserve">On the one hand, it would significantly expand the share of maritime greenhouse gas emissions</w:t>
      </w:r>
      <w:r>
        <w:t xml:space="preserve"> </w:t>
      </w:r>
      <w:r>
        <w:t xml:space="preserve">subject to carbon pricing against a minimal administrative burden for shipping companies, as</w:t>
      </w:r>
      <w:r>
        <w:t xml:space="preserve"> </w:t>
      </w:r>
      <w:r>
        <w:t xml:space="preserve">the compliance obligations, including reporting or verification tasks, would be placed on fuel</w:t>
      </w:r>
      <w:r>
        <w:t xml:space="preserve"> </w:t>
      </w:r>
      <w:r>
        <w:t xml:space="preserve">suppliers. Furthermore, an extension under ETS2 would close the current policy gap on EU</w:t>
      </w:r>
      <w:r>
        <w:t xml:space="preserve"> </w:t>
      </w:r>
      <w:r>
        <w:t xml:space="preserve">carbon pricing for smaller vessels, ensuring fair treatment across the sector while supporting</w:t>
      </w:r>
      <w:r>
        <w:t xml:space="preserve"> </w:t>
      </w:r>
      <w:r>
        <w:t xml:space="preserve">the uptake of low- and zero-emission technologies in a segment which is often used to test and</w:t>
      </w:r>
      <w:r>
        <w:t xml:space="preserve"> </w:t>
      </w:r>
      <w:r>
        <w:t xml:space="preserve">demonstrate new technologies before they are adopted by larger ships. On the other hand,</w:t>
      </w:r>
      <w:r>
        <w:t xml:space="preserve"> </w:t>
      </w:r>
      <w:r>
        <w:t xml:space="preserve">including smaller vessels under ETS2 may bring implementation challenges with respect to</w:t>
      </w:r>
      <w:r>
        <w:t xml:space="preserve"> </w:t>
      </w:r>
      <w:r>
        <w:t xml:space="preserve">bunkering activities, in terms of evasive practices and because of the need to differentiate</w:t>
      </w:r>
      <w:r>
        <w:t xml:space="preserve"> </w:t>
      </w:r>
      <w:r>
        <w:t xml:space="preserve">bunkering tariffs depending on a ship’s gross tonnage.</w:t>
      </w:r>
      <w:r>
        <w:t xml:space="preserve"> </w:t>
      </w:r>
      <w:r>
        <w:t xml:space="preserve">Summary of stakeholder views from the OPC</w:t>
      </w:r>
      <w:r>
        <w:br/>
      </w:r>
      <w:r>
        <w:t xml:space="preserve">Through the OPC, stakeholders shared views on the inclusion of smaller vessels in EU ETS</w:t>
      </w:r>
      <w:r>
        <w:t xml:space="preserve"> </w:t>
      </w:r>
      <w:r>
        <w:t xml:space="preserve">Maritime provisions. Among 189 respondents, 26 (14%) strongly agreed and 31 (16%) rather</w:t>
      </w:r>
      <w:r>
        <w:t xml:space="preserve"> </w:t>
      </w:r>
      <w:r>
        <w:t xml:space="preserve">agreed with the extension, 30 (16%) were neutral, 23 (12%) rather disagreed, 19 (10%) strongly</w:t>
      </w:r>
      <w:r>
        <w:t xml:space="preserve"> </w:t>
      </w:r>
      <w:r>
        <w:t xml:space="preserve">disagreed, and 60 (32%) indicated “do not know”. Supporters highlighted that this vessel</w:t>
      </w:r>
      <w:r>
        <w:t xml:space="preserve"> </w:t>
      </w:r>
      <w:r>
        <w:t xml:space="preserve">segment represents a significant share of emissions and is already largely covered under MRV</w:t>
      </w:r>
      <w:r>
        <w:t xml:space="preserve"> </w:t>
      </w:r>
      <w:r>
        <w:t xml:space="preserve">rules. Some respondents suggested phased inclusion, simplified MRV reporting for small</w:t>
      </w:r>
      <w:r>
        <w:t xml:space="preserve"> </w:t>
      </w:r>
      <w:r>
        <w:t xml:space="preserve">vessels, and using revenues generated to fund maritime decarbonisation measures. Concerns</w:t>
      </w:r>
      <w:r>
        <w:t xml:space="preserve"> </w:t>
      </w:r>
      <w:r>
        <w:t xml:space="preserve">were raised regarding potential negative impacts on outermost regions, including route</w:t>
      </w:r>
      <w:r>
        <w:t xml:space="preserve"> </w:t>
      </w:r>
      <w:r>
        <w:t xml:space="preserve">diversion, higher costs and competitive disadvantages.</w:t>
      </w:r>
      <w:r>
        <w:t xml:space="preserve"> </w:t>
      </w:r>
      <w:r>
        <w:t xml:space="preserve">7.2. Policy measures</w:t>
      </w:r>
      <w:r>
        <w:t xml:space="preserve"> </w:t>
      </w:r>
      <w:r>
        <w:t xml:space="preserve">Policy measure MSS1: Extension of the scope of the EU ETS to include ship categories emitting</w:t>
      </w:r>
      <w:r>
        <w:t xml:space="preserve"> </w:t>
      </w:r>
      <w:r>
        <w:t xml:space="preserve">the most among small ship categories</w:t>
      </w:r>
      <w:r>
        <w:t xml:space="preserve"> </w:t>
      </w:r>
      <w:r>
        <w:t xml:space="preserve">This measure prioritises those categories of smaller vessels under the MRV with the highest</w:t>
      </w:r>
      <w:r>
        <w:t xml:space="preserve"> </w:t>
      </w:r>
      <w:r>
        <w:t xml:space="preserve">contribution in terms of GHG emissions with the aim to optimise the trade-off between</w:t>
      </w:r>
    </w:p>
    <w:p>
      <w:pPr>
        <w:pStyle w:val="BodyText"/>
      </w:pPr>
      <w:r>
        <w:t xml:space="preserve">356 Such as the Carbon Intensity Indicator and monitoring and reporting of fuel oil consumption data through the</w:t>
      </w:r>
      <w:r>
        <w:t xml:space="preserve"> </w:t>
      </w:r>
      <w:r>
        <w:t xml:space="preserve">IMO Data Collection System.</w:t>
      </w:r>
      <w:r>
        <w:br/>
      </w:r>
      <w:r>
        <w:t xml:space="preserve">357 Following Article 30j of the revised EU ETS Directive, Member States may opt to include under the scope</w:t>
      </w:r>
      <w:r>
        <w:t xml:space="preserve"> </w:t>
      </w:r>
      <w:r>
        <w:t xml:space="preserve">of ETS2 fuel used by the shipping sector that is not already covered by ETS1 obligations (such as for inland</w:t>
      </w:r>
      <w:r>
        <w:t xml:space="preserve"> </w:t>
      </w:r>
      <w:r>
        <w:t xml:space="preserve">waterway navigation and/or for small vessels not included in ETS1). However, in such a case the requirements</w:t>
      </w:r>
      <w:r>
        <w:t xml:space="preserve"> </w:t>
      </w:r>
      <w:r>
        <w:t xml:space="preserve">to monitor, report and surrender emission allowances would not fall on ship operators but on fuel suppliers.</w:t>
      </w:r>
      <w:r>
        <w:t xml:space="preserve"> </w:t>
      </w:r>
      <w:r>
        <w:t xml:space="preserve">358 Austria would cover emissions from fuels used to propel water-borne vessels, including hovercraft and</w:t>
      </w:r>
      <w:r>
        <w:t xml:space="preserve"> </w:t>
      </w:r>
      <w:r>
        <w:t xml:space="preserve">hydrofoils, but excluding commercial activities on the Danube River and on the international lakes</w:t>
      </w:r>
      <w:r>
        <w:t xml:space="preserve"> </w:t>
      </w:r>
      <w:r>
        <w:t xml:space="preserve">(Constance and Neusiedl). The Netherlands would cover emissions from fuels used to propel water-borne</w:t>
      </w:r>
      <w:r>
        <w:t xml:space="preserve"> </w:t>
      </w:r>
      <w:r>
        <w:t xml:space="preserve">vessels on inland waters, including hovercraft and hydrofoils, but excluding fishing vessels. Sweden intends</w:t>
      </w:r>
      <w:r>
        <w:t xml:space="preserve"> </w:t>
      </w:r>
      <w:r>
        <w:t xml:space="preserve">to cover emissions from fuels used in leisure boats, excluding commercial waterborne navigation, and from</w:t>
      </w:r>
      <w:r>
        <w:t xml:space="preserve"> </w:t>
      </w:r>
      <w:r>
        <w:t xml:space="preserve">fishing related fuel use. Finland would cover emissions from fuels used to propel water-borne vessels,</w:t>
      </w:r>
      <w:r>
        <w:t xml:space="preserve"> </w:t>
      </w:r>
      <w:r>
        <w:t xml:space="preserve">including hovercraft and hydrofoils, but excluding commercial navigation.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bringing additional GHG emissions under ETS scope and administrative costs. The top</w:t>
      </w:r>
      <w:r>
        <w:t xml:space="preserve"> </w:t>
      </w:r>
      <w:r>
        <w:t xml:space="preserve">emitting categories considered for the extension under this measure would be: general cargo,</w:t>
      </w:r>
      <w:r>
        <w:t xml:space="preserve"> </w:t>
      </w:r>
      <w:r>
        <w:t xml:space="preserve">offshore vessels, tankers, RoPax ships and passenger ships, between 400 and 4 999 GT. Under</w:t>
      </w:r>
      <w:r>
        <w:t xml:space="preserve"> </w:t>
      </w:r>
      <w:r>
        <w:t xml:space="preserve">this measure, a total of 5 455 new vessels would be added to the scope, corresponding to 1 171</w:t>
      </w:r>
      <w:r>
        <w:t xml:space="preserve"> </w:t>
      </w:r>
      <w:r>
        <w:t xml:space="preserve">new shipping companies brought under the EU ETS.</w:t>
      </w:r>
      <w:r>
        <w:br/>
      </w:r>
      <w:r>
        <w:t xml:space="preserve">Policy measure MSS2: Extension of the scope of the EU ETS to all vessel types under MRV,</w:t>
      </w:r>
      <w:r>
        <w:t xml:space="preserve"> </w:t>
      </w:r>
      <w:r>
        <w:t xml:space="preserve">plus fishing vessels and non-commercial yachts</w:t>
      </w:r>
      <w:r>
        <w:t xml:space="preserve"> </w:t>
      </w:r>
      <w:r>
        <w:t xml:space="preserve">This measure foresees the expansion of the EU ETS scope to all ships between 400 and 4 999</w:t>
      </w:r>
      <w:r>
        <w:t xml:space="preserve"> </w:t>
      </w:r>
      <w:r>
        <w:t xml:space="preserve">GT falling under the categories currently under MRV (i.e. all ships transporting cargo or</w:t>
      </w:r>
      <w:r>
        <w:t xml:space="preserve"> </w:t>
      </w:r>
      <w:r>
        <w:t xml:space="preserve">passengers for commercial purposes as well as offshore ships), plus fishing ships and non-</w:t>
      </w:r>
      <w:r>
        <w:t xml:space="preserve"> </w:t>
      </w:r>
      <w:r>
        <w:t xml:space="preserve">commercial yachts. This scenario maximises the coverage of GHG emissions among smaller</w:t>
      </w:r>
      <w:r>
        <w:t xml:space="preserve"> </w:t>
      </w:r>
      <w:r>
        <w:t xml:space="preserve">vessels. Under this measure, 7 638 new vessels would be covered, representing 2 312 new</w:t>
      </w:r>
      <w:r>
        <w:t xml:space="preserve"> </w:t>
      </w:r>
      <w:r>
        <w:t xml:space="preserve">companies newly subject to the ETS obligations.</w:t>
      </w:r>
      <w:r>
        <w:br/>
      </w:r>
      <w:r>
        <w:t xml:space="preserve">7.3. Assessment of policy measures</w:t>
      </w:r>
      <w:r>
        <w:t xml:space="preserve"> </w:t>
      </w:r>
      <w:r>
        <w:t xml:space="preserve">7.3.1. Environmental impacts</w:t>
      </w:r>
      <w:r>
        <w:t xml:space="preserve"> </w:t>
      </w:r>
      <w:r>
        <w:t xml:space="preserve">Emissions under ETS scope</w:t>
      </w:r>
      <w:r>
        <w:t xml:space="preserve"> </w:t>
      </w:r>
      <w:r>
        <w:t xml:space="preserve">The extension of the EU ETS to smaller vessels under the policy measures under consideration</w:t>
      </w:r>
      <w:r>
        <w:t xml:space="preserve"> </w:t>
      </w:r>
      <w:r>
        <w:t xml:space="preserve">would increase the amount of GHG emissions under the EU ETS scope, as detailed in the table</w:t>
      </w:r>
      <w:r>
        <w:t xml:space="preserve"> </w:t>
      </w:r>
      <w:r>
        <w:t xml:space="preserve">below359. Policy measure MSS1 would capture around 11.3 MtCO₂e (13.2% of in-scope ETS</w:t>
      </w:r>
      <w:r>
        <w:t xml:space="preserve"> </w:t>
      </w:r>
      <w:r>
        <w:t xml:space="preserve">CO2e emissions360), while policy measure MSS2 would capture 14.6 MtCO₂e (17% of ETS in-</w:t>
      </w:r>
      <w:r>
        <w:t xml:space="preserve"> </w:t>
      </w:r>
      <w:r>
        <w:t xml:space="preserve">scope CO2e emissions)361. MSS2 would for instance address the significant climate impact of</w:t>
      </w:r>
      <w:r>
        <w:t xml:space="preserve"> </w:t>
      </w:r>
      <w:r>
        <w:t xml:space="preserve">yachts, characterised by high-carbon intensity operational profile.</w:t>
      </w:r>
      <w:r>
        <w:br/>
      </w:r>
      <w:r>
        <w:t xml:space="preserve">Table 14: GHG emissions from vessels between 400 and 4999 GT in 2023 under the geographical</w:t>
      </w:r>
      <w:r>
        <w:t xml:space="preserve"> </w:t>
      </w:r>
      <w:r>
        <w:t xml:space="preserve">scope of the EU ETS (i.e. 100% of intra-EU and at berth emissions and 50% of extra-EU</w:t>
      </w:r>
      <w:r>
        <w:t xml:space="preserve"> </w:t>
      </w:r>
      <w:r>
        <w:t xml:space="preserve">emissions, considering potential derogations) and under the extension of the scope of the EU</w:t>
      </w:r>
      <w:r>
        <w:t xml:space="preserve"> </w:t>
      </w:r>
      <w:r>
        <w:t xml:space="preserve">ETS to all non-exempt categories of small vessels plus fishing vessels (MSS2)</w:t>
      </w:r>
      <w:r>
        <w:t xml:space="preserve"> </w:t>
      </w:r>
      <w:r>
        <w:t xml:space="preserve">Vessel type[1]</w:t>
      </w:r>
      <w:r>
        <w:t xml:space="preserve"> </w:t>
      </w:r>
      <w:r>
        <w:t xml:space="preserve">In-scope GHG emissions from</w:t>
      </w:r>
      <w:r>
        <w:t xml:space="preserve"> </w:t>
      </w:r>
      <w:r>
        <w:t xml:space="preserve">smaller vessels (MtCO2e)</w:t>
      </w:r>
      <w:r>
        <w:t xml:space="preserve"> </w:t>
      </w:r>
      <w:r>
        <w:t xml:space="preserve">Share of in-scope EU</w:t>
      </w:r>
      <w:r>
        <w:t xml:space="preserve"> </w:t>
      </w:r>
      <w:r>
        <w:t xml:space="preserve">ETS emissions</w:t>
      </w:r>
      <w:r>
        <w:t xml:space="preserve"> </w:t>
      </w:r>
      <w:r>
        <w:t xml:space="preserve">Number</w:t>
      </w:r>
      <w:r>
        <w:t xml:space="preserve"> </w:t>
      </w:r>
      <w:r>
        <w:t xml:space="preserve">of vessels</w:t>
      </w:r>
      <w:r>
        <w:t xml:space="preserve"> </w:t>
      </w:r>
      <w:r>
        <w:t xml:space="preserve">General cargo</w:t>
      </w:r>
      <w:r>
        <w:t xml:space="preserve"> </w:t>
      </w:r>
      <w:r>
        <w:t xml:space="preserve">3.37</w:t>
      </w:r>
      <w:r>
        <w:t xml:space="preserve"> </w:t>
      </w:r>
      <w:r>
        <w:t xml:space="preserve">3.9%</w:t>
      </w:r>
      <w:r>
        <w:t xml:space="preserve"> </w:t>
      </w:r>
      <w:r>
        <w:t xml:space="preserve">2,296</w:t>
      </w:r>
      <w:r>
        <w:t xml:space="preserve"> </w:t>
      </w:r>
      <w:r>
        <w:t xml:space="preserve">Offshore</w:t>
      </w:r>
      <w:r>
        <w:t xml:space="preserve"> </w:t>
      </w:r>
      <w:r>
        <w:t xml:space="preserve">3.13</w:t>
      </w:r>
      <w:r>
        <w:t xml:space="preserve"> </w:t>
      </w:r>
      <w:r>
        <w:t xml:space="preserve">3.6%</w:t>
      </w:r>
      <w:r>
        <w:t xml:space="preserve"> </w:t>
      </w:r>
      <w:r>
        <w:t xml:space="preserve">921</w:t>
      </w:r>
      <w:r>
        <w:t xml:space="preserve"> </w:t>
      </w:r>
      <w:r>
        <w:t xml:space="preserve">Miscellaneous - fishing</w:t>
      </w:r>
      <w:r>
        <w:t xml:space="preserve"> </w:t>
      </w:r>
      <w:r>
        <w:t xml:space="preserve">2.11</w:t>
      </w:r>
      <w:r>
        <w:t xml:space="preserve"> </w:t>
      </w:r>
      <w:r>
        <w:t xml:space="preserve">2.5%</w:t>
      </w:r>
      <w:r>
        <w:t xml:space="preserve"> </w:t>
      </w:r>
      <w:r>
        <w:t xml:space="preserve">1,065</w:t>
      </w:r>
      <w:r>
        <w:t xml:space="preserve"> </w:t>
      </w:r>
      <w:r>
        <w:t xml:space="preserve">Chemical tanker</w:t>
      </w:r>
      <w:r>
        <w:t xml:space="preserve"> </w:t>
      </w:r>
      <w:r>
        <w:t xml:space="preserve">1.94</w:t>
      </w:r>
      <w:r>
        <w:t xml:space="preserve"> </w:t>
      </w:r>
      <w:r>
        <w:t xml:space="preserve">2.3%</w:t>
      </w:r>
      <w:r>
        <w:t xml:space="preserve"> </w:t>
      </w:r>
      <w:r>
        <w:t xml:space="preserve">756</w:t>
      </w:r>
    </w:p>
    <w:p>
      <w:pPr>
        <w:pStyle w:val="BodyText"/>
      </w:pPr>
      <w:r>
        <w:t xml:space="preserve">359 For the purposes of this analysis, the EU ETS geographical scope (100% of intra-EU and 50% of extra-EU</w:t>
      </w:r>
      <w:r>
        <w:t xml:space="preserve"> </w:t>
      </w:r>
      <w:r>
        <w:t xml:space="preserve">emissions) was applied to total emissions from smaller vessels in 2023 as per Marine Benchmark data. The</w:t>
      </w:r>
      <w:r>
        <w:t xml:space="preserve"> </w:t>
      </w:r>
      <w:r>
        <w:t xml:space="preserve">analysis also factored in the share of emissions subject to ETS derogations per vessel type as per THETIS-</w:t>
      </w:r>
      <w:r>
        <w:t xml:space="preserve"> </w:t>
      </w:r>
      <w:r>
        <w:t xml:space="preserve">MRV data, assuming similar shares for smaller vessels would apply. A set of assumptions was required to</w:t>
      </w:r>
      <w:r>
        <w:t xml:space="preserve"> </w:t>
      </w:r>
      <w:r>
        <w:t xml:space="preserve">align the categories presented in the Marine Benchmark data with those of the MRV. For instance, the MRV</w:t>
      </w:r>
      <w:r>
        <w:t xml:space="preserve"> </w:t>
      </w:r>
      <w:r>
        <w:t xml:space="preserve">category “Passenger ships” was considered to comprise the analysis categories “Cruise” and “Passenger-only</w:t>
      </w:r>
      <w:r>
        <w:t xml:space="preserve"> </w:t>
      </w:r>
      <w:r>
        <w:t xml:space="preserve">ferries”.</w:t>
      </w:r>
      <w:r>
        <w:br/>
      </w:r>
      <w:r>
        <w:t xml:space="preserve">360 Total in-scope emissions under EU ETS for 2023 were estimated at 86 MtCO2, considering derogations.</w:t>
      </w:r>
      <w:r>
        <w:t xml:space="preserve"> </w:t>
      </w:r>
      <w:r>
        <w:t xml:space="preserve">361 The difference in terms of in scope EU ETS GHG emissions brought under scope between MSS2 and MSS1</w:t>
      </w:r>
      <w:r>
        <w:t xml:space="preserve"> </w:t>
      </w:r>
      <w:r>
        <w:t xml:space="preserve">is due to the exclusion under MSS1 of the types Miscellaneous – fishing (2.11 MtCO2e), Yacht (non-</w:t>
      </w:r>
      <w:r>
        <w:t xml:space="preserve"> </w:t>
      </w:r>
      <w:r>
        <w:t xml:space="preserve">commercial) (0.72 MtCO2e), Bulk carrier (0.22 MtCO2e), Refrigerated bulk (0.09 MtCO2e), Container (0.08</w:t>
      </w:r>
      <w:r>
        <w:t xml:space="preserve"> </w:t>
      </w:r>
      <w:r>
        <w:t xml:space="preserve">MtCO2e ), Other liquids tankers (0.09 MtCO2e), Ro-Ro (0.03 MtCO2e).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Ferry-RoPax</w:t>
      </w:r>
      <w:r>
        <w:t xml:space="preserve"> </w:t>
      </w:r>
      <w:r>
        <w:t xml:space="preserve">1.22</w:t>
      </w:r>
      <w:r>
        <w:t xml:space="preserve"> </w:t>
      </w:r>
      <w:r>
        <w:t xml:space="preserve">1.4%</w:t>
      </w:r>
      <w:r>
        <w:t xml:space="preserve"> </w:t>
      </w:r>
      <w:r>
        <w:t xml:space="preserve">571</w:t>
      </w:r>
      <w:r>
        <w:t xml:space="preserve"> </w:t>
      </w:r>
      <w:r>
        <w:t xml:space="preserve">Yacht (non-commercial)</w:t>
      </w:r>
      <w:r>
        <w:t xml:space="preserve"> </w:t>
      </w:r>
      <w:r>
        <w:t xml:space="preserve">0.72</w:t>
      </w:r>
      <w:r>
        <w:t xml:space="preserve"> </w:t>
      </w:r>
      <w:r>
        <w:t xml:space="preserve">0.8%</w:t>
      </w:r>
      <w:r>
        <w:t xml:space="preserve"> </w:t>
      </w:r>
      <w:r>
        <w:t xml:space="preserve">896</w:t>
      </w:r>
      <w:r>
        <w:t xml:space="preserve"> </w:t>
      </w:r>
      <w:r>
        <w:t xml:space="preserve">Cruise</w:t>
      </w:r>
      <w:r>
        <w:t xml:space="preserve"> </w:t>
      </w:r>
      <w:r>
        <w:t xml:space="preserve">0.52</w:t>
      </w:r>
      <w:r>
        <w:t xml:space="preserve"> </w:t>
      </w:r>
      <w:r>
        <w:t xml:space="preserve">0.6%</w:t>
      </w:r>
      <w:r>
        <w:t xml:space="preserve"> </w:t>
      </w:r>
      <w:r>
        <w:t xml:space="preserve">217</w:t>
      </w:r>
      <w:r>
        <w:t xml:space="preserve"> </w:t>
      </w:r>
      <w:r>
        <w:t xml:space="preserve">Liquefied gas tanker</w:t>
      </w:r>
      <w:r>
        <w:t xml:space="preserve"> </w:t>
      </w:r>
      <w:r>
        <w:t xml:space="preserve">0.38</w:t>
      </w:r>
      <w:r>
        <w:t xml:space="preserve"> </w:t>
      </w:r>
      <w:r>
        <w:t xml:space="preserve">0.4%</w:t>
      </w:r>
      <w:r>
        <w:t xml:space="preserve"> </w:t>
      </w:r>
      <w:r>
        <w:t xml:space="preserve">143</w:t>
      </w:r>
      <w:r>
        <w:t xml:space="preserve"> </w:t>
      </w:r>
      <w:r>
        <w:t xml:space="preserve">Oil &amp; Product tanker</w:t>
      </w:r>
      <w:r>
        <w:t xml:space="preserve"> </w:t>
      </w:r>
      <w:r>
        <w:t xml:space="preserve">0.36</w:t>
      </w:r>
      <w:r>
        <w:t xml:space="preserve"> </w:t>
      </w:r>
      <w:r>
        <w:t xml:space="preserve">0.4%</w:t>
      </w:r>
      <w:r>
        <w:t xml:space="preserve"> </w:t>
      </w:r>
      <w:r>
        <w:t xml:space="preserve">256</w:t>
      </w:r>
      <w:r>
        <w:t xml:space="preserve"> </w:t>
      </w:r>
      <w:r>
        <w:t xml:space="preserve">Ferry-pax only</w:t>
      </w:r>
      <w:r>
        <w:t xml:space="preserve"> </w:t>
      </w:r>
      <w:r>
        <w:t xml:space="preserve">0.32</w:t>
      </w:r>
      <w:r>
        <w:t xml:space="preserve"> </w:t>
      </w:r>
      <w:r>
        <w:t xml:space="preserve">0.4%</w:t>
      </w:r>
      <w:r>
        <w:t xml:space="preserve"> </w:t>
      </w:r>
      <w:r>
        <w:t xml:space="preserve">253</w:t>
      </w:r>
      <w:r>
        <w:t xml:space="preserve"> </w:t>
      </w:r>
      <w:r>
        <w:t xml:space="preserve">Bulk carrier</w:t>
      </w:r>
      <w:r>
        <w:t xml:space="preserve"> </w:t>
      </w:r>
      <w:r>
        <w:t xml:space="preserve">0.22</w:t>
      </w:r>
      <w:r>
        <w:t xml:space="preserve"> </w:t>
      </w:r>
      <w:r>
        <w:t xml:space="preserve">0.3%</w:t>
      </w:r>
      <w:r>
        <w:t xml:space="preserve"> </w:t>
      </w:r>
      <w:r>
        <w:t xml:space="preserve">111</w:t>
      </w:r>
      <w:r>
        <w:t xml:space="preserve"> </w:t>
      </w:r>
      <w:r>
        <w:t xml:space="preserve">Refrigerated bulk</w:t>
      </w:r>
      <w:r>
        <w:t xml:space="preserve"> </w:t>
      </w:r>
      <w:r>
        <w:t xml:space="preserve">0.09</w:t>
      </w:r>
      <w:r>
        <w:t xml:space="preserve"> </w:t>
      </w:r>
      <w:r>
        <w:t xml:space="preserve">0.1%</w:t>
      </w:r>
      <w:r>
        <w:t xml:space="preserve"> </w:t>
      </w:r>
      <w:r>
        <w:t xml:space="preserve">53</w:t>
      </w:r>
      <w:r>
        <w:t xml:space="preserve"> </w:t>
      </w:r>
      <w:r>
        <w:t xml:space="preserve">Container</w:t>
      </w:r>
      <w:r>
        <w:t xml:space="preserve"> </w:t>
      </w:r>
      <w:r>
        <w:t xml:space="preserve">0.08</w:t>
      </w:r>
      <w:r>
        <w:t xml:space="preserve"> </w:t>
      </w:r>
      <w:r>
        <w:t xml:space="preserve">0.1%</w:t>
      </w:r>
      <w:r>
        <w:t xml:space="preserve"> </w:t>
      </w:r>
      <w:r>
        <w:t xml:space="preserve">38</w:t>
      </w:r>
      <w:r>
        <w:t xml:space="preserve"> </w:t>
      </w:r>
      <w:r>
        <w:t xml:space="preserve">Other liquids tankers</w:t>
      </w:r>
      <w:r>
        <w:t xml:space="preserve"> </w:t>
      </w:r>
      <w:r>
        <w:t xml:space="preserve">0.09</w:t>
      </w:r>
      <w:r>
        <w:t xml:space="preserve"> </w:t>
      </w:r>
      <w:r>
        <w:t xml:space="preserve">0.1%</w:t>
      </w:r>
      <w:r>
        <w:t xml:space="preserve"> </w:t>
      </w:r>
      <w:r>
        <w:t xml:space="preserve">42</w:t>
      </w:r>
      <w:r>
        <w:t xml:space="preserve"> </w:t>
      </w:r>
      <w:r>
        <w:t xml:space="preserve">Ro-Ro</w:t>
      </w:r>
      <w:r>
        <w:t xml:space="preserve"> </w:t>
      </w:r>
      <w:r>
        <w:t xml:space="preserve">0.03</w:t>
      </w:r>
      <w:r>
        <w:t xml:space="preserve"> </w:t>
      </w:r>
      <w:r>
        <w:t xml:space="preserve">0.0%</w:t>
      </w:r>
      <w:r>
        <w:t xml:space="preserve"> </w:t>
      </w:r>
      <w:r>
        <w:t xml:space="preserve">20</w:t>
      </w:r>
      <w:r>
        <w:t xml:space="preserve"> </w:t>
      </w:r>
      <w:r>
        <w:t xml:space="preserve">Total</w:t>
      </w:r>
      <w:r>
        <w:t xml:space="preserve"> </w:t>
      </w:r>
      <w:r>
        <w:t xml:space="preserve">14.60</w:t>
      </w:r>
      <w:r>
        <w:t xml:space="preserve"> </w:t>
      </w:r>
      <w:r>
        <w:t xml:space="preserve">17.0%</w:t>
      </w:r>
      <w:r>
        <w:t xml:space="preserve"> </w:t>
      </w:r>
      <w:r>
        <w:t xml:space="preserve">7,638</w:t>
      </w:r>
      <w:r>
        <w:t xml:space="preserve"> </w:t>
      </w:r>
      <w:r>
        <w:t xml:space="preserve">Source: Commission analysis based on AIS data from Marine Benchmark</w:t>
      </w:r>
      <w:r>
        <w:t xml:space="preserve"> </w:t>
      </w:r>
      <w:r>
        <w:t xml:space="preserve">Note [1]: vessel categories shown in the table are the categories provided by Marine Benchmarking.</w:t>
      </w:r>
      <w:r>
        <w:br/>
      </w:r>
      <w:r>
        <w:t xml:space="preserve">GHG emissions savings</w:t>
      </w:r>
      <w:r>
        <w:t xml:space="preserve"> </w:t>
      </w:r>
      <w:r>
        <w:t xml:space="preserve">Direct environmental impacts of measure MSS2 in terms of GHG emission reduction, fuel mix,</w:t>
      </w:r>
      <w:r>
        <w:t xml:space="preserve"> </w:t>
      </w:r>
      <w:r>
        <w:t xml:space="preserve">energy efficiency were modelled in PRIMES-Maritime. Results from MSS2 (All_SV</w:t>
      </w:r>
      <w:r>
        <w:t xml:space="preserve"> </w:t>
      </w:r>
      <w:r>
        <w:t xml:space="preserve">scenario)362 are compared against the default policy scenario that keeps the current EU ETS</w:t>
      </w:r>
      <w:r>
        <w:t xml:space="preserve"> </w:t>
      </w:r>
      <w:r>
        <w:t xml:space="preserve">scope (i.e. no ETS extension to small ships)363.</w:t>
      </w:r>
      <w:r>
        <w:br/>
      </w:r>
      <w:r>
        <w:t xml:space="preserve">Under the default policy scenario PO1 (i.e. current EU ETS scope without changes insofar</w:t>
      </w:r>
      <w:r>
        <w:t xml:space="preserve"> </w:t>
      </w:r>
      <w:r>
        <w:t xml:space="preserve">smaller vessels), GHG emissions from smaller vessels are expected to decrease by 28% over</w:t>
      </w:r>
      <w:r>
        <w:t xml:space="preserve"> </w:t>
      </w:r>
      <w:r>
        <w:t xml:space="preserve">the period 2030-2050, from around 19.3 MtCO2e in 2030 to 13.9 MtCO2e in 2050. In the</w:t>
      </w:r>
      <w:r>
        <w:t xml:space="preserve"> </w:t>
      </w:r>
      <w:r>
        <w:t xml:space="preserve">absence of smaller vessels inclusion under EU or global climate policies the main driver of</w:t>
      </w:r>
      <w:r>
        <w:t xml:space="preserve"> </w:t>
      </w:r>
      <w:r>
        <w:t xml:space="preserve">such a decrease are the energy efficiency improvements in the sector, combined with the</w:t>
      </w:r>
      <w:r>
        <w:t xml:space="preserve"> </w:t>
      </w:r>
      <w:r>
        <w:t xml:space="preserve">availability and therefore lower costs of low carbon fuels driven by the regulatory pressure</w:t>
      </w:r>
      <w:r>
        <w:t xml:space="preserve"> </w:t>
      </w:r>
      <w:r>
        <w:t xml:space="preserve">applied in the larger vessel segment. The adoption of policy measure MSS2 would lead to a</w:t>
      </w:r>
      <w:r>
        <w:t xml:space="preserve"> </w:t>
      </w:r>
      <w:r>
        <w:t xml:space="preserve">further reduction in GHG emissions, particularly from 2035 onwards, leading to 4.1 MtCO2 of</w:t>
      </w:r>
      <w:r>
        <w:t xml:space="preserve"> </w:t>
      </w:r>
      <w:r>
        <w:t xml:space="preserve">residual GHG emissions in 2050, which would amount to a 79% reduction on 2030 levels. This</w:t>
      </w:r>
      <w:r>
        <w:t xml:space="preserve"> </w:t>
      </w:r>
      <w:r>
        <w:t xml:space="preserve">is mostly driven by a significantly higher uptake of low carbon and renewable fuels</w:t>
      </w:r>
      <w:r>
        <w:t xml:space="preserve"> </w:t>
      </w:r>
      <w:r>
        <w:t xml:space="preserve">incentivised by the ETS price signal in the segment.</w:t>
      </w:r>
      <w:r>
        <w:br/>
      </w:r>
      <w:r>
        <w:t xml:space="preserve">The resulting emissions trajectories and impacts on GHG emissions from smaller vessels are</w:t>
      </w:r>
      <w:r>
        <w:t xml:space="preserve"> </w:t>
      </w:r>
      <w:r>
        <w:t xml:space="preserve">shown in Figure 4 and Table 15 below.</w:t>
      </w:r>
    </w:p>
    <w:p>
      <w:pPr>
        <w:pStyle w:val="BodyText"/>
      </w:pPr>
      <w:r>
        <w:t xml:space="preserve">362 All_SV MSS2 represents the extension of the EU ETS to smaller vessels, applied on top of the default policy</w:t>
      </w:r>
      <w:r>
        <w:t xml:space="preserve"> </w:t>
      </w:r>
      <w:r>
        <w:t xml:space="preserve">scenario.</w:t>
      </w:r>
      <w:r>
        <w:br/>
      </w:r>
      <w:r>
        <w:t xml:space="preserve">363 Impacts from measure MSS1 were not modelled in a dedicated scenario, but they are not expected to</w:t>
      </w:r>
      <w:r>
        <w:t xml:space="preserve"> </w:t>
      </w:r>
      <w:r>
        <w:t xml:space="preserve">substantially deviate from those of MSS2. Impacts from MSS1 would be slightly lower (both in terms of</w:t>
      </w:r>
      <w:r>
        <w:t xml:space="preserve"> </w:t>
      </w:r>
      <w:r>
        <w:t xml:space="preserve">GHG emission reductions and cost impacts) as the extension to most emitting categories in MSS1 already</w:t>
      </w:r>
      <w:r>
        <w:t xml:space="preserve"> </w:t>
      </w:r>
      <w:r>
        <w:t xml:space="preserve">covers 79% of total GHG emissions that would be added for MSS2. It can be assumed that GHG emission</w:t>
      </w:r>
      <w:r>
        <w:t xml:space="preserve"> </w:t>
      </w:r>
      <w:r>
        <w:t xml:space="preserve">reductions from MSS1 would be approximately 79% of those of MSS2. GHG emission savings in MSS1 are</w:t>
      </w:r>
      <w:r>
        <w:t xml:space="preserve"> </w:t>
      </w:r>
      <w:r>
        <w:t xml:space="preserve">modelled alongside other measures included in PO2.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Figure 4:</w:t>
      </w:r>
      <w:r>
        <w:t xml:space="preserve"> </w:t>
      </w:r>
      <w:r>
        <w:t xml:space="preserve">GHG emissions trajectory (emissions measured as MtCO2e) for the extension to</w:t>
      </w:r>
      <w:r>
        <w:t xml:space="preserve"> </w:t>
      </w:r>
      <w:r>
        <w:t xml:space="preserve">smaller vessels (MSS2) compared to the default policy scenario (PO1)</w:t>
      </w:r>
    </w:p>
    <w:p>
      <w:pPr>
        <w:pStyle w:val="BodyText"/>
      </w:pPr>
      <w:r>
        <w:t xml:space="preserve">Source: PRIMES-Maritime modelling. Smaller vessels (i.e. between 400 and 5000 GT) in scope are those included</w:t>
      </w:r>
      <w:r>
        <w:t xml:space="preserve"> </w:t>
      </w:r>
      <w:r>
        <w:t xml:space="preserve">in MSS2.</w:t>
      </w:r>
      <w:r>
        <w:t xml:space="preserve"> </w:t>
      </w:r>
      <w:r>
        <w:t xml:space="preserve">Table 15: Impacts from measure MSS2 on GHG emissions (in MtCO2e) of smaller vessels</w:t>
      </w:r>
      <w:r>
        <w:t xml:space="preserve"> </w:t>
      </w:r>
      <w:r>
        <w:t xml:space="preserve">Scenario</w:t>
      </w:r>
      <w:r>
        <w:t xml:space="preserve"> </w:t>
      </w:r>
      <w:r>
        <w:t xml:space="preserve">Indicator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2030-</w:t>
      </w:r>
      <w:r>
        <w:t xml:space="preserve"> </w:t>
      </w:r>
      <w:r>
        <w:t xml:space="preserve">2050</w:t>
      </w:r>
      <w:r>
        <w:t xml:space="preserve"> </w:t>
      </w:r>
      <w:r>
        <w:t xml:space="preserve">Baseline (PO1)</w:t>
      </w:r>
      <w:r>
        <w:t xml:space="preserve"> </w:t>
      </w:r>
      <w:r>
        <w:t xml:space="preserve">GHG emissions</w:t>
      </w:r>
      <w:r>
        <w:t xml:space="preserve"> </w:t>
      </w:r>
      <w:r>
        <w:t xml:space="preserve">(MtCO2e)</w:t>
      </w:r>
      <w:r>
        <w:t xml:space="preserve"> </w:t>
      </w:r>
      <w:r>
        <w:t xml:space="preserve">19.3</w:t>
      </w:r>
      <w:r>
        <w:t xml:space="preserve"> </w:t>
      </w:r>
      <w:r>
        <w:t xml:space="preserve">18.2</w:t>
      </w:r>
      <w:r>
        <w:t xml:space="preserve"> </w:t>
      </w:r>
      <w:r>
        <w:t xml:space="preserve">13.9</w:t>
      </w:r>
      <w:r>
        <w:t xml:space="preserve"> </w:t>
      </w:r>
      <w:r>
        <w:t xml:space="preserve">438.5</w:t>
      </w:r>
      <w:r>
        <w:t xml:space="preserve"> </w:t>
      </w:r>
      <w:r>
        <w:t xml:space="preserve">MSS2</w:t>
      </w:r>
      <w:r>
        <w:t xml:space="preserve"> </w:t>
      </w:r>
      <w:r>
        <w:t xml:space="preserve">Change</w:t>
      </w:r>
      <w:r>
        <w:t xml:space="preserve"> </w:t>
      </w:r>
      <w:r>
        <w:t xml:space="preserve">wrt</w:t>
      </w:r>
      <w:r>
        <w:t xml:space="preserve"> </w:t>
      </w:r>
      <w:r>
        <w:t xml:space="preserve">PO1 (MtCO2e)</w:t>
      </w:r>
      <w:r>
        <w:t xml:space="preserve"> </w:t>
      </w:r>
      <w:r>
        <w:t xml:space="preserve">-0.3</w:t>
      </w:r>
      <w:r>
        <w:t xml:space="preserve"> </w:t>
      </w:r>
      <w:r>
        <w:t xml:space="preserve">-4.5</w:t>
      </w:r>
      <w:r>
        <w:t xml:space="preserve"> </w:t>
      </w:r>
      <w:r>
        <w:t xml:space="preserve">-9.8</w:t>
      </w:r>
      <w:r>
        <w:t xml:space="preserve"> </w:t>
      </w:r>
      <w:r>
        <w:t xml:space="preserve">-124.3</w:t>
      </w:r>
      <w:r>
        <w:t xml:space="preserve"> </w:t>
      </w:r>
      <w:r>
        <w:t xml:space="preserve">% Change wrt</w:t>
      </w:r>
      <w:r>
        <w:t xml:space="preserve"> </w:t>
      </w:r>
      <w:r>
        <w:t xml:space="preserve">PO1</w:t>
      </w:r>
      <w:r>
        <w:t xml:space="preserve"> </w:t>
      </w:r>
      <w:r>
        <w:t xml:space="preserve">-1.5%</w:t>
      </w:r>
      <w:r>
        <w:t xml:space="preserve"> </w:t>
      </w:r>
      <w:r>
        <w:t xml:space="preserve">-24.5%</w:t>
      </w:r>
      <w:r>
        <w:t xml:space="preserve"> </w:t>
      </w:r>
      <w:r>
        <w:t xml:space="preserve">-70.4%</w:t>
      </w:r>
      <w:r>
        <w:t xml:space="preserve"> </w:t>
      </w:r>
      <w:r>
        <w:t xml:space="preserve">-28.3%</w:t>
      </w:r>
      <w:r>
        <w:t xml:space="preserve"> </w:t>
      </w:r>
      <w:r>
        <w:t xml:space="preserve">Source: PRIMES-Maritime modelling</w:t>
      </w:r>
      <w:r>
        <w:t xml:space="preserve"> </w:t>
      </w:r>
      <w:r>
        <w:t xml:space="preserve">Energy efficiency</w:t>
      </w:r>
      <w:r>
        <w:br/>
      </w:r>
      <w:r>
        <w:t xml:space="preserve">In the default policy scenario, some energy efficiency improvements are expected for smaller</w:t>
      </w:r>
      <w:r>
        <w:t xml:space="preserve"> </w:t>
      </w:r>
      <w:r>
        <w:t xml:space="preserve">vessels, following technological developments for the overall fleet. Measure MSS2 is expected</w:t>
      </w:r>
      <w:r>
        <w:t xml:space="preserve"> </w:t>
      </w:r>
      <w:r>
        <w:t xml:space="preserve">to lead to small additional improvements364 in the energy efficiency of smaller vessels (energy</w:t>
      </w:r>
      <w:r>
        <w:t xml:space="preserve"> </w:t>
      </w:r>
      <w:r>
        <w:t xml:space="preserve">intensity is expected to drop by 1% in 2050 compared to PO1), driven by higher fuels costs</w:t>
      </w:r>
      <w:r>
        <w:t xml:space="preserve"> </w:t>
      </w:r>
      <w:r>
        <w:t xml:space="preserve">compared to the default policy scenario. Similar trends are expected in MSS1.</w:t>
      </w:r>
    </w:p>
    <w:p>
      <w:pPr>
        <w:pStyle w:val="BodyText"/>
      </w:pPr>
      <w:r>
        <w:t xml:space="preserve">364 These improvements are linked to the uptake of energy-saving technologies and other operational measures</w:t>
      </w:r>
      <w:r>
        <w:t xml:space="preserve"> </w:t>
      </w:r>
      <w:r>
        <w:t xml:space="preserve">such as waste heat recovery systems, improved hull design, air lubrication, and optimisation tools like route</w:t>
      </w:r>
      <w:r>
        <w:t xml:space="preserve"> </w:t>
      </w:r>
      <w:r>
        <w:t xml:space="preserve">planning and engine management systems.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Fuel mix</w:t>
      </w:r>
      <w:r>
        <w:br/>
      </w:r>
      <w:r>
        <w:t xml:space="preserve">In the default policy scenario (PO1) the uptake of renewable fuels for smaller vessels would be</w:t>
      </w:r>
      <w:r>
        <w:t xml:space="preserve"> </w:t>
      </w:r>
      <w:r>
        <w:t xml:space="preserve">quite limited, as smaller vessels would face no incentive in replacing traditional fossil fuels</w:t>
      </w:r>
      <w:r>
        <w:t xml:space="preserve"> </w:t>
      </w:r>
      <w:r>
        <w:t xml:space="preserve">with more expansive renewable fuels. Renewable fuels would only represent 26% of the total</w:t>
      </w:r>
      <w:r>
        <w:t xml:space="preserve"> </w:t>
      </w:r>
      <w:r>
        <w:t xml:space="preserve">energy demand for smaller vessels by 2050. The expansion of EU ETS to smaller vessels</w:t>
      </w:r>
      <w:r>
        <w:t xml:space="preserve"> </w:t>
      </w:r>
      <w:r>
        <w:t xml:space="preserve">(under measure MSS2), due to the price signal of carbon pricing, would lead to a significantly</w:t>
      </w:r>
      <w:r>
        <w:t xml:space="preserve"> </w:t>
      </w:r>
      <w:r>
        <w:t xml:space="preserve">higher uptake of renewable fuels for smaller vessels, particularly from 2040 onwards, reaching</w:t>
      </w:r>
      <w:r>
        <w:t xml:space="preserve"> </w:t>
      </w:r>
      <w:r>
        <w:t xml:space="preserve">77% of total energy demand by 2050. Similar trends would be expected for measure MSS1.</w:t>
      </w:r>
      <w:r>
        <w:t xml:space="preserve"> </w:t>
      </w:r>
      <w:r>
        <w:t xml:space="preserve">Figure 5:</w:t>
      </w:r>
      <w:r>
        <w:t xml:space="preserve"> </w:t>
      </w:r>
      <w:r>
        <w:t xml:space="preserve">Trends in the demand of renewable fuels (RFNBOs, biofuels and electricity) for smaller</w:t>
      </w:r>
      <w:r>
        <w:t xml:space="preserve"> </w:t>
      </w:r>
      <w:r>
        <w:t xml:space="preserve">vessels as share of total fuel use for smaller vessels under the default policy scenario (PO1)</w:t>
      </w:r>
      <w:r>
        <w:t xml:space="preserve"> </w:t>
      </w:r>
      <w:r>
        <w:t xml:space="preserve">and MSS2</w:t>
      </w:r>
    </w:p>
    <w:p>
      <w:pPr>
        <w:pStyle w:val="BodyText"/>
      </w:pPr>
      <w:r>
        <w:t xml:space="preserve">Source: PRIMES-Maritime modelling. Smaller vessels (i.e. between 400 and 5000 GT) in scope are those included</w:t>
      </w:r>
      <w:r>
        <w:t xml:space="preserve"> </w:t>
      </w:r>
      <w:r>
        <w:t xml:space="preserve">in MSS2.</w:t>
      </w:r>
      <w:r>
        <w:t xml:space="preserve"> </w:t>
      </w:r>
      <w:r>
        <w:t xml:space="preserve">7.3.2. Economic impacts</w:t>
      </w:r>
      <w:r>
        <w:t xml:space="preserve"> </w:t>
      </w:r>
      <w:r>
        <w:t xml:space="preserve">Shipping costs365</w:t>
      </w:r>
      <w:r>
        <w:t xml:space="preserve"> </w:t>
      </w:r>
      <w:r>
        <w:t xml:space="preserve">Similar to environmental impacts, PRIMES-Maritime was used to model direct cost impacts</w:t>
      </w:r>
      <w:r>
        <w:t xml:space="preserve"> </w:t>
      </w:r>
      <w:r>
        <w:t xml:space="preserve">from measure MSS2, while a dedicated scenario for MSS1 was not considered. Further to</w:t>
      </w:r>
      <w:r>
        <w:t xml:space="preserve"> </w:t>
      </w:r>
      <w:r>
        <w:t xml:space="preserve">administrative costs, the model shows that the extension of the scope of EU ETS to smaller</w:t>
      </w:r>
      <w:r>
        <w:t xml:space="preserve"> </w:t>
      </w:r>
      <w:r>
        <w:t xml:space="preserve">vessels in MSS2 is expected to represent additional costs for shipping companies responsible</w:t>
      </w:r>
      <w:r>
        <w:t xml:space="preserve"> </w:t>
      </w:r>
      <w:r>
        <w:t xml:space="preserve">for smaller vessels in the form of ETS payments366 but also fuel costs and capital expenditure</w:t>
      </w:r>
      <w:r>
        <w:t xml:space="preserve"> </w:t>
      </w:r>
      <w:r>
        <w:t xml:space="preserve">associated with decarbonisation measures within the segment, representing avoided ETS</w:t>
      </w:r>
      <w:r>
        <w:t xml:space="preserve"> </w:t>
      </w:r>
      <w:r>
        <w:t xml:space="preserve">payments. Total shipping cost increases from policy measure MSS2 were estimated at 5.1% on</w:t>
      </w:r>
      <w:r>
        <w:t xml:space="preserve"> </w:t>
      </w:r>
      <w:r>
        <w:t xml:space="preserve">average during the period 2030-2050, compared to the default policy scenario, as shown in the</w:t>
      </w:r>
      <w:r>
        <w:t xml:space="preserve"> </w:t>
      </w:r>
      <w:r>
        <w:t xml:space="preserve">following table:</w:t>
      </w:r>
      <w:r>
        <w:br/>
      </w:r>
      <w:r>
        <w:t xml:space="preserve">Table 16: Impact on shipping costs for smaller vessels from policy measure MSS2</w:t>
      </w:r>
    </w:p>
    <w:p>
      <w:pPr>
        <w:pStyle w:val="BodyText"/>
      </w:pPr>
      <w:r>
        <w:t xml:space="preserve">365 Shipping costs include fuel cost, operating costs, compliance costs and capital expenditure, but exclude</w:t>
      </w:r>
      <w:r>
        <w:t xml:space="preserve"> </w:t>
      </w:r>
      <w:r>
        <w:t xml:space="preserve">administrative costs, which are covered separately in sections below.</w:t>
      </w:r>
      <w:r>
        <w:t xml:space="preserve"> </w:t>
      </w:r>
      <w:r>
        <w:t xml:space="preserve">366 Referred below as ‘ETS costs’.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Scenario</w:t>
      </w:r>
      <w:r>
        <w:t xml:space="preserve"> </w:t>
      </w:r>
      <w:r>
        <w:t xml:space="preserve">Indicator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2030-</w:t>
      </w:r>
      <w:r>
        <w:t xml:space="preserve"> </w:t>
      </w:r>
      <w:r>
        <w:t xml:space="preserve">2050</w:t>
      </w:r>
      <w:r>
        <w:t xml:space="preserve"> </w:t>
      </w:r>
      <w:r>
        <w:t xml:space="preserve">PO1/default367</w:t>
      </w:r>
      <w:r>
        <w:t xml:space="preserve"> </w:t>
      </w:r>
      <w:r>
        <w:t xml:space="preserve">Total shipping</w:t>
      </w:r>
      <w:r>
        <w:t xml:space="preserve"> </w:t>
      </w:r>
      <w:r>
        <w:t xml:space="preserve">costs (million</w:t>
      </w:r>
      <w:r>
        <w:t xml:space="preserve"> </w:t>
      </w:r>
      <w:r>
        <w:t xml:space="preserve">EUR)</w:t>
      </w:r>
      <w:r>
        <w:t xml:space="preserve"> </w:t>
      </w:r>
      <w:r>
        <w:t xml:space="preserve">23,158</w:t>
      </w:r>
      <w:r>
        <w:t xml:space="preserve"> </w:t>
      </w:r>
      <w:r>
        <w:t xml:space="preserve">28,382</w:t>
      </w:r>
      <w:r>
        <w:t xml:space="preserve"> </w:t>
      </w:r>
      <w:r>
        <w:t xml:space="preserve">33,967</w:t>
      </w:r>
      <w:r>
        <w:t xml:space="preserve"> </w:t>
      </w:r>
      <w:r>
        <w:t xml:space="preserve">707,915</w:t>
      </w:r>
      <w:r>
        <w:t xml:space="preserve"> </w:t>
      </w:r>
      <w:r>
        <w:t xml:space="preserve">MSS2</w:t>
      </w:r>
      <w:r>
        <w:t xml:space="preserve"> </w:t>
      </w:r>
      <w:r>
        <w:t xml:space="preserve">Change</w:t>
      </w:r>
      <w:r>
        <w:t xml:space="preserve"> </w:t>
      </w:r>
      <w:r>
        <w:t xml:space="preserve">wrt</w:t>
      </w:r>
      <w:r>
        <w:t xml:space="preserve"> </w:t>
      </w:r>
      <w:r>
        <w:t xml:space="preserve">PO1</w:t>
      </w:r>
      <w:r>
        <w:t xml:space="preserve"> </w:t>
      </w:r>
      <w:r>
        <w:t xml:space="preserve">(million</w:t>
      </w:r>
      <w:r>
        <w:t xml:space="preserve"> </w:t>
      </w:r>
      <w:r>
        <w:t xml:space="preserve">EUR)</w:t>
      </w:r>
      <w:r>
        <w:t xml:space="preserve"> </w:t>
      </w:r>
      <w:r>
        <w:t xml:space="preserve">1,492</w:t>
      </w:r>
      <w:r>
        <w:t xml:space="preserve"> </w:t>
      </w:r>
      <w:r>
        <w:t xml:space="preserve">1,942</w:t>
      </w:r>
      <w:r>
        <w:t xml:space="preserve"> </w:t>
      </w:r>
      <w:r>
        <w:t xml:space="preserve">489</w:t>
      </w:r>
      <w:r>
        <w:t xml:space="preserve"> </w:t>
      </w:r>
      <w:r>
        <w:t xml:space="preserve">36,100</w:t>
      </w:r>
      <w:r>
        <w:t xml:space="preserve"> </w:t>
      </w:r>
      <w:r>
        <w:t xml:space="preserve">% Change wrt</w:t>
      </w:r>
      <w:r>
        <w:t xml:space="preserve"> </w:t>
      </w:r>
      <w:r>
        <w:t xml:space="preserve">PO1</w:t>
      </w:r>
      <w:r>
        <w:t xml:space="preserve"> </w:t>
      </w:r>
      <w:r>
        <w:t xml:space="preserve">6.4%</w:t>
      </w:r>
      <w:r>
        <w:t xml:space="preserve"> </w:t>
      </w:r>
      <w:r>
        <w:t xml:space="preserve">6.8%</w:t>
      </w:r>
      <w:r>
        <w:t xml:space="preserve"> </w:t>
      </w:r>
      <w:r>
        <w:t xml:space="preserve">1.4%</w:t>
      </w:r>
      <w:r>
        <w:t xml:space="preserve"> </w:t>
      </w:r>
      <w:r>
        <w:t xml:space="preserve">5.1%</w:t>
      </w:r>
      <w:r>
        <w:t xml:space="preserve"> </w:t>
      </w:r>
      <w:r>
        <w:t xml:space="preserve">Source: PRIMES-Maritime modelling. Smaller vessels (i.e. between 400 and 5000 GT) in scope are those included</w:t>
      </w:r>
      <w:r>
        <w:t xml:space="preserve"> </w:t>
      </w:r>
      <w:r>
        <w:t xml:space="preserve">in MSS2.</w:t>
      </w:r>
      <w:r>
        <w:t xml:space="preserve"> </w:t>
      </w:r>
      <w:r>
        <w:t xml:space="preserve">It should further be noted that smaller vessels are also eligible to benefit from existing maritime</w:t>
      </w:r>
      <w:r>
        <w:t xml:space="preserve"> </w:t>
      </w:r>
      <w:r>
        <w:t xml:space="preserve">derogations under ETS (i.e. OMR, PSC/PSO/ICS), which would at least partially offset the</w:t>
      </w:r>
      <w:r>
        <w:t xml:space="preserve"> </w:t>
      </w:r>
      <w:r>
        <w:t xml:space="preserve">expected additional shipping costs.</w:t>
      </w:r>
      <w:r>
        <w:br/>
      </w:r>
      <w:r>
        <w:t xml:space="preserve">Level-playing field</w:t>
      </w:r>
      <w:r>
        <w:t xml:space="preserve"> </w:t>
      </w:r>
      <w:r>
        <w:t xml:space="preserve">The extension of the ETS scope to smaller vessels would be expected to have a positive impact</w:t>
      </w:r>
      <w:r>
        <w:t xml:space="preserve"> </w:t>
      </w:r>
      <w:r>
        <w:t xml:space="preserve">on the level playing field by ensuring similar regulatory requirements for vessels just above or</w:t>
      </w:r>
      <w:r>
        <w:t xml:space="preserve"> </w:t>
      </w:r>
      <w:r>
        <w:t xml:space="preserve">below the 5 000 GT threshold, which might be competing for similar market segments. An</w:t>
      </w:r>
      <w:r>
        <w:t xml:space="preserve"> </w:t>
      </w:r>
      <w:r>
        <w:t xml:space="preserve">analysis of vessel data segmented by size suggests that smaller vessels between 4 000 and 4</w:t>
      </w:r>
      <w:r>
        <w:t xml:space="preserve"> </w:t>
      </w:r>
      <w:r>
        <w:t xml:space="preserve">999 GT would represent 32% of the considered fleet under MSS1 and 19% under MSS2368.</w:t>
      </w:r>
      <w:r>
        <w:t xml:space="preserve"> </w:t>
      </w:r>
      <w:r>
        <w:t xml:space="preserve">The extension of the ETS scope to smaller vessels would also address the risk of evasion</w:t>
      </w:r>
      <w:r>
        <w:t xml:space="preserve"> </w:t>
      </w:r>
      <w:r>
        <w:t xml:space="preserve">consisting of using smaller vessels to avoid EU ETS obligations. By addressing this risk, policy</w:t>
      </w:r>
      <w:r>
        <w:t xml:space="preserve"> </w:t>
      </w:r>
      <w:r>
        <w:t xml:space="preserve">measures MSS1 and MSS2 would avoid negative economic impacts (e.g. lack of level playing</w:t>
      </w:r>
      <w:r>
        <w:t xml:space="preserve"> </w:t>
      </w:r>
      <w:r>
        <w:t xml:space="preserve">field) as well as possible negative environmental impacts (e.g. using smaller vessels instead of</w:t>
      </w:r>
      <w:r>
        <w:t xml:space="preserve"> </w:t>
      </w:r>
      <w:r>
        <w:t xml:space="preserve">larger ones would result in more voyages being needed to deliver the same quantity of freight</w:t>
      </w:r>
      <w:r>
        <w:t xml:space="preserve"> </w:t>
      </w:r>
      <w:r>
        <w:t xml:space="preserve">and would thus likely lead to higher emissions).</w:t>
      </w:r>
      <w:r>
        <w:t xml:space="preserve"> </w:t>
      </w:r>
      <w:r>
        <w:t xml:space="preserve">Impact on the EU maritime shipping industry</w:t>
      </w:r>
      <w:r>
        <w:t xml:space="preserve"> </w:t>
      </w:r>
      <w:r>
        <w:t xml:space="preserve">Extending the ETS to smaller vessels is expected to provide a strong and consistent incentive</w:t>
      </w:r>
      <w:r>
        <w:t xml:space="preserve"> </w:t>
      </w:r>
      <w:r>
        <w:t xml:space="preserve">for the adoption of low and zero emission technologies particularly suited to this segment of</w:t>
      </w:r>
      <w:r>
        <w:t xml:space="preserve"> </w:t>
      </w:r>
      <w:r>
        <w:t xml:space="preserve">the fleet. Smaller vessels operating on short and predictable routes are especially well placed</w:t>
      </w:r>
      <w:r>
        <w:t xml:space="preserve"> </w:t>
      </w:r>
      <w:r>
        <w:t xml:space="preserve">to benefit from electrification, as battery-electric propulsion has reached a high level of</w:t>
      </w:r>
      <w:r>
        <w:t xml:space="preserve"> </w:t>
      </w:r>
      <w:r>
        <w:t xml:space="preserve">technological maturity and aligns well with their operational characteristics. Including these</w:t>
      </w:r>
      <w:r>
        <w:t xml:space="preserve"> </w:t>
      </w:r>
      <w:r>
        <w:t xml:space="preserve">ships in the ETS would enhance the economic attractiveness of clean technologies and</w:t>
      </w:r>
      <w:r>
        <w:t xml:space="preserve"> </w:t>
      </w:r>
      <w:r>
        <w:t xml:space="preserve">encourage investment in supporting infrastructure such as onshore power supply. Over time,</w:t>
      </w:r>
      <w:r>
        <w:t xml:space="preserve"> </w:t>
      </w:r>
      <w:r>
        <w:t xml:space="preserve">the resulting market signals are likely to accelerate fleet renewal, stimulate innovation, and</w:t>
      </w:r>
      <w:r>
        <w:t xml:space="preserve"> </w:t>
      </w:r>
      <w:r>
        <w:t xml:space="preserve">strengthen industrial capabilities in advanced maritime technologies, ultimately contributing to</w:t>
      </w:r>
      <w:r>
        <w:t xml:space="preserve"> </w:t>
      </w:r>
      <w:r>
        <w:t xml:space="preserve">industrial growth and job creation, reinforcing the competitiveness of shipyards and equipment</w:t>
      </w:r>
      <w:r>
        <w:t xml:space="preserve"> </w:t>
      </w:r>
      <w:r>
        <w:t xml:space="preserve">manufacturers in Europe.369</w:t>
      </w:r>
      <w:r>
        <w:t xml:space="preserve"> </w:t>
      </w:r>
      <w:r>
        <w:t xml:space="preserve">Administrative costs for shipping companies</w:t>
      </w:r>
    </w:p>
    <w:p>
      <w:pPr>
        <w:pStyle w:val="BodyText"/>
      </w:pPr>
      <w:r>
        <w:t xml:space="preserve">367</w:t>
      </w:r>
      <w:r>
        <w:br/>
      </w:r>
      <w:r>
        <w:t xml:space="preserve">‘Policy Option 1’ (simplified) as referred to in Section 6 represents the default policy scenario.</w:t>
      </w:r>
      <w:r>
        <w:t xml:space="preserve"> </w:t>
      </w:r>
      <w:r>
        <w:t xml:space="preserve">368</w:t>
      </w:r>
      <w:r>
        <w:br/>
      </w:r>
      <w:r>
        <w:t xml:space="preserve">A detailed analysis of the share of and absolute number of vessels, by ship type and by categories by</w:t>
      </w:r>
      <w:r>
        <w:t xml:space="preserve"> </w:t>
      </w:r>
      <w:r>
        <w:t xml:space="preserve">gross tonnage is available in Figure 4-2 in the supporting study to the Report referred to in footnote no.22.</w:t>
      </w:r>
      <w:r>
        <w:br/>
      </w:r>
      <w:r>
        <w:t xml:space="preserve">369 RICARDO, 2026, Opportunities of the green transition for the EU maritime industry and value chain (to be</w:t>
      </w:r>
      <w:r>
        <w:t xml:space="preserve"> </w:t>
      </w:r>
      <w:r>
        <w:t xml:space="preserve">published)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As for other sectors under the EU ETS, the main administrative costs of participation in the</w:t>
      </w:r>
      <w:r>
        <w:t xml:space="preserve"> </w:t>
      </w:r>
      <w:r>
        <w:t xml:space="preserve">system for regulated entities are related to the MRV processes, the opening and operation of</w:t>
      </w:r>
      <w:r>
        <w:t xml:space="preserve"> </w:t>
      </w:r>
      <w:r>
        <w:t xml:space="preserve">an account in the Union Registry, and the purchase and possible trade of allowances. The</w:t>
      </w:r>
      <w:r>
        <w:t xml:space="preserve"> </w:t>
      </w:r>
      <w:r>
        <w:t xml:space="preserve">supporting study to the Commission report assessing the potential inclusion of additional</w:t>
      </w:r>
      <w:r>
        <w:t xml:space="preserve"> </w:t>
      </w:r>
      <w:r>
        <w:t xml:space="preserve">smaller ships under the scope of the EU MRV Regulation (European Commission, 2025)</w:t>
      </w:r>
      <w:r>
        <w:t xml:space="preserve"> </w:t>
      </w:r>
      <w:r>
        <w:t xml:space="preserve">estimated recurrent annual MRV-compliance administrative costs per vessel for smaller vessels</w:t>
      </w:r>
      <w:r>
        <w:t xml:space="preserve"> </w:t>
      </w:r>
      <w:r>
        <w:t xml:space="preserve">at EUR 3,690, similar or slightly higher than those of vessels currently subject to MRV</w:t>
      </w:r>
      <w:r>
        <w:t xml:space="preserve"> </w:t>
      </w:r>
      <w:r>
        <w:t xml:space="preserve">obligations (estimated at EUR 3,390 per vessel on average). Staff limitations and increased</w:t>
      </w:r>
      <w:r>
        <w:t xml:space="preserve"> </w:t>
      </w:r>
      <w:r>
        <w:t xml:space="preserve">frequency of voyages of smaller vessels have been quoted by some shipping companies as the</w:t>
      </w:r>
      <w:r>
        <w:t xml:space="preserve"> </w:t>
      </w:r>
      <w:r>
        <w:t xml:space="preserve">main reasons for higher monitoring costs. One-off costs related to MRV implementation (i.e. </w:t>
      </w:r>
      <w:r>
        <w:t xml:space="preserve"> </w:t>
      </w:r>
      <w:r>
        <w:t xml:space="preserve">costs to set up the MRV system for each new vessel) were estimated at EUR 3,193 per vessel.</w:t>
      </w:r>
      <w:r>
        <w:t xml:space="preserve"> </w:t>
      </w:r>
      <w:r>
        <w:t xml:space="preserve">Besides MRV processes, shipping companies controlling smaller vessels, and not already</w:t>
      </w:r>
      <w:r>
        <w:t xml:space="preserve"> </w:t>
      </w:r>
      <w:r>
        <w:t xml:space="preserve">operating other vessels under EU ETS, would incur additional ETS administrative costs370,</w:t>
      </w:r>
      <w:r>
        <w:t xml:space="preserve"> </w:t>
      </w:r>
      <w:r>
        <w:t xml:space="preserve">estimated by the previous impact assessment by the Commission (European Commission,</w:t>
      </w:r>
      <w:r>
        <w:t xml:space="preserve"> </w:t>
      </w:r>
      <w:r>
        <w:t xml:space="preserve">2021) to be around EUR 18,300 (one-off) and EUR 6,100 (annual)371. The following table</w:t>
      </w:r>
      <w:r>
        <w:t xml:space="preserve"> </w:t>
      </w:r>
      <w:r>
        <w:t xml:space="preserve">present the resulting additional administrative costs from MSS1 and MSS2:</w:t>
      </w:r>
      <w:r>
        <w:t xml:space="preserve"> </w:t>
      </w:r>
      <w:r>
        <w:t xml:space="preserve">Table 17: Additional administrative costs for shipping companies under MSS1 (PO2) and MSS2</w:t>
      </w:r>
      <w:r>
        <w:t xml:space="preserve"> </w:t>
      </w:r>
      <w:r>
        <w:t xml:space="preserve">(PO3)</w:t>
      </w:r>
      <w:r>
        <w:t xml:space="preserve"> </w:t>
      </w:r>
      <w:r>
        <w:t xml:space="preserve">Measure</w:t>
      </w:r>
      <w:r>
        <w:t xml:space="preserve"> </w:t>
      </w:r>
      <w:r>
        <w:t xml:space="preserve">Number of</w:t>
      </w:r>
      <w:r>
        <w:t xml:space="preserve"> </w:t>
      </w:r>
      <w:r>
        <w:t xml:space="preserve">new vessels</w:t>
      </w:r>
      <w:r>
        <w:t xml:space="preserve"> </w:t>
      </w:r>
      <w:r>
        <w:t xml:space="preserve">to MRV(1)</w:t>
      </w:r>
      <w:r>
        <w:t xml:space="preserve"> </w:t>
      </w:r>
      <w:r>
        <w:t xml:space="preserve">Numbe</w:t>
      </w:r>
      <w:r>
        <w:t xml:space="preserve"> </w:t>
      </w:r>
      <w:r>
        <w:t xml:space="preserve">r of new</w:t>
      </w:r>
      <w:r>
        <w:t xml:space="preserve"> </w:t>
      </w:r>
      <w:r>
        <w:t xml:space="preserve">compan</w:t>
      </w:r>
      <w:r>
        <w:t xml:space="preserve"> </w:t>
      </w:r>
      <w:r>
        <w:t xml:space="preserve">ies to</w:t>
      </w:r>
      <w:r>
        <w:t xml:space="preserve"> </w:t>
      </w:r>
      <w:r>
        <w:t xml:space="preserve">ETS (2)</w:t>
      </w:r>
      <w:r>
        <w:t xml:space="preserve"> </w:t>
      </w:r>
      <w:r>
        <w:t xml:space="preserve">Total</w:t>
      </w:r>
      <w:r>
        <w:t xml:space="preserve"> </w:t>
      </w:r>
      <w:r>
        <w:t xml:space="preserve">additional one-</w:t>
      </w:r>
      <w:r>
        <w:t xml:space="preserve"> </w:t>
      </w:r>
      <w:r>
        <w:t xml:space="preserve">off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(MEUR)</w:t>
      </w:r>
      <w:r>
        <w:t xml:space="preserve"> </w:t>
      </w:r>
      <w:r>
        <w:t xml:space="preserve">Total</w:t>
      </w:r>
      <w:r>
        <w:t xml:space="preserve"> </w:t>
      </w:r>
      <w:r>
        <w:t xml:space="preserve">additional</w:t>
      </w:r>
      <w:r>
        <w:t xml:space="preserve"> </w:t>
      </w:r>
      <w:r>
        <w:t xml:space="preserve">recurrent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(MEUR</w:t>
      </w:r>
      <w:r>
        <w:t xml:space="preserve"> </w:t>
      </w:r>
      <w:r>
        <w:t xml:space="preserve">per year)</w:t>
      </w:r>
      <w:r>
        <w:t xml:space="preserve"> </w:t>
      </w:r>
      <w:r>
        <w:t xml:space="preserve">Net present</w:t>
      </w:r>
      <w:r>
        <w:t xml:space="preserve"> </w:t>
      </w:r>
      <w:r>
        <w:t xml:space="preserve">value of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(MEUR)</w:t>
      </w:r>
      <w:r>
        <w:t xml:space="preserve"> </w:t>
      </w:r>
      <w:r>
        <w:t xml:space="preserve">(3)</w:t>
      </w:r>
      <w:r>
        <w:t xml:space="preserve"> </w:t>
      </w:r>
      <w:r>
        <w:t xml:space="preserve">MSS1 (PO2)</w:t>
      </w:r>
      <w:r>
        <w:t xml:space="preserve"> </w:t>
      </w:r>
      <w:r>
        <w:t xml:space="preserve">2,238</w:t>
      </w:r>
      <w:r>
        <w:t xml:space="preserve"> </w:t>
      </w:r>
      <w:r>
        <w:t xml:space="preserve">1,171</w:t>
      </w:r>
      <w:r>
        <w:t xml:space="preserve"> </w:t>
      </w:r>
      <w:r>
        <w:t xml:space="preserve">29</w:t>
      </w:r>
      <w:r>
        <w:t xml:space="preserve"> </w:t>
      </w:r>
      <w:r>
        <w:t xml:space="preserve">15</w:t>
      </w:r>
      <w:r>
        <w:t xml:space="preserve"> </w:t>
      </w:r>
      <w:r>
        <w:t xml:space="preserve">435</w:t>
      </w:r>
      <w:r>
        <w:t xml:space="preserve"> </w:t>
      </w:r>
      <w:r>
        <w:t xml:space="preserve">MSS2 (PO3)</w:t>
      </w:r>
      <w:r>
        <w:t xml:space="preserve"> </w:t>
      </w:r>
      <w:r>
        <w:t xml:space="preserve">4,421</w:t>
      </w:r>
      <w:r>
        <w:t xml:space="preserve"> </w:t>
      </w:r>
      <w:r>
        <w:t xml:space="preserve">2,312</w:t>
      </w:r>
      <w:r>
        <w:t xml:space="preserve"> </w:t>
      </w:r>
      <w:r>
        <w:t xml:space="preserve">56</w:t>
      </w:r>
      <w:r>
        <w:t xml:space="preserve"> </w:t>
      </w:r>
      <w:r>
        <w:t xml:space="preserve">30</w:t>
      </w:r>
      <w:r>
        <w:t xml:space="preserve"> </w:t>
      </w:r>
      <w:r>
        <w:t xml:space="preserve">860</w:t>
      </w:r>
      <w:r>
        <w:t xml:space="preserve"> </w:t>
      </w:r>
      <w:r>
        <w:t xml:space="preserve">Source: Commission analysis</w:t>
      </w:r>
      <w:r>
        <w:t xml:space="preserve"> </w:t>
      </w:r>
      <w:r>
        <w:t xml:space="preserve">(1) Excluding general cargo and offshore vessels, already under MRV</w:t>
      </w:r>
      <w:r>
        <w:t xml:space="preserve"> </w:t>
      </w:r>
      <w:r>
        <w:t xml:space="preserve">(2) Estimated based on analysis of shipping companies for smaller vessels not already on THETIS-MRV from</w:t>
      </w:r>
      <w:r>
        <w:t xml:space="preserve"> </w:t>
      </w:r>
      <w:r>
        <w:t xml:space="preserve">(European Commission, 2025)</w:t>
      </w:r>
      <w:r>
        <w:t xml:space="preserve"> </w:t>
      </w:r>
      <w:r>
        <w:t xml:space="preserve">(3) 3% social discount rate applied for administrative costs over the period 2030-2050</w:t>
      </w:r>
      <w:r>
        <w:t xml:space="preserve"> </w:t>
      </w:r>
      <w:r>
        <w:t xml:space="preserve">Administrative and enforcement costs for public authorities</w:t>
      </w:r>
      <w:r>
        <w:t xml:space="preserve"> </w:t>
      </w:r>
      <w:r>
        <w:t xml:space="preserve">The extension of the EU ETS to smaller vessels would lead to additional administrative and</w:t>
      </w:r>
      <w:r>
        <w:t xml:space="preserve"> </w:t>
      </w:r>
      <w:r>
        <w:t xml:space="preserve">enforcement costs for national authorities related to both MRV and ETS processes. A recent</w:t>
      </w:r>
      <w:r>
        <w:t xml:space="preserve"> </w:t>
      </w:r>
      <w:r>
        <w:t xml:space="preserve">study (European Commission, 2025) estimated MRV related costs for authorities at 21.1</w:t>
      </w:r>
      <w:r>
        <w:t xml:space="preserve"> </w:t>
      </w:r>
      <w:r>
        <w:t xml:space="preserve">EUR/vessel for Port State Control372 obligations and 186.1 EUR/vessel for Flag State 373</w:t>
      </w:r>
      <w:r>
        <w:t xml:space="preserve"> </w:t>
      </w:r>
      <w:r>
        <w:t xml:space="preserve">obligations. Obligations for national authorities with regard to ETS compliance include setting</w:t>
      </w:r>
      <w:r>
        <w:t xml:space="preserve"> </w:t>
      </w:r>
      <w:r>
        <w:t xml:space="preserve">up and maintaining the Union Registry for shipping companies, processing notifications,</w:t>
      </w:r>
      <w:r>
        <w:t xml:space="preserve"> </w:t>
      </w:r>
      <w:r>
        <w:t xml:space="preserve">compliance auditing, and providing general support to implementation (e.g. through helpdesk).</w:t>
      </w:r>
    </w:p>
    <w:p>
      <w:pPr>
        <w:pStyle w:val="BodyText"/>
      </w:pPr>
      <w:r>
        <w:t xml:space="preserve">370 ETS administrative costs include the costs incurred by companies to familiarise themselves with the EU ETS</w:t>
      </w:r>
      <w:r>
        <w:t xml:space="preserve"> </w:t>
      </w:r>
      <w:r>
        <w:t xml:space="preserve">scheme, set up and manage their Union Registry account, and purchase or manage allowances. The ETS</w:t>
      </w:r>
      <w:r>
        <w:t xml:space="preserve"> </w:t>
      </w:r>
      <w:r>
        <w:t xml:space="preserve">payments, i.e. the financial cost of the purchased EU allowances, are not considered an ETS administrative</w:t>
      </w:r>
      <w:r>
        <w:t xml:space="preserve"> </w:t>
      </w:r>
      <w:r>
        <w:t xml:space="preserve">costs and are included in the ETS costs component of shipping costs previously analysed.</w:t>
      </w:r>
      <w:r>
        <w:br/>
      </w:r>
      <w:r>
        <w:t xml:space="preserve">371 Converted to 2024 prices with EU 27 GDP deflator 2020-2024.</w:t>
      </w:r>
      <w:r>
        <w:br/>
      </w:r>
      <w:r>
        <w:t xml:space="preserve">372 Costs incurred for vessels inspections to ensure that ships visiting national ports adhere to the MRV</w:t>
      </w:r>
      <w:r>
        <w:t xml:space="preserve"> </w:t>
      </w:r>
      <w:r>
        <w:t xml:space="preserve">Regulation and relevant enforcement via a system of penalties.</w:t>
      </w:r>
      <w:r>
        <w:br/>
      </w:r>
      <w:r>
        <w:t xml:space="preserve">373 Costs incurred for the enforcement in respect of MRV obligations for ships flying the flag of the State</w:t>
      </w:r>
      <w:r>
        <w:t xml:space="preserve"> </w:t>
      </w:r>
      <w:r>
        <w:t xml:space="preserve">authority.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On the basis of recent estimates (European Commission, 2021)374, ETS-related one-off and</w:t>
      </w:r>
      <w:r>
        <w:t xml:space="preserve"> </w:t>
      </w:r>
      <w:r>
        <w:t xml:space="preserve">annual costs per shipping company were estimated at EUR 470 and EUR 540, respectively.</w:t>
      </w:r>
      <w:r>
        <w:t xml:space="preserve"> </w:t>
      </w:r>
      <w:r>
        <w:t xml:space="preserve">The resulting costs under MSS1 and MSS2 are shown in the following table:</w:t>
      </w:r>
      <w:r>
        <w:br/>
      </w:r>
      <w:r>
        <w:t xml:space="preserve">Table 18: Additional administrative and enforcement costs for national authorities under MSS1</w:t>
      </w:r>
      <w:r>
        <w:t xml:space="preserve"> </w:t>
      </w:r>
      <w:r>
        <w:t xml:space="preserve">(PO2) and MSS2 (PO3)</w:t>
      </w:r>
      <w:r>
        <w:t xml:space="preserve"> </w:t>
      </w:r>
      <w:r>
        <w:t xml:space="preserve">Measure</w:t>
      </w:r>
      <w:r>
        <w:t xml:space="preserve"> </w:t>
      </w:r>
      <w:r>
        <w:t xml:space="preserve">Number</w:t>
      </w:r>
      <w:r>
        <w:t xml:space="preserve"> </w:t>
      </w:r>
      <w:r>
        <w:t xml:space="preserve">of new</w:t>
      </w:r>
      <w:r>
        <w:t xml:space="preserve"> </w:t>
      </w:r>
      <w:r>
        <w:t xml:space="preserve">vessels</w:t>
      </w:r>
      <w:r>
        <w:t xml:space="preserve"> </w:t>
      </w:r>
      <w:r>
        <w:t xml:space="preserve">under</w:t>
      </w:r>
      <w:r>
        <w:t xml:space="preserve"> </w:t>
      </w:r>
      <w:r>
        <w:t xml:space="preserve">MRV(1)</w:t>
      </w:r>
      <w:r>
        <w:t xml:space="preserve"> </w:t>
      </w:r>
      <w:r>
        <w:t xml:space="preserve">Number</w:t>
      </w:r>
      <w:r>
        <w:t xml:space="preserve"> </w:t>
      </w:r>
      <w:r>
        <w:t xml:space="preserve">of new</w:t>
      </w:r>
      <w:r>
        <w:t xml:space="preserve"> </w:t>
      </w:r>
      <w:r>
        <w:t xml:space="preserve">flagged</w:t>
      </w:r>
      <w:r>
        <w:t xml:space="preserve"> </w:t>
      </w:r>
      <w:r>
        <w:t xml:space="preserve">vessels(2)</w:t>
      </w:r>
      <w:r>
        <w:t xml:space="preserve"> </w:t>
      </w:r>
      <w:r>
        <w:t xml:space="preserve">Number</w:t>
      </w:r>
      <w:r>
        <w:t xml:space="preserve"> </w:t>
      </w:r>
      <w:r>
        <w:t xml:space="preserve">of new</w:t>
      </w:r>
      <w:r>
        <w:t xml:space="preserve"> </w:t>
      </w:r>
      <w:r>
        <w:t xml:space="preserve">companies</w:t>
      </w:r>
      <w:r>
        <w:t xml:space="preserve"> </w:t>
      </w:r>
      <w:r>
        <w:t xml:space="preserve">to ETS (3)</w:t>
      </w:r>
      <w:r>
        <w:t xml:space="preserve"> </w:t>
      </w:r>
      <w:r>
        <w:t xml:space="preserve">Total</w:t>
      </w:r>
      <w:r>
        <w:t xml:space="preserve"> </w:t>
      </w:r>
      <w:r>
        <w:t xml:space="preserve">additional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</w:t>
      </w:r>
      <w:r>
        <w:t xml:space="preserve"> </w:t>
      </w:r>
      <w:r>
        <w:t xml:space="preserve">(MEUR)</w:t>
      </w:r>
      <w:r>
        <w:t xml:space="preserve"> </w:t>
      </w:r>
      <w:r>
        <w:t xml:space="preserve">Total</w:t>
      </w:r>
      <w:r>
        <w:t xml:space="preserve"> </w:t>
      </w:r>
      <w:r>
        <w:t xml:space="preserve">additional</w:t>
      </w:r>
      <w:r>
        <w:t xml:space="preserve"> </w:t>
      </w:r>
      <w:r>
        <w:t xml:space="preserve">recurrent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(MEUR</w:t>
      </w:r>
      <w:r>
        <w:t xml:space="preserve"> </w:t>
      </w:r>
      <w:r>
        <w:t xml:space="preserve">per year)</w:t>
      </w:r>
      <w:r>
        <w:t xml:space="preserve"> </w:t>
      </w:r>
      <w:r>
        <w:t xml:space="preserve">Net present</w:t>
      </w:r>
      <w:r>
        <w:t xml:space="preserve"> </w:t>
      </w:r>
      <w:r>
        <w:t xml:space="preserve">value of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</w:t>
      </w:r>
      <w:r>
        <w:t xml:space="preserve"> </w:t>
      </w:r>
      <w:r>
        <w:t xml:space="preserve">ive costs</w:t>
      </w:r>
      <w:r>
        <w:t xml:space="preserve"> </w:t>
      </w:r>
      <w:r>
        <w:t xml:space="preserve">(MEUR) (4)</w:t>
      </w:r>
      <w:r>
        <w:t xml:space="preserve"> </w:t>
      </w:r>
      <w:r>
        <w:t xml:space="preserve">MSS1</w:t>
      </w:r>
      <w:r>
        <w:t xml:space="preserve"> </w:t>
      </w:r>
      <w:r>
        <w:t xml:space="preserve">(PO2)</w:t>
      </w:r>
      <w:r>
        <w:t xml:space="preserve"> </w:t>
      </w:r>
      <w:r>
        <w:t xml:space="preserve">2,238</w:t>
      </w:r>
      <w:r>
        <w:t xml:space="preserve"> </w:t>
      </w:r>
      <w:r>
        <w:t xml:space="preserve">316</w:t>
      </w:r>
      <w:r>
        <w:t xml:space="preserve"> </w:t>
      </w:r>
      <w:r>
        <w:t xml:space="preserve">1,171</w:t>
      </w:r>
      <w:r>
        <w:t xml:space="preserve"> </w:t>
      </w:r>
      <w:r>
        <w:t xml:space="preserve">0.55</w:t>
      </w:r>
      <w:r>
        <w:t xml:space="preserve"> </w:t>
      </w:r>
      <w:r>
        <w:t xml:space="preserve">0.74</w:t>
      </w:r>
      <w:r>
        <w:t xml:space="preserve"> </w:t>
      </w:r>
      <w:r>
        <w:t xml:space="preserve">17</w:t>
      </w:r>
      <w:r>
        <w:t xml:space="preserve"> </w:t>
      </w:r>
      <w:r>
        <w:t xml:space="preserve">MSS2</w:t>
      </w:r>
      <w:r>
        <w:t xml:space="preserve"> </w:t>
      </w:r>
      <w:r>
        <w:t xml:space="preserve">(PO3)</w:t>
      </w:r>
      <w:r>
        <w:t xml:space="preserve"> </w:t>
      </w:r>
      <w:r>
        <w:t xml:space="preserve">4,421</w:t>
      </w:r>
      <w:r>
        <w:t xml:space="preserve"> </w:t>
      </w:r>
      <w:r>
        <w:t xml:space="preserve">625</w:t>
      </w:r>
      <w:r>
        <w:t xml:space="preserve"> </w:t>
      </w:r>
      <w:r>
        <w:t xml:space="preserve">2,312</w:t>
      </w:r>
      <w:r>
        <w:t xml:space="preserve"> </w:t>
      </w:r>
      <w:r>
        <w:t xml:space="preserve">1.09</w:t>
      </w:r>
      <w:r>
        <w:t xml:space="preserve"> </w:t>
      </w:r>
      <w:r>
        <w:t xml:space="preserve">1.46</w:t>
      </w:r>
      <w:r>
        <w:t xml:space="preserve"> </w:t>
      </w:r>
      <w:r>
        <w:t xml:space="preserve">33</w:t>
      </w:r>
      <w:r>
        <w:t xml:space="preserve"> </w:t>
      </w:r>
      <w:r>
        <w:t xml:space="preserve">Source: Commission analysis</w:t>
      </w:r>
      <w:r>
        <w:t xml:space="preserve"> </w:t>
      </w:r>
      <w:r>
        <w:t xml:space="preserve">(1) Excluding general cargo and offshore vessels, already under MRV</w:t>
      </w:r>
      <w:r>
        <w:t xml:space="preserve"> </w:t>
      </w:r>
      <w:r>
        <w:t xml:space="preserve">(2) This assumes that the share of vessels flagged in EU Member States compared to total vessels under MRV in</w:t>
      </w:r>
      <w:r>
        <w:t xml:space="preserve"> </w:t>
      </w:r>
      <w:r>
        <w:t xml:space="preserve">2023 (14%) also applies to this subset of vessels</w:t>
      </w:r>
      <w:r>
        <w:t xml:space="preserve"> </w:t>
      </w:r>
      <w:r>
        <w:t xml:space="preserve">(3) Estimated based on analysis of shipping companies for smaller vessels not already on THETIS-MRV from</w:t>
      </w:r>
      <w:r>
        <w:t xml:space="preserve"> </w:t>
      </w:r>
      <w:r>
        <w:t xml:space="preserve">(European Commission, 2025)</w:t>
      </w:r>
      <w:r>
        <w:t xml:space="preserve"> </w:t>
      </w:r>
      <w:r>
        <w:t xml:space="preserve">(4) 3% social discount rate applied for administrative costs over the period 2030-2050</w:t>
      </w:r>
      <w:r>
        <w:t xml:space="preserve"> </w:t>
      </w:r>
      <w:r>
        <w:t xml:space="preserve">7.3.3. Social impacts</w:t>
      </w:r>
      <w:r>
        <w:t xml:space="preserve"> </w:t>
      </w:r>
      <w:r>
        <w:t xml:space="preserve">The extension of the EU ETS to smaller vessels introduces increased shipping costs for</w:t>
      </w:r>
      <w:r>
        <w:t xml:space="preserve"> </w:t>
      </w:r>
      <w:r>
        <w:t xml:space="preserve">operators under both MSS1 and MSS2, depending on the emissions reduction measures</w:t>
      </w:r>
      <w:r>
        <w:t xml:space="preserve"> </w:t>
      </w:r>
      <w:r>
        <w:t xml:space="preserve">implemented by shipping companies. This poses a risk that certain service providers might</w:t>
      </w:r>
      <w:r>
        <w:t xml:space="preserve"> </w:t>
      </w:r>
      <w:r>
        <w:t xml:space="preserve">reduce the frequency of their operations, withdraw from or merge less profitable routes, or</w:t>
      </w:r>
      <w:r>
        <w:t xml:space="preserve"> </w:t>
      </w:r>
      <w:r>
        <w:t xml:space="preserve">increase prices for passengers and cargo, therefore undermining the accessibility and</w:t>
      </w:r>
      <w:r>
        <w:t xml:space="preserve"> </w:t>
      </w:r>
      <w:r>
        <w:t xml:space="preserve">affordability of essential services, particularly for vulnerable populations. In many Member</w:t>
      </w:r>
      <w:r>
        <w:t xml:space="preserve"> </w:t>
      </w:r>
      <w:r>
        <w:t xml:space="preserve">States, these services are not only essential for personal mobility but also for the delivery of</w:t>
      </w:r>
      <w:r>
        <w:t xml:space="preserve"> </w:t>
      </w:r>
      <w:r>
        <w:t xml:space="preserve">food, medical supplies, and other basic goods375. It should also be noted, however, that services</w:t>
      </w:r>
      <w:r>
        <w:t xml:space="preserve"> </w:t>
      </w:r>
      <w:r>
        <w:t xml:space="preserve">to small islands and remote areas are often protected by public service obligations Public</w:t>
      </w:r>
      <w:r>
        <w:t xml:space="preserve"> </w:t>
      </w:r>
      <w:r>
        <w:t xml:space="preserve">Service Contract or Public Service Obligation (PSO-PSC), which, by fixing the maximum price</w:t>
      </w:r>
      <w:r>
        <w:t xml:space="preserve"> </w:t>
      </w:r>
      <w:r>
        <w:t xml:space="preserve">and minimum supply of these services already safeguard connectivity from cost pressures376.</w:t>
      </w:r>
      <w:r>
        <w:t xml:space="preserve"> </w:t>
      </w:r>
      <w:r>
        <w:t xml:space="preserve">Additionally, EU ETS derogations for PSO-PSC, outermost regions, and small islands377, if</w:t>
      </w:r>
      <w:r>
        <w:t xml:space="preserve"> </w:t>
      </w:r>
      <w:r>
        <w:t xml:space="preserve">extended, would further mitigate the impact.</w:t>
      </w:r>
    </w:p>
    <w:p>
      <w:pPr>
        <w:pStyle w:val="BodyText"/>
      </w:pPr>
      <w:r>
        <w:t xml:space="preserve">374 There ETS registry and annual fees were assumed to be a good proxy for ETS-related one-off and recurrent</w:t>
      </w:r>
      <w:r>
        <w:t xml:space="preserve"> </w:t>
      </w:r>
      <w:r>
        <w:t xml:space="preserve">administrative costs.</w:t>
      </w:r>
      <w:r>
        <w:br/>
      </w:r>
      <w:r>
        <w:t xml:space="preserve">375 This may in particular be the case for smaller islands or remote areas, where ferries may represent the main</w:t>
      </w:r>
      <w:r>
        <w:t xml:space="preserve"> </w:t>
      </w:r>
      <w:r>
        <w:t xml:space="preserve">link to the mainland, especially in adverse weather or when air connections are limited. Due to the lack of</w:t>
      </w:r>
      <w:r>
        <w:t xml:space="preserve"> </w:t>
      </w:r>
      <w:r>
        <w:t xml:space="preserve">affordable alternatives, even small increases in operating costs resulting from EU ETS obligations could have</w:t>
      </w:r>
      <w:r>
        <w:t xml:space="preserve"> </w:t>
      </w:r>
      <w:r>
        <w:t xml:space="preserve">a visible impact on service affordability or frequency.</w:t>
      </w:r>
      <w:r>
        <w:t xml:space="preserve"> </w:t>
      </w:r>
      <w:r>
        <w:t xml:space="preserve">376 In some Member States, PSO contracts also include provisions for fuel cost adjustments or direct subsidies</w:t>
      </w:r>
      <w:r>
        <w:t xml:space="preserve"> </w:t>
      </w:r>
      <w:r>
        <w:t xml:space="preserve">to offset unexpected increases in operating costs, which could help cushion the impact of ETS-related fuel</w:t>
      </w:r>
      <w:r>
        <w:t xml:space="preserve"> </w:t>
      </w:r>
      <w:r>
        <w:t xml:space="preserve">price rises.</w:t>
      </w:r>
      <w:r>
        <w:br/>
      </w:r>
      <w:r>
        <w:t xml:space="preserve">377 Approximately 28% under MSS1 and 26% under MSS2 of voyages undertaken by smaller vessels would fall</w:t>
      </w:r>
      <w:r>
        <w:t xml:space="preserve"> </w:t>
      </w:r>
      <w:r>
        <w:t xml:space="preserve">under an existing derogation. This proportion is driven predominantly by voyages between Small Island Ports</w:t>
      </w:r>
      <w:r>
        <w:t xml:space="preserve"> </w:t>
      </w:r>
      <w:r>
        <w:t xml:space="preserve">(SIP), which represents a significant share in total voyages for RoPax and passenger services.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14">
    <w:nsid w:val="00A99814"/>
    <w:multiLevelType w:val="multilevel"/>
    <w:lvl w:ilvl="0">
      <w:start w:val="4"/>
      <w:numFmt w:val="upperLetter"/>
      <w:lvlText w:val="%1."/>
      <w:lvlJc w:val="left"/>
      <w:pPr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</w:lvl>
    <w:lvl w:ilvl="2">
      <w:start w:val="4"/>
      <w:numFmt w:val="upperLetter"/>
      <w:lvlText w:val="%3."/>
      <w:lvlJc w:val="left"/>
      <w:pPr>
        <w:ind w:left="2160" w:hanging="360"/>
      </w:pPr>
    </w:lvl>
    <w:lvl w:ilvl="3">
      <w:start w:val="4"/>
      <w:numFmt w:val="upperLetter"/>
      <w:lvlText w:val="%4."/>
      <w:lvlJc w:val="left"/>
      <w:pPr>
        <w:ind w:left="2880" w:hanging="360"/>
      </w:pPr>
    </w:lvl>
    <w:lvl w:ilvl="4">
      <w:start w:val="4"/>
      <w:numFmt w:val="upperLetter"/>
      <w:lvlText w:val="%5."/>
      <w:lvlJc w:val="left"/>
      <w:pPr>
        <w:ind w:left="3600" w:hanging="360"/>
      </w:pPr>
    </w:lvl>
    <w:lvl w:ilvl="5">
      <w:start w:val="4"/>
      <w:numFmt w:val="upperLetter"/>
      <w:lvlText w:val="%6."/>
      <w:lvlJc w:val="left"/>
      <w:pPr>
        <w:ind w:left="4320" w:hanging="360"/>
      </w:pPr>
    </w:lvl>
    <w:lvl w:ilvl="6">
      <w:start w:val="4"/>
      <w:numFmt w:val="upperLetter"/>
      <w:lvlText w:val="%7."/>
      <w:lvlJc w:val="left"/>
      <w:pPr>
        <w:ind w:left="5040" w:hanging="360"/>
      </w:pPr>
    </w:lvl>
    <w:lvl w:ilvl="7">
      <w:start w:val="4"/>
      <w:numFmt w:val="upperLetter"/>
      <w:lvlText w:val="%8."/>
      <w:lvlJc w:val="left"/>
      <w:pPr>
        <w:ind w:left="5760" w:hanging="360"/>
      </w:pPr>
    </w:lvl>
    <w:lvl w:ilvl="8">
      <w:start w:val="4"/>
      <w:numFmt w:val="upp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2026-07-31T16:48:50Z</dcterms:created>
  <dcterms:modified xsi:type="dcterms:W3CDTF">2026-07-31T16:48:50Z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