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17.7.2026</w:t>
      </w:r>
      <w:r>
        <w:br/>
      </w:r>
      <w:r>
        <w:t xml:space="preserve">SWD(2026) 616 final</w:t>
      </w:r>
      <w:r>
        <w:t xml:space="preserve"> </w:t>
      </w:r>
      <w:r>
        <w:t xml:space="preserve">PART 4/5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Proposal for a</w:t>
      </w:r>
      <w:r>
        <w:br/>
      </w:r>
      <w:r>
        <w:t xml:space="preserve">DIRECTIVE OF THE EUROPEAN PARLIAMENT AND OF THE COUNCIL</w:t>
      </w:r>
      <w:r>
        <w:t xml:space="preserve"> </w:t>
      </w:r>
      <w:r>
        <w:t xml:space="preserve">amending Directive 2003/87/EC and Decision (EU) 2015/1814 as regards driving</w:t>
      </w:r>
      <w:r>
        <w:t xml:space="preserve"> </w:t>
      </w:r>
      <w:r>
        <w:t xml:space="preserve">competitiveness and cost-effective decarbonisation</w:t>
      </w:r>
    </w:p>
    <w:p>
      <w:pPr>
        <w:pStyle w:val="BodyText"/>
      </w:pPr>
      <w:r>
        <w:t xml:space="preserve">REGULATION OF THE EUROPEAN PARLIAMENT AND OF THE COUNCIL</w:t>
      </w:r>
      <w:r>
        <w:t xml:space="preserve"> </w:t>
      </w:r>
      <w:r>
        <w:t xml:space="preserve">amending Directive 2003/87/EC as regards revised benchmark values for the heat and</w:t>
      </w:r>
      <w:r>
        <w:t xml:space="preserve"> </w:t>
      </w:r>
      <w:r>
        <w:t xml:space="preserve">fuel benchmarks period from 2026 to 2030</w:t>
      </w:r>
    </w:p>
    <w:p>
      <w:pPr>
        <w:pStyle w:val="BodyText"/>
      </w:pPr>
      <w:r>
        <w:t xml:space="preserve">REGULATION OF THE EUROPEAN PARLIAMENT AND OF THE COUNCIL</w:t>
      </w:r>
      <w:r>
        <w:t xml:space="preserve"> </w:t>
      </w:r>
      <w:r>
        <w:t xml:space="preserve">amending Regulation (EU) 2015/757 and Regulation (EU) 2023/1805 to simplify and</w:t>
      </w:r>
      <w:r>
        <w:t xml:space="preserve"> </w:t>
      </w:r>
      <w:r>
        <w:t xml:space="preserve">streamline monitoring, reporting and verification and to align with revisions of the EU</w:t>
      </w:r>
      <w:r>
        <w:t xml:space="preserve"> </w:t>
      </w:r>
      <w:r>
        <w:t xml:space="preserve">Emissions Trading System</w:t>
      </w:r>
      <w:r>
        <w:br/>
      </w:r>
      <w:r>
        <w:t xml:space="preserve">{COM(2026) 616 final} - {COM(2026) 619 final} - {COM(2026) 620 final} -</w:t>
      </w:r>
      <w:r>
        <w:t xml:space="preserve"> </w:t>
      </w:r>
      <w:r>
        <w:t xml:space="preserve">{SEC(2026) 616 final} - {SWD(2026) 617 final} - {SWD(2026) 618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ANNEX 12: STATIONARY INSTALLATIONS ……………………………………………………….. 4</w:t>
      </w:r>
      <w:r>
        <w:t xml:space="preserve"> </w:t>
      </w:r>
      <w:r>
        <w:t xml:space="preserve">LIST OF TABLES ………………………………………………………………………………………………………. 4</w:t>
      </w:r>
      <w:r>
        <w:t xml:space="preserve"> </w:t>
      </w:r>
      <w:r>
        <w:t xml:space="preserve">LIST OF FIGURES ……………………………………………………………………………………………………… 6</w:t>
      </w:r>
      <w:r>
        <w:t xml:space="preserve"> </w:t>
      </w:r>
      <w:r>
        <w:t xml:space="preserve">1.</w:t>
      </w:r>
      <w:r>
        <w:t xml:space="preserve"> </w:t>
      </w:r>
      <w:r>
        <w:t xml:space="preserve">CARBON LEAKAGE ………………………………………………………………………………………….. 7</w:t>
      </w:r>
      <w:r>
        <w:t xml:space="preserve"> </w:t>
      </w:r>
      <w:r>
        <w:t xml:space="preserve">1.1.</w:t>
      </w:r>
      <w:r>
        <w:t xml:space="preserve"> </w:t>
      </w:r>
      <w:r>
        <w:t xml:space="preserve">Overview …………………………………………………………………………………………………. 7</w:t>
      </w:r>
      <w:r>
        <w:t xml:space="preserve"> </w:t>
      </w:r>
      <w:r>
        <w:t xml:space="preserve">1.2.</w:t>
      </w:r>
      <w:r>
        <w:t xml:space="preserve"> </w:t>
      </w:r>
      <w:r>
        <w:t xml:space="preserve">Scoping exercise ………………………………………………………………………………………. 7</w:t>
      </w:r>
      <w:r>
        <w:t xml:space="preserve"> </w:t>
      </w:r>
      <w:r>
        <w:t xml:space="preserve">1.2.1.</w:t>
      </w:r>
      <w:r>
        <w:t xml:space="preserve"> </w:t>
      </w:r>
      <w:r>
        <w:t xml:space="preserve">Carbon leakage prevention measures for direct emissions ………………………….. 7</w:t>
      </w:r>
      <w:r>
        <w:t xml:space="preserve"> </w:t>
      </w:r>
      <w:r>
        <w:t xml:space="preserve">1.2.2.</w:t>
      </w:r>
      <w:r>
        <w:t xml:space="preserve"> </w:t>
      </w:r>
      <w:r>
        <w:t xml:space="preserve">Carbon leakage prevention measures for indirect emissions ……………………….. 9</w:t>
      </w:r>
      <w:r>
        <w:t xml:space="preserve"> </w:t>
      </w:r>
      <w:r>
        <w:t xml:space="preserve">1.3.</w:t>
      </w:r>
      <w:r>
        <w:t xml:space="preserve"> </w:t>
      </w:r>
      <w:r>
        <w:t xml:space="preserve">Policy measures ……………………………………………………………………………………… 12</w:t>
      </w:r>
      <w:r>
        <w:t xml:space="preserve"> </w:t>
      </w:r>
      <w:r>
        <w:t xml:space="preserve">1.3.1.</w:t>
      </w:r>
      <w:r>
        <w:t xml:space="preserve"> </w:t>
      </w:r>
      <w:r>
        <w:t xml:space="preserve">Description …………………………………………………………………………………………. 12</w:t>
      </w:r>
      <w:r>
        <w:t xml:space="preserve"> </w:t>
      </w:r>
      <w:r>
        <w:t xml:space="preserve">1.4.</w:t>
      </w:r>
      <w:r>
        <w:t xml:space="preserve"> </w:t>
      </w:r>
      <w:r>
        <w:t xml:space="preserve">Assessment of the measures……………………………………………………………………… 15</w:t>
      </w:r>
      <w:r>
        <w:t xml:space="preserve"> </w:t>
      </w:r>
      <w:r>
        <w:t xml:space="preserve">1.4.1.</w:t>
      </w:r>
      <w:r>
        <w:t xml:space="preserve"> </w:t>
      </w:r>
      <w:r>
        <w:t xml:space="preserve">Overview ……………………………………………………………………………………………. 15</w:t>
      </w:r>
      <w:r>
        <w:t xml:space="preserve"> </w:t>
      </w:r>
      <w:r>
        <w:t xml:space="preserve">1.4.2.</w:t>
      </w:r>
      <w:r>
        <w:t xml:space="preserve"> </w:t>
      </w:r>
      <w:r>
        <w:t xml:space="preserve">Economic impacts ……………………………………………………………………………….. 17</w:t>
      </w:r>
      <w:r>
        <w:t xml:space="preserve"> </w:t>
      </w:r>
      <w:r>
        <w:t xml:space="preserve">1.4.3.</w:t>
      </w:r>
      <w:r>
        <w:t xml:space="preserve"> </w:t>
      </w:r>
      <w:r>
        <w:t xml:space="preserve">Social impacts …………………………………………………………………………………….. 53</w:t>
      </w:r>
      <w:r>
        <w:t xml:space="preserve"> </w:t>
      </w:r>
      <w:r>
        <w:t xml:space="preserve">1.4.4.</w:t>
      </w:r>
      <w:r>
        <w:t xml:space="preserve"> </w:t>
      </w:r>
      <w:r>
        <w:t xml:space="preserve">Environmental impacts ………………………………………………………………………… 55</w:t>
      </w:r>
      <w:r>
        <w:t xml:space="preserve"> </w:t>
      </w:r>
      <w:r>
        <w:t xml:space="preserve">1.4.5.</w:t>
      </w:r>
      <w:r>
        <w:t xml:space="preserve"> </w:t>
      </w:r>
      <w:r>
        <w:t xml:space="preserve">Summary ……………………………………………………………………………………………. 57</w:t>
      </w:r>
      <w:r>
        <w:t xml:space="preserve"> </w:t>
      </w:r>
      <w:r>
        <w:t xml:space="preserve">2.</w:t>
      </w:r>
      <w:r>
        <w:t xml:space="preserve"> </w:t>
      </w:r>
      <w:r>
        <w:t xml:space="preserve">20 MW THRESHOLD ………………………………………………………………………………………. 59</w:t>
      </w:r>
      <w:r>
        <w:t xml:space="preserve"> </w:t>
      </w:r>
      <w:r>
        <w:t xml:space="preserve">2.1.</w:t>
      </w:r>
      <w:r>
        <w:t xml:space="preserve"> </w:t>
      </w:r>
      <w:r>
        <w:t xml:space="preserve">Scoping exercises ……………………………………………………………………………………. 59</w:t>
      </w:r>
      <w:r>
        <w:t xml:space="preserve"> </w:t>
      </w:r>
      <w:r>
        <w:t xml:space="preserve">2.2.</w:t>
      </w:r>
      <w:r>
        <w:t xml:space="preserve"> </w:t>
      </w:r>
      <w:r>
        <w:t xml:space="preserve">Policy measures ……………………………………………………………………………………… 60</w:t>
      </w:r>
      <w:r>
        <w:t xml:space="preserve"> </w:t>
      </w:r>
      <w:r>
        <w:t xml:space="preserve">2.2.1.</w:t>
      </w:r>
      <w:r>
        <w:t xml:space="preserve"> </w:t>
      </w:r>
      <w:r>
        <w:t xml:space="preserve">Description …………………………………………………………………………………………. 60</w:t>
      </w:r>
      <w:r>
        <w:t xml:space="preserve"> </w:t>
      </w:r>
      <w:r>
        <w:t xml:space="preserve">2.3.</w:t>
      </w:r>
      <w:r>
        <w:t xml:space="preserve"> </w:t>
      </w:r>
      <w:r>
        <w:t xml:space="preserve">Assessment of the measures……………………………………………………………………… 61</w:t>
      </w:r>
      <w:r>
        <w:t xml:space="preserve"> </w:t>
      </w:r>
      <w:r>
        <w:t xml:space="preserve">2.3.1.</w:t>
      </w:r>
      <w:r>
        <w:t xml:space="preserve"> </w:t>
      </w:r>
      <w:r>
        <w:t xml:space="preserve">Economic Impacts ……………………………………………………………………………….. 61</w:t>
      </w:r>
      <w:r>
        <w:t xml:space="preserve"> </w:t>
      </w:r>
      <w:r>
        <w:t xml:space="preserve">2.3.2.</w:t>
      </w:r>
      <w:r>
        <w:t xml:space="preserve"> </w:t>
      </w:r>
      <w:r>
        <w:t xml:space="preserve">Social impacts …………………………………………………………………………………….. 64</w:t>
      </w:r>
      <w:r>
        <w:t xml:space="preserve"> </w:t>
      </w:r>
      <w:r>
        <w:t xml:space="preserve">2.3.3.</w:t>
      </w:r>
      <w:r>
        <w:t xml:space="preserve"> </w:t>
      </w:r>
      <w:r>
        <w:t xml:space="preserve">Environmental impacts ………………………………………………………………………… 64</w:t>
      </w:r>
      <w:r>
        <w:t xml:space="preserve"> </w:t>
      </w:r>
      <w:r>
        <w:t xml:space="preserve">2.3.4.</w:t>
      </w:r>
      <w:r>
        <w:t xml:space="preserve"> </w:t>
      </w:r>
      <w:r>
        <w:t xml:space="preserve">Summary ……………………………………………………………………………………………. 68</w:t>
      </w:r>
      <w:r>
        <w:t xml:space="preserve"> </w:t>
      </w:r>
      <w:r>
        <w:t xml:space="preserve">ANNEX 13: NEW SECTORS AND TECHNOLOGIES: WASTE MANAGEMENT</w:t>
      </w:r>
      <w:r>
        <w:t xml:space="preserve"> </w:t>
      </w:r>
      <w:r>
        <w:t xml:space="preserve">AND CARBON CAPTURE AND UTILISATION (CCU)…………………………………………. 69</w:t>
      </w:r>
      <w:r>
        <w:t xml:space="preserve"> </w:t>
      </w:r>
      <w:r>
        <w:t xml:space="preserve">LIST OF TABLES …………………………………………………………………………………………………….. 69</w:t>
      </w:r>
      <w:r>
        <w:t xml:space="preserve"> </w:t>
      </w:r>
      <w:r>
        <w:t xml:space="preserve">LIST OF FIGURES ……………………………………………………………………………………………………. 69</w:t>
      </w:r>
      <w:r>
        <w:t xml:space="preserve"> </w:t>
      </w:r>
      <w:r>
        <w:t xml:space="preserve">3.</w:t>
      </w:r>
      <w:r>
        <w:t xml:space="preserve"> </w:t>
      </w:r>
      <w:r>
        <w:t xml:space="preserve">WASTE …………………………………………………………………………………………………………. 70</w:t>
      </w:r>
      <w:r>
        <w:t xml:space="preserve"> </w:t>
      </w:r>
      <w:r>
        <w:t xml:space="preserve">3.1.</w:t>
      </w:r>
      <w:r>
        <w:t xml:space="preserve"> </w:t>
      </w:r>
      <w:r>
        <w:t xml:space="preserve">Overview ……………………………………………………………………………………………….. 70</w:t>
      </w:r>
      <w:r>
        <w:t xml:space="preserve"> </w:t>
      </w:r>
      <w:r>
        <w:t xml:space="preserve">3.2.</w:t>
      </w:r>
      <w:r>
        <w:t xml:space="preserve"> </w:t>
      </w:r>
      <w:r>
        <w:t xml:space="preserve">Scope of regulated activities and emissions………………………………………………… 71</w:t>
      </w:r>
      <w:r>
        <w:t xml:space="preserve"> </w:t>
      </w:r>
      <w:r>
        <w:t xml:space="preserve">3.2.1.</w:t>
      </w:r>
      <w:r>
        <w:t xml:space="preserve"> </w:t>
      </w:r>
      <w:r>
        <w:t xml:space="preserve">Municipal waste incineration (MWI)……………………………………………………… 71</w:t>
      </w:r>
      <w:r>
        <w:t xml:space="preserve"> </w:t>
      </w:r>
      <w:r>
        <w:t xml:space="preserve">3.2.2.</w:t>
      </w:r>
      <w:r>
        <w:t xml:space="preserve"> </w:t>
      </w:r>
      <w:r>
        <w:t xml:space="preserve">Hazardous waste incineration (HWI) ……………………………………………………… 74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3.2.3.</w:t>
      </w:r>
      <w:r>
        <w:t xml:space="preserve"> </w:t>
      </w:r>
      <w:r>
        <w:t xml:space="preserve">Landfilling of non-hazardous waste……………………………………………………….. 75</w:t>
      </w:r>
      <w:r>
        <w:t xml:space="preserve"> </w:t>
      </w:r>
      <w:r>
        <w:t xml:space="preserve">3.2.4.</w:t>
      </w:r>
      <w:r>
        <w:t xml:space="preserve"> </w:t>
      </w:r>
      <w:r>
        <w:t xml:space="preserve">Discarded measures …………………………………………………………………………….. 77</w:t>
      </w:r>
      <w:r>
        <w:t xml:space="preserve"> </w:t>
      </w:r>
      <w:r>
        <w:t xml:space="preserve">3.3.</w:t>
      </w:r>
      <w:r>
        <w:t xml:space="preserve"> </w:t>
      </w:r>
      <w:r>
        <w:t xml:space="preserve">Carbon price signal and emission abatement ………………………………………………. 79</w:t>
      </w:r>
      <w:r>
        <w:t xml:space="preserve"> </w:t>
      </w:r>
      <w:r>
        <w:t xml:space="preserve">3.3.1.</w:t>
      </w:r>
      <w:r>
        <w:t xml:space="preserve"> </w:t>
      </w:r>
      <w:r>
        <w:t xml:space="preserve">Ability to pass-on the carbon cost and emissions abatement in the waste value</w:t>
      </w:r>
      <w:r>
        <w:t xml:space="preserve"> </w:t>
      </w:r>
      <w:r>
        <w:t xml:space="preserve">chain</w:t>
      </w:r>
      <w:r>
        <w:t xml:space="preserve"> </w:t>
      </w:r>
      <w:r>
        <w:t xml:space="preserve">80</w:t>
      </w:r>
      <w:r>
        <w:t xml:space="preserve"> </w:t>
      </w:r>
      <w:r>
        <w:t xml:space="preserve">3.3.2.</w:t>
      </w:r>
      <w:r>
        <w:t xml:space="preserve"> </w:t>
      </w:r>
      <w:r>
        <w:t xml:space="preserve">Emission abatement at installation level …………………………………………………. 83</w:t>
      </w:r>
      <w:r>
        <w:t xml:space="preserve"> </w:t>
      </w:r>
      <w:r>
        <w:t xml:space="preserve">3.3.3.</w:t>
      </w:r>
      <w:r>
        <w:t xml:space="preserve"> </w:t>
      </w:r>
      <w:r>
        <w:t xml:space="preserve">Complementary measures and revenue use …………………………………………….. 87</w:t>
      </w:r>
      <w:r>
        <w:t xml:space="preserve"> </w:t>
      </w:r>
      <w:r>
        <w:t xml:space="preserve">3.4.</w:t>
      </w:r>
      <w:r>
        <w:t xml:space="preserve"> </w:t>
      </w:r>
      <w:r>
        <w:t xml:space="preserve">Monitoring and Reporting………………………………………………………………………… 88</w:t>
      </w:r>
      <w:r>
        <w:t xml:space="preserve"> </w:t>
      </w:r>
      <w:r>
        <w:t xml:space="preserve">3.4.1.</w:t>
      </w:r>
      <w:r>
        <w:t xml:space="preserve"> </w:t>
      </w:r>
      <w:r>
        <w:t xml:space="preserve">Threshold for inclusion ………………………………………………………………………… 90</w:t>
      </w:r>
      <w:r>
        <w:t xml:space="preserve"> </w:t>
      </w:r>
      <w:r>
        <w:t xml:space="preserve">3.4.2.</w:t>
      </w:r>
      <w:r>
        <w:t xml:space="preserve"> </w:t>
      </w:r>
      <w:r>
        <w:t xml:space="preserve">Simplified MRV for small and ultra-small emitters …………………………………. 92</w:t>
      </w:r>
      <w:r>
        <w:t xml:space="preserve"> </w:t>
      </w:r>
      <w:r>
        <w:t xml:space="preserve">3.5.</w:t>
      </w:r>
      <w:r>
        <w:t xml:space="preserve"> </w:t>
      </w:r>
      <w:r>
        <w:t xml:space="preserve">Coherence with other policy frameworks …………………………………………………… 92</w:t>
      </w:r>
      <w:r>
        <w:t xml:space="preserve"> </w:t>
      </w:r>
      <w:r>
        <w:t xml:space="preserve">3.6.</w:t>
      </w:r>
      <w:r>
        <w:t xml:space="preserve"> </w:t>
      </w:r>
      <w:r>
        <w:t xml:space="preserve">Policy measures ……………………………………………………………………………………… 95</w:t>
      </w:r>
      <w:r>
        <w:t xml:space="preserve"> </w:t>
      </w:r>
      <w:r>
        <w:t xml:space="preserve">3.6.1.</w:t>
      </w:r>
      <w:r>
        <w:t xml:space="preserve"> </w:t>
      </w:r>
      <w:r>
        <w:t xml:space="preserve">Description of the policy measures ………………………………………………………… 95</w:t>
      </w:r>
      <w:r>
        <w:t xml:space="preserve"> </w:t>
      </w:r>
      <w:r>
        <w:t xml:space="preserve">3.7.</w:t>
      </w:r>
      <w:r>
        <w:t xml:space="preserve"> </w:t>
      </w:r>
      <w:r>
        <w:t xml:space="preserve">Assessment of Policy measures ………………………………………………………………… 95</w:t>
      </w:r>
      <w:r>
        <w:t xml:space="preserve"> </w:t>
      </w:r>
      <w:r>
        <w:t xml:space="preserve">3.7.1.</w:t>
      </w:r>
      <w:r>
        <w:t xml:space="preserve"> </w:t>
      </w:r>
      <w:r>
        <w:t xml:space="preserve">Environmental impacts ………………………………………………………………………… 95</w:t>
      </w:r>
      <w:r>
        <w:t xml:space="preserve"> </w:t>
      </w:r>
      <w:r>
        <w:t xml:space="preserve">3.7.2.</w:t>
      </w:r>
      <w:r>
        <w:t xml:space="preserve"> </w:t>
      </w:r>
      <w:r>
        <w:t xml:space="preserve">Economic impacts ……………………………………………………………………………… 101</w:t>
      </w:r>
      <w:r>
        <w:t xml:space="preserve"> </w:t>
      </w:r>
      <w:r>
        <w:t xml:space="preserve">3.7.3.</w:t>
      </w:r>
      <w:r>
        <w:t xml:space="preserve"> </w:t>
      </w:r>
      <w:r>
        <w:t xml:space="preserve">Social impacts …………………………………………………………………………………… 105</w:t>
      </w:r>
      <w:r>
        <w:t xml:space="preserve"> </w:t>
      </w:r>
      <w:r>
        <w:t xml:space="preserve">3.7.4.</w:t>
      </w:r>
      <w:r>
        <w:t xml:space="preserve"> </w:t>
      </w:r>
      <w:r>
        <w:t xml:space="preserve">Summary ………………………………………………………………………………………….. 107</w:t>
      </w:r>
      <w:r>
        <w:t xml:space="preserve"> </w:t>
      </w:r>
      <w:r>
        <w:t xml:space="preserve">Appendix 1: Data on emissions from waste incineration and landfilling in the EU…… 111</w:t>
      </w:r>
      <w:r>
        <w:t xml:space="preserve"> </w:t>
      </w:r>
      <w:r>
        <w:t xml:space="preserve">Appendix 2: Selected case studies on emissions abatement options for waste incineration</w:t>
      </w:r>
      <w:r>
        <w:t xml:space="preserve"> </w:t>
      </w:r>
      <w:r>
        <w:t xml:space="preserve">and landfilling …………………………………………………………………………………………………. 116</w:t>
      </w:r>
      <w:r>
        <w:t xml:space="preserve"> </w:t>
      </w:r>
      <w:r>
        <w:t xml:space="preserve">Appendix 3: MRV methodologies for waste incineration and landfilling ……………….. 119</w:t>
      </w:r>
      <w:r>
        <w:t xml:space="preserve"> </w:t>
      </w:r>
      <w:r>
        <w:t xml:space="preserve">4.</w:t>
      </w:r>
      <w:r>
        <w:t xml:space="preserve"> </w:t>
      </w:r>
      <w:r>
        <w:t xml:space="preserve">NON-PERMANENT CARBON CAPTURE AND UTILISATION (CCU) ………………………. 124</w:t>
      </w:r>
      <w:r>
        <w:t xml:space="preserve"> </w:t>
      </w:r>
      <w:r>
        <w:t xml:space="preserve">4.1.</w:t>
      </w:r>
      <w:r>
        <w:t xml:space="preserve"> </w:t>
      </w:r>
      <w:r>
        <w:t xml:space="preserve">Overview ……………………………………………………………………………………………… 124</w:t>
      </w:r>
      <w:r>
        <w:t xml:space="preserve"> </w:t>
      </w:r>
      <w:r>
        <w:t xml:space="preserve">4.2.</w:t>
      </w:r>
      <w:r>
        <w:t xml:space="preserve"> </w:t>
      </w:r>
      <w:r>
        <w:t xml:space="preserve">Scoping ……………………………………………………………………………………………….. 126</w:t>
      </w:r>
      <w:r>
        <w:t xml:space="preserve"> </w:t>
      </w:r>
      <w:r>
        <w:t xml:space="preserve">4.2.1.</w:t>
      </w:r>
      <w:r>
        <w:t xml:space="preserve"> </w:t>
      </w:r>
      <w:r>
        <w:t xml:space="preserve">Description of importance and potential for CCU market, products …………. 127</w:t>
      </w:r>
      <w:r>
        <w:t xml:space="preserve"> </w:t>
      </w:r>
      <w:r>
        <w:t xml:space="preserve">4.2.2.</w:t>
      </w:r>
      <w:r>
        <w:t xml:space="preserve"> </w:t>
      </w:r>
      <w:r>
        <w:t xml:space="preserve">Identification and description of accounting approaches …………………………. 129</w:t>
      </w:r>
      <w:r>
        <w:t xml:space="preserve"> </w:t>
      </w:r>
      <w:r>
        <w:t xml:space="preserve">4.2.3.</w:t>
      </w:r>
      <w:r>
        <w:t xml:space="preserve"> </w:t>
      </w:r>
      <w:r>
        <w:t xml:space="preserve">Identification of potential non-permanent CCU products and their normal use</w:t>
      </w:r>
      <w:r>
        <w:t xml:space="preserve"> </w:t>
      </w:r>
      <w:r>
        <w:t xml:space="preserve">or end-of-life treatment …………………………………………………………………………………….. 132</w:t>
      </w:r>
      <w:r>
        <w:t xml:space="preserve"> </w:t>
      </w:r>
      <w:r>
        <w:t xml:space="preserve">4.2.4.</w:t>
      </w:r>
      <w:r>
        <w:t xml:space="preserve"> </w:t>
      </w:r>
      <w:r>
        <w:t xml:space="preserve">Identification of potential loopholes for downstream accounting …………….. 132</w:t>
      </w:r>
      <w:r>
        <w:t xml:space="preserve"> </w:t>
      </w:r>
      <w:r>
        <w:t xml:space="preserve">4.3.</w:t>
      </w:r>
      <w:r>
        <w:t xml:space="preserve"> </w:t>
      </w:r>
      <w:r>
        <w:t xml:space="preserve">Policy measures ……………………………………………………………………………………. 134</w:t>
      </w:r>
      <w:r>
        <w:t xml:space="preserve"> </w:t>
      </w:r>
      <w:r>
        <w:t xml:space="preserve">4.3.1.</w:t>
      </w:r>
      <w:r>
        <w:t xml:space="preserve"> </w:t>
      </w:r>
      <w:r>
        <w:t xml:space="preserve">Description of the policy measures ………………………………………………………. 134</w:t>
      </w:r>
      <w:r>
        <w:t xml:space="preserve"> </w:t>
      </w:r>
      <w:r>
        <w:t xml:space="preserve">4.3.2.</w:t>
      </w:r>
      <w:r>
        <w:t xml:space="preserve"> </w:t>
      </w:r>
      <w:r>
        <w:t xml:space="preserve">Description of discarded measures ………………………………………………………. 135</w:t>
      </w:r>
      <w:r>
        <w:t xml:space="preserve"> </w:t>
      </w:r>
      <w:r>
        <w:t xml:space="preserve">4.4.</w:t>
      </w:r>
      <w:r>
        <w:t xml:space="preserve"> </w:t>
      </w:r>
      <w:r>
        <w:t xml:space="preserve">Assessment of the measures……………………………………………………………………. 136</w:t>
      </w:r>
      <w:r>
        <w:t xml:space="preserve"> </w:t>
      </w:r>
      <w:r>
        <w:t xml:space="preserve">4.4.1.</w:t>
      </w:r>
      <w:r>
        <w:t xml:space="preserve"> </w:t>
      </w:r>
      <w:r>
        <w:t xml:space="preserve">Quantitative assessment ……………………………………………………………………… 137</w:t>
      </w:r>
      <w:r>
        <w:t xml:space="preserve"> </w:t>
      </w:r>
      <w:r>
        <w:t xml:space="preserve">4.4.2.</w:t>
      </w:r>
      <w:r>
        <w:t xml:space="preserve"> </w:t>
      </w:r>
      <w:r>
        <w:t xml:space="preserve">Environmental impacts ………………………………………………………………………. 138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4.4.3.</w:t>
      </w:r>
      <w:r>
        <w:t xml:space="preserve"> </w:t>
      </w:r>
      <w:r>
        <w:t xml:space="preserve">Economic impacts ……………………………………………………………………………… 142</w:t>
      </w:r>
      <w:r>
        <w:t xml:space="preserve"> </w:t>
      </w:r>
      <w:r>
        <w:t xml:space="preserve">4.4.4.</w:t>
      </w:r>
      <w:r>
        <w:t xml:space="preserve"> </w:t>
      </w:r>
      <w:r>
        <w:t xml:space="preserve">Social impacts …………………………………………………………………………………… 153</w:t>
      </w:r>
      <w:r>
        <w:t xml:space="preserve"> </w:t>
      </w:r>
      <w:r>
        <w:t xml:space="preserve">4.4.5.</w:t>
      </w:r>
      <w:r>
        <w:t xml:space="preserve"> </w:t>
      </w:r>
      <w:r>
        <w:t xml:space="preserve">Summary ………………………………………………………………………………………….. 153</w:t>
      </w:r>
      <w:r>
        <w:t xml:space="preserve"> </w:t>
      </w:r>
      <w:r>
        <w:t xml:space="preserve">4.5.</w:t>
      </w:r>
      <w:r>
        <w:t xml:space="preserve"> </w:t>
      </w:r>
      <w:r>
        <w:t xml:space="preserve">Conclusions ………………………………………………………………………………………….. 155</w:t>
      </w:r>
      <w:r>
        <w:t xml:space="preserve"> </w:t>
      </w:r>
      <w:r>
        <w:t xml:space="preserve">ANNEX 14: LINKING ………………………………………………………………………………………….. 156</w:t>
      </w:r>
      <w:r>
        <w:t xml:space="preserve"> </w:t>
      </w:r>
      <w:r>
        <w:t xml:space="preserve">1.</w:t>
      </w:r>
      <w:r>
        <w:t xml:space="preserve"> </w:t>
      </w:r>
      <w:r>
        <w:t xml:space="preserve">WHY AND WHY NOT TO LINK? …………………………………………………………………………. 156</w:t>
      </w:r>
      <w:r>
        <w:t xml:space="preserve"> </w:t>
      </w:r>
      <w:r>
        <w:t xml:space="preserve">2.</w:t>
      </w:r>
      <w:r>
        <w:t xml:space="preserve"> </w:t>
      </w:r>
      <w:r>
        <w:t xml:space="preserve">WITH WHOM TO LINK? …………………………………………………………………………………… 156</w:t>
      </w:r>
      <w:r>
        <w:t xml:space="preserve"> </w:t>
      </w:r>
      <w:r>
        <w:t xml:space="preserve">3.</w:t>
      </w:r>
      <w:r>
        <w:t xml:space="preserve"> </w:t>
      </w:r>
      <w:r>
        <w:t xml:space="preserve">CONCLUSION ………………………………………………………………………………………………… 157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ANNEX 12: STATIONARY INSTALLATIONS</w:t>
      </w:r>
    </w:p>
    <w:p>
      <w:pPr>
        <w:pStyle w:val="BodyText"/>
      </w:pPr>
      <w:r>
        <w:t xml:space="preserve">List of Tables</w:t>
      </w:r>
      <w:r>
        <w:t xml:space="preserve"> </w:t>
      </w:r>
      <w:r>
        <w:t xml:space="preserve">Table 1:</w:t>
      </w:r>
      <w:r>
        <w:t xml:space="preserve"> </w:t>
      </w:r>
      <w:r>
        <w:t xml:space="preserve">Sectors deemed to be exposed to a genuine risk of carbon leakage due to indirect</w:t>
      </w:r>
      <w:r>
        <w:t xml:space="preserve"> </w:t>
      </w:r>
      <w:r>
        <w:t xml:space="preserve">emission costs (excluding sectors that have become newly eligible as of 1 January 2025) …. 11</w:t>
      </w:r>
      <w:r>
        <w:t xml:space="preserve"> </w:t>
      </w:r>
      <w:r>
        <w:t xml:space="preserve">Table 2:</w:t>
      </w:r>
      <w:r>
        <w:t xml:space="preserve"> </w:t>
      </w:r>
      <w:r>
        <w:t xml:space="preserve">Indirect cost compensation by Member State ……………………………………………… 12</w:t>
      </w:r>
      <w:r>
        <w:t xml:space="preserve"> </w:t>
      </w:r>
      <w:r>
        <w:t xml:space="preserve">Table 3:</w:t>
      </w:r>
      <w:r>
        <w:t xml:space="preserve"> </w:t>
      </w:r>
      <w:r>
        <w:t xml:space="preserve">Summary of GEM-E3 scenarios and policy options they address ………………….. 15</w:t>
      </w:r>
      <w:r>
        <w:t xml:space="preserve"> </w:t>
      </w:r>
      <w:r>
        <w:t xml:space="preserve">Table 4:</w:t>
      </w:r>
      <w:r>
        <w:t xml:space="preserve"> </w:t>
      </w:r>
      <w:r>
        <w:t xml:space="preserve">Overview of the 2031-40 free allocation in the baseline compared to the policy</w:t>
      </w:r>
      <w:r>
        <w:t xml:space="preserve"> </w:t>
      </w:r>
      <w:r>
        <w:t xml:space="preserve">measures</w:t>
      </w:r>
      <w:r>
        <w:t xml:space="preserve"> </w:t>
      </w:r>
      <w:r>
        <w:t xml:space="preserve">18</w:t>
      </w:r>
      <w:r>
        <w:t xml:space="preserve"> </w:t>
      </w:r>
      <w:r>
        <w:t xml:space="preserve">Table 5:</w:t>
      </w:r>
      <w:r>
        <w:t xml:space="preserve"> </w:t>
      </w:r>
      <w:r>
        <w:t xml:space="preserve">Estimation of the total volume of free allowances available under the baseline for</w:t>
      </w:r>
      <w:r>
        <w:t xml:space="preserve"> </w:t>
      </w:r>
      <w:r>
        <w:t xml:space="preserve">2031-40</w:t>
      </w:r>
      <w:r>
        <w:t xml:space="preserve"> </w:t>
      </w:r>
      <w:r>
        <w:t xml:space="preserve">20</w:t>
      </w:r>
      <w:r>
        <w:t xml:space="preserve"> </w:t>
      </w:r>
      <w:r>
        <w:t xml:space="preserve">Table 6:</w:t>
      </w:r>
      <w:r>
        <w:t xml:space="preserve"> </w:t>
      </w:r>
      <w:r>
        <w:t xml:space="preserve">Estimation of the total volume of free allowances available under CL1 for 2031-</w:t>
      </w:r>
      <w:r>
        <w:t xml:space="preserve"> </w:t>
      </w:r>
      <w:r>
        <w:t xml:space="preserve">40</w:t>
      </w:r>
      <w:r>
        <w:t xml:space="preserve"> </w:t>
      </w:r>
      <w:r>
        <w:t xml:space="preserve">21</w:t>
      </w:r>
      <w:r>
        <w:t xml:space="preserve"> </w:t>
      </w:r>
      <w:r>
        <w:t xml:space="preserve">Table 7:</w:t>
      </w:r>
      <w:r>
        <w:t xml:space="preserve"> </w:t>
      </w:r>
      <w:r>
        <w:t xml:space="preserve">Estimation of the total volume of free allowances available under CL2_90 for</w:t>
      </w:r>
      <w:r>
        <w:t xml:space="preserve"> </w:t>
      </w:r>
      <w:r>
        <w:t xml:space="preserve">2031-40</w:t>
      </w:r>
      <w:r>
        <w:t xml:space="preserve"> </w:t>
      </w:r>
      <w:r>
        <w:t xml:space="preserve">23</w:t>
      </w:r>
      <w:r>
        <w:t xml:space="preserve"> </w:t>
      </w:r>
      <w:r>
        <w:t xml:space="preserve">Table 8:</w:t>
      </w:r>
      <w:r>
        <w:t xml:space="preserve"> </w:t>
      </w:r>
      <w:r>
        <w:t xml:space="preserve">Estimation of the total volume of free allowances available under CL2_90 (CBAM</w:t>
      </w:r>
      <w:r>
        <w:t xml:space="preserve"> </w:t>
      </w:r>
      <w:r>
        <w:t xml:space="preserve">variant) for 2031-40 ………………………………………………………………………………………………….. 24</w:t>
      </w:r>
      <w:r>
        <w:t xml:space="preserve"> </w:t>
      </w:r>
      <w:r>
        <w:t xml:space="preserve">Table 9:</w:t>
      </w:r>
      <w:r>
        <w:t xml:space="preserve"> </w:t>
      </w:r>
      <w:r>
        <w:t xml:space="preserve">Estimation of the total volume of free allowances available under CL2_50 for</w:t>
      </w:r>
      <w:r>
        <w:t xml:space="preserve"> </w:t>
      </w:r>
      <w:r>
        <w:t xml:space="preserve">2031-40</w:t>
      </w:r>
      <w:r>
        <w:t xml:space="preserve"> </w:t>
      </w:r>
      <w:r>
        <w:t xml:space="preserve">25</w:t>
      </w:r>
      <w:r>
        <w:t xml:space="preserve"> </w:t>
      </w:r>
      <w:r>
        <w:t xml:space="preserve">Table 10:</w:t>
      </w:r>
      <w:r>
        <w:t xml:space="preserve"> </w:t>
      </w:r>
      <w:r>
        <w:t xml:space="preserve">Estimation of the total volume of free allowances available under CL2_50 (CBAM</w:t>
      </w:r>
      <w:r>
        <w:t xml:space="preserve"> </w:t>
      </w:r>
      <w:r>
        <w:t xml:space="preserve">variant) for 2031-40 ………………………………………………………………………………………………….. 27</w:t>
      </w:r>
      <w:r>
        <w:t xml:space="preserve"> </w:t>
      </w:r>
      <w:r>
        <w:t xml:space="preserve">Table 11:</w:t>
      </w:r>
      <w:r>
        <w:t xml:space="preserve"> </w:t>
      </w:r>
      <w:r>
        <w:t xml:space="preserve">Estimation of the total volume of free allowances available under CL3 for 2031-</w:t>
      </w:r>
      <w:r>
        <w:t xml:space="preserve"> </w:t>
      </w:r>
      <w:r>
        <w:t xml:space="preserve">40</w:t>
      </w:r>
      <w:r>
        <w:t xml:space="preserve"> </w:t>
      </w:r>
      <w:r>
        <w:t xml:space="preserve">27</w:t>
      </w:r>
      <w:r>
        <w:t xml:space="preserve"> </w:t>
      </w:r>
      <w:r>
        <w:t xml:space="preserve">Table 12:</w:t>
      </w:r>
      <w:r>
        <w:t xml:space="preserve"> </w:t>
      </w:r>
      <w:r>
        <w:t xml:space="preserve">Decomposition of factors that could affect the total cost of indirect carbon cost</w:t>
      </w:r>
      <w:r>
        <w:t xml:space="preserve"> </w:t>
      </w:r>
      <w:r>
        <w:t xml:space="preserve">compensation post-2030 ……………………………………………………………………………………………. 31</w:t>
      </w:r>
      <w:r>
        <w:t xml:space="preserve"> </w:t>
      </w:r>
      <w:r>
        <w:t xml:space="preserve">Table 13:</w:t>
      </w:r>
      <w:r>
        <w:t xml:space="preserve"> </w:t>
      </w:r>
      <w:r>
        <w:t xml:space="preserve">Percentage change in the unit cost of production relative to the baseline scenario</w:t>
      </w:r>
      <w:r>
        <w:t xml:space="preserve"> </w:t>
      </w:r>
      <w:r>
        <w:t xml:space="preserve">(2040)</w:t>
      </w:r>
      <w:r>
        <w:t xml:space="preserve"> </w:t>
      </w:r>
      <w:r>
        <w:t xml:space="preserve">44</w:t>
      </w:r>
      <w:r>
        <w:t xml:space="preserve"> </w:t>
      </w:r>
      <w:r>
        <w:t xml:space="preserve">Table 14:</w:t>
      </w:r>
      <w:r>
        <w:t xml:space="preserve"> </w:t>
      </w:r>
      <w:r>
        <w:t xml:space="preserve">Percentage change in unit cost of production levels for variants CL290_9085 and</w:t>
      </w:r>
      <w:r>
        <w:t xml:space="preserve"> </w:t>
      </w:r>
      <w:r>
        <w:t xml:space="preserve">CL290C_9085 compared to scenarios CL2_90 and CL2_90C. ………………………………………. 44</w:t>
      </w:r>
      <w:r>
        <w:t xml:space="preserve"> </w:t>
      </w:r>
      <w:r>
        <w:t xml:space="preserve">Table 15:</w:t>
      </w:r>
      <w:r>
        <w:t xml:space="preserve"> </w:t>
      </w:r>
      <w:r>
        <w:t xml:space="preserve">Percentage change in production levels in 2040 relative to the baseline scenario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Table 16:</w:t>
      </w:r>
      <w:r>
        <w:t xml:space="preserve"> </w:t>
      </w:r>
      <w:r>
        <w:t xml:space="preserve">Percentage change in production levels for variants CL290_9085 and</w:t>
      </w:r>
      <w:r>
        <w:t xml:space="preserve"> </w:t>
      </w:r>
      <w:r>
        <w:t xml:space="preserve">CL290C_9085 compared to scenarios CL2_90 and CL2_90C. ………………………………………. 45</w:t>
      </w:r>
      <w:r>
        <w:t xml:space="preserve"> </w:t>
      </w:r>
      <w:r>
        <w:t xml:space="preserve">Table 17:</w:t>
      </w:r>
      <w:r>
        <w:t xml:space="preserve"> </w:t>
      </w:r>
      <w:r>
        <w:t xml:space="preserve">Percentage change in export levels in 2040 relative to the baseline scenario ….. 46</w:t>
      </w:r>
      <w:r>
        <w:t xml:space="preserve"> </w:t>
      </w:r>
      <w:r>
        <w:t xml:space="preserve">Table 18:</w:t>
      </w:r>
      <w:r>
        <w:t xml:space="preserve"> </w:t>
      </w:r>
      <w:r>
        <w:t xml:space="preserve">Percentage change in sectoral export levels for variants CL290_9085 and</w:t>
      </w:r>
      <w:r>
        <w:t xml:space="preserve"> </w:t>
      </w:r>
      <w:r>
        <w:t xml:space="preserve">CL290C_9085 compared to scenarios CL2_90 and CL2_90C. ………………………………………. 46</w:t>
      </w:r>
      <w:r>
        <w:t xml:space="preserve"> </w:t>
      </w:r>
      <w:r>
        <w:t xml:space="preserve">Table 19:</w:t>
      </w:r>
      <w:r>
        <w:t xml:space="preserve"> </w:t>
      </w:r>
      <w:r>
        <w:t xml:space="preserve">Percentage change in GDP and its components in 2040 relative to 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47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Table 20:</w:t>
      </w:r>
      <w:r>
        <w:t xml:space="preserve"> </w:t>
      </w:r>
      <w:r>
        <w:t xml:space="preserve">Estimated CSCF under the different carbon leakage prevention measure of the</w:t>
      </w:r>
      <w:r>
        <w:t xml:space="preserve"> </w:t>
      </w:r>
      <w:r>
        <w:t xml:space="preserve">total volume of free allowances available under the baseline and policy scenarios for 2031-40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Table 21:</w:t>
      </w:r>
      <w:r>
        <w:t xml:space="preserve"> </w:t>
      </w:r>
      <w:r>
        <w:t xml:space="preserve">Sectoral employment change for ETS sectors in 2040 relative to the baseline … 53</w:t>
      </w:r>
      <w:r>
        <w:t xml:space="preserve"> </w:t>
      </w:r>
      <w:r>
        <w:t xml:space="preserve">Table 22:</w:t>
      </w:r>
      <w:r>
        <w:t xml:space="preserve"> </w:t>
      </w:r>
      <w:r>
        <w:t xml:space="preserve">Percentage change in sectoral employment levels for variants CL290_9085 and</w:t>
      </w:r>
      <w:r>
        <w:t xml:space="preserve"> </w:t>
      </w:r>
      <w:r>
        <w:t xml:space="preserve">CL290C_9085 compared to scenarios CL2_90 and CL2_90C. ………………………………………. 54</w:t>
      </w:r>
      <w:r>
        <w:t xml:space="preserve"> </w:t>
      </w:r>
      <w:r>
        <w:t xml:space="preserve">Table 23:</w:t>
      </w:r>
      <w:r>
        <w:t xml:space="preserve"> </w:t>
      </w:r>
      <w:r>
        <w:t xml:space="preserve">Change in the EU 27 emissions in 2040 relative to baseline scenario (in MtCO2eq)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Table 24:</w:t>
      </w:r>
      <w:r>
        <w:t xml:space="preserve"> </w:t>
      </w:r>
      <w:r>
        <w:t xml:space="preserve">Change in the non-EU 27 emissions in 2040 relative to the PRIMES baseline</w:t>
      </w:r>
      <w:r>
        <w:t xml:space="preserve"> </w:t>
      </w:r>
      <w:r>
        <w:t xml:space="preserve">scenario (in MtCO2eq) ……………………………………………………………………………………………… 56</w:t>
      </w:r>
      <w:r>
        <w:t xml:space="preserve"> </w:t>
      </w:r>
      <w:r>
        <w:t xml:space="preserve">Table 25:</w:t>
      </w:r>
      <w:r>
        <w:t xml:space="preserve"> </w:t>
      </w:r>
      <w:r>
        <w:t xml:space="preserve">Difference EU27 and non-EU27 emissions levels for variants CL290_9085 and</w:t>
      </w:r>
      <w:r>
        <w:t xml:space="preserve"> </w:t>
      </w:r>
      <w:r>
        <w:t xml:space="preserve">CL290C_9085 compared to scenarios CL2_90 and CL2_90C. ………………………………………. 56</w:t>
      </w:r>
      <w:r>
        <w:t xml:space="preserve"> </w:t>
      </w:r>
      <w:r>
        <w:t xml:space="preserve">Table 26:</w:t>
      </w:r>
      <w:r>
        <w:t xml:space="preserve"> </w:t>
      </w:r>
      <w:r>
        <w:t xml:space="preserve">Summary of impact assessment for individual measures for carbon leakage</w:t>
      </w:r>
      <w:r>
        <w:t xml:space="preserve"> </w:t>
      </w:r>
      <w:r>
        <w:t xml:space="preserve">relative to baseline ……………………………………………………………………………………………………. 58</w:t>
      </w:r>
      <w:r>
        <w:t xml:space="preserve"> </w:t>
      </w:r>
      <w:r>
        <w:t xml:space="preserve">Table 27:</w:t>
      </w:r>
      <w:r>
        <w:t xml:space="preserve"> </w:t>
      </w:r>
      <w:r>
        <w:t xml:space="preserve">Summary of impact assessment for individual measures for indirect carbon cost</w:t>
      </w:r>
      <w:r>
        <w:t xml:space="preserve"> </w:t>
      </w:r>
      <w:r>
        <w:t xml:space="preserve">relative to baseline ……………………………………………………………………………………………………. 58</w:t>
      </w:r>
      <w:r>
        <w:t xml:space="preserve"> </w:t>
      </w:r>
      <w:r>
        <w:t xml:space="preserve">Table 28:</w:t>
      </w:r>
      <w:r>
        <w:t xml:space="preserve"> </w:t>
      </w:r>
      <w:r>
        <w:t xml:space="preserve">Administrative costs paid per operator in the EU ………………………………………… 62</w:t>
      </w:r>
      <w:r>
        <w:t xml:space="preserve"> </w:t>
      </w:r>
      <w:r>
        <w:t xml:space="preserve">Table 29:</w:t>
      </w:r>
      <w:r>
        <w:t xml:space="preserve"> </w:t>
      </w:r>
      <w:r>
        <w:t xml:space="preserve">Estimated emissions and installation coverage from lowering the 20 MW threshold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List of Figures</w:t>
      </w:r>
      <w:r>
        <w:t xml:space="preserve"> </w:t>
      </w:r>
      <w:r>
        <w:t xml:space="preserve">Figure 1:</w:t>
      </w:r>
      <w:r>
        <w:t xml:space="preserve"> </w:t>
      </w:r>
      <w:r>
        <w:t xml:space="preserve">Verified emissions for CBAM and non-CBAM sectors between 2021-23 …….. 9</w:t>
      </w:r>
      <w:r>
        <w:t xml:space="preserve"> </w:t>
      </w:r>
      <w:r>
        <w:t xml:space="preserve">Figure 2:</w:t>
      </w:r>
      <w:r>
        <w:t xml:space="preserve"> </w:t>
      </w:r>
      <w:r>
        <w:t xml:space="preserve">Total free allocation across the policy options …………………………………………. 19</w:t>
      </w:r>
      <w:r>
        <w:t xml:space="preserve"> </w:t>
      </w:r>
      <w:r>
        <w:t xml:space="preserve">Figure 3:</w:t>
      </w:r>
      <w:r>
        <w:t xml:space="preserve"> </w:t>
      </w:r>
      <w:r>
        <w:t xml:space="preserve">Distribution of free allocation under the baseline for 2031-40 …………………… 21</w:t>
      </w:r>
      <w:r>
        <w:t xml:space="preserve"> </w:t>
      </w:r>
      <w:r>
        <w:t xml:space="preserve">Figure 4:</w:t>
      </w:r>
      <w:r>
        <w:t xml:space="preserve"> </w:t>
      </w:r>
      <w:r>
        <w:t xml:space="preserve">Distribution of free allocation under CL1 for 2031-40 ……………………………… 22</w:t>
      </w:r>
      <w:r>
        <w:t xml:space="preserve"> </w:t>
      </w:r>
      <w:r>
        <w:t xml:space="preserve">Figure 5:</w:t>
      </w:r>
      <w:r>
        <w:t xml:space="preserve"> </w:t>
      </w:r>
      <w:r>
        <w:t xml:space="preserve">Distribution of free allocation under CL2_90 for 2031-40 ………………………… 23</w:t>
      </w:r>
      <w:r>
        <w:t xml:space="preserve"> </w:t>
      </w:r>
      <w:r>
        <w:t xml:space="preserve">Figure 6:</w:t>
      </w:r>
      <w:r>
        <w:t xml:space="preserve"> </w:t>
      </w:r>
      <w:r>
        <w:t xml:space="preserve">Distribution of free allocation under CL2_90 (CBAM variant) for 2031-40 .. 25</w:t>
      </w:r>
      <w:r>
        <w:t xml:space="preserve"> </w:t>
      </w:r>
      <w:r>
        <w:t xml:space="preserve">Figure 7:</w:t>
      </w:r>
      <w:r>
        <w:t xml:space="preserve"> </w:t>
      </w:r>
      <w:r>
        <w:t xml:space="preserve">Distribution of free allocation under CL2_50 for 2031-40 ………………………… 26</w:t>
      </w:r>
      <w:r>
        <w:t xml:space="preserve"> </w:t>
      </w:r>
      <w:r>
        <w:t xml:space="preserve">Figure 8:</w:t>
      </w:r>
      <w:r>
        <w:t xml:space="preserve"> </w:t>
      </w:r>
      <w:r>
        <w:t xml:space="preserve">Distribution of free allocation based under CL3 for 2031-40 …………………….. 28</w:t>
      </w:r>
      <w:r>
        <w:t xml:space="preserve"> </w:t>
      </w:r>
      <w:r>
        <w:t xml:space="preserve">Figure 9:</w:t>
      </w:r>
      <w:r>
        <w:t xml:space="preserve"> </w:t>
      </w:r>
      <w:r>
        <w:t xml:space="preserve">comparison of indirect cost compensation and share of indirect emissions per</w:t>
      </w:r>
      <w:r>
        <w:t xml:space="preserve"> </w:t>
      </w:r>
      <w:r>
        <w:t xml:space="preserve">Member State (2021-2023 average) …………………………………………………………………………….. 33</w:t>
      </w:r>
      <w:r>
        <w:t xml:space="preserve"> </w:t>
      </w:r>
      <w:r>
        <w:t xml:space="preserve">Figure 10:</w:t>
      </w:r>
      <w:r>
        <w:t xml:space="preserve"> </w:t>
      </w:r>
      <w:r>
        <w:t xml:space="preserve">Share of sub-installations and emissions (average 2021-23) by category size in</w:t>
      </w:r>
      <w:r>
        <w:t xml:space="preserve"> </w:t>
      </w:r>
      <w:r>
        <w:t xml:space="preserve">tCO2 for selected non-CBAM sectors …………………………………………………………………………. 38</w:t>
      </w:r>
      <w:r>
        <w:t xml:space="preserve"> </w:t>
      </w:r>
      <w:r>
        <w:t xml:space="preserve">Figure 11:</w:t>
      </w:r>
      <w:r>
        <w:t xml:space="preserve"> </w:t>
      </w:r>
      <w:r>
        <w:t xml:space="preserve">Share of sub-installations and emissions (average 2021-23) by category size in</w:t>
      </w:r>
      <w:r>
        <w:t xml:space="preserve"> </w:t>
      </w:r>
      <w:r>
        <w:t xml:space="preserve">tCO2 for selected CBAM sectors ……………………………………………………………………………….. 39</w:t>
      </w:r>
      <w:r>
        <w:t xml:space="preserve"> </w:t>
      </w:r>
      <w:r>
        <w:t xml:space="preserve">Figure 12:</w:t>
      </w:r>
      <w:r>
        <w:t xml:space="preserve"> </w:t>
      </w:r>
      <w:r>
        <w:t xml:space="preserve">Share of installations and electricity consumption (average 2021-23) by</w:t>
      </w:r>
      <w:r>
        <w:t xml:space="preserve"> </w:t>
      </w:r>
      <w:r>
        <w:t xml:space="preserve">category size in MWh/ year for selected sectors that are currently eligible for indirect cost</w:t>
      </w:r>
      <w:r>
        <w:t xml:space="preserve"> </w:t>
      </w:r>
      <w:r>
        <w:t xml:space="preserve">compensation 41</w:t>
      </w:r>
      <w:r>
        <w:t xml:space="preserve"> </w:t>
      </w:r>
      <w:r>
        <w:t xml:space="preserve">Figure 13:</w:t>
      </w:r>
      <w:r>
        <w:t xml:space="preserve"> </w:t>
      </w:r>
      <w:r>
        <w:t xml:space="preserve">Estimated electricity price for large industrial consumers …………………………. 49</w:t>
      </w:r>
      <w:r>
        <w:t xml:space="preserve"> </w:t>
      </w:r>
      <w:r>
        <w:t xml:space="preserve">Figure 14:</w:t>
      </w:r>
      <w:r>
        <w:t xml:space="preserve"> </w:t>
      </w:r>
      <w:r>
        <w:t xml:space="preserve">Proxy curve of emissions by capacity …………………………………………………….. 60</w:t>
      </w:r>
      <w:r>
        <w:t xml:space="preserve"> </w:t>
      </w:r>
      <w:r>
        <w:t xml:space="preserve">Figure 15:</w:t>
      </w:r>
      <w:r>
        <w:t xml:space="preserve"> </w:t>
      </w:r>
      <w:r>
        <w:t xml:space="preserve">Distribution of installations by capacity ………………………………………………….. 62</w:t>
      </w:r>
      <w:r>
        <w:t xml:space="preserve"> </w:t>
      </w:r>
      <w:r>
        <w:t xml:space="preserve">Figure 16:</w:t>
      </w:r>
      <w:r>
        <w:t xml:space="preserve"> </w:t>
      </w:r>
      <w:r>
        <w:t xml:space="preserve">Administration fees for operators and competent authorities by installation</w:t>
      </w:r>
      <w:r>
        <w:t xml:space="preserve"> </w:t>
      </w:r>
      <w:r>
        <w:t xml:space="preserve">capacity</w:t>
      </w:r>
      <w:r>
        <w:t xml:space="preserve"> </w:t>
      </w:r>
      <w:r>
        <w:t xml:space="preserve">64</w:t>
      </w:r>
      <w:r>
        <w:t xml:space="preserve"> </w:t>
      </w:r>
      <w:r>
        <w:t xml:space="preserve">Figure 17:</w:t>
      </w:r>
      <w:r>
        <w:t xml:space="preserve"> </w:t>
      </w:r>
      <w:r>
        <w:t xml:space="preserve">Overview sector activities that make up the EU ETS baseline …………………… 65</w:t>
      </w:r>
      <w:r>
        <w:t xml:space="preserve"> </w:t>
      </w:r>
      <w:r>
        <w:t xml:space="preserve">Figure 18:</w:t>
      </w:r>
      <w:r>
        <w:t xml:space="preserve"> </w:t>
      </w:r>
      <w:r>
        <w:t xml:space="preserve">Number of installations by capacity (2019) …………………………………………….. 66</w:t>
      </w:r>
      <w:r>
        <w:t xml:space="preserve"> </w:t>
      </w:r>
      <w:r>
        <w:t xml:space="preserve">Figure 19:</w:t>
      </w:r>
      <w:r>
        <w:t xml:space="preserve"> </w:t>
      </w:r>
      <w:r>
        <w:t xml:space="preserve">Annual emissions from &lt;20 MW installations …………………………………………. 66</w:t>
      </w:r>
      <w:r>
        <w:t xml:space="preserve"> </w:t>
      </w:r>
      <w:r>
        <w:t xml:space="preserve">Figure 20:</w:t>
      </w:r>
      <w:r>
        <w:t xml:space="preserve"> </w:t>
      </w:r>
      <w:r>
        <w:t xml:space="preserve">Emissions by installation capacity …………………………………………………………. 67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Carbon Leakage and 20 MW</w:t>
      </w:r>
      <w:r>
        <w:t xml:space="preserve"> </w:t>
      </w:r>
      <w:r>
        <w:t xml:space="preserve">1. CARBON LEAKAGE</w:t>
      </w:r>
      <w:r>
        <w:t xml:space="preserve"> </w:t>
      </w:r>
      <w:r>
        <w:t xml:space="preserve">1.1. Overview</w:t>
      </w:r>
      <w:r>
        <w:t xml:space="preserve"> </w:t>
      </w:r>
      <w:r>
        <w:t xml:space="preserve">Free allocation has been provided to ETS sectors to address the risk of carbon leakage, which</w:t>
      </w:r>
      <w:r>
        <w:t xml:space="preserve"> </w:t>
      </w:r>
      <w:r>
        <w:t xml:space="preserve">occurs if industrial production relocates from the EU to jurisdictions with less stringent</w:t>
      </w:r>
      <w:r>
        <w:t xml:space="preserve"> </w:t>
      </w:r>
      <w:r>
        <w:t xml:space="preserve">environmental standards. The recent introduction of the CBAM will place a carbon price</w:t>
      </w:r>
      <w:r>
        <w:t xml:space="preserve"> </w:t>
      </w:r>
      <w:r>
        <w:t xml:space="preserve">equivalent to the EU ETS price on imports of certain basic products, providing and additional</w:t>
      </w:r>
      <w:r>
        <w:t xml:space="preserve"> </w:t>
      </w:r>
      <w:r>
        <w:t xml:space="preserve">tool for preventing carbon leakage and, thereby, also ‘level the playing field’ in terms of the</w:t>
      </w:r>
      <w:r>
        <w:t xml:space="preserve"> </w:t>
      </w:r>
      <w:r>
        <w:t xml:space="preserve">carbon costs faced by domestic production and imports entering the EU for the sectors currently</w:t>
      </w:r>
      <w:r>
        <w:t xml:space="preserve"> </w:t>
      </w:r>
      <w:r>
        <w:t xml:space="preserve">covered (i.e. electricity, steel, cement, aluminium, fertilisers and hydrogen) without fully</w:t>
      </w:r>
      <w:r>
        <w:t xml:space="preserve"> </w:t>
      </w:r>
      <w:r>
        <w:t xml:space="preserve">relying on free allocation for these sectors.</w:t>
      </w:r>
      <w:r>
        <w:br/>
      </w:r>
      <w:r>
        <w:t xml:space="preserve">Considering the changes to free allocation in Phase IV, this impact assessment considers how</w:t>
      </w:r>
      <w:r>
        <w:t xml:space="preserve"> </w:t>
      </w:r>
      <w:r>
        <w:t xml:space="preserve">best to revise free allocation and carbon leakage protection in Phase V of the EU ETS and</w:t>
      </w:r>
      <w:r>
        <w:t xml:space="preserve"> </w:t>
      </w:r>
      <w:r>
        <w:t xml:space="preserve">whether a continuation of the current approach to free allocation remains suitable or if further</w:t>
      </w:r>
      <w:r>
        <w:t xml:space="preserve"> </w:t>
      </w:r>
      <w:r>
        <w:t xml:space="preserve">reforms are appropriate.</w:t>
      </w:r>
      <w:r>
        <w:br/>
      </w:r>
      <w:r>
        <w:t xml:space="preserve">1.2. Scoping exercise</w:t>
      </w:r>
      <w:r>
        <w:t xml:space="preserve"> </w:t>
      </w:r>
      <w:r>
        <w:t xml:space="preserve">1.2.1. Carbon leakage prevention measures for direct emissions</w:t>
      </w:r>
      <w:r>
        <w:t xml:space="preserve"> </w:t>
      </w:r>
      <w:r>
        <w:t xml:space="preserve">1.2.1.1.</w:t>
      </w:r>
      <w:r>
        <w:t xml:space="preserve"> </w:t>
      </w:r>
      <w:r>
        <w:t xml:space="preserve">Background</w:t>
      </w:r>
      <w:r>
        <w:t xml:space="preserve"> </w:t>
      </w:r>
      <w:r>
        <w:t xml:space="preserve">Since the outset, the EU ETS has addressed the concern that an unequal carbon pricing in</w:t>
      </w:r>
      <w:r>
        <w:t xml:space="preserve"> </w:t>
      </w:r>
      <w:r>
        <w:t xml:space="preserve">different jurisdictions may result in either an overall increase in global GHG emissions or a</w:t>
      </w:r>
      <w:r>
        <w:t xml:space="preserve"> </w:t>
      </w:r>
      <w:r>
        <w:t xml:space="preserve">lower reduction in global emissions than in EU emissions. Allocation of free allowances has</w:t>
      </w:r>
      <w:r>
        <w:t xml:space="preserve"> </w:t>
      </w:r>
      <w:r>
        <w:t xml:space="preserve">served as the main tool to prevent possible relocation of industrial production subject to EU</w:t>
      </w:r>
      <w:r>
        <w:t xml:space="preserve"> </w:t>
      </w:r>
      <w:r>
        <w:t xml:space="preserve">carbon pricing to countries with less stringent climate policies, which is also referred to as</w:t>
      </w:r>
      <w:r>
        <w:t xml:space="preserve"> </w:t>
      </w:r>
      <w:r>
        <w:t xml:space="preserve">carbon leakage.</w:t>
      </w:r>
      <w:r>
        <w:br/>
      </w:r>
      <w:r>
        <w:t xml:space="preserve">While this approach helped ease the political and economic transition to a carbon market, it</w:t>
      </w:r>
      <w:r>
        <w:t xml:space="preserve"> </w:t>
      </w:r>
      <w:r>
        <w:t xml:space="preserve">also introduced challenges. Uneven allocation methods across Member States led to distortions</w:t>
      </w:r>
      <w:r>
        <w:t xml:space="preserve"> </w:t>
      </w:r>
      <w:r>
        <w:t xml:space="preserve">in intra-EU competition and, in sectors where allowances were passed through in product</w:t>
      </w:r>
      <w:r>
        <w:t xml:space="preserve"> </w:t>
      </w:r>
      <w:r>
        <w:t xml:space="preserve">prices, companies could gain so-called windfall profits. Moreover, the environmental incentive</w:t>
      </w:r>
      <w:r>
        <w:t xml:space="preserve"> </w:t>
      </w:r>
      <w:r>
        <w:t xml:space="preserve">to reduce emissions was weaker where free allocation was based on historic emissions and</w:t>
      </w:r>
      <w:r>
        <w:t xml:space="preserve"> </w:t>
      </w:r>
      <w:r>
        <w:t xml:space="preserve">covered most or all a company’s compliance needs.</w:t>
      </w:r>
      <w:r>
        <w:t xml:space="preserve"> </w:t>
      </w:r>
      <w:r>
        <w:t xml:space="preserve">From Phase III onwards, the share of free allowances declined as more allowances were</w:t>
      </w:r>
      <w:r>
        <w:t xml:space="preserve"> </w:t>
      </w:r>
      <w:r>
        <w:t xml:space="preserve">auctioned. The methodology for allocating allowances for free changed from grandfathering</w:t>
      </w:r>
      <w:r>
        <w:t xml:space="preserve"> </w:t>
      </w:r>
      <w:r>
        <w:t xml:space="preserve">(based on historic emissions) to benchmarking those rewards installations with lower specific</w:t>
      </w:r>
      <w:r>
        <w:t xml:space="preserve"> </w:t>
      </w:r>
      <w:r>
        <w:t xml:space="preserve">emissions for their production by receiving more allowances for free.</w:t>
      </w:r>
      <w:r>
        <w:t xml:space="preserve"> </w:t>
      </w:r>
      <w:r>
        <w:t xml:space="preserve">The design of free allocation under Phase IV underwent significant reform to better align with</w:t>
      </w:r>
      <w:r>
        <w:t xml:space="preserve"> </w:t>
      </w:r>
      <w:r>
        <w:t xml:space="preserve">climate ambition, economic fairness, and environmental integrity. The scope of this evaluation</w:t>
      </w:r>
      <w:r>
        <w:t xml:space="preserve"> </w:t>
      </w:r>
      <w:r>
        <w:t xml:space="preserve">for carbon leakage prevention focuses on the key changes to free allocation that occurred at the</w:t>
      </w:r>
      <w:r>
        <w:t xml:space="preserve"> </w:t>
      </w:r>
      <w:r>
        <w:t xml:space="preserve">start of Phase IV following the revision of the ETS Directive in 2018:</w:t>
      </w:r>
      <w:r>
        <w:br/>
      </w:r>
      <w:r>
        <w:t xml:space="preserve">•</w:t>
      </w:r>
      <w:r>
        <w:t xml:space="preserve"> </w:t>
      </w:r>
      <w:r>
        <w:t xml:space="preserve">Revised benchmark values for free allocation</w:t>
      </w:r>
      <w:r>
        <w:t xml:space="preserve"> </w:t>
      </w:r>
      <w:r>
        <w:t xml:space="preserve">•</w:t>
      </w:r>
      <w:r>
        <w:t xml:space="preserve"> </w:t>
      </w:r>
      <w:r>
        <w:t xml:space="preserve">Updated carbon leakage list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Establishment of a buffer to limit the application of the Cross-Sectoral Correction</w:t>
      </w:r>
      <w:r>
        <w:t xml:space="preserve"> </w:t>
      </w:r>
      <w:r>
        <w:t xml:space="preserve">Factor (CSCF)1</w:t>
      </w:r>
      <w:r>
        <w:br/>
      </w:r>
      <w:r>
        <w:t xml:space="preserve">•</w:t>
      </w:r>
      <w:r>
        <w:t xml:space="preserve"> </w:t>
      </w:r>
      <w:r>
        <w:t xml:space="preserve">Better alignment of free allocation with actual production levels</w:t>
      </w:r>
      <w:r>
        <w:t xml:space="preserve"> </w:t>
      </w:r>
      <w:r>
        <w:t xml:space="preserve">The reforms introduced indicate a strategic shift in how the system addresses carbon leakage.</w:t>
      </w:r>
      <w:r>
        <w:t xml:space="preserve"> </w:t>
      </w:r>
      <w:r>
        <w:t xml:space="preserve">Rather than merely shielding the sectors indefinitely from external competition, the updated</w:t>
      </w:r>
      <w:r>
        <w:t xml:space="preserve"> </w:t>
      </w:r>
      <w:r>
        <w:t xml:space="preserve">design encourages innovation while continuing to prevent relocation of emissions and</w:t>
      </w:r>
      <w:r>
        <w:t xml:space="preserve"> </w:t>
      </w:r>
      <w:r>
        <w:t xml:space="preserve">production.</w:t>
      </w:r>
      <w:r>
        <w:t xml:space="preserve"> </w:t>
      </w:r>
      <w:r>
        <w:t xml:space="preserve">Because of the changes in the 2023 revision of the ETS Directive, part of the free allocation is</w:t>
      </w:r>
      <w:r>
        <w:t xml:space="preserve"> </w:t>
      </w:r>
      <w:r>
        <w:t xml:space="preserve">now conditional, and this is reflected in the latest amendment of the Free Allocation Regulation</w:t>
      </w:r>
      <w:r>
        <w:t xml:space="preserve"> </w:t>
      </w:r>
      <w:r>
        <w:t xml:space="preserve">(‘FAR’)2. The conditional aspects of free allocation are now as follows:</w:t>
      </w:r>
      <w:r>
        <w:t xml:space="preserve"> </w:t>
      </w:r>
      <w:r>
        <w:t xml:space="preserve">• Free allocation to eligible installations will be reduced by 20% if operators have not</w:t>
      </w:r>
      <w:r>
        <w:t xml:space="preserve"> </w:t>
      </w:r>
      <w:r>
        <w:t xml:space="preserve">implemented energy efficiency recommendations from energy audits or energy</w:t>
      </w:r>
      <w:r>
        <w:t xml:space="preserve"> </w:t>
      </w:r>
      <w:r>
        <w:t xml:space="preserve">management systems as stipulated under the EU Energy Efficiency Directive (EED).</w:t>
      </w:r>
      <w:r>
        <w:t xml:space="preserve"> </w:t>
      </w:r>
      <w:r>
        <w:t xml:space="preserve">• The free allocation to eligible installations with product benchmarks will be reduced by</w:t>
      </w:r>
      <w:r>
        <w:t xml:space="preserve"> </w:t>
      </w:r>
      <w:r>
        <w:t xml:space="preserve">20% if a sub-installation’s specific emissions are higher than the 80th percentile of</w:t>
      </w:r>
      <w:r>
        <w:t xml:space="preserve"> </w:t>
      </w:r>
      <w:r>
        <w:t xml:space="preserve">emission levels for the relevant product benchmarks in their benchmark curve, unless</w:t>
      </w:r>
      <w:r>
        <w:t xml:space="preserve"> </w:t>
      </w:r>
      <w:r>
        <w:t xml:space="preserve">they have a compliant Climate-neutrality plan (CNP) in place.</w:t>
      </w:r>
      <w:r>
        <w:t xml:space="preserve"> </w:t>
      </w:r>
      <w:r>
        <w:t xml:space="preserve">• District heating (DH) operators in Member States with relatively high DH emissions</w:t>
      </w:r>
      <w:r>
        <w:t xml:space="preserve"> </w:t>
      </w:r>
      <w:r>
        <w:t xml:space="preserve">can obtain an additional 30% of free allowances on the condition that they have a</w:t>
      </w:r>
      <w:r>
        <w:t xml:space="preserve"> </w:t>
      </w:r>
      <w:r>
        <w:t xml:space="preserve">compliant CNP in place and they make sufficient investments in the implementation of</w:t>
      </w:r>
      <w:r>
        <w:t xml:space="preserve"> </w:t>
      </w:r>
      <w:r>
        <w:t xml:space="preserve">the included emission reduction measures before 2030.</w:t>
      </w:r>
      <w:r>
        <w:t xml:space="preserve"> </w:t>
      </w:r>
      <w:r>
        <w:t xml:space="preserve">Throughout the stakeholder consultation, carbon leakage was a widespread concern among</w:t>
      </w:r>
      <w:r>
        <w:t xml:space="preserve"> </w:t>
      </w:r>
      <w:r>
        <w:t xml:space="preserve">stakeholders, although exposing substantial divisions between different types of stakeholders.</w:t>
      </w:r>
      <w:r>
        <w:t xml:space="preserve"> </w:t>
      </w:r>
      <w:r>
        <w:t xml:space="preserve">An overall majority of respondents, mainly companies and business associations, generally</w:t>
      </w:r>
      <w:r>
        <w:t xml:space="preserve"> </w:t>
      </w:r>
      <w:r>
        <w:t xml:space="preserve">advocated for maintaining and improving free allocation (with suggestions for improvements</w:t>
      </w:r>
      <w:r>
        <w:t xml:space="preserve"> </w:t>
      </w:r>
      <w:r>
        <w:t xml:space="preserve">ranging from simplifications, to updating benchmarking methodologies or the carbon leakage</w:t>
      </w:r>
      <w:r>
        <w:t xml:space="preserve"> </w:t>
      </w:r>
      <w:r>
        <w:t xml:space="preserve">list, or introducing conditionalities), particularly for sectors not covered by the CBAM.</w:t>
      </w:r>
      <w:r>
        <w:t xml:space="preserve"> </w:t>
      </w:r>
      <w:r>
        <w:t xml:space="preserve">Conversely, NGOs generally favoured a phase-out of free allocation to fully implement the</w:t>
      </w:r>
      <w:r>
        <w:t xml:space="preserve"> </w:t>
      </w:r>
      <w:r>
        <w:t xml:space="preserve">“polluter pays” principle and accelerate decarbonisation, or making free allocation conditional</w:t>
      </w:r>
      <w:r>
        <w:t xml:space="preserve"> </w:t>
      </w:r>
      <w:r>
        <w:t xml:space="preserve">on taking steps towards carbon neutrality.</w:t>
      </w:r>
      <w:r>
        <w:t xml:space="preserve"> </w:t>
      </w:r>
      <w:r>
        <w:t xml:space="preserve">1.2.1.2.</w:t>
      </w:r>
      <w:r>
        <w:t xml:space="preserve"> </w:t>
      </w:r>
      <w:r>
        <w:t xml:space="preserve">Emissions covered by non-CBAM sectors</w:t>
      </w:r>
      <w:r>
        <w:t xml:space="preserve"> </w:t>
      </w:r>
      <w:r>
        <w:t xml:space="preserve">Figure 1 provides an overview of the direct emissions covered for CBAM and non-CBAM</w:t>
      </w:r>
      <w:r>
        <w:t xml:space="preserve"> </w:t>
      </w:r>
      <w:r>
        <w:t xml:space="preserve">sectors based upon provisional NIMs data, which is relied upon throughout this assessment as</w:t>
      </w:r>
      <w:r>
        <w:t xml:space="preserve"> </w:t>
      </w:r>
      <w:r>
        <w:t xml:space="preserve">it provides the most comprehensive dataset on the activity level, emissions and free allocation</w:t>
      </w:r>
      <w:r>
        <w:t xml:space="preserve"> </w:t>
      </w:r>
      <w:r>
        <w:t xml:space="preserve">provided to installations at the sub-installation level. This information is submitted by ETS</w:t>
      </w:r>
      <w:r>
        <w:t xml:space="preserve"> </w:t>
      </w:r>
      <w:r>
        <w:t xml:space="preserve">operators as part of the process for applying for free allowances.</w:t>
      </w:r>
    </w:p>
    <w:p>
      <w:pPr>
        <w:pStyle w:val="BodyText"/>
      </w:pPr>
      <w:r>
        <w:t xml:space="preserve">1</w:t>
      </w:r>
      <w:r>
        <w:br/>
      </w:r>
      <w:r>
        <w:t xml:space="preserve">The Cross Sectoral Correction Factor (CSCF) is used to prevent free allocation exceeding the free allocation</w:t>
      </w:r>
      <w:r>
        <w:t xml:space="preserve"> </w:t>
      </w:r>
      <w:r>
        <w:t xml:space="preserve">budget and is applied to preliminary allocation to determine the final allocation.</w:t>
      </w:r>
      <w:r>
        <w:t xml:space="preserve"> </w:t>
      </w:r>
      <w:r>
        <w:t xml:space="preserve">2</w:t>
      </w:r>
      <w:r>
        <w:br/>
      </w:r>
      <w:r>
        <w:t xml:space="preserve">Commission Delegated Regulation (EU) 2024/873 of 30 January 2024 amending Delegated Regulation</w:t>
      </w:r>
      <w:r>
        <w:t xml:space="preserve"> </w:t>
      </w:r>
      <w:r>
        <w:t xml:space="preserve">(EU) 2019/331 as regards transitional Union-wide rules for harmonised free allocation of emission</w:t>
      </w:r>
      <w:r>
        <w:t xml:space="preserve"> </w:t>
      </w:r>
      <w:r>
        <w:t xml:space="preserve">allowances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Figure 1:</w:t>
      </w:r>
      <w:r>
        <w:t xml:space="preserve"> </w:t>
      </w:r>
      <w:r>
        <w:t xml:space="preserve">Verified emissions for CBAM and non-CBAM sectors between 2021-23</w:t>
      </w:r>
    </w:p>
    <w:p>
      <w:pPr>
        <w:pStyle w:val="BodyText"/>
      </w:pPr>
      <w:r>
        <w:t xml:space="preserve">Source: NIMs dataset (2014-18, 2019-23), Own illustration</w:t>
      </w:r>
      <w:r>
        <w:t xml:space="preserve"> </w:t>
      </w:r>
      <w:r>
        <w:t xml:space="preserve">The key non-CBAM sectors in terms of absolute emissions include the manufacture of refined</w:t>
      </w:r>
      <w:r>
        <w:t xml:space="preserve"> </w:t>
      </w:r>
      <w:r>
        <w:t xml:space="preserve">petroleum products, manufacture of other inorganic and organic basic chemicals, the</w:t>
      </w:r>
      <w:r>
        <w:t xml:space="preserve"> </w:t>
      </w:r>
      <w:r>
        <w:t xml:space="preserve">manufacture of paper and paperboard and the manufacture of lime and plaster. Indeed, these</w:t>
      </w:r>
      <w:r>
        <w:t xml:space="preserve"> </w:t>
      </w:r>
      <w:r>
        <w:t xml:space="preserve">sectors account for around 40% of the average non-CBAM emissions between 2021 and 2023.</w:t>
      </w:r>
      <w:r>
        <w:t xml:space="preserve"> </w:t>
      </w:r>
      <w:r>
        <w:t xml:space="preserve">1.2.2. Carbon leakage prevention measures for indirect emissions</w:t>
      </w:r>
      <w:r>
        <w:t xml:space="preserve"> </w:t>
      </w:r>
      <w:r>
        <w:t xml:space="preserve">The ETS Directive establishes, in Article 10a(6), the principle that Member States should adopt</w:t>
      </w:r>
      <w:r>
        <w:t xml:space="preserve"> </w:t>
      </w:r>
      <w:r>
        <w:t xml:space="preserve">financial measures to compensate electro-intensive industries at genuine risk of carbon leakage</w:t>
      </w:r>
      <w:r>
        <w:t xml:space="preserve"> </w:t>
      </w:r>
      <w:r>
        <w:t xml:space="preserve">due to indirect carbon costs (ICC - carbon costs that are passed on through the wholesale</w:t>
      </w:r>
      <w:r>
        <w:t xml:space="preserve"> </w:t>
      </w:r>
      <w:r>
        <w:t xml:space="preserve">electricity price based on the carbon cost the marginal power producer incurs), subject to State</w:t>
      </w:r>
      <w:r>
        <w:t xml:space="preserve"> </w:t>
      </w:r>
      <w:r>
        <w:t xml:space="preserve">aid rules.</w:t>
      </w:r>
      <w:r>
        <w:br/>
      </w:r>
      <w:r>
        <w:t xml:space="preserve">ICC compensation supports the business case for electro-intensive industrial processes by</w:t>
      </w:r>
      <w:r>
        <w:t xml:space="preserve"> </w:t>
      </w:r>
      <w:r>
        <w:t xml:space="preserve">reducing their carbon costs. It is particularly relevant for electrified industrial processes that</w:t>
      </w:r>
      <w:r>
        <w:t xml:space="preserve"> </w:t>
      </w:r>
      <w:r>
        <w:t xml:space="preserve">face an indirect carbon cost and compete with non-electrified processes that emit CO2 directly</w:t>
      </w:r>
      <w:r>
        <w:t xml:space="preserve"> </w:t>
      </w:r>
      <w:r>
        <w:t xml:space="preserve">and benefit from free allocation. Conceptually, the environmental benefit of ICC compensation</w:t>
      </w:r>
      <w:r>
        <w:t xml:space="preserve"> </w:t>
      </w:r>
      <w:r>
        <w:t xml:space="preserve">is therefore a combination of:</w:t>
      </w:r>
      <w:r>
        <w:t xml:space="preserve"> </w:t>
      </w:r>
      <w:r>
        <w:t xml:space="preserve">• Carbon leakage protection: addressing the risk of electro-intensive industries</w:t>
      </w:r>
      <w:r>
        <w:t xml:space="preserve"> </w:t>
      </w:r>
      <w:r>
        <w:t xml:space="preserve">relocating, due to indirect carbon costs, to areas with less strict climate governance.</w:t>
      </w:r>
      <w:r>
        <w:t xml:space="preserve"> </w:t>
      </w:r>
      <w:r>
        <w:t xml:space="preserve">• Incentivising electrification: supporting the business case for electrification relative to</w:t>
      </w:r>
      <w:r>
        <w:t xml:space="preserve"> </w:t>
      </w:r>
      <w:r>
        <w:t xml:space="preserve">direct emissions, for industries that could electrify their processes.</w:t>
      </w:r>
      <w:r>
        <w:br/>
      </w:r>
      <w:r>
        <w:t xml:space="preserve">Article 10(6) describes some key features of Member States’ ICC compensation measures,</w:t>
      </w:r>
      <w:r>
        <w:t xml:space="preserve"> </w:t>
      </w:r>
      <w:r>
        <w:t xml:space="preserve">including that the compensation should be based on ex ante benchmarks for indirect emissions</w:t>
      </w:r>
      <w:r>
        <w:t xml:space="preserve"> </w:t>
      </w:r>
      <w:r>
        <w:t xml:space="preserve">per unit of production, calculated as the product of electricity consumption corresponding to</w:t>
      </w:r>
      <w:r>
        <w:t xml:space="preserve"> </w:t>
      </w:r>
      <w:r>
        <w:t xml:space="preserve">the most efficient available technologies and of the CO2 emissions from electricity production.</w:t>
      </w:r>
      <w:r>
        <w:t xml:space="preserve"> </w:t>
      </w:r>
      <w:r>
        <w:t xml:space="preserve">The Article 10(6) mandate does not contain an expiry date and is not subject to a review clause.</w:t>
      </w:r>
      <w:r>
        <w:t xml:space="preserve"> </w:t>
      </w:r>
      <w:r>
        <w:t xml:space="preserve">However, Article 30(2) states that carbon leakage support measures shall be kept under review</w:t>
      </w:r>
      <w:r>
        <w:t xml:space="preserve"> </w:t>
      </w:r>
      <w:r>
        <w:t xml:space="preserve">and explicitly requires the Commission to consider whether ICC measures should be further</w:t>
      </w:r>
      <w:r>
        <w:t xml:space="preserve"> </w:t>
      </w:r>
      <w:r>
        <w:t xml:space="preserve">harmonised. In practice, detailed elements of Indirect Cost Compensation (ICC) governance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are elaborated and amended through the relevant State aid guidelines3, which are outside the</w:t>
      </w:r>
      <w:r>
        <w:t xml:space="preserve"> </w:t>
      </w:r>
      <w:r>
        <w:t xml:space="preserve">scope of this review.</w:t>
      </w:r>
      <w:r>
        <w:t xml:space="preserve"> </w:t>
      </w:r>
      <w:r>
        <w:t xml:space="preserve">The guidelines are developed separately and cover the key characteristics such as sectoral</w:t>
      </w:r>
      <w:r>
        <w:t xml:space="preserve"> </w:t>
      </w:r>
      <w:r>
        <w:t xml:space="preserve">eligibility, the methodology for calculating indirect carbon cost, the generosity of the aid (aid</w:t>
      </w:r>
      <w:r>
        <w:t xml:space="preserve"> </w:t>
      </w:r>
      <w:r>
        <w:t xml:space="preserve">intensity) and conditions related to the expenditure of the aid (conditionality). The objective of</w:t>
      </w:r>
      <w:r>
        <w:t xml:space="preserve"> </w:t>
      </w:r>
      <w:r>
        <w:t xml:space="preserve">the guidelines is to ensure that any State aid awarded is necessary to achieve the environmental</w:t>
      </w:r>
      <w:r>
        <w:t xml:space="preserve"> </w:t>
      </w:r>
      <w:r>
        <w:t xml:space="preserve">objective of the EU ETS by reducing the risk of indirect carbon leakage and is limited to the</w:t>
      </w:r>
      <w:r>
        <w:t xml:space="preserve"> </w:t>
      </w:r>
      <w:r>
        <w:t xml:space="preserve">minimum needed to achieve the environmental protection sought (proportionality of the aid)</w:t>
      </w:r>
      <w:r>
        <w:t xml:space="preserve"> </w:t>
      </w:r>
      <w:r>
        <w:t xml:space="preserve">without creating undue distortions of competition and trade in the internal market4.</w:t>
      </w:r>
      <w:r>
        <w:br/>
      </w:r>
      <w:r>
        <w:t xml:space="preserve">Aside from State aid, some electro-intensive installations are also eligible to receive free</w:t>
      </w:r>
      <w:r>
        <w:t xml:space="preserve"> </w:t>
      </w:r>
      <w:r>
        <w:t xml:space="preserve">allocation covering indirect emissions from January 2026. To incentivise the electrification of</w:t>
      </w:r>
      <w:r>
        <w:t xml:space="preserve"> </w:t>
      </w:r>
      <w:r>
        <w:t xml:space="preserve">industrial processes and reduce their emissions, the 2024 amendment of the FAR removed the</w:t>
      </w:r>
      <w:r>
        <w:t xml:space="preserve"> </w:t>
      </w:r>
      <w:r>
        <w:t xml:space="preserve">rules on “exchangeability” of fuel and electricity, so that highly or entirely electrified processes</w:t>
      </w:r>
      <w:r>
        <w:t xml:space="preserve"> </w:t>
      </w:r>
      <w:r>
        <w:t xml:space="preserve">covered by the EU ETS benefit from the same free allocation as processes with high direct</w:t>
      </w:r>
      <w:r>
        <w:t xml:space="preserve"> </w:t>
      </w:r>
      <w:r>
        <w:t xml:space="preserve">emissions5. The extent to which an electrified installation benefits from this depends on the</w:t>
      </w:r>
      <w:r>
        <w:t xml:space="preserve"> </w:t>
      </w:r>
      <w:r>
        <w:t xml:space="preserve">free allocation benchmarks (i.e. an installation will benefit most when it has electrified, but</w:t>
      </w:r>
      <w:r>
        <w:t xml:space="preserve"> </w:t>
      </w:r>
      <w:r>
        <w:t xml:space="preserve">high direct emissions are still included in the relevant benchmark). To avoid overcompensation,</w:t>
      </w:r>
      <w:r>
        <w:t xml:space="preserve"> </w:t>
      </w:r>
      <w:r>
        <w:t xml:space="preserve">Article 10a(6) of the ETS Directive states that indirect costs covered by free allocation should</w:t>
      </w:r>
      <w:r>
        <w:t xml:space="preserve"> </w:t>
      </w:r>
      <w:r>
        <w:t xml:space="preserve">not also be covered by State aid. Processes not eligible to receive free allocation covering</w:t>
      </w:r>
      <w:r>
        <w:t xml:space="preserve"> </w:t>
      </w:r>
      <w:r>
        <w:t xml:space="preserve">indirect emissions will remain eligible for national State aid schemes. The FAR change may</w:t>
      </w:r>
      <w:r>
        <w:t xml:space="preserve"> </w:t>
      </w:r>
      <w:r>
        <w:t xml:space="preserve">affect the composition of indirect cost compensation in two ways: 1) demand for State aid may</w:t>
      </w:r>
      <w:r>
        <w:t xml:space="preserve"> </w:t>
      </w:r>
      <w:r>
        <w:t xml:space="preserve">fall if a share of the indirect cost is instead compensated through free allocation; 2) the overall</w:t>
      </w:r>
      <w:r>
        <w:t xml:space="preserve"> </w:t>
      </w:r>
      <w:r>
        <w:t xml:space="preserve">quantity of compensated emissions may increase, since some installations who would not have</w:t>
      </w:r>
      <w:r>
        <w:t xml:space="preserve"> </w:t>
      </w:r>
      <w:r>
        <w:t xml:space="preserve">received State aid will receive free allocation.</w:t>
      </w:r>
      <w:r>
        <w:t xml:space="preserve"> </w:t>
      </w:r>
      <w:r>
        <w:t xml:space="preserve">In principle, carbon leakage risks related to ICC should dampen over time as the EU’s</w:t>
      </w:r>
      <w:r>
        <w:t xml:space="preserve"> </w:t>
      </w:r>
      <w:r>
        <w:t xml:space="preserve">electricity supply decarbonises. However, ICC can still play an outsized role in the costs faced</w:t>
      </w:r>
      <w:r>
        <w:t xml:space="preserve"> </w:t>
      </w:r>
      <w:r>
        <w:t xml:space="preserve">by electro-intensive industries due to the role of fossil fuels in setting marginal electricity</w:t>
      </w:r>
      <w:r>
        <w:t xml:space="preserve"> </w:t>
      </w:r>
      <w:r>
        <w:t xml:space="preserve">prices. JRC analysis suggests that fossil fuelled power plants will continue to set the marginal</w:t>
      </w:r>
      <w:r>
        <w:t xml:space="preserve"> </w:t>
      </w:r>
      <w:r>
        <w:t xml:space="preserve">price 86% of the time up to 20306. It is therefore relevant to consider how carbon leakage risk</w:t>
      </w:r>
      <w:r>
        <w:t xml:space="preserve"> </w:t>
      </w:r>
      <w:r>
        <w:t xml:space="preserve">related to ICC should be addressed after 2030.</w:t>
      </w:r>
      <w:r>
        <w:br/>
      </w:r>
      <w:r>
        <w:t xml:space="preserve">At present, 15 Member States grant ICC. This impact assessment considers how the ETS</w:t>
      </w:r>
      <w:r>
        <w:t xml:space="preserve"> </w:t>
      </w:r>
      <w:r>
        <w:t xml:space="preserve">Directive should address ICC post-2030, including whether ICC measures should be further</w:t>
      </w:r>
      <w:r>
        <w:t xml:space="preserve"> </w:t>
      </w:r>
      <w:r>
        <w:t xml:space="preserve">harmonised. It does not quantify the specific effect of the FAR change. Further details of the</w:t>
      </w:r>
    </w:p>
    <w:p>
      <w:pPr>
        <w:pStyle w:val="BodyText"/>
      </w:pPr>
      <w:r>
        <w:t xml:space="preserve">3</w:t>
      </w:r>
      <w:r>
        <w:br/>
      </w:r>
      <w:r>
        <w:t xml:space="preserve">Guidelines on certain State aid measures in the context of the system for greenhouse gas emission allowance</w:t>
      </w:r>
      <w:r>
        <w:t xml:space="preserve"> </w:t>
      </w:r>
      <w:r>
        <w:t xml:space="preserve">trading post-2021 (2020/C 317/04) supplemented by Communication 2021/C 528/01, amended by</w:t>
      </w:r>
      <w:r>
        <w:t xml:space="preserve"> </w:t>
      </w:r>
      <w:r>
        <w:t xml:space="preserve">C/2026/196.</w:t>
      </w:r>
      <w:r>
        <w:t xml:space="preserve"> </w:t>
      </w:r>
      <w:r>
        <w:t xml:space="preserve">4</w:t>
      </w:r>
      <w:r>
        <w:br/>
      </w:r>
      <w:r>
        <w:t xml:space="preserve">The 2021 -2025 guidelines also allow aid to exceed 75% intensity under specific circumstances. The</w:t>
      </w:r>
      <w:r>
        <w:t xml:space="preserve"> </w:t>
      </w:r>
      <w:r>
        <w:t xml:space="preserve">amendment for 2026-2030 allows aid intensity of 75% or 80%, depending on the sector.</w:t>
      </w:r>
      <w:r>
        <w:t xml:space="preserve"> </w:t>
      </w:r>
      <w:r>
        <w:t xml:space="preserve">5</w:t>
      </w:r>
      <w:r>
        <w:br/>
      </w:r>
      <w:r>
        <w:t xml:space="preserve">Commission Delegated Regulation (EU) 2024/873 amending Delegated Regulation (EU) 2019/331</w:t>
      </w:r>
      <w:r>
        <w:t xml:space="preserve"> </w:t>
      </w:r>
      <w:r>
        <w:t xml:space="preserve">6</w:t>
      </w:r>
      <w:r>
        <w:br/>
      </w:r>
      <w:r>
        <w:t xml:space="preserve">Gasparella et al. (2023) The merit order and price-setting dynamics in European electricity markets. Report</w:t>
      </w:r>
      <w:r>
        <w:t xml:space="preserve"> </w:t>
      </w:r>
      <w:r>
        <w:t xml:space="preserve">JRC134300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current ICC governance framework can be found in the annual report on the functioning of the</w:t>
      </w:r>
      <w:r>
        <w:t xml:space="preserve"> </w:t>
      </w:r>
      <w:r>
        <w:t xml:space="preserve">European carbon market7, and State aid guidelines8.</w:t>
      </w:r>
      <w:r>
        <w:br/>
      </w:r>
      <w:r>
        <w:t xml:space="preserve">1.2.2.1.</w:t>
      </w:r>
      <w:r>
        <w:t xml:space="preserve"> </w:t>
      </w:r>
      <w:r>
        <w:t xml:space="preserve">Overview of sectors eligible for indirect cost compensation</w:t>
      </w:r>
      <w:r>
        <w:t xml:space="preserve"> </w:t>
      </w:r>
      <w:r>
        <w:t xml:space="preserve">The list of sectors eligible for indirect cost compensation through State aid for the period 2021-</w:t>
      </w:r>
      <w:r>
        <w:t xml:space="preserve"> </w:t>
      </w:r>
      <w:r>
        <w:t xml:space="preserve">2025 was established in the ETS State aid guidelines published in 2020. This list is shown in</w:t>
      </w:r>
      <w:r>
        <w:t xml:space="preserve"> </w:t>
      </w:r>
      <w:r>
        <w:t xml:space="preserve">Table 1. In early 2026, these guidelines were amended for the period 2026-2030, expanding</w:t>
      </w:r>
      <w:r>
        <w:t xml:space="preserve"> </w:t>
      </w:r>
      <w:r>
        <w:t xml:space="preserve">the number of eligible sectors and changing some of the aid intensity and conditionality rules.</w:t>
      </w:r>
      <w:r>
        <w:t xml:space="preserve"> </w:t>
      </w:r>
      <w:r>
        <w:t xml:space="preserve">The effect of the amendment is not considered in this assessment.</w:t>
      </w:r>
      <w:r>
        <w:br/>
      </w:r>
      <w:r>
        <w:t xml:space="preserve">Table 1:</w:t>
      </w:r>
      <w:r>
        <w:t xml:space="preserve"> </w:t>
      </w:r>
      <w:r>
        <w:t xml:space="preserve">Sectors deemed to be exposed to a genuine risk of carbon leakage due to indirect</w:t>
      </w:r>
      <w:r>
        <w:t xml:space="preserve"> </w:t>
      </w:r>
      <w:r>
        <w:t xml:space="preserve">emission costs (excluding sectors that have become newly eligible as of 1 January 2025)</w:t>
      </w:r>
      <w:r>
        <w:t xml:space="preserve"> </w:t>
      </w:r>
      <w:r>
        <w:t xml:space="preserve">NACE code Description</w:t>
      </w:r>
      <w:r>
        <w:t xml:space="preserve"> </w:t>
      </w:r>
      <w:r>
        <w:t xml:space="preserve">14.11</w:t>
      </w:r>
      <w:r>
        <w:t xml:space="preserve"> </w:t>
      </w:r>
      <w:r>
        <w:t xml:space="preserve">Manufacture of leather clothes</w:t>
      </w:r>
      <w:r>
        <w:t xml:space="preserve"> </w:t>
      </w:r>
      <w:r>
        <w:t xml:space="preserve">24.42</w:t>
      </w:r>
      <w:r>
        <w:t xml:space="preserve"> </w:t>
      </w:r>
      <w:r>
        <w:t xml:space="preserve">Aluminium production</w:t>
      </w:r>
      <w:r>
        <w:t xml:space="preserve"> </w:t>
      </w:r>
      <w:r>
        <w:t xml:space="preserve">20.13</w:t>
      </w:r>
      <w:r>
        <w:t xml:space="preserve"> </w:t>
      </w:r>
      <w:r>
        <w:t xml:space="preserve">Manufacture of other inorganic basic chemicals</w:t>
      </w:r>
      <w:r>
        <w:t xml:space="preserve"> </w:t>
      </w:r>
      <w:r>
        <w:t xml:space="preserve">24.43</w:t>
      </w:r>
      <w:r>
        <w:t xml:space="preserve"> </w:t>
      </w:r>
      <w:r>
        <w:t xml:space="preserve">Lead, zinc and tin production</w:t>
      </w:r>
      <w:r>
        <w:t xml:space="preserve"> </w:t>
      </w:r>
      <w:r>
        <w:t xml:space="preserve">17.11</w:t>
      </w:r>
      <w:r>
        <w:t xml:space="preserve"> </w:t>
      </w:r>
      <w:r>
        <w:t xml:space="preserve">Manufacture of pulp</w:t>
      </w:r>
      <w:r>
        <w:t xml:space="preserve"> </w:t>
      </w:r>
      <w:r>
        <w:t xml:space="preserve">17.12</w:t>
      </w:r>
      <w:r>
        <w:t xml:space="preserve"> </w:t>
      </w:r>
      <w:r>
        <w:t xml:space="preserve">Manufacture of paper and paperboard</w:t>
      </w:r>
      <w:r>
        <w:t xml:space="preserve"> </w:t>
      </w:r>
      <w:r>
        <w:t xml:space="preserve">24.10</w:t>
      </w:r>
      <w:r>
        <w:t xml:space="preserve"> </w:t>
      </w:r>
      <w:r>
        <w:t xml:space="preserve">Manufacture of basic iron and steel and ferro-alloys</w:t>
      </w:r>
      <w:r>
        <w:t xml:space="preserve"> </w:t>
      </w:r>
      <w:r>
        <w:t xml:space="preserve">19.20</w:t>
      </w:r>
      <w:r>
        <w:t xml:space="preserve"> </w:t>
      </w:r>
      <w:r>
        <w:t xml:space="preserve">Manufacture of refined petroleum products</w:t>
      </w:r>
      <w:r>
        <w:t xml:space="preserve"> </w:t>
      </w:r>
      <w:r>
        <w:t xml:space="preserve">24.44</w:t>
      </w:r>
      <w:r>
        <w:t xml:space="preserve"> </w:t>
      </w:r>
      <w:r>
        <w:t xml:space="preserve">Copper production</w:t>
      </w:r>
      <w:r>
        <w:t xml:space="preserve"> </w:t>
      </w:r>
      <w:r>
        <w:t xml:space="preserve">24.45</w:t>
      </w:r>
      <w:r>
        <w:t xml:space="preserve"> </w:t>
      </w:r>
      <w:r>
        <w:t xml:space="preserve">Other non-ferrous metal production</w:t>
      </w:r>
      <w:r>
        <w:t xml:space="preserve"> </w:t>
      </w:r>
      <w:r>
        <w:t xml:space="preserve">20.16.40.15</w:t>
      </w:r>
      <w:r>
        <w:t xml:space="preserve"> </w:t>
      </w:r>
      <w:r>
        <w:t xml:space="preserve">Polyethylene in primary forms</w:t>
      </w:r>
      <w:r>
        <w:t xml:space="preserve"> </w:t>
      </w:r>
      <w:r>
        <w:t xml:space="preserve">23.14.12.10</w:t>
      </w:r>
      <w:r>
        <w:t xml:space="preserve"> </w:t>
      </w:r>
      <w:r>
        <w:t xml:space="preserve">Glass fibre mats</w:t>
      </w:r>
      <w:r>
        <w:t xml:space="preserve"> </w:t>
      </w:r>
      <w:r>
        <w:t xml:space="preserve">23.14.12.30</w:t>
      </w:r>
      <w:r>
        <w:t xml:space="preserve"> </w:t>
      </w:r>
      <w:r>
        <w:t xml:space="preserve">Glass fibre voiles</w:t>
      </w:r>
      <w:r>
        <w:t xml:space="preserve"> </w:t>
      </w:r>
      <w:r>
        <w:t xml:space="preserve">20.11.11.50</w:t>
      </w:r>
      <w:r>
        <w:t xml:space="preserve"> </w:t>
      </w:r>
      <w:r>
        <w:t xml:space="preserve">Hydrogen</w:t>
      </w:r>
      <w:r>
        <w:t xml:space="preserve"> </w:t>
      </w:r>
      <w:r>
        <w:t xml:space="preserve">20.11.12.90</w:t>
      </w:r>
      <w:r>
        <w:t xml:space="preserve"> </w:t>
      </w:r>
      <w:r>
        <w:t xml:space="preserve">Inorganic oxygen compounds of non-metals</w:t>
      </w:r>
      <w:r>
        <w:t xml:space="preserve"> </w:t>
      </w:r>
      <w:r>
        <w:t xml:space="preserve">1.2.2.2.</w:t>
      </w:r>
      <w:r>
        <w:t xml:space="preserve"> </w:t>
      </w:r>
      <w:r>
        <w:t xml:space="preserve">Overview of the provision of indirect cost compensation by Member</w:t>
      </w:r>
      <w:r>
        <w:t xml:space="preserve"> </w:t>
      </w:r>
      <w:r>
        <w:t xml:space="preserve">State</w:t>
      </w:r>
      <w:r>
        <w:t xml:space="preserve"> </w:t>
      </w:r>
      <w:r>
        <w:t xml:space="preserve">Table 2 provides an overview of the indirect cost compensation by Member State for the year</w:t>
      </w:r>
      <w:r>
        <w:t xml:space="preserve"> </w:t>
      </w:r>
      <w:r>
        <w:t xml:space="preserve">2023. It outlines the differentiated nature of the support for indirect carbon costs across the EU.</w:t>
      </w:r>
    </w:p>
    <w:p>
      <w:pPr>
        <w:pStyle w:val="BodyText"/>
      </w:pPr>
      <w:r>
        <w:t xml:space="preserve">7</w:t>
      </w:r>
      <w:r>
        <w:br/>
      </w:r>
      <w:r>
        <w:t xml:space="preserve">Report from the Commission to the European Parliament and the Council on the functioning of the European</w:t>
      </w:r>
      <w:r>
        <w:t xml:space="preserve"> </w:t>
      </w:r>
      <w:r>
        <w:t xml:space="preserve">carbon market in 2024. SWD (2025) 388 final.</w:t>
      </w:r>
      <w:r>
        <w:t xml:space="preserve"> </w:t>
      </w:r>
      <w:r>
        <w:t xml:space="preserve">8</w:t>
      </w:r>
      <w:r>
        <w:br/>
      </w:r>
      <w:r>
        <w:t xml:space="preserve">Communication from the Commission, Guidelines on certain State aid measures in the context of the system</w:t>
      </w:r>
      <w:r>
        <w:t xml:space="preserve"> </w:t>
      </w:r>
      <w:r>
        <w:t xml:space="preserve">for greenhouse gas emission allowance trading post-2021 (2020/C 317/04) and Communication from the</w:t>
      </w:r>
      <w:r>
        <w:t xml:space="preserve"> </w:t>
      </w:r>
      <w:r>
        <w:t xml:space="preserve">Commission amending the Guidelines on certain State aid measures in the context of the system for</w:t>
      </w:r>
      <w:r>
        <w:t xml:space="preserve"> </w:t>
      </w:r>
      <w:r>
        <w:t xml:space="preserve">greenhouse gas emission allowance trading post-2021. C/2026/196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Table 2:</w:t>
      </w:r>
      <w:r>
        <w:t xml:space="preserve"> </w:t>
      </w:r>
      <w:r>
        <w:t xml:space="preserve">Indirect cost compensation by Member State</w:t>
      </w:r>
      <w:r>
        <w:br/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Amount paid</w:t>
      </w:r>
      <w:r>
        <w:br/>
      </w:r>
      <w:r>
        <w:t xml:space="preserve">for indirect costs</w:t>
      </w:r>
      <w:r>
        <w:br/>
      </w:r>
      <w:r>
        <w:t xml:space="preserve">incurred in 2023</w:t>
      </w:r>
      <w:r>
        <w:br/>
      </w:r>
      <w:r>
        <w:t xml:space="preserve">(million EUR)</w:t>
      </w:r>
      <w:r>
        <w:t xml:space="preserve"> </w:t>
      </w:r>
      <w:r>
        <w:t xml:space="preserve">Number</w:t>
      </w:r>
      <w:r>
        <w:br/>
      </w:r>
      <w:r>
        <w:t xml:space="preserve">of recipients</w:t>
      </w:r>
      <w:r>
        <w:br/>
      </w:r>
      <w:r>
        <w:t xml:space="preserve">(installations)</w:t>
      </w:r>
      <w:r>
        <w:t xml:space="preserve"> </w:t>
      </w:r>
      <w:r>
        <w:t xml:space="preserve">Auction</w:t>
      </w:r>
      <w:r>
        <w:br/>
      </w:r>
      <w:r>
        <w:t xml:space="preserve">revenues</w:t>
      </w:r>
      <w:r>
        <w:br/>
      </w:r>
      <w:r>
        <w:t xml:space="preserve">in 2023</w:t>
      </w:r>
      <w:r>
        <w:br/>
      </w:r>
      <w:r>
        <w:t xml:space="preserve">(million EUR)</w:t>
      </w:r>
      <w:r>
        <w:t xml:space="preserve"> </w:t>
      </w:r>
      <w:r>
        <w:t xml:space="preserve">Relative size of</w:t>
      </w:r>
      <w:r>
        <w:t xml:space="preserve"> </w:t>
      </w:r>
      <w:r>
        <w:t xml:space="preserve">indirect costs aid</w:t>
      </w:r>
      <w:r>
        <w:t xml:space="preserve"> </w:t>
      </w:r>
      <w:r>
        <w:t xml:space="preserve">compared to</w:t>
      </w:r>
      <w:r>
        <w:t xml:space="preserve"> </w:t>
      </w:r>
      <w:r>
        <w:t xml:space="preserve">auction revenue</w:t>
      </w:r>
      <w:r>
        <w:t xml:space="preserve"> </w:t>
      </w:r>
      <w:r>
        <w:t xml:space="preserve">Belgium</w:t>
      </w:r>
      <w:r>
        <w:t xml:space="preserve"> </w:t>
      </w:r>
      <w:r>
        <w:t xml:space="preserve">249.9</w:t>
      </w:r>
      <w:r>
        <w:t xml:space="preserve"> </w:t>
      </w:r>
      <w:r>
        <w:t xml:space="preserve">56</w:t>
      </w:r>
      <w:r>
        <w:t xml:space="preserve"> </w:t>
      </w:r>
      <w:r>
        <w:t xml:space="preserve">739.9</w:t>
      </w:r>
      <w:r>
        <w:t xml:space="preserve"> </w:t>
      </w:r>
      <w:r>
        <w:t xml:space="preserve">33.8%</w:t>
      </w:r>
      <w:r>
        <w:t xml:space="preserve"> </w:t>
      </w:r>
      <w:r>
        <w:t xml:space="preserve">Czechia</w:t>
      </w:r>
      <w:r>
        <w:t xml:space="preserve"> </w:t>
      </w:r>
      <w:r>
        <w:t xml:space="preserve">60.4</w:t>
      </w:r>
      <w:r>
        <w:t xml:space="preserve"> </w:t>
      </w:r>
      <w:r>
        <w:t xml:space="preserve">23</w:t>
      </w:r>
      <w:r>
        <w:t xml:space="preserve"> </w:t>
      </w:r>
      <w:r>
        <w:t xml:space="preserve">771.3</w:t>
      </w:r>
      <w:r>
        <w:t xml:space="preserve"> </w:t>
      </w:r>
      <w:r>
        <w:t xml:space="preserve">7.8%</w:t>
      </w:r>
      <w:r>
        <w:t xml:space="preserve"> </w:t>
      </w:r>
      <w:r>
        <w:t xml:space="preserve">Finland</w:t>
      </w:r>
      <w:r>
        <w:t xml:space="preserve"> </w:t>
      </w:r>
      <w:r>
        <w:t xml:space="preserve">143.2</w:t>
      </w:r>
      <w:r>
        <w:t xml:space="preserve"> </w:t>
      </w:r>
      <w:r>
        <w:t xml:space="preserve">55</w:t>
      </w:r>
      <w:r>
        <w:t xml:space="preserve"> </w:t>
      </w:r>
      <w:r>
        <w:t xml:space="preserve">571.5</w:t>
      </w:r>
      <w:r>
        <w:t xml:space="preserve"> </w:t>
      </w:r>
      <w:r>
        <w:t xml:space="preserve">25.1%</w:t>
      </w:r>
      <w:r>
        <w:t xml:space="preserve"> </w:t>
      </w:r>
      <w:r>
        <w:t xml:space="preserve">France</w:t>
      </w:r>
      <w:r>
        <w:t xml:space="preserve"> </w:t>
      </w:r>
      <w:r>
        <w:t xml:space="preserve">908.8</w:t>
      </w:r>
      <w:r>
        <w:t xml:space="preserve"> </w:t>
      </w:r>
      <w:r>
        <w:t xml:space="preserve">293</w:t>
      </w:r>
      <w:r>
        <w:t xml:space="preserve"> </w:t>
      </w:r>
      <w:r>
        <w:t xml:space="preserve">2,060.1</w:t>
      </w:r>
      <w:r>
        <w:t xml:space="preserve"> </w:t>
      </w:r>
      <w:r>
        <w:t xml:space="preserve">44.1%</w:t>
      </w:r>
      <w:r>
        <w:t xml:space="preserve"> </w:t>
      </w:r>
      <w:r>
        <w:t xml:space="preserve">Germany</w:t>
      </w:r>
      <w:r>
        <w:t xml:space="preserve"> </w:t>
      </w:r>
      <w:r>
        <w:t xml:space="preserve">2,395.0</w:t>
      </w:r>
      <w:r>
        <w:t xml:space="preserve"> </w:t>
      </w:r>
      <w:r>
        <w:t xml:space="preserve">707</w:t>
      </w:r>
      <w:r>
        <w:t xml:space="preserve"> </w:t>
      </w:r>
      <w:r>
        <w:t xml:space="preserve">7,582.5</w:t>
      </w:r>
      <w:r>
        <w:t xml:space="preserve"> </w:t>
      </w:r>
      <w:r>
        <w:t xml:space="preserve">31.6%</w:t>
      </w:r>
      <w:r>
        <w:t xml:space="preserve"> </w:t>
      </w:r>
      <w:r>
        <w:t xml:space="preserve">Greece</w:t>
      </w:r>
      <w:r>
        <w:t xml:space="preserve"> </w:t>
      </w:r>
      <w:r>
        <w:t xml:space="preserve">287.0</w:t>
      </w:r>
      <w:r>
        <w:t xml:space="preserve"> </w:t>
      </w:r>
      <w:r>
        <w:t xml:space="preserve">57</w:t>
      </w:r>
      <w:r>
        <w:t xml:space="preserve"> </w:t>
      </w:r>
      <w:r>
        <w:t xml:space="preserve">1,441.8</w:t>
      </w:r>
      <w:r>
        <w:t xml:space="preserve"> </w:t>
      </w:r>
      <w:r>
        <w:t xml:space="preserve">19.9%</w:t>
      </w:r>
      <w:r>
        <w:t xml:space="preserve"> </w:t>
      </w:r>
      <w:r>
        <w:t xml:space="preserve">Italy</w:t>
      </w:r>
      <w:r>
        <w:t xml:space="preserve"> </w:t>
      </w:r>
      <w:r>
        <w:t xml:space="preserve">165.5</w:t>
      </w:r>
      <w:r>
        <w:t xml:space="preserve"> </w:t>
      </w:r>
      <w:r>
        <w:t xml:space="preserve">252</w:t>
      </w:r>
      <w:r>
        <w:t xml:space="preserve"> </w:t>
      </w:r>
      <w:r>
        <w:t xml:space="preserve">3,547.4</w:t>
      </w:r>
      <w:r>
        <w:t xml:space="preserve"> </w:t>
      </w:r>
      <w:r>
        <w:t xml:space="preserve">4.7%</w:t>
      </w:r>
      <w:r>
        <w:t xml:space="preserve"> </w:t>
      </w:r>
      <w:r>
        <w:t xml:space="preserve">Luxembourg</w:t>
      </w:r>
      <w:r>
        <w:t xml:space="preserve"> </w:t>
      </w:r>
      <w:r>
        <w:t xml:space="preserve">37.6</w:t>
      </w:r>
      <w:r>
        <w:t xml:space="preserve"> </w:t>
      </w:r>
      <w:r>
        <w:t xml:space="preserve">4</w:t>
      </w:r>
      <w:r>
        <w:t xml:space="preserve"> </w:t>
      </w:r>
      <w:r>
        <w:t xml:space="preserve">7.6</w:t>
      </w:r>
      <w:r>
        <w:t xml:space="preserve"> </w:t>
      </w:r>
      <w:r>
        <w:t xml:space="preserve">492.0%</w:t>
      </w:r>
      <w:r>
        <w:t xml:space="preserve"> </w:t>
      </w:r>
      <w:r>
        <w:t xml:space="preserve">Netherlands</w:t>
      </w:r>
      <w:r>
        <w:t xml:space="preserve"> </w:t>
      </w:r>
      <w:r>
        <w:t xml:space="preserve">147.3</w:t>
      </w:r>
      <w:r>
        <w:t xml:space="preserve"> </w:t>
      </w:r>
      <w:r>
        <w:t xml:space="preserve">48</w:t>
      </w:r>
      <w:r>
        <w:t xml:space="preserve"> </w:t>
      </w:r>
      <w:r>
        <w:t xml:space="preserve">1,261.1</w:t>
      </w:r>
      <w:r>
        <w:t xml:space="preserve"> </w:t>
      </w:r>
      <w:r>
        <w:t xml:space="preserve">11.7%</w:t>
      </w:r>
      <w:r>
        <w:t xml:space="preserve"> </w:t>
      </w:r>
      <w:r>
        <w:t xml:space="preserve">Poland</w:t>
      </w:r>
      <w:r>
        <w:t xml:space="preserve"> </w:t>
      </w:r>
      <w:r>
        <w:t xml:space="preserve">614.6</w:t>
      </w:r>
      <w:r>
        <w:t xml:space="preserve"> </w:t>
      </w:r>
      <w:r>
        <w:t xml:space="preserve">97</w:t>
      </w:r>
      <w:r>
        <w:t xml:space="preserve"> </w:t>
      </w:r>
      <w:r>
        <w:t xml:space="preserve">5,406.7</w:t>
      </w:r>
      <w:r>
        <w:t xml:space="preserve"> </w:t>
      </w:r>
      <w:r>
        <w:t xml:space="preserve">11.4%</w:t>
      </w:r>
      <w:r>
        <w:t xml:space="preserve"> </w:t>
      </w:r>
      <w:r>
        <w:t xml:space="preserve">Portugal</w:t>
      </w:r>
      <w:r>
        <w:t xml:space="preserve"> </w:t>
      </w:r>
      <w:r>
        <w:t xml:space="preserve">25.0</w:t>
      </w:r>
      <w:r>
        <w:t xml:space="preserve"> </w:t>
      </w:r>
      <w:r>
        <w:t xml:space="preserve">23</w:t>
      </w:r>
      <w:r>
        <w:t xml:space="preserve"> </w:t>
      </w:r>
      <w:r>
        <w:t xml:space="preserve">726.7</w:t>
      </w:r>
      <w:r>
        <w:t xml:space="preserve"> </w:t>
      </w:r>
      <w:r>
        <w:t xml:space="preserve">3.4%</w:t>
      </w:r>
      <w:r>
        <w:t xml:space="preserve"> </w:t>
      </w:r>
      <w:r>
        <w:t xml:space="preserve">Romania</w:t>
      </w:r>
      <w:r>
        <w:t xml:space="preserve"> </w:t>
      </w:r>
      <w:r>
        <w:t xml:space="preserve">116.7</w:t>
      </w:r>
      <w:r>
        <w:t xml:space="preserve"> </w:t>
      </w:r>
      <w:r>
        <w:t xml:space="preserve">31</w:t>
      </w:r>
      <w:r>
        <w:t xml:space="preserve"> </w:t>
      </w:r>
      <w:r>
        <w:t xml:space="preserve">571.8</w:t>
      </w:r>
      <w:r>
        <w:t xml:space="preserve"> </w:t>
      </w:r>
      <w:r>
        <w:t xml:space="preserve">20.4%</w:t>
      </w:r>
      <w:r>
        <w:t xml:space="preserve"> </w:t>
      </w:r>
      <w:r>
        <w:t xml:space="preserve">Slovakia</w:t>
      </w:r>
      <w:r>
        <w:t xml:space="preserve"> </w:t>
      </w:r>
      <w:r>
        <w:t xml:space="preserve">58.3</w:t>
      </w:r>
      <w:r>
        <w:t xml:space="preserve"> </w:t>
      </w:r>
      <w:r>
        <w:t xml:space="preserve">9</w:t>
      </w:r>
      <w:r>
        <w:t xml:space="preserve"> </w:t>
      </w:r>
      <w:r>
        <w:t xml:space="preserve">377.5</w:t>
      </w:r>
      <w:r>
        <w:t xml:space="preserve"> </w:t>
      </w:r>
      <w:r>
        <w:t xml:space="preserve">15.4%</w:t>
      </w:r>
      <w:r>
        <w:t xml:space="preserve"> </w:t>
      </w:r>
      <w:r>
        <w:t xml:space="preserve">Slovenia</w:t>
      </w:r>
      <w:r>
        <w:t xml:space="preserve"> </w:t>
      </w:r>
      <w:r>
        <w:t xml:space="preserve">25.4</w:t>
      </w:r>
      <w:r>
        <w:t xml:space="preserve"> </w:t>
      </w:r>
      <w:r>
        <w:t xml:space="preserve">16</w:t>
      </w:r>
      <w:r>
        <w:t xml:space="preserve"> </w:t>
      </w:r>
      <w:r>
        <w:t xml:space="preserve">186.5</w:t>
      </w:r>
      <w:r>
        <w:t xml:space="preserve"> </w:t>
      </w:r>
      <w:r>
        <w:t xml:space="preserve">13.6%</w:t>
      </w:r>
      <w:r>
        <w:t xml:space="preserve"> </w:t>
      </w:r>
      <w:r>
        <w:t xml:space="preserve">Spain</w:t>
      </w:r>
      <w:r>
        <w:t xml:space="preserve"> </w:t>
      </w:r>
      <w:r>
        <w:t xml:space="preserve">282.8</w:t>
      </w:r>
      <w:r>
        <w:t xml:space="preserve"> </w:t>
      </w:r>
      <w:r>
        <w:t xml:space="preserve">191</w:t>
      </w:r>
      <w:r>
        <w:t xml:space="preserve"> </w:t>
      </w:r>
      <w:r>
        <w:t xml:space="preserve">3,514.0</w:t>
      </w:r>
      <w:r>
        <w:t xml:space="preserve"> </w:t>
      </w:r>
      <w:r>
        <w:t xml:space="preserve">8.0%</w:t>
      </w:r>
      <w:r>
        <w:t xml:space="preserve"> </w:t>
      </w:r>
      <w:r>
        <w:t xml:space="preserve">Austria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Lithuania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Bulgaria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Croatia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Cyprus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Denmark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Estonia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Ireland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Latvia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Malta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Sweden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Source: Report from the Commission to the European Parliament and the Council on the functioning of the</w:t>
      </w:r>
      <w:r>
        <w:t xml:space="preserve"> </w:t>
      </w:r>
      <w:r>
        <w:t xml:space="preserve">European carbon market in 2024 pursuant to Articles 10(5) and 21(2) of Directive 2003/87/EC</w:t>
      </w:r>
      <w:r>
        <w:t xml:space="preserve"> </w:t>
      </w:r>
      <w:r>
        <w:t xml:space="preserve">1.3. Policy measures</w:t>
      </w:r>
      <w:r>
        <w:t xml:space="preserve"> </w:t>
      </w:r>
      <w:r>
        <w:t xml:space="preserve">1.3.1. Description</w:t>
      </w:r>
      <w:r>
        <w:br/>
      </w:r>
      <w:r>
        <w:t xml:space="preserve">1.3.1.1.</w:t>
      </w:r>
      <w:r>
        <w:t xml:space="preserve"> </w:t>
      </w:r>
      <w:r>
        <w:t xml:space="preserve">Carbon leakage prevention measures for direct emissions</w:t>
      </w:r>
      <w:r>
        <w:t xml:space="preserve"> </w:t>
      </w:r>
      <w:r>
        <w:t xml:space="preserve">The following three policy measures to be considered in the impact assessment include: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• CL1: Improved current approach on free allocation:</w:t>
      </w:r>
      <w:r>
        <w:br/>
      </w:r>
      <w:r>
        <w:t xml:space="preserve">This measure represents a continuation of the current approach on free allocation but also</w:t>
      </w:r>
      <w:r>
        <w:t xml:space="preserve"> </w:t>
      </w:r>
      <w:r>
        <w:t xml:space="preserve">includes several simplifications and improvements. Simplifications consist of a avoiding a</w:t>
      </w:r>
      <w:r>
        <w:t xml:space="preserve"> </w:t>
      </w:r>
      <w:r>
        <w:t xml:space="preserve">general update of the carbon leakage list and streamlining of the application for free allocation</w:t>
      </w:r>
      <w:r>
        <w:t xml:space="preserve"> </w:t>
      </w:r>
      <w:r>
        <w:t xml:space="preserve">and how the benchmarks are established to reduce the administrative burden. Benchmarks will</w:t>
      </w:r>
      <w:r>
        <w:t xml:space="preserve"> </w:t>
      </w:r>
      <w:r>
        <w:t xml:space="preserve">continue to be set by the average performance of the 10% best performing installations, taking</w:t>
      </w:r>
      <w:r>
        <w:t xml:space="preserve"> </w:t>
      </w:r>
      <w:r>
        <w:t xml:space="preserve">into account the minimum and maximum update rates and the rules for extrapolation of the</w:t>
      </w:r>
      <w:r>
        <w:t xml:space="preserve"> </w:t>
      </w:r>
      <w:r>
        <w:t xml:space="preserve">trend to the mid-point of the relevant five years allocation period. However, fall back</w:t>
      </w:r>
      <w:r>
        <w:t xml:space="preserve"> </w:t>
      </w:r>
      <w:r>
        <w:t xml:space="preserve">benchmarks should be differentiated to take into account the specificities of the different</w:t>
      </w:r>
      <w:r>
        <w:t xml:space="preserve"> </w:t>
      </w:r>
      <w:r>
        <w:t xml:space="preserve">sectors. The rules on allocation level changes and conditionalities remain as they are currently</w:t>
      </w:r>
      <w:r>
        <w:t xml:space="preserve"> </w:t>
      </w:r>
      <w:r>
        <w:t xml:space="preserve">in force.</w:t>
      </w:r>
      <w:r>
        <w:t xml:space="preserve"> </w:t>
      </w:r>
      <w:r>
        <w:t xml:space="preserve">• CL2: Conditional free allocation for investments:</w:t>
      </w:r>
      <w:r>
        <w:br/>
      </w:r>
      <w:r>
        <w:t xml:space="preserve">This measure builds upon the improvements and simplification introduced in measure CL1 and</w:t>
      </w:r>
      <w:r>
        <w:t xml:space="preserve"> </w:t>
      </w:r>
      <w:r>
        <w:t xml:space="preserve">it expands and generalises the conditionalities introduced for the period 2026-2030 (i.e. based</w:t>
      </w:r>
      <w:r>
        <w:t xml:space="preserve"> </w:t>
      </w:r>
      <w:r>
        <w:t xml:space="preserve">on energy audits and climate neutrality plans for the least efficient installations and investments</w:t>
      </w:r>
      <w:r>
        <w:t xml:space="preserve"> </w:t>
      </w:r>
      <w:r>
        <w:t xml:space="preserve">for district heating). A share of free allocation will be made conditional on installations</w:t>
      </w:r>
      <w:r>
        <w:t xml:space="preserve"> </w:t>
      </w:r>
      <w:r>
        <w:t xml:space="preserve">developing meaningful climate neutrality plans and investing in significant emission reductions</w:t>
      </w:r>
      <w:r>
        <w:t xml:space="preserve"> </w:t>
      </w:r>
      <w:r>
        <w:t xml:space="preserve">an amount equivalent to economic value of the conditional free allocation. Enforcement will</w:t>
      </w:r>
      <w:r>
        <w:t xml:space="preserve"> </w:t>
      </w:r>
      <w:r>
        <w:t xml:space="preserve">take place ex-ante and ex-post. Before the allocation of (conditional) free allowances for the</w:t>
      </w:r>
      <w:r>
        <w:t xml:space="preserve"> </w:t>
      </w:r>
      <w:r>
        <w:t xml:space="preserve">following period, operators will need to make binding financing decisions for the required</w:t>
      </w:r>
      <w:r>
        <w:t xml:space="preserve"> </w:t>
      </w:r>
      <w:r>
        <w:t xml:space="preserve">investments. At the end of the allocation period, operators will need to demonstrate that the</w:t>
      </w:r>
      <w:r>
        <w:t xml:space="preserve"> </w:t>
      </w:r>
      <w:r>
        <w:t xml:space="preserve">planned investments have been implemented leading to GHG reduction. The conditional</w:t>
      </w:r>
      <w:r>
        <w:t xml:space="preserve"> </w:t>
      </w:r>
      <w:r>
        <w:t xml:space="preserve">allowances thus not allocated will be made available for free allocation to other operators. A</w:t>
      </w:r>
      <w:r>
        <w:t xml:space="preserve"> </w:t>
      </w:r>
      <w:r>
        <w:t xml:space="preserve">gradual approach is necessary to enable economic actors to adjust. The share of conditional</w:t>
      </w:r>
      <w:r>
        <w:t xml:space="preserve"> </w:t>
      </w:r>
      <w:r>
        <w:t xml:space="preserve">free allocation would be phased in starting with 20% in 2031, 40% in 2032, 60% in 2033, 80%</w:t>
      </w:r>
      <w:r>
        <w:t xml:space="preserve"> </w:t>
      </w:r>
      <w:r>
        <w:t xml:space="preserve">in 2034 and then 100% from 2035. The impact of this measure will be assessed based on two</w:t>
      </w:r>
      <w:r>
        <w:t xml:space="preserve"> </w:t>
      </w:r>
      <w:r>
        <w:t xml:space="preserve">scenarios assuming a different level of compliance with the conditionalities, namely a</w:t>
      </w:r>
      <w:r>
        <w:t xml:space="preserve"> </w:t>
      </w:r>
      <w:r>
        <w:t xml:space="preserve">compliance rate of 90% (referred to as “CL2_90” in the rest of the document) and respectively</w:t>
      </w:r>
      <w:r>
        <w:t xml:space="preserve"> </w:t>
      </w:r>
      <w:r>
        <w:t xml:space="preserve">50% (“CL2_50”).</w:t>
      </w:r>
      <w:r>
        <w:br/>
      </w:r>
      <w:r>
        <w:t xml:space="preserve">• CL3: No free allocation and partial surrender of allowances until 2034</w:t>
      </w:r>
      <w:r>
        <w:t xml:space="preserve"> </w:t>
      </w:r>
      <w:r>
        <w:t xml:space="preserve">This measure proposes an alternative to free allocation for carbon leakage protection. It</w:t>
      </w:r>
      <w:r>
        <w:t xml:space="preserve"> </w:t>
      </w:r>
      <w:r>
        <w:t xml:space="preserve">replaces the current free allocation provision with a system like the approach used for phasing</w:t>
      </w:r>
      <w:r>
        <w:t xml:space="preserve"> </w:t>
      </w:r>
      <w:r>
        <w:t xml:space="preserve">in the compliance obligation of maritime. Therefore, installations, instead of receiving a certain</w:t>
      </w:r>
      <w:r>
        <w:t xml:space="preserve"> </w:t>
      </w:r>
      <w:r>
        <w:t xml:space="preserve">quantity of allowances for free, would be required to surrender allowances only for a part of</w:t>
      </w:r>
      <w:r>
        <w:t xml:space="preserve"> </w:t>
      </w:r>
      <w:r>
        <w:t xml:space="preserve">their reported emissions. However, unlike maritime, the non-surrendered share of allowances</w:t>
      </w:r>
      <w:r>
        <w:t xml:space="preserve"> </w:t>
      </w:r>
      <w:r>
        <w:t xml:space="preserve">is equivalent to allowances received for free (in the other measures) and therefore there would</w:t>
      </w:r>
      <w:r>
        <w:t xml:space="preserve"> </w:t>
      </w:r>
      <w:r>
        <w:t xml:space="preserve">not be any adjustment to the cap to compensate for the partial surrender of allowances. The</w:t>
      </w:r>
      <w:r>
        <w:t xml:space="preserve"> </w:t>
      </w:r>
      <w:r>
        <w:t xml:space="preserve">share of emissions that will require the surrendering of allowances will gradually increase to</w:t>
      </w:r>
      <w:r>
        <w:t xml:space="preserve"> </w:t>
      </w:r>
      <w:r>
        <w:t xml:space="preserve">100% surrender of allowances by 2034 (20% surrender in 2031, 50% in 2032, 80% in 2033,</w:t>
      </w:r>
      <w:r>
        <w:t xml:space="preserve"> </w:t>
      </w:r>
      <w:r>
        <w:t xml:space="preserve">100% from 2034). In this way, all sectors (CBAM and non-CBAM) will pay for 100% of their</w:t>
      </w:r>
      <w:r>
        <w:t xml:space="preserve"> </w:t>
      </w:r>
      <w:r>
        <w:t xml:space="preserve">emissions from 2034.</w:t>
      </w:r>
      <w:r>
        <w:br/>
      </w:r>
      <w:r>
        <w:t xml:space="preserve">• Revenue recycling variants</w:t>
      </w:r>
      <w:r>
        <w:br/>
      </w:r>
      <w:r>
        <w:t xml:space="preserve">In the standard modelled scenarios, revenue generated by the EU ETS is recycled with 50%</w:t>
      </w:r>
      <w:r>
        <w:t xml:space="preserve"> </w:t>
      </w:r>
      <w:r>
        <w:t xml:space="preserve">financing power sector investments and 50% dedicated to improving energy efficiency in</w:t>
      </w:r>
      <w:r>
        <w:t xml:space="preserve"> </w:t>
      </w:r>
      <w:r>
        <w:t xml:space="preserve">covered industries. Parts of this impact assessment also consider a revised recycling structure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(CL1R, CL3R) where the 50% allocation to the power sector is instead transferred as a lump</w:t>
      </w:r>
      <w:r>
        <w:t xml:space="preserve"> </w:t>
      </w:r>
      <w:r>
        <w:t xml:space="preserve">sum payment to households.</w:t>
      </w:r>
      <w:r>
        <w:t xml:space="preserve"> </w:t>
      </w:r>
      <w:r>
        <w:t xml:space="preserve">• CBAM variants</w:t>
      </w:r>
      <w:r>
        <w:t xml:space="preserve"> </w:t>
      </w:r>
      <w:r>
        <w:t xml:space="preserve">All policy measures for direct emissions target carbon leakage protection for non-CBAM</w:t>
      </w:r>
      <w:r>
        <w:t xml:space="preserve"> </w:t>
      </w:r>
      <w:r>
        <w:t xml:space="preserve">sectors, while free allocation for installations covered CBAM continues to be phased out as</w:t>
      </w:r>
      <w:r>
        <w:t xml:space="preserve"> </w:t>
      </w:r>
      <w:r>
        <w:t xml:space="preserve">currently planned in the ETS Directive by 2034.</w:t>
      </w:r>
      <w:r>
        <w:t xml:space="preserve"> </w:t>
      </w:r>
      <w:r>
        <w:t xml:space="preserve">However, a CBAM variant is analysed for each policy measure that considers, in addition to</w:t>
      </w:r>
      <w:r>
        <w:t xml:space="preserve"> </w:t>
      </w:r>
      <w:r>
        <w:t xml:space="preserve">the specific changes for that policy measure, re-allocating 15% of the free allowances that</w:t>
      </w:r>
      <w:r>
        <w:t xml:space="preserve"> </w:t>
      </w:r>
      <w:r>
        <w:t xml:space="preserve">would have otherwise been phased out to installations covered by CBAM.</w:t>
      </w:r>
      <w:r>
        <w:t xml:space="preserve"> </w:t>
      </w:r>
      <w:r>
        <w:t xml:space="preserve">• Cap variants</w:t>
      </w:r>
      <w:r>
        <w:t xml:space="preserve"> </w:t>
      </w:r>
      <w:r>
        <w:t xml:space="preserve">For derriving a free allocation budget and the resulting free allocation and cross sectorial</w:t>
      </w:r>
      <w:r>
        <w:t xml:space="preserve"> </w:t>
      </w:r>
      <w:r>
        <w:t xml:space="preserve">correction factor, each policy measure has been constructed based on the ambition level</w:t>
      </w:r>
      <w:r>
        <w:t xml:space="preserve"> </w:t>
      </w:r>
      <w:r>
        <w:t xml:space="preserve">determined under the measure CAP2.</w:t>
      </w:r>
      <w:r>
        <w:br/>
      </w:r>
      <w:r>
        <w:t xml:space="preserve">In addition, a variant is analysed for CL2 based on a version of the 85% reference scenario</w:t>
      </w:r>
      <w:r>
        <w:t xml:space="preserve"> </w:t>
      </w:r>
      <w:r>
        <w:t xml:space="preserve">attaining in 2035 an economy-wide GHG emissions level target consistent with a pathway</w:t>
      </w:r>
      <w:r>
        <w:t xml:space="preserve"> </w:t>
      </w:r>
      <w:r>
        <w:t xml:space="preserve">towards a 90% target in 2040, but thereafter consistent with an 85% target in 2040.</w:t>
      </w:r>
      <w:r>
        <w:t xml:space="preserve"> </w:t>
      </w:r>
      <w:r>
        <w:t xml:space="preserve">(CL290_9085 and CL_90C_9085). This corresponds to the CAP3 measure for the trajectory</w:t>
      </w:r>
      <w:r>
        <w:t xml:space="preserve"> </w:t>
      </w:r>
      <w:r>
        <w:t xml:space="preserve">of the EU ETS from 2031-2040 (see Annex 8 – part 1, section. 2.2)</w:t>
      </w:r>
      <w:r>
        <w:t xml:space="preserve"> </w:t>
      </w:r>
      <w:r>
        <w:t xml:space="preserve">1.3.1.2.</w:t>
      </w:r>
      <w:r>
        <w:t xml:space="preserve"> </w:t>
      </w:r>
      <w:r>
        <w:t xml:space="preserve">Carbon leakage prevention measures for indirect emissions</w:t>
      </w:r>
      <w:r>
        <w:t xml:space="preserve"> </w:t>
      </w:r>
      <w:r>
        <w:t xml:space="preserve">The following two policy measures are considered in the impact assessment:</w:t>
      </w:r>
      <w:r>
        <w:t xml:space="preserve"> </w:t>
      </w:r>
      <w:r>
        <w:t xml:space="preserve">• ICC1: Continued existing State-aid encouragement:</w:t>
      </w:r>
      <w:r>
        <w:br/>
      </w:r>
      <w:r>
        <w:t xml:space="preserve">The policy measure envisages continuing the encouragement for Member States to provide</w:t>
      </w:r>
      <w:r>
        <w:t xml:space="preserve"> </w:t>
      </w:r>
      <w:r>
        <w:t xml:space="preserve">indirect carbon cost (ICC) compensation in line with State aid rules, as set out in Article 10a(6)</w:t>
      </w:r>
      <w:r>
        <w:t xml:space="preserve"> </w:t>
      </w:r>
      <w:r>
        <w:t xml:space="preserve">of the ETS Directive.</w:t>
      </w:r>
      <w:r>
        <w:t xml:space="preserve"> </w:t>
      </w:r>
      <w:r>
        <w:t xml:space="preserve">As with the existing Article 10a(6), the Commission may elaborate specific rules concerning</w:t>
      </w:r>
      <w:r>
        <w:t xml:space="preserve"> </w:t>
      </w:r>
      <w:r>
        <w:t xml:space="preserve">ICC compensation through State aid guidelines. The guidelines currently in force apply to</w:t>
      </w:r>
      <w:r>
        <w:t xml:space="preserve"> </w:t>
      </w:r>
      <w:r>
        <w:t xml:space="preserve">Member States’ measures granted up to 2030.</w:t>
      </w:r>
      <w:r>
        <w:br/>
      </w:r>
      <w:r>
        <w:t xml:space="preserve">• ICC2: Partly harmonised ICC:</w:t>
      </w:r>
      <w:r>
        <w:br/>
      </w:r>
      <w:r>
        <w:t xml:space="preserve">In addition to the measures described in ICC1, this would consist of providing EU-level</w:t>
      </w:r>
      <w:r>
        <w:t xml:space="preserve"> </w:t>
      </w:r>
      <w:r>
        <w:t xml:space="preserve">funding for ICC compensation by reserving 5% of auctioned allowances for this purpose.</w:t>
      </w:r>
      <w:r>
        <w:t xml:space="preserve"> </w:t>
      </w:r>
      <w:r>
        <w:t xml:space="preserve">Providing harmonised ICC compensation through an EU-level instrument would reduce</w:t>
      </w:r>
      <w:r>
        <w:t xml:space="preserve"> </w:t>
      </w:r>
      <w:r>
        <w:t xml:space="preserve">distortion in the single market and provide increased certainty to firms. Given budget</w:t>
      </w:r>
      <w:r>
        <w:t xml:space="preserve"> </w:t>
      </w:r>
      <w:r>
        <w:t xml:space="preserve">constraints, a harmonised ICC fund may not be able to provide support at the maximum</w:t>
      </w:r>
      <w:r>
        <w:t xml:space="preserve"> </w:t>
      </w:r>
      <w:r>
        <w:t xml:space="preserve">intensity currently permitted in the State aid guidelines. Therefore, each Member State would</w:t>
      </w:r>
      <w:r>
        <w:t xml:space="preserve"> </w:t>
      </w:r>
      <w:r>
        <w:t xml:space="preserve">retain the right to provide additional compensation up to the level permitted under State aid</w:t>
      </w:r>
      <w:r>
        <w:t xml:space="preserve"> </w:t>
      </w:r>
      <w:r>
        <w:t xml:space="preserve">rules.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1.4. Assessment of the measures</w:t>
      </w:r>
      <w:r>
        <w:t xml:space="preserve"> </w:t>
      </w:r>
      <w:r>
        <w:t xml:space="preserve">1.4.1. Overview</w:t>
      </w:r>
      <w:r>
        <w:t xml:space="preserve"> </w:t>
      </w:r>
      <w:r>
        <w:t xml:space="preserve">Free allocation numbers, indirect carbon costs and the impact on carbon leakage protection are</w:t>
      </w:r>
      <w:r>
        <w:t xml:space="preserve"> </w:t>
      </w:r>
      <w:r>
        <w:t xml:space="preserve">affected not only by changes in the free allocation measures, but also by the broader changes</w:t>
      </w:r>
      <w:r>
        <w:t xml:space="preserve"> </w:t>
      </w:r>
      <w:r>
        <w:t xml:space="preserve">to the ETS Directive, such as the level of ambition and the resulting ETS cap and linear</w:t>
      </w:r>
      <w:r>
        <w:t xml:space="preserve"> </w:t>
      </w:r>
      <w:r>
        <w:t xml:space="preserve">reduction factor, the integration of removals or the inclusion of waste incineration in the scope</w:t>
      </w:r>
      <w:r>
        <w:t xml:space="preserve"> </w:t>
      </w:r>
      <w:r>
        <w:t xml:space="preserve">of the EU ETS. Changes to the Market Stability Reserve may also impact liquidity. Therefore,</w:t>
      </w:r>
      <w:r>
        <w:t xml:space="preserve"> </w:t>
      </w:r>
      <w:r>
        <w:t xml:space="preserve">the full impact of the measures on carbon leakage protection outlined in this chapter can only</w:t>
      </w:r>
      <w:r>
        <w:t xml:space="preserve"> </w:t>
      </w:r>
      <w:r>
        <w:t xml:space="preserve">be assessed in combination with the measures on ambition, the integration of removals, MSR,</w:t>
      </w:r>
      <w:r>
        <w:t xml:space="preserve"> </w:t>
      </w:r>
      <w:r>
        <w:t xml:space="preserve">cap and scope as part of the policy options, outlined in section 6 of this impact assessment .</w:t>
      </w:r>
      <w:r>
        <w:t xml:space="preserve"> </w:t>
      </w:r>
      <w:r>
        <w:t xml:space="preserve">The impact of the carbon leakage protection measures described in section 1.4 focuses on the</w:t>
      </w:r>
      <w:r>
        <w:t xml:space="preserve"> </w:t>
      </w:r>
      <w:r>
        <w:t xml:space="preserve">quantitative assessments of the quantity of free allocation under the different scenarios, the</w:t>
      </w:r>
      <w:r>
        <w:t xml:space="preserve"> </w:t>
      </w:r>
      <w:r>
        <w:t xml:space="preserve">sectorial distribution of the free allocation, as well as the financial value of these allowances.</w:t>
      </w:r>
      <w:r>
        <w:br/>
      </w:r>
      <w:r>
        <w:t xml:space="preserve">In addition, GEM-E3 model runs have been completed to estimate a range of economic, social</w:t>
      </w:r>
      <w:r>
        <w:t xml:space="preserve"> </w:t>
      </w:r>
      <w:r>
        <w:t xml:space="preserve">and environmental impacts resulting from different free allocation distributions across non-</w:t>
      </w:r>
      <w:r>
        <w:t xml:space="preserve"> </w:t>
      </w:r>
      <w:r>
        <w:t xml:space="preserve">CBAM sectors over the 2031-40 period. The GEM-E3 model is informed by output provided</w:t>
      </w:r>
      <w:r>
        <w:t xml:space="preserve"> </w:t>
      </w:r>
      <w:r>
        <w:t xml:space="preserve">by PRIMES to then assess the impact of different options for the provision of free allocation.</w:t>
      </w:r>
      <w:r>
        <w:t xml:space="preserve"> </w:t>
      </w:r>
      <w:r>
        <w:t xml:space="preserve">The baseline considered under the GEM-E3 model is a free allocation budget based on the</w:t>
      </w:r>
      <w:r>
        <w:t xml:space="preserve"> </w:t>
      </w:r>
      <w:r>
        <w:t xml:space="preserve">continuation of the existing legislation that assumes the ETS cap declines with an LRF of 4.4%</w:t>
      </w:r>
      <w:r>
        <w:t xml:space="preserve"> </w:t>
      </w:r>
      <w:r>
        <w:t xml:space="preserve">between 2031-2040.</w:t>
      </w:r>
      <w:r>
        <w:br/>
      </w:r>
      <w:r>
        <w:t xml:space="preserve">The modelling then compares different expectations in terms of free allocation budgets and</w:t>
      </w:r>
      <w:r>
        <w:t xml:space="preserve"> </w:t>
      </w:r>
      <w:r>
        <w:t xml:space="preserve">how the allowances are distributed across industrial sectors to then provide quantitative metrics</w:t>
      </w:r>
      <w:r>
        <w:t xml:space="preserve"> </w:t>
      </w:r>
      <w:r>
        <w:t xml:space="preserve">on carbon leakage rates as well as macro-economic implications. The annual share of the</w:t>
      </w:r>
      <w:r>
        <w:t xml:space="preserve"> </w:t>
      </w:r>
      <w:r>
        <w:t xml:space="preserve">verified emissions that are estimated to be covered by free allocation for different industrial</w:t>
      </w:r>
      <w:r>
        <w:t xml:space="preserve"> </w:t>
      </w:r>
      <w:r>
        <w:t xml:space="preserve">sectors between 2031 and 2040 is provided as a modelling input on free allocation for the</w:t>
      </w:r>
      <w:r>
        <w:t xml:space="preserve"> </w:t>
      </w:r>
      <w:r>
        <w:t xml:space="preserve">GEM-E3 model runs. This modelling input has been determined based upon a comprehensive</w:t>
      </w:r>
      <w:r>
        <w:t xml:space="preserve"> </w:t>
      </w:r>
      <w:r>
        <w:t xml:space="preserve">bottom-up calculation of free allocation using sub-installation data from the preliminary NIMs</w:t>
      </w:r>
      <w:r>
        <w:t xml:space="preserve"> </w:t>
      </w:r>
      <w:r>
        <w:t xml:space="preserve">dataset for 2019-23 for both activity levels and emissions. The NIMs database is the outcome</w:t>
      </w:r>
      <w:r>
        <w:t xml:space="preserve"> </w:t>
      </w:r>
      <w:r>
        <w:t xml:space="preserve">of the National Implementation Measure (NIM), which was specified in Article 14 of</w:t>
      </w:r>
      <w:r>
        <w:t xml:space="preserve"> </w:t>
      </w:r>
      <w:r>
        <w:t xml:space="preserve">Commission Delegated Regulation (EU) 2019/331 – ‘Free Allocation Regulation’ (FAR)9</w:t>
      </w:r>
      <w:r>
        <w:t xml:space="preserve"> </w:t>
      </w:r>
      <w:r>
        <w:t xml:space="preserve">requiring EU Member States to inform the European Commission by providing a list of</w:t>
      </w:r>
      <w:r>
        <w:t xml:space="preserve"> </w:t>
      </w:r>
      <w:r>
        <w:t xml:space="preserve">installations covered by the EU ETS and the preliminary amount of free allowances to be</w:t>
      </w:r>
      <w:r>
        <w:t xml:space="preserve"> </w:t>
      </w:r>
      <w:r>
        <w:t xml:space="preserve">allocated to these installations calculated in accordance with Union-wide harmonised rules for</w:t>
      </w:r>
      <w:r>
        <w:t xml:space="preserve"> </w:t>
      </w:r>
      <w:r>
        <w:t xml:space="preserve">free allocation. Table 3 provides an overview of the scenarios used for the GEM-E3</w:t>
      </w:r>
      <w:r>
        <w:t xml:space="preserve"> </w:t>
      </w:r>
      <w:r>
        <w:t xml:space="preserve">assessment, while a full explanation of the GEM-E3 model and its application in this impact</w:t>
      </w:r>
      <w:r>
        <w:t xml:space="preserve"> </w:t>
      </w:r>
      <w:r>
        <w:t xml:space="preserve">assessment is outlined in Annex 4.</w:t>
      </w:r>
      <w:r>
        <w:t xml:space="preserve"> </w:t>
      </w:r>
      <w:r>
        <w:t xml:space="preserve">Table 3:</w:t>
      </w:r>
      <w:r>
        <w:t xml:space="preserve"> </w:t>
      </w:r>
      <w:r>
        <w:t xml:space="preserve">Summary of GEM-E3 scenarios and policy options they address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Impact (Summary)</w:t>
      </w:r>
      <w:r>
        <w:t xml:space="preserve"> </w:t>
      </w:r>
      <w:r>
        <w:t xml:space="preserve">Baseline/Reference</w:t>
      </w:r>
      <w:r>
        <w:t xml:space="preserve"> </w:t>
      </w:r>
      <w:r>
        <w:t xml:space="preserve">Scenario</w:t>
      </w:r>
      <w:r>
        <w:t xml:space="preserve"> </w:t>
      </w:r>
      <w:r>
        <w:t xml:space="preserve">Post-2030 greenhouse gas emissions reductions are driven by continued</w:t>
      </w:r>
      <w:r>
        <w:t xml:space="preserve"> </w:t>
      </w:r>
      <w:r>
        <w:t xml:space="preserve">mitigation in both ETS and non-ETS sectors, in line with existing</w:t>
      </w:r>
      <w:r>
        <w:t xml:space="preserve"> </w:t>
      </w:r>
      <w:r>
        <w:t xml:space="preserve">regulatory frameworks. Under the scenario, EU ETS emissions continue</w:t>
      </w:r>
    </w:p>
    <w:p>
      <w:pPr>
        <w:pStyle w:val="BodyText"/>
      </w:pPr>
      <w:r>
        <w:t xml:space="preserve">9</w:t>
      </w:r>
      <w:r>
        <w:br/>
      </w:r>
      <w:r>
        <w:t xml:space="preserve">Commission Delegated Regulation (EU) 2019/331 of 19 December 2018 determining transitional Union-</w:t>
      </w:r>
      <w:r>
        <w:t xml:space="preserve"> </w:t>
      </w:r>
      <w:r>
        <w:t xml:space="preserve">wide rules for harmonised free allocation of emission allowances pursuant to Article 10a of Directive</w:t>
      </w:r>
      <w:r>
        <w:t xml:space="preserve"> </w:t>
      </w:r>
      <w:r>
        <w:t xml:space="preserve">2003/87/EC of the European Parliament and of the Council, http://data.europa.eu/eli/reg_del/2019/331/oj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Policy Options</w:t>
      </w:r>
      <w:r>
        <w:t xml:space="preserve"> </w:t>
      </w:r>
      <w:r>
        <w:t xml:space="preserve">Impact (Summary)</w:t>
      </w:r>
      <w:r>
        <w:t xml:space="preserve"> </w:t>
      </w:r>
      <w:r>
        <w:t xml:space="preserve">to decline annually following the linear reduction pathway as currently</w:t>
      </w:r>
      <w:r>
        <w:t xml:space="preserve"> </w:t>
      </w:r>
      <w:r>
        <w:t xml:space="preserve">legislated. The revenue generated via the EU ETS is recycled, with 50%</w:t>
      </w:r>
      <w:r>
        <w:t xml:space="preserve"> </w:t>
      </w:r>
      <w:r>
        <w:t xml:space="preserve">allocated to financing power-sector investments and the remaining 50%</w:t>
      </w:r>
      <w:r>
        <w:t xml:space="preserve"> </w:t>
      </w:r>
      <w:r>
        <w:t xml:space="preserve">dedicated to improving energy efficiency in EU ETS industries.</w:t>
      </w:r>
      <w:r>
        <w:t xml:space="preserve"> </w:t>
      </w:r>
      <w:r>
        <w:t xml:space="preserve">PO1</w:t>
      </w:r>
      <w:r>
        <w:t xml:space="preserve"> </w:t>
      </w:r>
      <w:r>
        <w:t xml:space="preserve">(CL1</w:t>
      </w:r>
      <w:r>
        <w:t xml:space="preserve"> </w:t>
      </w:r>
      <w:r>
        <w:t xml:space="preserve">&amp;</w:t>
      </w:r>
      <w:r>
        <w:t xml:space="preserve"> </w:t>
      </w:r>
      <w:r>
        <w:t xml:space="preserve">CL1R)</w:t>
      </w:r>
      <w:r>
        <w:t xml:space="preserve"> </w:t>
      </w:r>
      <w:r>
        <w:t xml:space="preserve">CL1: EU targets 85% reduction in GHG emissions by 2040, with free</w:t>
      </w:r>
      <w:r>
        <w:t xml:space="preserve"> </w:t>
      </w:r>
      <w:r>
        <w:t xml:space="preserve">allocation for non-CBAM sectors based on updated product</w:t>
      </w:r>
      <w:r>
        <w:t xml:space="preserve"> </w:t>
      </w:r>
      <w:r>
        <w:t xml:space="preserve">benchmarks, which is the improved current approach. The revenue</w:t>
      </w:r>
      <w:r>
        <w:t xml:space="preserve"> </w:t>
      </w:r>
      <w:r>
        <w:t xml:space="preserve">generated via the EU ETS is recycled, with 50% allocated to financing</w:t>
      </w:r>
      <w:r>
        <w:t xml:space="preserve"> </w:t>
      </w:r>
      <w:r>
        <w:t xml:space="preserve">power-sector investments and the remaining 50% dedicated to</w:t>
      </w:r>
      <w:r>
        <w:t xml:space="preserve"> </w:t>
      </w:r>
      <w:r>
        <w:t xml:space="preserve">improving energy efficiency in EU ETS industries.</w:t>
      </w:r>
      <w:r>
        <w:t xml:space="preserve"> </w:t>
      </w:r>
      <w:r>
        <w:t xml:space="preserve">CL1R: CL1 with revised recycling structure, where the 50% allocation</w:t>
      </w:r>
      <w:r>
        <w:t xml:space="preserve"> </w:t>
      </w:r>
      <w:r>
        <w:t xml:space="preserve">to financing power-sector investments is instead transferred as a</w:t>
      </w:r>
      <w:r>
        <w:t xml:space="preserve"> </w:t>
      </w:r>
      <w:r>
        <w:t xml:space="preserve">lumpsum payment to the households, while power investments are</w:t>
      </w:r>
      <w:r>
        <w:t xml:space="preserve"> </w:t>
      </w:r>
      <w:r>
        <w:t xml:space="preserve">financed via domestic and foreign borrowing.</w:t>
      </w:r>
      <w:r>
        <w:t xml:space="preserve"> </w:t>
      </w:r>
      <w:r>
        <w:t xml:space="preserve">PO2</w:t>
      </w:r>
      <w:r>
        <w:t xml:space="preserve"> </w:t>
      </w:r>
      <w:r>
        <w:t xml:space="preserve">(CL2_50,</w:t>
      </w:r>
      <w:r>
        <w:t xml:space="preserve"> </w:t>
      </w:r>
      <w:r>
        <w:t xml:space="preserve">CL2_90, CL2_50C</w:t>
      </w:r>
      <w:r>
        <w:t xml:space="preserve"> </w:t>
      </w:r>
      <w:r>
        <w:t xml:space="preserve">&amp;</w:t>
      </w:r>
      <w:r>
        <w:t xml:space="preserve"> </w:t>
      </w:r>
      <w:r>
        <w:t xml:space="preserve">CL2_90C,</w:t>
      </w:r>
      <w:r>
        <w:t xml:space="preserve"> </w:t>
      </w:r>
      <w:r>
        <w:t xml:space="preserve">CL2_90_9085 and</w:t>
      </w:r>
      <w:r>
        <w:t xml:space="preserve"> </w:t>
      </w:r>
      <w:r>
        <w:t xml:space="preserve">CL2_90C_9085)</w:t>
      </w:r>
      <w:r>
        <w:t xml:space="preserve"> </w:t>
      </w:r>
      <w:r>
        <w:t xml:space="preserve">CL2_50 &amp; CL2_90: EU targets 85% reduction in GHG emissions by</w:t>
      </w:r>
      <w:r>
        <w:t xml:space="preserve"> </w:t>
      </w:r>
      <w:r>
        <w:t xml:space="preserve">2040, along with a progressive share of free allocation for non-CBAM</w:t>
      </w:r>
      <w:r>
        <w:t xml:space="preserve"> </w:t>
      </w:r>
      <w:r>
        <w:t xml:space="preserve">sectors which is conditional on investment in green energy/technology</w:t>
      </w:r>
      <w:r>
        <w:t xml:space="preserve"> </w:t>
      </w:r>
      <w:r>
        <w:t xml:space="preserve">with two compliance variants, i.e. 50% and 90%. The emissions from</w:t>
      </w:r>
      <w:r>
        <w:t xml:space="preserve"> </w:t>
      </w:r>
      <w:r>
        <w:t xml:space="preserve">the municipal waste are also considered under the EU ETS. The revenue</w:t>
      </w:r>
      <w:r>
        <w:t xml:space="preserve"> </w:t>
      </w:r>
      <w:r>
        <w:t xml:space="preserve">generated via the EU ETS is recycled, with 50% allocated to financing</w:t>
      </w:r>
      <w:r>
        <w:t xml:space="preserve"> </w:t>
      </w:r>
      <w:r>
        <w:t xml:space="preserve">power-sector investments and the remaining 50% dedicated to</w:t>
      </w:r>
      <w:r>
        <w:t xml:space="preserve"> </w:t>
      </w:r>
      <w:r>
        <w:t xml:space="preserve">improving energy efficiency in EU ETS industries.</w:t>
      </w:r>
      <w:r>
        <w:t xml:space="preserve"> </w:t>
      </w:r>
      <w:r>
        <w:t xml:space="preserve">CL2_50C &amp; CL2_90C: CL2_50 &amp; CL2_90 with a progressive share of</w:t>
      </w:r>
      <w:r>
        <w:t xml:space="preserve"> </w:t>
      </w:r>
      <w:r>
        <w:t xml:space="preserve">free allocation for both CBAM and non-CBAM sectors.</w:t>
      </w:r>
      <w:r>
        <w:t xml:space="preserve"> </w:t>
      </w:r>
      <w:r>
        <w:t xml:space="preserve">CL2_90_9085 and CL2_90C_9085 represent the same policy measures</w:t>
      </w:r>
      <w:r>
        <w:t xml:space="preserve"> </w:t>
      </w:r>
      <w:r>
        <w:t xml:space="preserve">as in CL_90 and CL_90 but assessed based on the 90-85 cap pathway.</w:t>
      </w:r>
      <w:r>
        <w:br/>
      </w:r>
      <w:r>
        <w:t xml:space="preserve">PO3</w:t>
      </w:r>
      <w:r>
        <w:t xml:space="preserve"> </w:t>
      </w:r>
      <w:r>
        <w:t xml:space="preserve">(CL3</w:t>
      </w:r>
      <w:r>
        <w:t xml:space="preserve"> </w:t>
      </w:r>
      <w:r>
        <w:t xml:space="preserve">&amp;</w:t>
      </w:r>
      <w:r>
        <w:t xml:space="preserve"> </w:t>
      </w:r>
      <w:r>
        <w:t xml:space="preserve">CL3R)</w:t>
      </w:r>
      <w:r>
        <w:t xml:space="preserve"> </w:t>
      </w:r>
      <w:r>
        <w:t xml:space="preserve">CL3: EU targets 85% reduction in GHG emissions by 2040 as it phases</w:t>
      </w:r>
      <w:r>
        <w:t xml:space="preserve"> </w:t>
      </w:r>
      <w:r>
        <w:t xml:space="preserve">out the free allowance for non-CBAM sectors to ensure no further free</w:t>
      </w:r>
      <w:r>
        <w:t xml:space="preserve"> </w:t>
      </w:r>
      <w:r>
        <w:t xml:space="preserve">allowances are provided to industry 2034 onwards. The emissions from</w:t>
      </w:r>
      <w:r>
        <w:t xml:space="preserve"> </w:t>
      </w:r>
      <w:r>
        <w:t xml:space="preserve">the waste sector (including municipal, landfill, etc.) are also considered</w:t>
      </w:r>
      <w:r>
        <w:t xml:space="preserve"> </w:t>
      </w:r>
      <w:r>
        <w:t xml:space="preserve">under the EU ETS. The revenue generated via the EU ETS is recycled,</w:t>
      </w:r>
      <w:r>
        <w:t xml:space="preserve"> </w:t>
      </w:r>
      <w:r>
        <w:t xml:space="preserve">with 50% allocated to financing power-sector investments and the</w:t>
      </w:r>
      <w:r>
        <w:t xml:space="preserve"> </w:t>
      </w:r>
      <w:r>
        <w:t xml:space="preserve">remaining 50% dedicated to improving energy efficiency in EU ETS</w:t>
      </w:r>
      <w:r>
        <w:t xml:space="preserve"> </w:t>
      </w:r>
      <w:r>
        <w:t xml:space="preserve">industries.</w:t>
      </w:r>
      <w:r>
        <w:t xml:space="preserve"> </w:t>
      </w:r>
      <w:r>
        <w:t xml:space="preserve">CL3R: CL3 with revised recycling structure, where the 50% allocation</w:t>
      </w:r>
      <w:r>
        <w:t xml:space="preserve"> </w:t>
      </w:r>
      <w:r>
        <w:t xml:space="preserve">to financing power-sector investments is instead transferred as a</w:t>
      </w:r>
      <w:r>
        <w:t xml:space="preserve"> </w:t>
      </w:r>
      <w:r>
        <w:t xml:space="preserve">lumpsum payment to the households, while power investments are</w:t>
      </w:r>
      <w:r>
        <w:t xml:space="preserve"> </w:t>
      </w:r>
      <w:r>
        <w:t xml:space="preserve">financed via domestic and foreign borrowing.</w:t>
      </w:r>
      <w:r>
        <w:t xml:space="preserve"> </w:t>
      </w:r>
      <w:r>
        <w:t xml:space="preserve">For indirect carbon costs, the section analyses their possible evolution out to 2040 and</w:t>
      </w:r>
      <w:r>
        <w:t xml:space="preserve"> </w:t>
      </w:r>
      <w:r>
        <w:t xml:space="preserve">considers how the ETS Directive’s provisions concerning indirect cost compensation should</w:t>
      </w:r>
      <w:r>
        <w:t xml:space="preserve"> </w:t>
      </w:r>
      <w:r>
        <w:t xml:space="preserve">evolve. This analysis is limited in its level of detail since indirect cost compensation is currently</w:t>
      </w:r>
      <w:r>
        <w:t xml:space="preserve"> </w:t>
      </w:r>
      <w:r>
        <w:t xml:space="preserve">provided via State aid and granular assessment of indirect cost compensation is typically</w:t>
      </w:r>
      <w:r>
        <w:t xml:space="preserve"> </w:t>
      </w:r>
      <w:r>
        <w:t xml:space="preserve">conducted through the elaboration and amendment of dedicated State Aid Guidelines.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The impact assessment also relies upon more qualitative inputs, especially with regards to</w:t>
      </w:r>
      <w:r>
        <w:t xml:space="preserve"> </w:t>
      </w:r>
      <w:r>
        <w:t xml:space="preserve">stakeholder interviews and OPC responses to put the assumptions applied in the modelling into</w:t>
      </w:r>
      <w:r>
        <w:t xml:space="preserve"> </w:t>
      </w:r>
      <w:r>
        <w:t xml:space="preserve">context of the experiences from industry and others.</w:t>
      </w:r>
      <w:r>
        <w:br/>
      </w:r>
      <w:r>
        <w:t xml:space="preserve">1.4.2. Economic impacts</w:t>
      </w:r>
      <w:r>
        <w:t xml:space="preserve"> </w:t>
      </w:r>
      <w:r>
        <w:t xml:space="preserve">1.4.2.1.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1.4.2.1.1.</w:t>
      </w:r>
      <w:r>
        <w:t xml:space="preserve"> </w:t>
      </w:r>
      <w:r>
        <w:t xml:space="preserve">Carbon leakage prevention measures for direct emissions</w:t>
      </w:r>
      <w:r>
        <w:t xml:space="preserve"> </w:t>
      </w:r>
      <w:r>
        <w:t xml:space="preserve">According to the legal default, no free allocation is provided from 2031. However, this is</w:t>
      </w:r>
      <w:r>
        <w:t xml:space="preserve"> </w:t>
      </w:r>
      <w:r>
        <w:t xml:space="preserve">different to what was envisaged in other Union legislation10, so it was appropriate to establish</w:t>
      </w:r>
      <w:r>
        <w:t xml:space="preserve"> </w:t>
      </w:r>
      <w:r>
        <w:t xml:space="preserve">a different baseline scenario for the provision of free allocation over 2031-40. The decision</w:t>
      </w:r>
      <w:r>
        <w:t xml:space="preserve"> </w:t>
      </w:r>
      <w:r>
        <w:t xml:space="preserve">was taken to assume in the baseline that there will be a continuation of the current carbon</w:t>
      </w:r>
      <w:r>
        <w:t xml:space="preserve"> </w:t>
      </w:r>
      <w:r>
        <w:t xml:space="preserve">leakage rules albeit with no update of the carbon leakage list or product benchmarks. In the</w:t>
      </w:r>
      <w:r>
        <w:t xml:space="preserve"> </w:t>
      </w:r>
      <w:r>
        <w:t xml:space="preserve">baseline, free allocation was therefore still determined using preliminary NIMs date and</w:t>
      </w:r>
      <w:r>
        <w:t xml:space="preserve"> </w:t>
      </w:r>
      <w:r>
        <w:t xml:space="preserve">applying the existing formula for free allocation (i.e. preliminary free allocation = activity</w:t>
      </w:r>
      <w:r>
        <w:t xml:space="preserve"> </w:t>
      </w:r>
      <w:r>
        <w:t xml:space="preserve">level</w:t>
      </w:r>
      <w:r>
        <w:rPr>
          <w:i/>
          <w:iCs/>
        </w:rPr>
        <w:t xml:space="preserve">benchmark (BM)</w:t>
      </w:r>
      <w:r>
        <w:t xml:space="preserve">Carbon Leakage Exposure Factor (CLEF)*Cross Sectoral Correction</w:t>
      </w:r>
      <w:r>
        <w:t xml:space="preserve"> </w:t>
      </w:r>
      <w:r>
        <w:t xml:space="preserve">Factor (CSCF)). Key assumptions taken to determine free allocation in the baseline included:</w:t>
      </w:r>
      <w:r>
        <w:t xml:space="preserve"> </w:t>
      </w:r>
      <w:r>
        <w:t xml:space="preserve">• The free allocation budget was determined based on a share of 43% of an ETS cap</w:t>
      </w:r>
      <w:r>
        <w:t xml:space="preserve"> </w:t>
      </w:r>
      <w:r>
        <w:t xml:space="preserve">resulting from the continuation of the currently legislated linear reduction factor of</w:t>
      </w:r>
      <w:r>
        <w:t xml:space="preserve"> </w:t>
      </w:r>
      <w:r>
        <w:t xml:space="preserve">4.4%. The 3% buffer for free allocation is not continued post 2030.</w:t>
      </w:r>
      <w:r>
        <w:t xml:space="preserve"> </w:t>
      </w:r>
      <w:r>
        <w:t xml:space="preserve">• The level of activity was assumed to conservatively remain constant over time.</w:t>
      </w:r>
      <w:r>
        <w:t xml:space="preserve"> </w:t>
      </w:r>
      <w:r>
        <w:t xml:space="preserve">• The existing product benchmarks were updated based upon 2021/22 data to determine</w:t>
      </w:r>
      <w:r>
        <w:t xml:space="preserve"> </w:t>
      </w:r>
      <w:r>
        <w:t xml:space="preserve">the top 10% of sub-installations for the 2026-30 period and these values were then</w:t>
      </w:r>
      <w:r>
        <w:t xml:space="preserve"> </w:t>
      </w:r>
      <w:r>
        <w:t xml:space="preserve">further extrapolated for the 2031-40 period.11</w:t>
      </w:r>
      <w:r>
        <w:t xml:space="preserve"> </w:t>
      </w:r>
      <w:r>
        <w:t xml:space="preserve">• The CLEF was not applied in the 2031-40 period, as the carbon leakage list was not</w:t>
      </w:r>
      <w:r>
        <w:t xml:space="preserve"> </w:t>
      </w:r>
      <w:r>
        <w:t xml:space="preserve">updated.</w:t>
      </w:r>
      <w:r>
        <w:br/>
      </w:r>
      <w:r>
        <w:t xml:space="preserve">To estimate the economic impact in terms of cost of the policy measures, it was necessary to</w:t>
      </w:r>
      <w:r>
        <w:t xml:space="preserve"> </w:t>
      </w:r>
      <w:r>
        <w:t xml:space="preserve">calculate free allocation for Phase V of the EU ETS for the different policy measures under</w:t>
      </w:r>
      <w:r>
        <w:t xml:space="preserve"> </w:t>
      </w:r>
      <w:r>
        <w:t xml:space="preserve">consideration. Each of the policy measures apply the same assumptions as outlined above in</w:t>
      </w:r>
      <w:r>
        <w:t xml:space="preserve"> </w:t>
      </w:r>
      <w:r>
        <w:t xml:space="preserve">the baseline scenario except for the following key assumptions:</w:t>
      </w:r>
      <w:r>
        <w:t xml:space="preserve"> </w:t>
      </w:r>
      <w:r>
        <w:t xml:space="preserve">• The free allocation budget is set based on the assumption that the share of the ETS cap</w:t>
      </w:r>
      <w:r>
        <w:t xml:space="preserve"> </w:t>
      </w:r>
      <w:r>
        <w:t xml:space="preserve">reserved for free allocation increases to 46% of the ETS cap for distribution, following</w:t>
      </w:r>
      <w:r>
        <w:t xml:space="preserve"> </w:t>
      </w:r>
      <w:r>
        <w:t xml:space="preserve">any transfers to instruments to support investments, such as the Industrial</w:t>
      </w:r>
      <w:r>
        <w:t xml:space="preserve"> </w:t>
      </w:r>
      <w:r>
        <w:t xml:space="preserve">Decarbonisation Bank (IDB) or the Innovation Fund (IF). The share of 46% results</w:t>
      </w:r>
      <w:r>
        <w:t xml:space="preserve"> </w:t>
      </w:r>
      <w:r>
        <w:t xml:space="preserve">from the 43% from the baseline and the 3% free allocation buffer that was foreseen but</w:t>
      </w:r>
      <w:r>
        <w:t xml:space="preserve"> </w:t>
      </w:r>
      <w:r>
        <w:t xml:space="preserve">not used in Phase IV. As the CSCF is projected to be triggered in all scenarios, the 3%</w:t>
      </w:r>
      <w:r>
        <w:t xml:space="preserve"> </w:t>
      </w:r>
      <w:r>
        <w:t xml:space="preserve">buffer is already integrated in the free allocation budget.</w:t>
      </w:r>
      <w:r>
        <w:br/>
      </w:r>
      <w:r>
        <w:t xml:space="preserve">The free allocation budget is higher in all the policy measures as lower LRFs were applied to</w:t>
      </w:r>
      <w:r>
        <w:t xml:space="preserve"> </w:t>
      </w:r>
      <w:r>
        <w:t xml:space="preserve">the ETS cap over the 2031-40 period than in the baseline scenario (see Annex 8 – part 1, section</w:t>
      </w:r>
    </w:p>
    <w:p>
      <w:pPr>
        <w:pStyle w:val="BodyText"/>
      </w:pPr>
      <w:r>
        <w:t xml:space="preserve">10 Regulation (EU) 2023/956 envisages free allocations after 2030.</w:t>
      </w:r>
      <w:r>
        <w:t xml:space="preserve"> </w:t>
      </w:r>
      <w:r>
        <w:t xml:space="preserve">11 The proposed approach for updating benchmark values for Phase V for the purpose of the modelling exercise</w:t>
      </w:r>
      <w:r>
        <w:t xml:space="preserve"> </w:t>
      </w:r>
      <w:r>
        <w:t xml:space="preserve">was to continue the update rate applied for the calculation of the 2026-30 benchmarks up until 2040. The BM</w:t>
      </w:r>
      <w:r>
        <w:t xml:space="preserve"> </w:t>
      </w:r>
      <w:r>
        <w:t xml:space="preserve">value for 2031-35 will be based on the 2033 value and the BM value for 2036-40 will be based on the 2038</w:t>
      </w:r>
      <w:r>
        <w:t xml:space="preserve"> </w:t>
      </w:r>
      <w:r>
        <w:t xml:space="preserve">value.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2.6). Based on these assumptions a free allocation budget results under the baseline and each</w:t>
      </w:r>
      <w:r>
        <w:t xml:space="preserve"> </w:t>
      </w:r>
      <w:r>
        <w:t xml:space="preserve">policy options scenarios, as outlined in Table 4</w:t>
      </w:r>
      <w:r>
        <w:t xml:space="preserve"> </w:t>
      </w:r>
      <w:r>
        <w:t xml:space="preserve">Table 4:</w:t>
      </w:r>
      <w:r>
        <w:t xml:space="preserve"> </w:t>
      </w:r>
      <w:r>
        <w:t xml:space="preserve">Overview of the 2031-40 free allocation in the baseline compared to the policy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Scenario</w:t>
      </w:r>
      <w:r>
        <w:t xml:space="preserve"> </w:t>
      </w:r>
      <w:r>
        <w:t xml:space="preserve">2031-40 free allocation budget (M EUAs)</w:t>
      </w:r>
      <w:r>
        <w:t xml:space="preserve"> </w:t>
      </w:r>
      <w:r>
        <w:t xml:space="preserve">Baseline</w:t>
      </w:r>
      <w:r>
        <w:t xml:space="preserve"> </w:t>
      </w:r>
      <w:r>
        <w:t xml:space="preserve">1453</w:t>
      </w:r>
      <w:r>
        <w:t xml:space="preserve"> </w:t>
      </w:r>
      <w:r>
        <w:t xml:space="preserve">CL1/PO1</w:t>
      </w:r>
      <w:r>
        <w:t xml:space="preserve"> </w:t>
      </w:r>
      <w:r>
        <w:t xml:space="preserve">1,934</w:t>
      </w:r>
      <w:r>
        <w:t xml:space="preserve"> </w:t>
      </w:r>
      <w:r>
        <w:t xml:space="preserve">CL2/PO2</w:t>
      </w:r>
      <w:r>
        <w:t xml:space="preserve"> </w:t>
      </w:r>
      <w:r>
        <w:t xml:space="preserve">2,026</w:t>
      </w:r>
      <w:r>
        <w:t xml:space="preserve"> </w:t>
      </w:r>
      <w:r>
        <w:t xml:space="preserve">CL3/PO3</w:t>
      </w:r>
      <w:r>
        <w:t xml:space="preserve"> </w:t>
      </w:r>
      <w:r>
        <w:t xml:space="preserve">2,367</w:t>
      </w:r>
      <w:r>
        <w:t xml:space="preserve"> </w:t>
      </w:r>
      <w:r>
        <w:t xml:space="preserve">Source: Own calculation</w:t>
      </w:r>
      <w:r>
        <w:br/>
      </w:r>
      <w:r>
        <w:t xml:space="preserve">The free allocation to be received by industry then varied further depending upon the</w:t>
      </w:r>
      <w:r>
        <w:t xml:space="preserve"> </w:t>
      </w:r>
      <w:r>
        <w:t xml:space="preserve">implementation of each measure.</w:t>
      </w:r>
      <w:r>
        <w:t xml:space="preserve"> </w:t>
      </w:r>
      <w:r>
        <w:t xml:space="preserve">• Under the improved current approach (CL1), the methodology is the same as in</w:t>
      </w:r>
      <w:r>
        <w:t xml:space="preserve"> </w:t>
      </w:r>
      <w:r>
        <w:t xml:space="preserve">the baseline. Potential simplifications or improvements under CL1 are not expected</w:t>
      </w:r>
      <w:r>
        <w:t xml:space="preserve"> </w:t>
      </w:r>
      <w:r>
        <w:t xml:space="preserve">to impact overall FA values. The free allocation budget is higher in CL1 because of</w:t>
      </w:r>
      <w:r>
        <w:t xml:space="preserve"> </w:t>
      </w:r>
      <w:r>
        <w:t xml:space="preserve">the different level of ambition and the different ETS cap. Also assumes existing</w:t>
      </w:r>
      <w:r>
        <w:t xml:space="preserve"> </w:t>
      </w:r>
      <w:r>
        <w:t xml:space="preserve">conditionality requirements are fulfilled. The phase-out of free allocation for</w:t>
      </w:r>
      <w:r>
        <w:t xml:space="preserve"> </w:t>
      </w:r>
      <w:r>
        <w:t xml:space="preserve">CBAM sectors is continued as in the baseline.</w:t>
      </w:r>
      <w:r>
        <w:br/>
      </w:r>
      <w:r>
        <w:t xml:space="preserve">• Under the conditional free allocation for investments approach (CL2), the</w:t>
      </w:r>
      <w:r>
        <w:t xml:space="preserve"> </w:t>
      </w:r>
      <w:r>
        <w:t xml:space="preserve">methodology is the same as outlined in CL1 but with expanded conditionality in</w:t>
      </w:r>
      <w:r>
        <w:t xml:space="preserve"> </w:t>
      </w:r>
      <w:r>
        <w:t xml:space="preserve">2031-40 with two variants to assume a range of compliance amongst ETS operators.</w:t>
      </w:r>
      <w:r>
        <w:t xml:space="preserve"> </w:t>
      </w:r>
      <w:r>
        <w:t xml:space="preserve">• Under the no free allocation from 2034 approach (CL3), the methodology differs</w:t>
      </w:r>
      <w:r>
        <w:t xml:space="preserve"> </w:t>
      </w:r>
      <w:r>
        <w:t xml:space="preserve">from the previous policy measures as free allocation is calculated based upon a</w:t>
      </w:r>
      <w:r>
        <w:t xml:space="preserve"> </w:t>
      </w:r>
      <w:r>
        <w:t xml:space="preserve">share of emissions in line with schedule phase out under this policy option.</w:t>
      </w:r>
      <w:r>
        <w:t xml:space="preserve"> </w:t>
      </w:r>
      <w:r>
        <w:t xml:space="preserve">Given that each policy measures under consideration in this impact assessment involves a</w:t>
      </w:r>
      <w:r>
        <w:t xml:space="preserve"> </w:t>
      </w:r>
      <w:r>
        <w:t xml:space="preserve">different distribution of free allowances across industry compared to the baseline, the economic</w:t>
      </w:r>
      <w:r>
        <w:t xml:space="preserve"> </w:t>
      </w:r>
      <w:r>
        <w:t xml:space="preserve">impact is outlined for each scenario in the following sub-sections below by firstly summarising</w:t>
      </w:r>
      <w:r>
        <w:t xml:space="preserve"> </w:t>
      </w:r>
      <w:r>
        <w:t xml:space="preserve">in a table the overall volume of free allowances that industry receives, and, secondly by</w:t>
      </w:r>
      <w:r>
        <w:t xml:space="preserve"> </w:t>
      </w:r>
      <w:r>
        <w:t xml:space="preserve">illustrating in a figure how the volume of allowances is distributed across industry. Figure 2</w:t>
      </w:r>
      <w:r>
        <w:t xml:space="preserve"> </w:t>
      </w:r>
      <w:r>
        <w:t xml:space="preserve">provides an overview of the free allowances to be allocated under the baseline and the different</w:t>
      </w:r>
      <w:r>
        <w:t xml:space="preserve"> </w:t>
      </w:r>
      <w:r>
        <w:t xml:space="preserve">policy options.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Figure 2:</w:t>
      </w:r>
      <w:r>
        <w:t xml:space="preserve"> </w:t>
      </w:r>
      <w:r>
        <w:t xml:space="preserve">Total free allocation across the policy options</w:t>
      </w:r>
    </w:p>
    <w:p>
      <w:pPr>
        <w:pStyle w:val="BodyText"/>
      </w:pPr>
      <w:r>
        <w:t xml:space="preserve">Source: Preliminary NIMs dataset (2019-23), Own calculation</w:t>
      </w:r>
      <w:r>
        <w:t xml:space="preserve"> </w:t>
      </w:r>
      <w:r>
        <w:t xml:space="preserve">While the economic impact of the policy measures on the conduct of business focuses primarily</w:t>
      </w:r>
      <w:r>
        <w:t xml:space="preserve"> </w:t>
      </w:r>
      <w:r>
        <w:t xml:space="preserve">on changes in the allocation of free allowances across industry, the introduction of further</w:t>
      </w:r>
      <w:r>
        <w:t xml:space="preserve"> </w:t>
      </w:r>
      <w:r>
        <w:t xml:space="preserve">conditionality under CL2 requires an assessment to quantify the potential positive impacts of</w:t>
      </w:r>
      <w:r>
        <w:t xml:space="preserve"> </w:t>
      </w:r>
      <w:r>
        <w:t xml:space="preserve">requiring installations to make binding financing decisions of an equivalent value with the</w:t>
      </w:r>
      <w:r>
        <w:t xml:space="preserve"> </w:t>
      </w:r>
      <w:r>
        <w:t xml:space="preserve">conditional free allocation to implement their climate neutrality plans. A share of free</w:t>
      </w:r>
      <w:r>
        <w:t xml:space="preserve"> </w:t>
      </w:r>
      <w:r>
        <w:t xml:space="preserve">allocation will be made conditional on installations demonstrating that they have meaningful</w:t>
      </w:r>
      <w:r>
        <w:t xml:space="preserve"> </w:t>
      </w:r>
      <w:r>
        <w:t xml:space="preserve">climate neutrality plans in place and that, by a certain deadline before the application for free</w:t>
      </w:r>
      <w:r>
        <w:t xml:space="preserve"> </w:t>
      </w:r>
      <w:r>
        <w:t xml:space="preserve">allocation for the following period, have made binding financing decisions of an equivalent</w:t>
      </w:r>
      <w:r>
        <w:t xml:space="preserve"> </w:t>
      </w:r>
      <w:r>
        <w:t xml:space="preserve">financial value with the conditional free allocation to implement their climate neutrality plans.</w:t>
      </w:r>
      <w:r>
        <w:br/>
      </w:r>
      <w:r>
        <w:t xml:space="preserve">The estimation of free allocation volumes in this analysis over 2031-40 is a simplification as it</w:t>
      </w:r>
      <w:r>
        <w:t xml:space="preserve"> </w:t>
      </w:r>
      <w:r>
        <w:t xml:space="preserve">relies upon the assumption that activity levels remain constant at 2023 levels for the entirety of</w:t>
      </w:r>
      <w:r>
        <w:t xml:space="preserve"> </w:t>
      </w:r>
      <w:r>
        <w:t xml:space="preserve">Phase V.</w:t>
      </w:r>
      <w:r>
        <w:br/>
      </w:r>
      <w:r>
        <w:t xml:space="preserve">The policy measures were designed to apply to sectors not currently covered by the CBAM.</w:t>
      </w:r>
      <w:r>
        <w:t xml:space="preserve"> </w:t>
      </w:r>
      <w:r>
        <w:t xml:space="preserve">The rationale for this was that a phase out of free allocation for CBAM sectors was already</w:t>
      </w:r>
      <w:r>
        <w:t xml:space="preserve"> </w:t>
      </w:r>
      <w:r>
        <w:t xml:space="preserve">legislated for under the CBAM regulation and the focus of the impact assessment was on how</w:t>
      </w:r>
      <w:r>
        <w:t xml:space="preserve"> </w:t>
      </w:r>
      <w:r>
        <w:t xml:space="preserve">best to reform free allocation for the remaining sectors.</w:t>
      </w:r>
      <w:r>
        <w:br/>
      </w:r>
      <w:r>
        <w:t xml:space="preserve">The analysis then concludes by summarising the relative changes in the volume of free</w:t>
      </w:r>
      <w:r>
        <w:t xml:space="preserve"> </w:t>
      </w:r>
      <w:r>
        <w:t xml:space="preserve">allocation and its distribution across industry and then converted the allowances into a</w:t>
      </w:r>
      <w:r>
        <w:t xml:space="preserve"> </w:t>
      </w:r>
      <w:r>
        <w:t xml:space="preserve">monetary value by applying an average EUA price projected for the 2031-40 period to quantify</w:t>
      </w:r>
      <w:r>
        <w:t xml:space="preserve"> </w:t>
      </w:r>
      <w:r>
        <w:t xml:space="preserve">the potential economic impact on the conduct of business.</w:t>
      </w:r>
      <w:r>
        <w:br/>
      </w:r>
      <w:r>
        <w:t xml:space="preserve">Baseline</w:t>
      </w:r>
      <w:r>
        <w:t xml:space="preserve"> </w:t>
      </w:r>
      <w:r>
        <w:t xml:space="preserve">Table 5 shows that the overall budget for free allocation between 2031-40 in the baseline. The</w:t>
      </w:r>
      <w:r>
        <w:t xml:space="preserve"> </w:t>
      </w:r>
      <w:r>
        <w:t xml:space="preserve">starting point for the estimation is the free allocation budget, which is set based upon the ETS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cap and the share of it reserved for free allocation. In the baseline, the total free allocation</w:t>
      </w:r>
      <w:r>
        <w:t xml:space="preserve"> </w:t>
      </w:r>
      <w:r>
        <w:t xml:space="preserve">budget is assumed to be 1,453 M EUAs over 2031-40. The preliminary free allocation was then</w:t>
      </w:r>
      <w:r>
        <w:t xml:space="preserve"> </w:t>
      </w:r>
      <w:r>
        <w:t xml:space="preserve">calculated following a bottom-up approach (see discussion above) and this resulted in a total</w:t>
      </w:r>
      <w:r>
        <w:t xml:space="preserve"> </w:t>
      </w:r>
      <w:r>
        <w:t xml:space="preserve">of 3,417 M EUAs over 2031-40. As the preliminary allocation exceeded the free allocation</w:t>
      </w:r>
      <w:r>
        <w:t xml:space="preserve"> </w:t>
      </w:r>
      <w:r>
        <w:t xml:space="preserve">budget, the CSCF was progressively applied over the period with the value declining rapidly</w:t>
      </w:r>
      <w:r>
        <w:t xml:space="preserve"> </w:t>
      </w:r>
      <w:r>
        <w:t xml:space="preserve">from 0.55 in 2034 to 0 by 2040. The application of the CSCF allows the final free allocation</w:t>
      </w:r>
      <w:r>
        <w:t xml:space="preserve"> </w:t>
      </w:r>
      <w:r>
        <w:t xml:space="preserve">budget to not exceed the free allocation budget for the 2031-40 period. In a final step, the</w:t>
      </w:r>
      <w:r>
        <w:t xml:space="preserve"> </w:t>
      </w:r>
      <w:r>
        <w:t xml:space="preserve">CBAM factor was applied over Phase V for sub-installations covered by the CBAM and this</w:t>
      </w:r>
      <w:r>
        <w:t xml:space="preserve"> </w:t>
      </w:r>
      <w:r>
        <w:t xml:space="preserve">reduced the total free allocation over 2031-40 to 778 M EUAs in the baseline.</w:t>
      </w:r>
      <w:r>
        <w:br/>
      </w:r>
      <w:r>
        <w:t xml:space="preserve">Table 5:</w:t>
      </w:r>
      <w:r>
        <w:t xml:space="preserve"> </w:t>
      </w:r>
      <w:r>
        <w:t xml:space="preserve">Estimation of the total volume of free allowances available under the baseline for 2031-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2031 2032 2033 2034 2035 2036 2037 2038 2039 2040</w:t>
      </w:r>
      <w:r>
        <w:t xml:space="preserve"> </w:t>
      </w:r>
      <w:r>
        <w:t xml:space="preserve">FA Budget</w:t>
      </w:r>
      <w:r>
        <w:t xml:space="preserve"> </w:t>
      </w:r>
      <w:r>
        <w:t xml:space="preserve">316</w:t>
      </w:r>
      <w:r>
        <w:t xml:space="preserve"> </w:t>
      </w:r>
      <w:r>
        <w:t xml:space="preserve">278</w:t>
      </w:r>
      <w:r>
        <w:t xml:space="preserve"> </w:t>
      </w:r>
      <w:r>
        <w:t xml:space="preserve">239</w:t>
      </w:r>
      <w:r>
        <w:t xml:space="preserve"> </w:t>
      </w:r>
      <w:r>
        <w:t xml:space="preserve">200</w:t>
      </w:r>
      <w:r>
        <w:t xml:space="preserve"> </w:t>
      </w:r>
      <w:r>
        <w:t xml:space="preserve">161</w:t>
      </w:r>
      <w:r>
        <w:t xml:space="preserve"> </w:t>
      </w:r>
      <w:r>
        <w:t xml:space="preserve">123</w:t>
      </w:r>
      <w:r>
        <w:t xml:space="preserve"> </w:t>
      </w:r>
      <w:r>
        <w:t xml:space="preserve">84</w:t>
      </w:r>
      <w:r>
        <w:t xml:space="preserve"> </w:t>
      </w:r>
      <w:r>
        <w:t xml:space="preserve">45</w:t>
      </w:r>
      <w:r>
        <w:t xml:space="preserve"> </w:t>
      </w:r>
      <w:r>
        <w:t xml:space="preserve">7</w:t>
      </w:r>
      <w:r>
        <w:t xml:space="preserve"> </w:t>
      </w:r>
      <w:r>
        <w:t xml:space="preserve">0</w:t>
      </w:r>
      <w:r>
        <w:t xml:space="preserve"> </w:t>
      </w:r>
      <w:r>
        <w:t xml:space="preserve">FA (Preliminary)</w:t>
      </w:r>
      <w:r>
        <w:t xml:space="preserve"> </w:t>
      </w:r>
      <w:r>
        <w:t xml:space="preserve">366</w:t>
      </w:r>
      <w:r>
        <w:t xml:space="preserve"> </w:t>
      </w:r>
      <w:r>
        <w:t xml:space="preserve">366</w:t>
      </w:r>
      <w:r>
        <w:t xml:space="preserve"> </w:t>
      </w:r>
      <w:r>
        <w:t xml:space="preserve">366</w:t>
      </w:r>
      <w:r>
        <w:t xml:space="preserve"> </w:t>
      </w:r>
      <w:r>
        <w:t xml:space="preserve">365</w:t>
      </w:r>
      <w:r>
        <w:t xml:space="preserve"> </w:t>
      </w:r>
      <w:r>
        <w:t xml:space="preserve">365</w:t>
      </w:r>
      <w:r>
        <w:t xml:space="preserve"> </w:t>
      </w:r>
      <w:r>
        <w:t xml:space="preserve">318</w:t>
      </w:r>
      <w:r>
        <w:t xml:space="preserve"> </w:t>
      </w:r>
      <w:r>
        <w:t xml:space="preserve">318</w:t>
      </w:r>
      <w:r>
        <w:t xml:space="preserve"> </w:t>
      </w:r>
      <w:r>
        <w:t xml:space="preserve">318</w:t>
      </w:r>
      <w:r>
        <w:t xml:space="preserve"> </w:t>
      </w:r>
      <w:r>
        <w:t xml:space="preserve">318</w:t>
      </w:r>
      <w:r>
        <w:t xml:space="preserve"> </w:t>
      </w:r>
      <w:r>
        <w:t xml:space="preserve">317</w:t>
      </w:r>
      <w:r>
        <w:t xml:space="preserve"> </w:t>
      </w:r>
      <w:r>
        <w:t xml:space="preserve">CSCF</w:t>
      </w:r>
      <w:r>
        <w:t xml:space="preserve"> </w:t>
      </w:r>
      <w:r>
        <w:t xml:space="preserve">0.86</w:t>
      </w:r>
      <w:r>
        <w:t xml:space="preserve"> </w:t>
      </w:r>
      <w:r>
        <w:t xml:space="preserve">0.76</w:t>
      </w:r>
      <w:r>
        <w:t xml:space="preserve"> </w:t>
      </w:r>
      <w:r>
        <w:t xml:space="preserve">0.65</w:t>
      </w:r>
      <w:r>
        <w:t xml:space="preserve"> </w:t>
      </w:r>
      <w:r>
        <w:t xml:space="preserve">0.55</w:t>
      </w:r>
      <w:r>
        <w:t xml:space="preserve"> </w:t>
      </w:r>
      <w:r>
        <w:t xml:space="preserve">0.44</w:t>
      </w:r>
      <w:r>
        <w:t xml:space="preserve"> </w:t>
      </w:r>
      <w:r>
        <w:t xml:space="preserve">0.39</w:t>
      </w:r>
      <w:r>
        <w:t xml:space="preserve"> </w:t>
      </w:r>
      <w:r>
        <w:t xml:space="preserve">0.26</w:t>
      </w:r>
      <w:r>
        <w:t xml:space="preserve"> </w:t>
      </w:r>
      <w:r>
        <w:t xml:space="preserve">0.14</w:t>
      </w:r>
      <w:r>
        <w:t xml:space="preserve"> </w:t>
      </w:r>
      <w:r>
        <w:t xml:space="preserve">0.02</w:t>
      </w:r>
      <w:r>
        <w:t xml:space="preserve"> </w:t>
      </w:r>
      <w:r>
        <w:t xml:space="preserve">0.00</w:t>
      </w:r>
      <w:r>
        <w:t xml:space="preserve"> </w:t>
      </w:r>
      <w:r>
        <w:t xml:space="preserve">FA (before CBAM phase</w:t>
      </w:r>
      <w:r>
        <w:t xml:space="preserve"> </w:t>
      </w:r>
      <w:r>
        <w:t xml:space="preserve">out)</w:t>
      </w:r>
      <w:r>
        <w:t xml:space="preserve"> </w:t>
      </w:r>
      <w:r>
        <w:t xml:space="preserve">316</w:t>
      </w:r>
      <w:r>
        <w:t xml:space="preserve"> </w:t>
      </w:r>
      <w:r>
        <w:t xml:space="preserve">278</w:t>
      </w:r>
      <w:r>
        <w:t xml:space="preserve"> </w:t>
      </w:r>
      <w:r>
        <w:t xml:space="preserve">239</w:t>
      </w:r>
      <w:r>
        <w:t xml:space="preserve"> </w:t>
      </w:r>
      <w:r>
        <w:t xml:space="preserve">200</w:t>
      </w:r>
      <w:r>
        <w:t xml:space="preserve"> </w:t>
      </w:r>
      <w:r>
        <w:t xml:space="preserve">161</w:t>
      </w:r>
      <w:r>
        <w:t xml:space="preserve"> </w:t>
      </w:r>
      <w:r>
        <w:t xml:space="preserve">123</w:t>
      </w:r>
      <w:r>
        <w:t xml:space="preserve"> </w:t>
      </w:r>
      <w:r>
        <w:t xml:space="preserve">84</w:t>
      </w:r>
      <w:r>
        <w:t xml:space="preserve"> </w:t>
      </w:r>
      <w:r>
        <w:t xml:space="preserve">45</w:t>
      </w:r>
      <w:r>
        <w:t xml:space="preserve"> </w:t>
      </w:r>
      <w:r>
        <w:t xml:space="preserve">7</w:t>
      </w:r>
      <w:r>
        <w:t xml:space="preserve"> </w:t>
      </w:r>
      <w:r>
        <w:t xml:space="preserve">0</w:t>
      </w:r>
      <w:r>
        <w:t xml:space="preserve"> </w:t>
      </w:r>
      <w:r>
        <w:t xml:space="preserve">FA (after CBAM phase</w:t>
      </w:r>
      <w:r>
        <w:t xml:space="preserve"> </w:t>
      </w:r>
      <w:r>
        <w:t xml:space="preserve">out)</w:t>
      </w:r>
      <w:r>
        <w:t xml:space="preserve"> </w:t>
      </w:r>
      <w:r>
        <w:t xml:space="preserve">212</w:t>
      </w:r>
      <w:r>
        <w:t xml:space="preserve"> </w:t>
      </w:r>
      <w:r>
        <w:t xml:space="preserve">167</w:t>
      </w:r>
      <w:r>
        <w:t xml:space="preserve"> </w:t>
      </w:r>
      <w:r>
        <w:t xml:space="preserve">128</w:t>
      </w:r>
      <w:r>
        <w:t xml:space="preserve"> </w:t>
      </w:r>
      <w:r>
        <w:t xml:space="preserve">92</w:t>
      </w:r>
      <w:r>
        <w:t xml:space="preserve"> </w:t>
      </w:r>
      <w:r>
        <w:t xml:space="preserve">74</w:t>
      </w:r>
      <w:r>
        <w:t xml:space="preserve"> </w:t>
      </w:r>
      <w:r>
        <w:t xml:space="preserve">50</w:t>
      </w:r>
      <w:r>
        <w:t xml:space="preserve"> </w:t>
      </w:r>
      <w:r>
        <w:t xml:space="preserve">34</w:t>
      </w:r>
      <w:r>
        <w:t xml:space="preserve"> </w:t>
      </w:r>
      <w:r>
        <w:t xml:space="preserve">19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Source: Own calculation based upon preliminary NIMs data for 2019-23</w:t>
      </w:r>
      <w:r>
        <w:t xml:space="preserve"> </w:t>
      </w:r>
      <w:r>
        <w:t xml:space="preserve">Figure 3 shows how the distribution of free allocation to sectors develops over time in Phase</w:t>
      </w:r>
      <w:r>
        <w:t xml:space="preserve"> </w:t>
      </w:r>
      <w:r>
        <w:t xml:space="preserve">V of the EU ETS under the baseline. The manufacture of refined petroleum products (NACE</w:t>
      </w:r>
      <w:r>
        <w:t xml:space="preserve"> </w:t>
      </w:r>
      <w:r>
        <w:t xml:space="preserve">code 19.20) would receive around 202 million EUAs for free under the baseline over 2031-40.</w:t>
      </w:r>
      <w:r>
        <w:t xml:space="preserve"> </w:t>
      </w:r>
      <w:r>
        <w:t xml:space="preserve">Given that the refineries sector was identified previously in the scoping exercise as the highest</w:t>
      </w:r>
      <w:r>
        <w:t xml:space="preserve"> </w:t>
      </w:r>
      <w:r>
        <w:t xml:space="preserve">emitter between 2021 and 2023 after the iron and steel and cement sectors, it is to be expected</w:t>
      </w:r>
      <w:r>
        <w:t xml:space="preserve"> </w:t>
      </w:r>
      <w:r>
        <w:t xml:space="preserve">that this sector would account for the largest share of allowances over the 2031-40 period as</w:t>
      </w:r>
      <w:r>
        <w:t xml:space="preserve"> </w:t>
      </w:r>
      <w:r>
        <w:t xml:space="preserve">the CBAM progressively reduces free allocation in the covered sectors.12 Indeed, although the</w:t>
      </w:r>
      <w:r>
        <w:t xml:space="preserve"> </w:t>
      </w:r>
      <w:r>
        <w:t xml:space="preserve">manufacture of basic iron and steel and of ferro alloys (NACE code 24.10) received 76 million</w:t>
      </w:r>
      <w:r>
        <w:t xml:space="preserve"> </w:t>
      </w:r>
      <w:r>
        <w:t xml:space="preserve">EUAs for free and the manufacture of cement (NACE code 23.51) received 47 million EUAs</w:t>
      </w:r>
      <w:r>
        <w:t xml:space="preserve"> </w:t>
      </w:r>
      <w:r>
        <w:t xml:space="preserve">for free, the majority of these free allowances were distributed only up until 2034.13</w:t>
      </w:r>
    </w:p>
    <w:p>
      <w:pPr>
        <w:pStyle w:val="BodyText"/>
      </w:pPr>
      <w:r>
        <w:t xml:space="preserve">12 However, it is important to acknowledge that this is under the assumption that refinery output remains</w:t>
      </w:r>
      <w:r>
        <w:t xml:space="preserve"> </w:t>
      </w:r>
      <w:r>
        <w:t xml:space="preserve">constant overtime. This simplification in the methodology was necessary for consistency but in reality, it is</w:t>
      </w:r>
      <w:r>
        <w:t xml:space="preserve"> </w:t>
      </w:r>
      <w:r>
        <w:t xml:space="preserve">expected that the output from the refinery sector will decline over the 2031-40 period as the use of fossil fuels</w:t>
      </w:r>
      <w:r>
        <w:t xml:space="preserve"> </w:t>
      </w:r>
      <w:r>
        <w:t xml:space="preserve">are expected to be progressively phased out.</w:t>
      </w:r>
      <w:r>
        <w:t xml:space="preserve"> </w:t>
      </w:r>
      <w:r>
        <w:t xml:space="preserve">13 The iron and steel sector continued to receive some allocation for goods that are not currently covered under</w:t>
      </w:r>
      <w:r>
        <w:t xml:space="preserve"> </w:t>
      </w:r>
      <w:r>
        <w:t xml:space="preserve">the CBAM after 2034.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Figure 3:</w:t>
      </w:r>
      <w:r>
        <w:t xml:space="preserve"> </w:t>
      </w:r>
      <w:r>
        <w:t xml:space="preserve">Distribution of free allocation under the baseline for 2031-40</w:t>
      </w:r>
    </w:p>
    <w:p>
      <w:pPr>
        <w:pStyle w:val="BodyText"/>
      </w:pPr>
      <w:r>
        <w:t xml:space="preserve">Source: Own calculation based upon preliminary NIMs data for 2019-23</w:t>
      </w:r>
      <w:r>
        <w:t xml:space="preserve"> </w:t>
      </w:r>
      <w:r>
        <w:t xml:space="preserve">Policy Measures</w:t>
      </w:r>
      <w:r>
        <w:t xml:space="preserve"> </w:t>
      </w:r>
      <w:r>
        <w:t xml:space="preserve">The policy measures are designed with a higher free allocation budget between 2031-40,</w:t>
      </w:r>
      <w:r>
        <w:t xml:space="preserve"> </w:t>
      </w:r>
      <w:r>
        <w:t xml:space="preserve">compared to the baseline scenario. The higher free allocation budget reflects the fact that the</w:t>
      </w:r>
      <w:r>
        <w:t xml:space="preserve"> </w:t>
      </w:r>
      <w:r>
        <w:t xml:space="preserve">overall ETS cap is assumed to be less stringent than in the baseline. How this free allocation</w:t>
      </w:r>
      <w:r>
        <w:t xml:space="preserve"> </w:t>
      </w:r>
      <w:r>
        <w:t xml:space="preserve">budget is distributed across industrial sectors however varies by the different policy measures.</w:t>
      </w:r>
      <w:r>
        <w:t xml:space="preserve"> </w:t>
      </w:r>
      <w:r>
        <w:t xml:space="preserve">CL1 (PO1)</w:t>
      </w:r>
      <w:r>
        <w:t xml:space="preserve"> </w:t>
      </w:r>
      <w:r>
        <w:t xml:space="preserve">Table 6 shows that the overall budget for free allocation between 2031-40 in CL1, which is</w:t>
      </w:r>
      <w:r>
        <w:t xml:space="preserve"> </w:t>
      </w:r>
      <w:r>
        <w:t xml:space="preserve">assumed to be 1,934 M EUAs over 2031-40. The preliminary free allocation was then</w:t>
      </w:r>
      <w:r>
        <w:t xml:space="preserve"> </w:t>
      </w:r>
      <w:r>
        <w:t xml:space="preserve">calculated following a bottom-up approach and this resulted in a total of 3,425 M EUAs over</w:t>
      </w:r>
      <w:r>
        <w:t xml:space="preserve"> </w:t>
      </w:r>
      <w:r>
        <w:t xml:space="preserve">2031-40.14 As the preliminary allocation exceeded the free allocation budget, the CSCF was</w:t>
      </w:r>
      <w:r>
        <w:t xml:space="preserve"> </w:t>
      </w:r>
      <w:r>
        <w:t xml:space="preserve">progressively applied over the period with the value declining from 0.83 in 2031 to 0.30 by</w:t>
      </w:r>
      <w:r>
        <w:t xml:space="preserve"> </w:t>
      </w:r>
      <w:r>
        <w:t xml:space="preserve">2040. The increased volume of free allocation in CL1 compared to the baseline results in a</w:t>
      </w:r>
      <w:r>
        <w:t xml:space="preserve"> </w:t>
      </w:r>
      <w:r>
        <w:t xml:space="preserve">higher CSCF over the period. The application of the CSCF allows the final free allocation</w:t>
      </w:r>
      <w:r>
        <w:t xml:space="preserve"> </w:t>
      </w:r>
      <w:r>
        <w:t xml:space="preserve">budget to not exceed the free allocation budget for the 2031-40 period. In a final step, the</w:t>
      </w:r>
      <w:r>
        <w:t xml:space="preserve"> </w:t>
      </w:r>
      <w:r>
        <w:t xml:space="preserve">CBAM factor was applied over Phase V for sub-installations covered by the CBAM and this</w:t>
      </w:r>
      <w:r>
        <w:t xml:space="preserve"> </w:t>
      </w:r>
      <w:r>
        <w:t xml:space="preserve">reduced the total free allocation over 2031-40 to 978 M EUAs.</w:t>
      </w:r>
      <w:r>
        <w:t xml:space="preserve"> </w:t>
      </w:r>
      <w:r>
        <w:t xml:space="preserve">Table 6:</w:t>
      </w:r>
      <w:r>
        <w:t xml:space="preserve"> </w:t>
      </w:r>
      <w:r>
        <w:t xml:space="preserve">Estimation of the total volume of free allowances available under CL1 for 2031-40</w:t>
      </w:r>
    </w:p>
    <w:p>
      <w:pPr>
        <w:pStyle w:val="BodyText"/>
      </w:pPr>
      <w:r>
        <w:t xml:space="preserve">2031 2032 2033 2034 2035 2036 2037 2038 2039 2040</w:t>
      </w:r>
      <w:r>
        <w:t xml:space="preserve"> </w:t>
      </w:r>
      <w:r>
        <w:t xml:space="preserve">FA Budget</w:t>
      </w:r>
      <w:r>
        <w:t xml:space="preserve"> </w:t>
      </w:r>
      <w:r>
        <w:t xml:space="preserve">305</w:t>
      </w:r>
      <w:r>
        <w:t xml:space="preserve"> </w:t>
      </w:r>
      <w:r>
        <w:t xml:space="preserve">278</w:t>
      </w:r>
      <w:r>
        <w:t xml:space="preserve"> </w:t>
      </w:r>
      <w:r>
        <w:t xml:space="preserve">252</w:t>
      </w:r>
      <w:r>
        <w:t xml:space="preserve"> </w:t>
      </w:r>
      <w:r>
        <w:t xml:space="preserve">225</w:t>
      </w:r>
      <w:r>
        <w:t xml:space="preserve"> </w:t>
      </w:r>
      <w:r>
        <w:t xml:space="preserve">197</w:t>
      </w:r>
      <w:r>
        <w:t xml:space="preserve"> </w:t>
      </w:r>
      <w:r>
        <w:t xml:space="preserve">176</w:t>
      </w:r>
      <w:r>
        <w:t xml:space="preserve"> </w:t>
      </w:r>
      <w:r>
        <w:t xml:space="preserve">156</w:t>
      </w:r>
      <w:r>
        <w:t xml:space="preserve"> </w:t>
      </w:r>
      <w:r>
        <w:t xml:space="preserve">136</w:t>
      </w:r>
      <w:r>
        <w:t xml:space="preserve"> </w:t>
      </w:r>
      <w:r>
        <w:t xml:space="preserve">115</w:t>
      </w:r>
      <w:r>
        <w:t xml:space="preserve"> </w:t>
      </w:r>
      <w:r>
        <w:t xml:space="preserve">95</w:t>
      </w:r>
      <w:r>
        <w:t xml:space="preserve"> </w:t>
      </w:r>
      <w:r>
        <w:t xml:space="preserve">FA (Preliminary)</w:t>
      </w:r>
      <w:r>
        <w:t xml:space="preserve"> </w:t>
      </w:r>
      <w:r>
        <w:t xml:space="preserve">367</w:t>
      </w:r>
      <w:r>
        <w:t xml:space="preserve"> </w:t>
      </w:r>
      <w:r>
        <w:t xml:space="preserve">366</w:t>
      </w:r>
      <w:r>
        <w:t xml:space="preserve"> </w:t>
      </w:r>
      <w:r>
        <w:t xml:space="preserve">366</w:t>
      </w:r>
      <w:r>
        <w:t xml:space="preserve"> </w:t>
      </w:r>
      <w:r>
        <w:t xml:space="preserve">366</w:t>
      </w:r>
      <w:r>
        <w:t xml:space="preserve"> </w:t>
      </w:r>
      <w:r>
        <w:t xml:space="preserve">366</w:t>
      </w:r>
      <w:r>
        <w:t xml:space="preserve"> </w:t>
      </w:r>
      <w:r>
        <w:t xml:space="preserve">319</w:t>
      </w:r>
      <w:r>
        <w:t xml:space="preserve"> </w:t>
      </w:r>
      <w:r>
        <w:t xml:space="preserve">319</w:t>
      </w:r>
      <w:r>
        <w:t xml:space="preserve"> </w:t>
      </w:r>
      <w:r>
        <w:t xml:space="preserve">319</w:t>
      </w:r>
      <w:r>
        <w:t xml:space="preserve"> </w:t>
      </w:r>
      <w:r>
        <w:t xml:space="preserve">319</w:t>
      </w:r>
      <w:r>
        <w:t xml:space="preserve"> </w:t>
      </w:r>
      <w:r>
        <w:t xml:space="preserve">319</w:t>
      </w:r>
    </w:p>
    <w:p>
      <w:pPr>
        <w:pStyle w:val="BodyText"/>
      </w:pPr>
      <w:r>
        <w:t xml:space="preserve">14 The preliminary allocation calculated under CL1 differs slightly from the baseline. The minor difference</w:t>
      </w:r>
      <w:r>
        <w:t xml:space="preserve"> </w:t>
      </w:r>
      <w:r>
        <w:t xml:space="preserve">occurs due to the fact that process emissions are different in the baseline and policy scenarios due to the</w:t>
      </w:r>
      <w:r>
        <w:t xml:space="preserve"> </w:t>
      </w:r>
      <w:r>
        <w:t xml:space="preserve">assumption of different caps. This results in minor differences in free allocation as allocation to process</w:t>
      </w:r>
      <w:r>
        <w:t xml:space="preserve"> </w:t>
      </w:r>
      <w:r>
        <w:t xml:space="preserve">emission fall-back benchmarks are based on a share of verified emissions.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CSCF</w:t>
      </w:r>
      <w:r>
        <w:t xml:space="preserve"> </w:t>
      </w:r>
      <w:r>
        <w:t xml:space="preserve">0.83</w:t>
      </w:r>
      <w:r>
        <w:t xml:space="preserve"> </w:t>
      </w:r>
      <w:r>
        <w:t xml:space="preserve">0.76</w:t>
      </w:r>
      <w:r>
        <w:t xml:space="preserve"> </w:t>
      </w:r>
      <w:r>
        <w:t xml:space="preserve">0.69</w:t>
      </w:r>
      <w:r>
        <w:t xml:space="preserve"> </w:t>
      </w:r>
      <w:r>
        <w:t xml:space="preserve">0.61</w:t>
      </w:r>
      <w:r>
        <w:t xml:space="preserve"> </w:t>
      </w:r>
      <w:r>
        <w:t xml:space="preserve">0.54</w:t>
      </w:r>
      <w:r>
        <w:t xml:space="preserve"> </w:t>
      </w:r>
      <w:r>
        <w:t xml:space="preserve">0.55</w:t>
      </w:r>
      <w:r>
        <w:t xml:space="preserve"> </w:t>
      </w:r>
      <w:r>
        <w:t xml:space="preserve">0.49</w:t>
      </w:r>
      <w:r>
        <w:t xml:space="preserve"> </w:t>
      </w:r>
      <w:r>
        <w:t xml:space="preserve">0.43</w:t>
      </w:r>
      <w:r>
        <w:t xml:space="preserve"> </w:t>
      </w:r>
      <w:r>
        <w:t xml:space="preserve">0.36</w:t>
      </w:r>
      <w:r>
        <w:t xml:space="preserve"> </w:t>
      </w:r>
      <w:r>
        <w:t xml:space="preserve">0.30</w:t>
      </w:r>
      <w:r>
        <w:t xml:space="preserve"> </w:t>
      </w:r>
      <w:r>
        <w:t xml:space="preserve">FA (before CBAM phase</w:t>
      </w:r>
      <w:r>
        <w:t xml:space="preserve"> </w:t>
      </w:r>
      <w:r>
        <w:t xml:space="preserve">out)</w:t>
      </w:r>
      <w:r>
        <w:t xml:space="preserve"> </w:t>
      </w:r>
      <w:r>
        <w:t xml:space="preserve">305</w:t>
      </w:r>
      <w:r>
        <w:t xml:space="preserve"> </w:t>
      </w:r>
      <w:r>
        <w:t xml:space="preserve">278</w:t>
      </w:r>
      <w:r>
        <w:t xml:space="preserve"> </w:t>
      </w:r>
      <w:r>
        <w:t xml:space="preserve">252</w:t>
      </w:r>
      <w:r>
        <w:t xml:space="preserve"> </w:t>
      </w:r>
      <w:r>
        <w:t xml:space="preserve">225</w:t>
      </w:r>
      <w:r>
        <w:t xml:space="preserve"> </w:t>
      </w:r>
      <w:r>
        <w:t xml:space="preserve">197</w:t>
      </w:r>
      <w:r>
        <w:t xml:space="preserve"> </w:t>
      </w:r>
      <w:r>
        <w:t xml:space="preserve">176</w:t>
      </w:r>
      <w:r>
        <w:t xml:space="preserve"> </w:t>
      </w:r>
      <w:r>
        <w:t xml:space="preserve">156</w:t>
      </w:r>
      <w:r>
        <w:t xml:space="preserve"> </w:t>
      </w:r>
      <w:r>
        <w:t xml:space="preserve">136</w:t>
      </w:r>
      <w:r>
        <w:t xml:space="preserve"> </w:t>
      </w:r>
      <w:r>
        <w:t xml:space="preserve">115</w:t>
      </w:r>
      <w:r>
        <w:t xml:space="preserve"> </w:t>
      </w:r>
      <w:r>
        <w:t xml:space="preserve">95</w:t>
      </w:r>
      <w:r>
        <w:t xml:space="preserve"> </w:t>
      </w:r>
      <w:r>
        <w:t xml:space="preserve">FA (after CBAM phase</w:t>
      </w:r>
      <w:r>
        <w:t xml:space="preserve"> </w:t>
      </w:r>
      <w:r>
        <w:t xml:space="preserve">out)</w:t>
      </w:r>
      <w:r>
        <w:t xml:space="preserve"> </w:t>
      </w:r>
      <w:r>
        <w:t xml:space="preserve">204</w:t>
      </w:r>
      <w:r>
        <w:t xml:space="preserve"> </w:t>
      </w:r>
      <w:r>
        <w:t xml:space="preserve">167</w:t>
      </w:r>
      <w:r>
        <w:t xml:space="preserve"> </w:t>
      </w:r>
      <w:r>
        <w:t xml:space="preserve">135</w:t>
      </w:r>
      <w:r>
        <w:t xml:space="preserve"> </w:t>
      </w:r>
      <w:r>
        <w:t xml:space="preserve">103</w:t>
      </w:r>
      <w:r>
        <w:t xml:space="preserve"> </w:t>
      </w:r>
      <w:r>
        <w:t xml:space="preserve">90</w:t>
      </w:r>
      <w:r>
        <w:t xml:space="preserve"> </w:t>
      </w:r>
      <w:r>
        <w:t xml:space="preserve">72</w:t>
      </w:r>
      <w:r>
        <w:t xml:space="preserve"> </w:t>
      </w:r>
      <w:r>
        <w:t xml:space="preserve">64</w:t>
      </w:r>
      <w:r>
        <w:t xml:space="preserve"> </w:t>
      </w:r>
      <w:r>
        <w:t xml:space="preserve">56</w:t>
      </w:r>
      <w:r>
        <w:t xml:space="preserve"> </w:t>
      </w:r>
      <w:r>
        <w:t xml:space="preserve">47</w:t>
      </w:r>
      <w:r>
        <w:t xml:space="preserve"> </w:t>
      </w:r>
      <w:r>
        <w:t xml:space="preserve">39</w:t>
      </w:r>
      <w:r>
        <w:t xml:space="preserve"> </w:t>
      </w:r>
      <w:r>
        <w:t xml:space="preserve">Source: Own calculation based upon preliminary NIMs data for 2019-23</w:t>
      </w:r>
      <w:r>
        <w:t xml:space="preserve"> </w:t>
      </w:r>
      <w:r>
        <w:t xml:space="preserve">Figure 4 shows how the distribution of free allocation to sectors develops over time under CL1.</w:t>
      </w:r>
      <w:r>
        <w:t xml:space="preserve"> </w:t>
      </w:r>
      <w:r>
        <w:t xml:space="preserve">The manufacture of refined petroleum products (NACE code 19.20) would receive around 266</w:t>
      </w:r>
      <w:r>
        <w:t xml:space="preserve"> </w:t>
      </w:r>
      <w:r>
        <w:t xml:space="preserve">million EUAs for free over 2031-40 and this is followed by the manufacture of other organic</w:t>
      </w:r>
      <w:r>
        <w:t xml:space="preserve"> </w:t>
      </w:r>
      <w:r>
        <w:t xml:space="preserve">basic chemicals (NACE code 20.14), the manufacture of basic iron and steel and of ferro alloys</w:t>
      </w:r>
      <w:r>
        <w:t xml:space="preserve"> </w:t>
      </w:r>
      <w:r>
        <w:t xml:space="preserve">(NACE code 24.10) and the manufacture of lime (NACE code 23.52) that receive 108 million</w:t>
      </w:r>
      <w:r>
        <w:t xml:space="preserve"> </w:t>
      </w:r>
      <w:r>
        <w:t xml:space="preserve">EUAs, 80 million EUAs and 46 million EUAs respectively over 2031-40. In contrast to the</w:t>
      </w:r>
      <w:r>
        <w:t xml:space="preserve"> </w:t>
      </w:r>
      <w:r>
        <w:t xml:space="preserve">baseline, there are considerably more allowances available for free up until the end of Phase V</w:t>
      </w:r>
      <w:r>
        <w:t xml:space="preserve"> </w:t>
      </w:r>
      <w:r>
        <w:t xml:space="preserve">and this reflects the less stringent cap that also reduces the need for the full application of the</w:t>
      </w:r>
      <w:r>
        <w:t xml:space="preserve"> </w:t>
      </w:r>
      <w:r>
        <w:t xml:space="preserve">CSCF.</w:t>
      </w:r>
      <w:r>
        <w:br/>
      </w:r>
      <w:r>
        <w:t xml:space="preserve">Figure 4:</w:t>
      </w:r>
      <w:r>
        <w:t xml:space="preserve"> </w:t>
      </w:r>
      <w:r>
        <w:t xml:space="preserve">Distribution of free allocation under CL1 for 2031-40</w:t>
      </w:r>
    </w:p>
    <w:p>
      <w:pPr>
        <w:pStyle w:val="BodyText"/>
      </w:pPr>
      <w:r>
        <w:t xml:space="preserve">Source: Own calculation based upon preliminary NIMs data for 2019-23</w:t>
      </w:r>
      <w:r>
        <w:t xml:space="preserve"> </w:t>
      </w:r>
      <w:r>
        <w:t xml:space="preserve">CL2_90 (PO2)</w:t>
      </w:r>
      <w:r>
        <w:t xml:space="preserve"> </w:t>
      </w:r>
      <w:r>
        <w:t xml:space="preserve">Table 7 shows that the overall budget for free allocation between 2031-40 in the CL2_90</w:t>
      </w:r>
      <w:r>
        <w:t xml:space="preserve"> </w:t>
      </w:r>
      <w:r>
        <w:t xml:space="preserve">scenario, which is assumed to be 2,206 M EUAs over 2031-40. The preliminary free allocation</w:t>
      </w:r>
      <w:r>
        <w:t xml:space="preserve"> </w:t>
      </w:r>
      <w:r>
        <w:t xml:space="preserve">was then calculated following a bottom-up approach and this resulted in a total of 3,306 M</w:t>
      </w:r>
      <w:r>
        <w:t xml:space="preserve"> </w:t>
      </w:r>
      <w:r>
        <w:t xml:space="preserve">EUAs over 2031-40. The preliminary allocation is lower than under the CL1 scenario as the</w:t>
      </w:r>
      <w:r>
        <w:t xml:space="preserve"> </w:t>
      </w:r>
      <w:r>
        <w:t xml:space="preserve">CL2_90 scenario assumes that in the 2031-40 period that an increasing share of the free</w:t>
      </w:r>
      <w:r>
        <w:t xml:space="preserve"> </w:t>
      </w:r>
      <w:r>
        <w:t xml:space="preserve">allocation will be conditional. The total volume of the primary allocation is, however, like the</w:t>
      </w:r>
      <w:r>
        <w:t xml:space="preserve"> </w:t>
      </w:r>
      <w:r>
        <w:t xml:space="preserve">CL1 scenario as a compliance rate of 90% is assumed in the first variant of the CL2 scenario.</w:t>
      </w:r>
      <w:r>
        <w:t xml:space="preserve"> </w:t>
      </w:r>
      <w:r>
        <w:t xml:space="preserve">As the preliminary allocation exceeded the free allocation budget, the CSCF was progressively</w:t>
      </w:r>
      <w:r>
        <w:t xml:space="preserve"> </w:t>
      </w:r>
      <w:r>
        <w:t xml:space="preserve">applied over the period with the value declining from 0.88 in 2031 to 0.31 by 2040. The slightly</w:t>
      </w:r>
      <w:r>
        <w:t xml:space="preserve"> </w:t>
      </w:r>
      <w:r>
        <w:t xml:space="preserve">lower preliminary free allocation under the CL2_90 scenario (as well as the higher free</w:t>
      </w:r>
      <w:r>
        <w:t xml:space="preserve"> </w:t>
      </w:r>
      <w:r>
        <w:t xml:space="preserve">allocation budget) compared to the CL1 scenario results in the application of a more stringent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CSCF across the period. The application of the CSCF allows the final free allocation budget to</w:t>
      </w:r>
      <w:r>
        <w:t xml:space="preserve"> </w:t>
      </w:r>
      <w:r>
        <w:t xml:space="preserve">not exceed the free allocation budget for the 2031-40 period. In a final step, the CBAM discount</w:t>
      </w:r>
      <w:r>
        <w:t xml:space="preserve"> </w:t>
      </w:r>
      <w:r>
        <w:t xml:space="preserve">factor was applied over Phase V for sub-installations covered by the CBAM and this reduced</w:t>
      </w:r>
      <w:r>
        <w:t xml:space="preserve"> </w:t>
      </w:r>
      <w:r>
        <w:t xml:space="preserve">the total free allocation over 2031-40 to 990 M EUAs.</w:t>
      </w:r>
      <w:r>
        <w:t xml:space="preserve"> </w:t>
      </w:r>
      <w:r>
        <w:t xml:space="preserve">Table 7:</w:t>
      </w:r>
      <w:r>
        <w:t xml:space="preserve"> </w:t>
      </w:r>
      <w:r>
        <w:t xml:space="preserve">Estimation of the total volume of free allowances available under CL2_90 for 2031-40</w:t>
      </w:r>
    </w:p>
    <w:p>
      <w:pPr>
        <w:pStyle w:val="BodyText"/>
      </w:pPr>
      <w:r>
        <w:t xml:space="preserve">2031 2032 2033 2034 2035 2036 2037 2038 2039 2040</w:t>
      </w:r>
      <w:r>
        <w:t xml:space="preserve"> </w:t>
      </w:r>
      <w:r>
        <w:t xml:space="preserve">FA Budget</w:t>
      </w:r>
      <w:r>
        <w:t xml:space="preserve"> </w:t>
      </w:r>
      <w:r>
        <w:t xml:space="preserve">320</w:t>
      </w:r>
      <w:r>
        <w:t xml:space="preserve"> </w:t>
      </w:r>
      <w:r>
        <w:t xml:space="preserve">293</w:t>
      </w:r>
      <w:r>
        <w:t xml:space="preserve"> </w:t>
      </w:r>
      <w:r>
        <w:t xml:space="preserve">267</w:t>
      </w:r>
      <w:r>
        <w:t xml:space="preserve"> </w:t>
      </w:r>
      <w:r>
        <w:t xml:space="preserve">240</w:t>
      </w:r>
      <w:r>
        <w:t xml:space="preserve"> </w:t>
      </w:r>
      <w:r>
        <w:t xml:space="preserve">212</w:t>
      </w:r>
      <w:r>
        <w:t xml:space="preserve"> </w:t>
      </w:r>
      <w:r>
        <w:t xml:space="preserve">187</w:t>
      </w:r>
      <w:r>
        <w:t xml:space="preserve"> </w:t>
      </w:r>
      <w:r>
        <w:t xml:space="preserve">163</w:t>
      </w:r>
      <w:r>
        <w:t xml:space="preserve"> </w:t>
      </w:r>
      <w:r>
        <w:t xml:space="preserve">139</w:t>
      </w:r>
      <w:r>
        <w:t xml:space="preserve"> </w:t>
      </w:r>
      <w:r>
        <w:t xml:space="preserve">114</w:t>
      </w:r>
      <w:r>
        <w:t xml:space="preserve"> </w:t>
      </w:r>
      <w:r>
        <w:t xml:space="preserve">90</w:t>
      </w:r>
      <w:r>
        <w:t xml:space="preserve"> </w:t>
      </w:r>
      <w:r>
        <w:t xml:space="preserve">FA (Preliminary)</w:t>
      </w:r>
      <w:r>
        <w:t xml:space="preserve"> </w:t>
      </w:r>
      <w:r>
        <w:t xml:space="preserve">363</w:t>
      </w:r>
      <w:r>
        <w:t xml:space="preserve"> </w:t>
      </w:r>
      <w:r>
        <w:t xml:space="preserve">360</w:t>
      </w:r>
      <w:r>
        <w:t xml:space="preserve"> </w:t>
      </w:r>
      <w:r>
        <w:t xml:space="preserve">356</w:t>
      </w:r>
      <w:r>
        <w:t xml:space="preserve"> </w:t>
      </w:r>
      <w:r>
        <w:t xml:space="preserve">349</w:t>
      </w:r>
      <w:r>
        <w:t xml:space="preserve"> </w:t>
      </w:r>
      <w:r>
        <w:t xml:space="preserve">349</w:t>
      </w:r>
      <w:r>
        <w:t xml:space="preserve"> </w:t>
      </w:r>
      <w:r>
        <w:t xml:space="preserve">306</w:t>
      </w:r>
      <w:r>
        <w:t xml:space="preserve"> </w:t>
      </w:r>
      <w:r>
        <w:t xml:space="preserve">306</w:t>
      </w:r>
      <w:r>
        <w:t xml:space="preserve"> </w:t>
      </w:r>
      <w:r>
        <w:t xml:space="preserve">306</w:t>
      </w:r>
      <w:r>
        <w:t xml:space="preserve"> </w:t>
      </w:r>
      <w:r>
        <w:t xml:space="preserve">306</w:t>
      </w:r>
      <w:r>
        <w:t xml:space="preserve"> </w:t>
      </w:r>
      <w:r>
        <w:t xml:space="preserve">305</w:t>
      </w:r>
      <w:r>
        <w:t xml:space="preserve"> </w:t>
      </w:r>
      <w:r>
        <w:t xml:space="preserve">CSCF</w:t>
      </w:r>
      <w:r>
        <w:t xml:space="preserve"> </w:t>
      </w:r>
      <w:r>
        <w:t xml:space="preserve">0.88</w:t>
      </w:r>
      <w:r>
        <w:t xml:space="preserve"> </w:t>
      </w:r>
      <w:r>
        <w:t xml:space="preserve">0.82</w:t>
      </w:r>
      <w:r>
        <w:t xml:space="preserve"> </w:t>
      </w:r>
      <w:r>
        <w:t xml:space="preserve">0.75</w:t>
      </w:r>
      <w:r>
        <w:t xml:space="preserve"> </w:t>
      </w:r>
      <w:r>
        <w:t xml:space="preserve">0.69</w:t>
      </w:r>
      <w:r>
        <w:t xml:space="preserve"> </w:t>
      </w:r>
      <w:r>
        <w:t xml:space="preserve">0.61</w:t>
      </w:r>
      <w:r>
        <w:t xml:space="preserve"> </w:t>
      </w:r>
      <w:r>
        <w:t xml:space="preserve">0.61</w:t>
      </w:r>
      <w:r>
        <w:t xml:space="preserve"> </w:t>
      </w:r>
      <w:r>
        <w:t xml:space="preserve">0.53</w:t>
      </w:r>
      <w:r>
        <w:t xml:space="preserve"> </w:t>
      </w:r>
      <w:r>
        <w:t xml:space="preserve">0.45</w:t>
      </w:r>
      <w:r>
        <w:t xml:space="preserve"> </w:t>
      </w:r>
      <w:r>
        <w:t xml:space="preserve">0.37</w:t>
      </w:r>
      <w:r>
        <w:t xml:space="preserve"> </w:t>
      </w:r>
      <w:r>
        <w:t xml:space="preserve">0.30</w:t>
      </w:r>
      <w:r>
        <w:t xml:space="preserve"> </w:t>
      </w:r>
      <w:r>
        <w:t xml:space="preserve">FA (before CBAM phase</w:t>
      </w:r>
      <w:r>
        <w:t xml:space="preserve"> </w:t>
      </w:r>
      <w:r>
        <w:t xml:space="preserve">out)</w:t>
      </w:r>
      <w:r>
        <w:t xml:space="preserve"> </w:t>
      </w:r>
      <w:r>
        <w:t xml:space="preserve">320</w:t>
      </w:r>
      <w:r>
        <w:t xml:space="preserve"> </w:t>
      </w:r>
      <w:r>
        <w:t xml:space="preserve">293</w:t>
      </w:r>
      <w:r>
        <w:t xml:space="preserve"> </w:t>
      </w:r>
      <w:r>
        <w:t xml:space="preserve">267</w:t>
      </w:r>
      <w:r>
        <w:t xml:space="preserve"> </w:t>
      </w:r>
      <w:r>
        <w:t xml:space="preserve">240</w:t>
      </w:r>
      <w:r>
        <w:t xml:space="preserve"> </w:t>
      </w:r>
      <w:r>
        <w:t xml:space="preserve">212</w:t>
      </w:r>
      <w:r>
        <w:t xml:space="preserve"> </w:t>
      </w:r>
      <w:r>
        <w:t xml:space="preserve">187</w:t>
      </w:r>
      <w:r>
        <w:t xml:space="preserve"> </w:t>
      </w:r>
      <w:r>
        <w:t xml:space="preserve">163</w:t>
      </w:r>
      <w:r>
        <w:t xml:space="preserve"> </w:t>
      </w:r>
      <w:r>
        <w:t xml:space="preserve">139</w:t>
      </w:r>
      <w:r>
        <w:t xml:space="preserve"> </w:t>
      </w:r>
      <w:r>
        <w:t xml:space="preserve">114</w:t>
      </w:r>
      <w:r>
        <w:t xml:space="preserve"> </w:t>
      </w:r>
      <w:r>
        <w:t xml:space="preserve">90</w:t>
      </w:r>
      <w:r>
        <w:t xml:space="preserve"> </w:t>
      </w:r>
      <w:r>
        <w:t xml:space="preserve">FA (after CBAM phase</w:t>
      </w:r>
      <w:r>
        <w:t xml:space="preserve"> </w:t>
      </w:r>
      <w:r>
        <w:t xml:space="preserve">out)</w:t>
      </w:r>
      <w:r>
        <w:t xml:space="preserve"> </w:t>
      </w:r>
      <w:r>
        <w:t xml:space="preserve">214</w:t>
      </w:r>
      <w:r>
        <w:t xml:space="preserve"> </w:t>
      </w:r>
      <w:r>
        <w:t xml:space="preserve">175</w:t>
      </w:r>
      <w:r>
        <w:t xml:space="preserve"> </w:t>
      </w:r>
      <w:r>
        <w:t xml:space="preserve">139</w:t>
      </w:r>
      <w:r>
        <w:t xml:space="preserve"> </w:t>
      </w:r>
      <w:r>
        <w:t xml:space="preserve">104</w:t>
      </w:r>
      <w:r>
        <w:t xml:space="preserve"> </w:t>
      </w:r>
      <w:r>
        <w:t xml:space="preserve">92</w:t>
      </w:r>
      <w:r>
        <w:t xml:space="preserve"> </w:t>
      </w:r>
      <w:r>
        <w:t xml:space="preserve">72</w:t>
      </w:r>
      <w:r>
        <w:t xml:space="preserve"> </w:t>
      </w:r>
      <w:r>
        <w:t xml:space="preserve">63</w:t>
      </w:r>
      <w:r>
        <w:t xml:space="preserve"> </w:t>
      </w:r>
      <w:r>
        <w:t xml:space="preserve">53</w:t>
      </w:r>
      <w:r>
        <w:t xml:space="preserve"> </w:t>
      </w:r>
      <w:r>
        <w:t xml:space="preserve">44</w:t>
      </w:r>
      <w:r>
        <w:t xml:space="preserve"> </w:t>
      </w:r>
      <w:r>
        <w:t xml:space="preserve">35</w:t>
      </w:r>
      <w:r>
        <w:t xml:space="preserve"> </w:t>
      </w:r>
      <w:r>
        <w:t xml:space="preserve">Source: Own calculation based upon preliminary NIMs data for 2019-23.</w:t>
      </w:r>
      <w:r>
        <w:t xml:space="preserve"> </w:t>
      </w:r>
      <w:r>
        <w:t xml:space="preserve">Figure 5 shows how the distribution of free allocation to sectors develops over time under the</w:t>
      </w:r>
      <w:r>
        <w:t xml:space="preserve"> </w:t>
      </w:r>
      <w:r>
        <w:t xml:space="preserve">CL2_90 scenario. The manufacture of refined petroleum products (NACE code 19.20) would</w:t>
      </w:r>
      <w:r>
        <w:t xml:space="preserve"> </w:t>
      </w:r>
      <w:r>
        <w:t xml:space="preserve">receive around 267 million EUAs for free over 2031-40 and this is followed by the manufacture</w:t>
      </w:r>
      <w:r>
        <w:t xml:space="preserve"> </w:t>
      </w:r>
      <w:r>
        <w:t xml:space="preserve">of other organic basic chemicals (NACE code 20.14), the manufacture of basic iron and steel</w:t>
      </w:r>
      <w:r>
        <w:t xml:space="preserve"> </w:t>
      </w:r>
      <w:r>
        <w:t xml:space="preserve">and of ferro alloys (NACE code 24.10) and the manufacture of lime (NACE code 23.52) that</w:t>
      </w:r>
      <w:r>
        <w:t xml:space="preserve"> </w:t>
      </w:r>
      <w:r>
        <w:t xml:space="preserve">receive 109 million EUAs, 84 million EUAs and 54 million EUAs respectively over 2031-40.</w:t>
      </w:r>
      <w:r>
        <w:t xml:space="preserve"> </w:t>
      </w:r>
      <w:r>
        <w:t xml:space="preserve">In contrast to the CL1 scenario, even though the preliminary free allocation is slightly lower in</w:t>
      </w:r>
      <w:r>
        <w:t xml:space="preserve"> </w:t>
      </w:r>
      <w:r>
        <w:t xml:space="preserve">the CL2_90 scenario due to the implementation of conditionalities with a compliance rate of</w:t>
      </w:r>
      <w:r>
        <w:t xml:space="preserve"> </w:t>
      </w:r>
      <w:r>
        <w:t xml:space="preserve">90%, there are still more allowances available for free in the final allocation (after the</w:t>
      </w:r>
      <w:r>
        <w:t xml:space="preserve"> </w:t>
      </w:r>
      <w:r>
        <w:t xml:space="preserve">application of the CSCF) up until the end of Phase V under the CL2_90 scenario and this</w:t>
      </w:r>
      <w:r>
        <w:t xml:space="preserve"> </w:t>
      </w:r>
      <w:r>
        <w:t xml:space="preserve">primarily reflects the higher free allocation budget due to the higher cap as a result of including</w:t>
      </w:r>
      <w:r>
        <w:t xml:space="preserve"> </w:t>
      </w:r>
      <w:r>
        <w:t xml:space="preserve">waste incineration in the ETS (in comparison to the CL1 scenario).</w:t>
      </w:r>
      <w:r>
        <w:t xml:space="preserve"> </w:t>
      </w:r>
      <w:r>
        <w:t xml:space="preserve">Figure 5:</w:t>
      </w:r>
      <w:r>
        <w:t xml:space="preserve"> </w:t>
      </w:r>
      <w:r>
        <w:t xml:space="preserve">Distribution of free allocation under CL2_90 for 2031-40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Source: Own calculation based upon preliminary NIMs data for 2019-23</w:t>
      </w:r>
      <w:r>
        <w:t xml:space="preserve"> </w:t>
      </w:r>
      <w:r>
        <w:t xml:space="preserve">The introduction of further conditionalities under CL2 are expected to impact the level of</w:t>
      </w:r>
      <w:r>
        <w:t xml:space="preserve"> </w:t>
      </w:r>
      <w:r>
        <w:t xml:space="preserve">investment in abatement options to accelerate rates of decarbonisation and therefore further</w:t>
      </w:r>
      <w:r>
        <w:t xml:space="preserve"> </w:t>
      </w:r>
      <w:r>
        <w:t xml:space="preserve">impact the conduct of business by insisting that installations make binding financing decisions</w:t>
      </w:r>
      <w:r>
        <w:t xml:space="preserve"> </w:t>
      </w:r>
      <w:r>
        <w:t xml:space="preserve">of an equivalent value with the conditional free allocation to implement their climate neutrality</w:t>
      </w:r>
      <w:r>
        <w:t xml:space="preserve"> </w:t>
      </w:r>
      <w:r>
        <w:t xml:space="preserve">plans. Under CL2, the share of free allowances that are subject to conditionality increases from</w:t>
      </w:r>
      <w:r>
        <w:t xml:space="preserve"> </w:t>
      </w:r>
      <w:r>
        <w:t xml:space="preserve">20% in 2031, 40% in 2032, 60% in 2033, 80% in 2034 and then 100% from 2035 up until 2040.</w:t>
      </w:r>
      <w:r>
        <w:t xml:space="preserve"> </w:t>
      </w:r>
      <w:r>
        <w:t xml:space="preserve">The value of the free allocation that is subject to further conditionalities under CL2_90 is</w:t>
      </w:r>
      <w:r>
        <w:t xml:space="preserve"> </w:t>
      </w:r>
      <w:r>
        <w:t xml:space="preserve">estimated by multiplying the volume of the preliminary free allocation that is subject to</w:t>
      </w:r>
      <w:r>
        <w:t xml:space="preserve"> </w:t>
      </w:r>
      <w:r>
        <w:t xml:space="preserve">conditionality each year for non-CBAM sectors by firstly the CSCF for the CL2_90 scenario,</w:t>
      </w:r>
      <w:r>
        <w:t xml:space="preserve"> </w:t>
      </w:r>
      <w:r>
        <w:t xml:space="preserve">assuming an average price of EUR 150 over the period. . The expected level of investment</w:t>
      </w:r>
      <w:r>
        <w:t xml:space="preserve"> </w:t>
      </w:r>
      <w:r>
        <w:t xml:space="preserve">because of the introduction of further conditionalities under CL2_90 for non-CBAM sectors</w:t>
      </w:r>
      <w:r>
        <w:t xml:space="preserve"> </w:t>
      </w:r>
      <w:r>
        <w:t xml:space="preserve">only is estimated to be around EUR 90 billion over the 2031-40 period. It is important to note</w:t>
      </w:r>
      <w:r>
        <w:t xml:space="preserve"> </w:t>
      </w:r>
      <w:r>
        <w:t xml:space="preserve">that this amount is not necessarily additional, as it is not possible to estimate how much from</w:t>
      </w:r>
      <w:r>
        <w:t xml:space="preserve"> </w:t>
      </w:r>
      <w:r>
        <w:t xml:space="preserve">the free allocation given without any conditions would be spent on investments regardless.</w:t>
      </w:r>
      <w:r>
        <w:br/>
      </w:r>
      <w:r>
        <w:t xml:space="preserve">CL2_90 CBAM variant</w:t>
      </w:r>
      <w:r>
        <w:t xml:space="preserve"> </w:t>
      </w:r>
      <w:r>
        <w:t xml:space="preserve">Table 8 shows that the overall budget for free allocation between 2031-40 in the CL2_90</w:t>
      </w:r>
      <w:r>
        <w:t xml:space="preserve"> </w:t>
      </w:r>
      <w:r>
        <w:t xml:space="preserve">(CBAM variant), which returns 15% of the allowances initially taken away by the application</w:t>
      </w:r>
      <w:r>
        <w:t xml:space="preserve"> </w:t>
      </w:r>
      <w:r>
        <w:t xml:space="preserve">of the CBAM factor from the sectors covered under the CBAM. The starting point for the</w:t>
      </w:r>
      <w:r>
        <w:t xml:space="preserve"> </w:t>
      </w:r>
      <w:r>
        <w:t xml:space="preserve">estimation is the free allocation budget, which is set based upon the ETS cap and the share of</w:t>
      </w:r>
      <w:r>
        <w:t xml:space="preserve"> </w:t>
      </w:r>
      <w:r>
        <w:t xml:space="preserve">it reserved for free allocation. In the CL2_90 (CBAM variant) scenario, the total free allocation</w:t>
      </w:r>
      <w:r>
        <w:t xml:space="preserve"> </w:t>
      </w:r>
      <w:r>
        <w:t xml:space="preserve">budget is assumed to be 2,206 M EUAs over 2031-40. The preliminary free allocation was then</w:t>
      </w:r>
      <w:r>
        <w:t xml:space="preserve"> </w:t>
      </w:r>
      <w:r>
        <w:t xml:space="preserve">calculated following a bottom-up approach and this resulted in a total of 3,306 M EUAs over</w:t>
      </w:r>
      <w:r>
        <w:t xml:space="preserve"> </w:t>
      </w:r>
      <w:r>
        <w:t xml:space="preserve">2031-40. As the preliminary allocation exceeded the free allocation budget, the CSCF was</w:t>
      </w:r>
      <w:r>
        <w:t xml:space="preserve"> </w:t>
      </w:r>
      <w:r>
        <w:t xml:space="preserve">progressively applied over the period with the value declining rapidly from 0.69 in 2034 to</w:t>
      </w:r>
      <w:r>
        <w:t xml:space="preserve"> </w:t>
      </w:r>
      <w:r>
        <w:t xml:space="preserve">0.30 by 2040. The application of the CSCF allows the final free allocation budget to not exceed</w:t>
      </w:r>
      <w:r>
        <w:t xml:space="preserve"> </w:t>
      </w:r>
      <w:r>
        <w:t xml:space="preserve">the free allocation budget for the 2031-40 period. In a final step, the CBAM discount factor</w:t>
      </w:r>
      <w:r>
        <w:t xml:space="preserve"> </w:t>
      </w:r>
      <w:r>
        <w:t xml:space="preserve">was applied over Phase V for sub-installations covered by the CBAM but with 15% of the</w:t>
      </w:r>
      <w:r>
        <w:t xml:space="preserve"> </w:t>
      </w:r>
      <w:r>
        <w:t xml:space="preserve">allowances initially removed each year subsequently returned to these installations under the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CL2_90 (CBAM variant) scenario and this therefore increased (compared to the CL2_90</w:t>
      </w:r>
      <w:r>
        <w:t xml:space="preserve"> </w:t>
      </w:r>
      <w:r>
        <w:t xml:space="preserve">scenario) the total final free allocation over 2031-40 to 1,146 M EUAs.</w:t>
      </w:r>
      <w:r>
        <w:br/>
      </w:r>
      <w:r>
        <w:t xml:space="preserve">Table 8:</w:t>
      </w:r>
      <w:r>
        <w:t xml:space="preserve"> </w:t>
      </w:r>
      <w:r>
        <w:t xml:space="preserve">Estimation of the total volume of free allowances available under CL2_90 (CBAM</w:t>
      </w:r>
      <w:r>
        <w:t xml:space="preserve"> </w:t>
      </w:r>
      <w:r>
        <w:t xml:space="preserve">variant) for 2031-40</w:t>
      </w:r>
    </w:p>
    <w:p>
      <w:pPr>
        <w:pStyle w:val="BodyText"/>
      </w:pPr>
      <w:r>
        <w:t xml:space="preserve">2031 2032 2033 2034 2035 2036 2037 2038 2039 2040</w:t>
      </w:r>
      <w:r>
        <w:t xml:space="preserve"> </w:t>
      </w:r>
      <w:r>
        <w:t xml:space="preserve">FA Budget</w:t>
      </w:r>
      <w:r>
        <w:t xml:space="preserve"> </w:t>
      </w:r>
      <w:r>
        <w:t xml:space="preserve">320</w:t>
      </w:r>
      <w:r>
        <w:t xml:space="preserve"> </w:t>
      </w:r>
      <w:r>
        <w:t xml:space="preserve">293</w:t>
      </w:r>
      <w:r>
        <w:t xml:space="preserve"> </w:t>
      </w:r>
      <w:r>
        <w:t xml:space="preserve">267</w:t>
      </w:r>
      <w:r>
        <w:t xml:space="preserve"> </w:t>
      </w:r>
      <w:r>
        <w:t xml:space="preserve">240</w:t>
      </w:r>
      <w:r>
        <w:t xml:space="preserve"> </w:t>
      </w:r>
      <w:r>
        <w:t xml:space="preserve">212</w:t>
      </w:r>
      <w:r>
        <w:t xml:space="preserve"> </w:t>
      </w:r>
      <w:r>
        <w:t xml:space="preserve">187</w:t>
      </w:r>
      <w:r>
        <w:t xml:space="preserve"> </w:t>
      </w:r>
      <w:r>
        <w:t xml:space="preserve">163</w:t>
      </w:r>
      <w:r>
        <w:t xml:space="preserve"> </w:t>
      </w:r>
      <w:r>
        <w:t xml:space="preserve">139</w:t>
      </w:r>
      <w:r>
        <w:t xml:space="preserve"> </w:t>
      </w:r>
      <w:r>
        <w:t xml:space="preserve">114</w:t>
      </w:r>
      <w:r>
        <w:t xml:space="preserve"> </w:t>
      </w:r>
      <w:r>
        <w:t xml:space="preserve">90</w:t>
      </w:r>
      <w:r>
        <w:t xml:space="preserve"> </w:t>
      </w:r>
      <w:r>
        <w:t xml:space="preserve">FA (Preliminary)</w:t>
      </w:r>
      <w:r>
        <w:t xml:space="preserve"> </w:t>
      </w:r>
      <w:r>
        <w:t xml:space="preserve">363</w:t>
      </w:r>
      <w:r>
        <w:t xml:space="preserve"> </w:t>
      </w:r>
      <w:r>
        <w:t xml:space="preserve">360</w:t>
      </w:r>
      <w:r>
        <w:t xml:space="preserve"> </w:t>
      </w:r>
      <w:r>
        <w:t xml:space="preserve">356</w:t>
      </w:r>
      <w:r>
        <w:t xml:space="preserve"> </w:t>
      </w:r>
      <w:r>
        <w:t xml:space="preserve">349</w:t>
      </w:r>
      <w:r>
        <w:t xml:space="preserve"> </w:t>
      </w:r>
      <w:r>
        <w:t xml:space="preserve">349</w:t>
      </w:r>
      <w:r>
        <w:t xml:space="preserve"> </w:t>
      </w:r>
      <w:r>
        <w:t xml:space="preserve">306</w:t>
      </w:r>
      <w:r>
        <w:t xml:space="preserve"> </w:t>
      </w:r>
      <w:r>
        <w:t xml:space="preserve">306</w:t>
      </w:r>
      <w:r>
        <w:t xml:space="preserve"> </w:t>
      </w:r>
      <w:r>
        <w:t xml:space="preserve">306</w:t>
      </w:r>
      <w:r>
        <w:t xml:space="preserve"> </w:t>
      </w:r>
      <w:r>
        <w:t xml:space="preserve">306</w:t>
      </w:r>
      <w:r>
        <w:t xml:space="preserve"> </w:t>
      </w:r>
      <w:r>
        <w:t xml:space="preserve">305</w:t>
      </w:r>
      <w:r>
        <w:t xml:space="preserve"> </w:t>
      </w:r>
      <w:r>
        <w:t xml:space="preserve">CSCF</w:t>
      </w:r>
      <w:r>
        <w:t xml:space="preserve"> </w:t>
      </w:r>
      <w:r>
        <w:t xml:space="preserve">0.88</w:t>
      </w:r>
      <w:r>
        <w:t xml:space="preserve"> </w:t>
      </w:r>
      <w:r>
        <w:t xml:space="preserve">0.82</w:t>
      </w:r>
      <w:r>
        <w:t xml:space="preserve"> </w:t>
      </w:r>
      <w:r>
        <w:t xml:space="preserve">0.75</w:t>
      </w:r>
      <w:r>
        <w:t xml:space="preserve"> </w:t>
      </w:r>
      <w:r>
        <w:t xml:space="preserve">0.69</w:t>
      </w:r>
      <w:r>
        <w:t xml:space="preserve"> </w:t>
      </w:r>
      <w:r>
        <w:t xml:space="preserve">0.61</w:t>
      </w:r>
      <w:r>
        <w:t xml:space="preserve"> </w:t>
      </w:r>
      <w:r>
        <w:t xml:space="preserve">0.61</w:t>
      </w:r>
      <w:r>
        <w:t xml:space="preserve"> </w:t>
      </w:r>
      <w:r>
        <w:t xml:space="preserve">0.53</w:t>
      </w:r>
      <w:r>
        <w:t xml:space="preserve"> </w:t>
      </w:r>
      <w:r>
        <w:t xml:space="preserve">0.45</w:t>
      </w:r>
      <w:r>
        <w:t xml:space="preserve"> </w:t>
      </w:r>
      <w:r>
        <w:t xml:space="preserve">0.37</w:t>
      </w:r>
      <w:r>
        <w:t xml:space="preserve"> </w:t>
      </w:r>
      <w:r>
        <w:t xml:space="preserve">0.30</w:t>
      </w:r>
      <w:r>
        <w:t xml:space="preserve"> </w:t>
      </w:r>
      <w:r>
        <w:t xml:space="preserve">FA (before CBAM phase</w:t>
      </w:r>
      <w:r>
        <w:t xml:space="preserve"> </w:t>
      </w:r>
      <w:r>
        <w:t xml:space="preserve">out)</w:t>
      </w:r>
      <w:r>
        <w:t xml:space="preserve"> </w:t>
      </w:r>
      <w:r>
        <w:t xml:space="preserve">320</w:t>
      </w:r>
      <w:r>
        <w:t xml:space="preserve"> </w:t>
      </w:r>
      <w:r>
        <w:t xml:space="preserve">293</w:t>
      </w:r>
      <w:r>
        <w:t xml:space="preserve"> </w:t>
      </w:r>
      <w:r>
        <w:t xml:space="preserve">267</w:t>
      </w:r>
      <w:r>
        <w:t xml:space="preserve"> </w:t>
      </w:r>
      <w:r>
        <w:t xml:space="preserve">240</w:t>
      </w:r>
      <w:r>
        <w:t xml:space="preserve"> </w:t>
      </w:r>
      <w:r>
        <w:t xml:space="preserve">212</w:t>
      </w:r>
      <w:r>
        <w:t xml:space="preserve"> </w:t>
      </w:r>
      <w:r>
        <w:t xml:space="preserve">187</w:t>
      </w:r>
      <w:r>
        <w:t xml:space="preserve"> </w:t>
      </w:r>
      <w:r>
        <w:t xml:space="preserve">163</w:t>
      </w:r>
      <w:r>
        <w:t xml:space="preserve"> </w:t>
      </w:r>
      <w:r>
        <w:t xml:space="preserve">139</w:t>
      </w:r>
      <w:r>
        <w:t xml:space="preserve"> </w:t>
      </w:r>
      <w:r>
        <w:t xml:space="preserve">114</w:t>
      </w:r>
      <w:r>
        <w:t xml:space="preserve"> </w:t>
      </w:r>
      <w:r>
        <w:t xml:space="preserve">90</w:t>
      </w:r>
      <w:r>
        <w:t xml:space="preserve"> </w:t>
      </w:r>
      <w:r>
        <w:t xml:space="preserve">FA (after CBAM phase</w:t>
      </w:r>
      <w:r>
        <w:t xml:space="preserve"> </w:t>
      </w:r>
      <w:r>
        <w:t xml:space="preserve">out)</w:t>
      </w:r>
      <w:r>
        <w:t xml:space="preserve"> </w:t>
      </w:r>
      <w:r>
        <w:t xml:space="preserve">230</w:t>
      </w:r>
      <w:r>
        <w:t xml:space="preserve"> </w:t>
      </w:r>
      <w:r>
        <w:t xml:space="preserve">192</w:t>
      </w:r>
      <w:r>
        <w:t xml:space="preserve"> </w:t>
      </w:r>
      <w:r>
        <w:t xml:space="preserve">159</w:t>
      </w:r>
      <w:r>
        <w:t xml:space="preserve"> </w:t>
      </w:r>
      <w:r>
        <w:t xml:space="preserve">124</w:t>
      </w:r>
      <w:r>
        <w:t xml:space="preserve"> </w:t>
      </w:r>
      <w:r>
        <w:t xml:space="preserve">110</w:t>
      </w:r>
      <w:r>
        <w:t xml:space="preserve"> </w:t>
      </w:r>
      <w:r>
        <w:t xml:space="preserve">89</w:t>
      </w:r>
      <w:r>
        <w:t xml:space="preserve"> </w:t>
      </w:r>
      <w:r>
        <w:t xml:space="preserve">78</w:t>
      </w:r>
      <w:r>
        <w:t xml:space="preserve"> </w:t>
      </w:r>
      <w:r>
        <w:t xml:space="preserve">66</w:t>
      </w:r>
      <w:r>
        <w:t xml:space="preserve"> </w:t>
      </w:r>
      <w:r>
        <w:t xml:space="preserve">54</w:t>
      </w:r>
      <w:r>
        <w:t xml:space="preserve"> </w:t>
      </w:r>
      <w:r>
        <w:t xml:space="preserve">43</w:t>
      </w:r>
      <w:r>
        <w:t xml:space="preserve"> </w:t>
      </w:r>
      <w:r>
        <w:t xml:space="preserve">Source:</w:t>
      </w:r>
      <w:r>
        <w:br/>
      </w:r>
      <w:r>
        <w:t xml:space="preserve">Own calculation based upon preliminary NIMs data for 2019-23</w:t>
      </w:r>
      <w:r>
        <w:t xml:space="preserve"> </w:t>
      </w:r>
      <w:r>
        <w:t xml:space="preserve">Under the CL2_90 CBAM variant scenario, the manufacture of basic iron and steel and of ferro</w:t>
      </w:r>
      <w:r>
        <w:t xml:space="preserve"> </w:t>
      </w:r>
      <w:r>
        <w:t xml:space="preserve">alloys (NACE code 24.10) receives 161 million EUAs for free and the manufacture of cement</w:t>
      </w:r>
      <w:r>
        <w:t xml:space="preserve"> </w:t>
      </w:r>
      <w:r>
        <w:t xml:space="preserve">(NACE code 23.51) receives 100 million EUAs for free, most of these free allowances were</w:t>
      </w:r>
      <w:r>
        <w:t xml:space="preserve"> </w:t>
      </w:r>
      <w:r>
        <w:t xml:space="preserve">distributed only up until 2034. These values are higher in the CL2_90 CBAM variant than in</w:t>
      </w:r>
      <w:r>
        <w:t xml:space="preserve"> </w:t>
      </w:r>
      <w:r>
        <w:t xml:space="preserve">the CL2_90 scenario due to the return of 15% of the allowances that were initially taken away</w:t>
      </w:r>
      <w:r>
        <w:t xml:space="preserve"> </w:t>
      </w:r>
      <w:r>
        <w:t xml:space="preserve">from both sectors due to the application of the CBAM factor.</w:t>
      </w:r>
      <w:r>
        <w:t xml:space="preserve"> </w:t>
      </w:r>
      <w:r>
        <w:t xml:space="preserve">Figure 6:</w:t>
      </w:r>
      <w:r>
        <w:t xml:space="preserve"> </w:t>
      </w:r>
      <w:r>
        <w:t xml:space="preserve">Distribution of free allocation under CL2_90 (CBAM variant) for 2031-40</w:t>
      </w:r>
    </w:p>
    <w:p>
      <w:pPr>
        <w:pStyle w:val="BodyText"/>
      </w:pPr>
      <w:r>
        <w:t xml:space="preserve">Source:</w:t>
      </w:r>
      <w:r>
        <w:br/>
      </w:r>
      <w:r>
        <w:t xml:space="preserve">Own calculation based upon preliminary NIMs data for 2019-23</w:t>
      </w:r>
      <w:r>
        <w:t xml:space="preserve"> </w:t>
      </w:r>
      <w:r>
        <w:t xml:space="preserve">CL2_50 (PO2)</w:t>
      </w:r>
      <w:r>
        <w:t xml:space="preserve"> </w:t>
      </w:r>
      <w:r>
        <w:t xml:space="preserve">Table 9 shows that the overall budget for free allocation between 2031-40 in the CL2_50</w:t>
      </w:r>
      <w:r>
        <w:t xml:space="preserve"> </w:t>
      </w:r>
      <w:r>
        <w:t xml:space="preserve">scenario, which is assumed to be 2,206 M EUAs over 2031-40. The preliminary free allocation</w:t>
      </w:r>
      <w:r>
        <w:t xml:space="preserve"> </w:t>
      </w:r>
      <w:r>
        <w:t xml:space="preserve">was then calculated following a bottom-up approach and this resulted in a total of 2,829 M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EUAs over 2031-40. The preliminary allocation is lower than under the CL2_90 scenario as</w:t>
      </w:r>
      <w:r>
        <w:t xml:space="preserve"> </w:t>
      </w:r>
      <w:r>
        <w:t xml:space="preserve">the CL2_50 scenario assumes that in the 2031-40 period that an increasing share of the free</w:t>
      </w:r>
      <w:r>
        <w:t xml:space="preserve"> </w:t>
      </w:r>
      <w:r>
        <w:t xml:space="preserve">allocation will be conditional but that the compliance rate falls of 50%. As the preliminary</w:t>
      </w:r>
      <w:r>
        <w:t xml:space="preserve"> </w:t>
      </w:r>
      <w:r>
        <w:t xml:space="preserve">allocation exceeded the free allocation budget, the CSCF was progressively applied over the</w:t>
      </w:r>
      <w:r>
        <w:t xml:space="preserve"> </w:t>
      </w:r>
      <w:r>
        <w:t xml:space="preserve">period with the value declining from 0.92 in 2031 to 0.36 by 2040. The lower preliminary free</w:t>
      </w:r>
      <w:r>
        <w:t xml:space="preserve"> </w:t>
      </w:r>
      <w:r>
        <w:t xml:space="preserve">allocation under the CL2_50 scenario compared to the CL2_90 scenario results in the</w:t>
      </w:r>
      <w:r>
        <w:t xml:space="preserve"> </w:t>
      </w:r>
      <w:r>
        <w:t xml:space="preserve">application of a higher CSCF across the period. The application of the CSCF allows the final</w:t>
      </w:r>
      <w:r>
        <w:t xml:space="preserve"> </w:t>
      </w:r>
      <w:r>
        <w:t xml:space="preserve">free allocation budget to not exceed the free allocation budget for the 2031-40 period. In a final</w:t>
      </w:r>
      <w:r>
        <w:t xml:space="preserve"> </w:t>
      </w:r>
      <w:r>
        <w:t xml:space="preserve">step, the CBAM discount factor was applied over Phase V for sub-installations covered by the</w:t>
      </w:r>
      <w:r>
        <w:t xml:space="preserve"> </w:t>
      </w:r>
      <w:r>
        <w:t xml:space="preserve">CBAM and this reduced the total free allocation over 2031-40 to 811 M EUAs.</w:t>
      </w:r>
      <w:r>
        <w:t xml:space="preserve"> </w:t>
      </w:r>
      <w:r>
        <w:t xml:space="preserve">Table 9:</w:t>
      </w:r>
      <w:r>
        <w:t xml:space="preserve"> </w:t>
      </w:r>
      <w:r>
        <w:t xml:space="preserve">Estimation of the total volume of free allowances available under CL2_50 for 2031-40</w:t>
      </w:r>
    </w:p>
    <w:p>
      <w:pPr>
        <w:pStyle w:val="BodyText"/>
      </w:pPr>
      <w:r>
        <w:t xml:space="preserve">2031 2032 2033 2034 2035 2036 2037 2038 2039 2040</w:t>
      </w:r>
      <w:r>
        <w:t xml:space="preserve"> </w:t>
      </w:r>
      <w:r>
        <w:t xml:space="preserve">FA Budget</w:t>
      </w:r>
      <w:r>
        <w:t xml:space="preserve"> </w:t>
      </w:r>
      <w:r>
        <w:t xml:space="preserve">320</w:t>
      </w:r>
      <w:r>
        <w:t xml:space="preserve"> </w:t>
      </w:r>
      <w:r>
        <w:t xml:space="preserve">293</w:t>
      </w:r>
      <w:r>
        <w:t xml:space="preserve"> </w:t>
      </w:r>
      <w:r>
        <w:t xml:space="preserve">267</w:t>
      </w:r>
      <w:r>
        <w:t xml:space="preserve"> </w:t>
      </w:r>
      <w:r>
        <w:t xml:space="preserve">240</w:t>
      </w:r>
      <w:r>
        <w:t xml:space="preserve"> </w:t>
      </w:r>
      <w:r>
        <w:t xml:space="preserve">212</w:t>
      </w:r>
      <w:r>
        <w:t xml:space="preserve"> </w:t>
      </w:r>
      <w:r>
        <w:t xml:space="preserve">187</w:t>
      </w:r>
      <w:r>
        <w:t xml:space="preserve"> </w:t>
      </w:r>
      <w:r>
        <w:t xml:space="preserve">163</w:t>
      </w:r>
      <w:r>
        <w:t xml:space="preserve"> </w:t>
      </w:r>
      <w:r>
        <w:t xml:space="preserve">139</w:t>
      </w:r>
      <w:r>
        <w:t xml:space="preserve"> </w:t>
      </w:r>
      <w:r>
        <w:t xml:space="preserve">114</w:t>
      </w:r>
      <w:r>
        <w:t xml:space="preserve"> </w:t>
      </w:r>
      <w:r>
        <w:t xml:space="preserve">90</w:t>
      </w:r>
      <w:r>
        <w:t xml:space="preserve"> </w:t>
      </w:r>
      <w:r>
        <w:t xml:space="preserve">FA (Preliminary)</w:t>
      </w:r>
      <w:r>
        <w:t xml:space="preserve"> </w:t>
      </w:r>
      <w:r>
        <w:t xml:space="preserve">350</w:t>
      </w:r>
      <w:r>
        <w:t xml:space="preserve"> </w:t>
      </w:r>
      <w:r>
        <w:t xml:space="preserve">333</w:t>
      </w:r>
      <w:r>
        <w:t xml:space="preserve"> </w:t>
      </w:r>
      <w:r>
        <w:t xml:space="preserve">316</w:t>
      </w:r>
      <w:r>
        <w:t xml:space="preserve"> </w:t>
      </w:r>
      <w:r>
        <w:t xml:space="preserve">282</w:t>
      </w:r>
      <w:r>
        <w:t xml:space="preserve"> </w:t>
      </w:r>
      <w:r>
        <w:t xml:space="preserve">282</w:t>
      </w:r>
      <w:r>
        <w:t xml:space="preserve"> </w:t>
      </w:r>
      <w:r>
        <w:t xml:space="preserve">254</w:t>
      </w:r>
      <w:r>
        <w:t xml:space="preserve"> </w:t>
      </w:r>
      <w:r>
        <w:t xml:space="preserve">254</w:t>
      </w:r>
      <w:r>
        <w:t xml:space="preserve"> </w:t>
      </w:r>
      <w:r>
        <w:t xml:space="preserve">254</w:t>
      </w:r>
      <w:r>
        <w:t xml:space="preserve"> </w:t>
      </w:r>
      <w:r>
        <w:t xml:space="preserve">253</w:t>
      </w:r>
      <w:r>
        <w:t xml:space="preserve"> </w:t>
      </w:r>
      <w:r>
        <w:t xml:space="preserve">253</w:t>
      </w:r>
      <w:r>
        <w:t xml:space="preserve"> </w:t>
      </w:r>
      <w:r>
        <w:t xml:space="preserve">CSCF</w:t>
      </w:r>
      <w:r>
        <w:t xml:space="preserve"> </w:t>
      </w:r>
      <w:r>
        <w:t xml:space="preserve">0.92</w:t>
      </w:r>
      <w:r>
        <w:t xml:space="preserve"> </w:t>
      </w:r>
      <w:r>
        <w:t xml:space="preserve">0.88</w:t>
      </w:r>
      <w:r>
        <w:t xml:space="preserve"> </w:t>
      </w:r>
      <w:r>
        <w:t xml:space="preserve">0.85</w:t>
      </w:r>
      <w:r>
        <w:t xml:space="preserve"> </w:t>
      </w:r>
      <w:r>
        <w:t xml:space="preserve">0.85</w:t>
      </w:r>
      <w:r>
        <w:t xml:space="preserve"> </w:t>
      </w:r>
      <w:r>
        <w:t xml:space="preserve">0.75</w:t>
      </w:r>
      <w:r>
        <w:t xml:space="preserve"> </w:t>
      </w:r>
      <w:r>
        <w:t xml:space="preserve">0.74</w:t>
      </w:r>
      <w:r>
        <w:t xml:space="preserve"> </w:t>
      </w:r>
      <w:r>
        <w:t xml:space="preserve">0.64</w:t>
      </w:r>
      <w:r>
        <w:t xml:space="preserve"> </w:t>
      </w:r>
      <w:r>
        <w:t xml:space="preserve">0.55</w:t>
      </w:r>
      <w:r>
        <w:t xml:space="preserve"> </w:t>
      </w:r>
      <w:r>
        <w:t xml:space="preserve">0.45</w:t>
      </w:r>
      <w:r>
        <w:t xml:space="preserve"> </w:t>
      </w:r>
      <w:r>
        <w:t xml:space="preserve">0.36</w:t>
      </w:r>
      <w:r>
        <w:t xml:space="preserve"> </w:t>
      </w:r>
      <w:r>
        <w:t xml:space="preserve">FA (before CBAM phase</w:t>
      </w:r>
      <w:r>
        <w:t xml:space="preserve"> </w:t>
      </w:r>
      <w:r>
        <w:t xml:space="preserve">out)</w:t>
      </w:r>
      <w:r>
        <w:t xml:space="preserve"> </w:t>
      </w:r>
      <w:r>
        <w:t xml:space="preserve">320</w:t>
      </w:r>
      <w:r>
        <w:t xml:space="preserve"> </w:t>
      </w:r>
      <w:r>
        <w:t xml:space="preserve">293</w:t>
      </w:r>
      <w:r>
        <w:t xml:space="preserve"> </w:t>
      </w:r>
      <w:r>
        <w:t xml:space="preserve">267</w:t>
      </w:r>
      <w:r>
        <w:t xml:space="preserve"> </w:t>
      </w:r>
      <w:r>
        <w:t xml:space="preserve">240</w:t>
      </w:r>
      <w:r>
        <w:t xml:space="preserve"> </w:t>
      </w:r>
      <w:r>
        <w:t xml:space="preserve">212</w:t>
      </w:r>
      <w:r>
        <w:t xml:space="preserve"> </w:t>
      </w:r>
      <w:r>
        <w:t xml:space="preserve">187</w:t>
      </w:r>
      <w:r>
        <w:t xml:space="preserve"> </w:t>
      </w:r>
      <w:r>
        <w:t xml:space="preserve">163</w:t>
      </w:r>
      <w:r>
        <w:t xml:space="preserve"> </w:t>
      </w:r>
      <w:r>
        <w:t xml:space="preserve">139</w:t>
      </w:r>
      <w:r>
        <w:t xml:space="preserve"> </w:t>
      </w:r>
      <w:r>
        <w:t xml:space="preserve">114</w:t>
      </w:r>
      <w:r>
        <w:t xml:space="preserve"> </w:t>
      </w:r>
      <w:r>
        <w:t xml:space="preserve">90</w:t>
      </w:r>
      <w:r>
        <w:t xml:space="preserve"> </w:t>
      </w:r>
      <w:r>
        <w:t xml:space="preserve">FA (after CBAM phase</w:t>
      </w:r>
      <w:r>
        <w:t xml:space="preserve"> </w:t>
      </w:r>
      <w:r>
        <w:t xml:space="preserve">out)</w:t>
      </w:r>
      <w:r>
        <w:t xml:space="preserve"> </w:t>
      </w:r>
      <w:r>
        <w:t xml:space="preserve">210</w:t>
      </w:r>
      <w:r>
        <w:t xml:space="preserve"> </w:t>
      </w:r>
      <w:r>
        <w:t xml:space="preserve">165</w:t>
      </w:r>
      <w:r>
        <w:t xml:space="preserve"> </w:t>
      </w:r>
      <w:r>
        <w:t xml:space="preserve">123</w:t>
      </w:r>
      <w:r>
        <w:t xml:space="preserve"> </w:t>
      </w:r>
      <w:r>
        <w:t xml:space="preserve">71</w:t>
      </w:r>
      <w:r>
        <w:t xml:space="preserve"> </w:t>
      </w:r>
      <w:r>
        <w:t xml:space="preserve">63</w:t>
      </w:r>
      <w:r>
        <w:t xml:space="preserve"> </w:t>
      </w:r>
      <w:r>
        <w:t xml:space="preserve">48</w:t>
      </w:r>
      <w:r>
        <w:t xml:space="preserve"> </w:t>
      </w:r>
      <w:r>
        <w:t xml:space="preserve">42</w:t>
      </w:r>
      <w:r>
        <w:t xml:space="preserve"> </w:t>
      </w:r>
      <w:r>
        <w:t xml:space="preserve">36</w:t>
      </w:r>
      <w:r>
        <w:t xml:space="preserve"> </w:t>
      </w:r>
      <w:r>
        <w:t xml:space="preserve">29</w:t>
      </w:r>
      <w:r>
        <w:t xml:space="preserve"> </w:t>
      </w:r>
      <w:r>
        <w:t xml:space="preserve">23</w:t>
      </w:r>
      <w:r>
        <w:t xml:space="preserve"> </w:t>
      </w:r>
      <w:r>
        <w:t xml:space="preserve">Source: Own calculation based upon preliminary NIMs data for 2019-23</w:t>
      </w:r>
      <w:r>
        <w:t xml:space="preserve"> </w:t>
      </w:r>
      <w:r>
        <w:t xml:space="preserve">Figure 7 shows how the distribution of free allocation to sectors develops over time under the</w:t>
      </w:r>
      <w:r>
        <w:t xml:space="preserve"> </w:t>
      </w:r>
      <w:r>
        <w:t xml:space="preserve">CL2_50 scenario. The manufacture of refined petroleum products (NACE code 19.20) would</w:t>
      </w:r>
      <w:r>
        <w:t xml:space="preserve"> </w:t>
      </w:r>
      <w:r>
        <w:t xml:space="preserve">receive around 208 million EUAs for free over 2031-40 and this is followed by the manufacture</w:t>
      </w:r>
      <w:r>
        <w:t xml:space="preserve"> </w:t>
      </w:r>
      <w:r>
        <w:t xml:space="preserve">of other organic basic chemicals (NACE code 20.14), the manufacture of basic iron and steel</w:t>
      </w:r>
      <w:r>
        <w:t xml:space="preserve"> </w:t>
      </w:r>
      <w:r>
        <w:t xml:space="preserve">and of ferro alloys (NACE code 24.10) and the manufacture of cement (NACE code 23.51)</w:t>
      </w:r>
      <w:r>
        <w:t xml:space="preserve"> </w:t>
      </w:r>
      <w:r>
        <w:t xml:space="preserve">that receive 85 M EUAs, 84 million EUAs and 52 million EUAs respectively over 2031-40.</w:t>
      </w:r>
      <w:r>
        <w:t xml:space="preserve"> </w:t>
      </w:r>
      <w:r>
        <w:t xml:space="preserve">In contrast to the CL2_90 scenario, the preliminary free allocation is lower in the CL2_50</w:t>
      </w:r>
      <w:r>
        <w:t xml:space="preserve"> </w:t>
      </w:r>
      <w:r>
        <w:t xml:space="preserve">scenario due to the implementation of conditionalities for non-CBAM sectors with a</w:t>
      </w:r>
      <w:r>
        <w:t xml:space="preserve"> </w:t>
      </w:r>
      <w:r>
        <w:t xml:space="preserve">compliance rate of only 50%. However, the preliminary allocation still exceeds the free</w:t>
      </w:r>
      <w:r>
        <w:t xml:space="preserve"> </w:t>
      </w:r>
      <w:r>
        <w:t xml:space="preserve">allocation budget under CL2_50, so a CSCF remains necessary, albeit the CSCF values are</w:t>
      </w:r>
      <w:r>
        <w:t xml:space="preserve"> </w:t>
      </w:r>
      <w:r>
        <w:t xml:space="preserve">higher than under the CL2_90 scenario. As the conditionalities do not apply to CBAM sectors,</w:t>
      </w:r>
      <w:r>
        <w:t xml:space="preserve"> </w:t>
      </w:r>
      <w:r>
        <w:t xml:space="preserve">the preliminary allocation is higher for these sectors and with the use of a higher CSCF</w:t>
      </w:r>
      <w:r>
        <w:t xml:space="preserve"> </w:t>
      </w:r>
      <w:r>
        <w:t xml:space="preserve">throughout the 2031-40 period this means that the final allocation is also higher than the</w:t>
      </w:r>
      <w:r>
        <w:t xml:space="preserve"> </w:t>
      </w:r>
      <w:r>
        <w:t xml:space="preserve">CL2_90 scenario after the application of the CBAM factor to phase out their free allocation up</w:t>
      </w:r>
      <w:r>
        <w:t xml:space="preserve"> </w:t>
      </w:r>
      <w:r>
        <w:t xml:space="preserve">until 2034.</w:t>
      </w:r>
      <w:r>
        <w:t xml:space="preserve"> </w:t>
      </w:r>
      <w:r>
        <w:t xml:space="preserve">Figure 7:</w:t>
      </w:r>
      <w:r>
        <w:t xml:space="preserve"> </w:t>
      </w:r>
      <w:r>
        <w:t xml:space="preserve">Distribution of free allocation under CL2_50 for 2031-40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Source: Own calculation based upon preliminary NIMs data for 2019-23</w:t>
      </w:r>
      <w:r>
        <w:t xml:space="preserve"> </w:t>
      </w:r>
      <w:r>
        <w:t xml:space="preserve">The value of the free allocation that is subject to further conditionalities under CL2_50 is</w:t>
      </w:r>
      <w:r>
        <w:t xml:space="preserve"> </w:t>
      </w:r>
      <w:r>
        <w:t xml:space="preserve">estimated by multiplying the volume of the preliminary free allocation that is subject to</w:t>
      </w:r>
      <w:r>
        <w:t xml:space="preserve"> </w:t>
      </w:r>
      <w:r>
        <w:t xml:space="preserve">conditionality each year for non-CBAM sectors by the CSCF for the CL2_50 scenario,</w:t>
      </w:r>
      <w:r>
        <w:t xml:space="preserve"> </w:t>
      </w:r>
      <w:r>
        <w:t xml:space="preserve">assuming an average price of EUR150 over the period. The expected level of investment</w:t>
      </w:r>
      <w:r>
        <w:t xml:space="preserve"> </w:t>
      </w:r>
      <w:r>
        <w:t xml:space="preserve">because of the introduction of further conditionalities under CL2_50 for non-CBAM sectors</w:t>
      </w:r>
      <w:r>
        <w:t xml:space="preserve"> </w:t>
      </w:r>
      <w:r>
        <w:t xml:space="preserve">only is estimated to be around EUR 50 billion over the 2031-40 period.</w:t>
      </w:r>
      <w:r>
        <w:t xml:space="preserve"> </w:t>
      </w:r>
      <w:r>
        <w:t xml:space="preserve">CBAM variant</w:t>
      </w:r>
      <w:r>
        <w:t xml:space="preserve"> </w:t>
      </w:r>
      <w:r>
        <w:t xml:space="preserve">Table 10 shows that the overall budget for free allocation between 2031-40 in the CL2_50</w:t>
      </w:r>
      <w:r>
        <w:t xml:space="preserve"> </w:t>
      </w:r>
      <w:r>
        <w:t xml:space="preserve">(CBAM variant), which returns 15% of the allowances initially taken away by the application</w:t>
      </w:r>
      <w:r>
        <w:t xml:space="preserve"> </w:t>
      </w:r>
      <w:r>
        <w:t xml:space="preserve">of the CBAM factor from the sectors covered under the CBAM. The starting point for the</w:t>
      </w:r>
      <w:r>
        <w:t xml:space="preserve"> </w:t>
      </w:r>
      <w:r>
        <w:t xml:space="preserve">estimation is the free allocation budget, which is set based upon the ETS cap and the share of</w:t>
      </w:r>
      <w:r>
        <w:t xml:space="preserve"> </w:t>
      </w:r>
      <w:r>
        <w:t xml:space="preserve">it reserved for free allocation. In the CL2_50 (CBAM variant) scenario, the total free allocation</w:t>
      </w:r>
      <w:r>
        <w:t xml:space="preserve"> </w:t>
      </w:r>
      <w:r>
        <w:t xml:space="preserve">budget is assumed to be 2,206 M EUAs over 2031-40. The preliminary free allocation was then</w:t>
      </w:r>
      <w:r>
        <w:t xml:space="preserve"> </w:t>
      </w:r>
      <w:r>
        <w:t xml:space="preserve">calculated following a bottom-up approach and this resulted in a total of 2,829 M EUAs over</w:t>
      </w:r>
      <w:r>
        <w:t xml:space="preserve"> </w:t>
      </w:r>
      <w:r>
        <w:t xml:space="preserve">2031-40. As the preliminary allocation exceeded the free allocation budget, the CSCF was</w:t>
      </w:r>
      <w:r>
        <w:t xml:space="preserve"> </w:t>
      </w:r>
      <w:r>
        <w:t xml:space="preserve">progressively applied over the period with the value declining rapidly from 0.85 in 2034 to</w:t>
      </w:r>
      <w:r>
        <w:t xml:space="preserve"> </w:t>
      </w:r>
      <w:r>
        <w:t xml:space="preserve">0.36 by 2040. The application of the CSCF allows the final free allocation budget to not exceed</w:t>
      </w:r>
      <w:r>
        <w:t xml:space="preserve"> </w:t>
      </w:r>
      <w:r>
        <w:t xml:space="preserve">the free allocation budget for the 2031-40 period. In a final step, the CBAM discount factor</w:t>
      </w:r>
      <w:r>
        <w:t xml:space="preserve"> </w:t>
      </w:r>
      <w:r>
        <w:t xml:space="preserve">was applied over Phase V for sub-installations covered by the CBAM but with 15% of the</w:t>
      </w:r>
      <w:r>
        <w:t xml:space="preserve"> </w:t>
      </w:r>
      <w:r>
        <w:t xml:space="preserve">allowances initially removed each year subsequently returned to these installations under the</w:t>
      </w:r>
      <w:r>
        <w:t xml:space="preserve"> </w:t>
      </w:r>
      <w:r>
        <w:t xml:space="preserve">CL2_90 (CBAM variant) scenario and this therefore increased (compared to the CL2_50</w:t>
      </w:r>
      <w:r>
        <w:t xml:space="preserve"> </w:t>
      </w:r>
      <w:r>
        <w:t xml:space="preserve">scenario) the total final free allocation over 2031-40 to 993 M EUAs.</w:t>
      </w:r>
      <w:r>
        <w:br/>
      </w:r>
      <w:r>
        <w:t xml:space="preserve">Table 10: Estimation of the total volume of free allowances available under CL2_50 (CBAM</w:t>
      </w:r>
      <w:r>
        <w:t xml:space="preserve"> </w:t>
      </w:r>
      <w:r>
        <w:t xml:space="preserve">variant) for 2031-40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2031 2032 2033 2034 2035 2036 2037 2038 2039 2040</w:t>
      </w:r>
      <w:r>
        <w:t xml:space="preserve"> </w:t>
      </w:r>
      <w:r>
        <w:t xml:space="preserve">FA Budget</w:t>
      </w:r>
      <w:r>
        <w:t xml:space="preserve"> </w:t>
      </w:r>
      <w:r>
        <w:t xml:space="preserve">320</w:t>
      </w:r>
      <w:r>
        <w:t xml:space="preserve"> </w:t>
      </w:r>
      <w:r>
        <w:t xml:space="preserve">293</w:t>
      </w:r>
      <w:r>
        <w:t xml:space="preserve"> </w:t>
      </w:r>
      <w:r>
        <w:t xml:space="preserve">267</w:t>
      </w:r>
      <w:r>
        <w:t xml:space="preserve"> </w:t>
      </w:r>
      <w:r>
        <w:t xml:space="preserve">240</w:t>
      </w:r>
      <w:r>
        <w:t xml:space="preserve"> </w:t>
      </w:r>
      <w:r>
        <w:t xml:space="preserve">212</w:t>
      </w:r>
      <w:r>
        <w:t xml:space="preserve"> </w:t>
      </w:r>
      <w:r>
        <w:t xml:space="preserve">187</w:t>
      </w:r>
      <w:r>
        <w:t xml:space="preserve"> </w:t>
      </w:r>
      <w:r>
        <w:t xml:space="preserve">163</w:t>
      </w:r>
      <w:r>
        <w:t xml:space="preserve"> </w:t>
      </w:r>
      <w:r>
        <w:t xml:space="preserve">139</w:t>
      </w:r>
      <w:r>
        <w:t xml:space="preserve"> </w:t>
      </w:r>
      <w:r>
        <w:t xml:space="preserve">114</w:t>
      </w:r>
      <w:r>
        <w:t xml:space="preserve"> </w:t>
      </w:r>
      <w:r>
        <w:t xml:space="preserve">90</w:t>
      </w:r>
      <w:r>
        <w:t xml:space="preserve"> </w:t>
      </w:r>
      <w:r>
        <w:t xml:space="preserve">FA (Preliminary)</w:t>
      </w:r>
      <w:r>
        <w:t xml:space="preserve"> </w:t>
      </w:r>
      <w:r>
        <w:t xml:space="preserve">350</w:t>
      </w:r>
      <w:r>
        <w:t xml:space="preserve"> </w:t>
      </w:r>
      <w:r>
        <w:t xml:space="preserve">333</w:t>
      </w:r>
      <w:r>
        <w:t xml:space="preserve"> </w:t>
      </w:r>
      <w:r>
        <w:t xml:space="preserve">316</w:t>
      </w:r>
      <w:r>
        <w:t xml:space="preserve"> </w:t>
      </w:r>
      <w:r>
        <w:t xml:space="preserve">282</w:t>
      </w:r>
      <w:r>
        <w:t xml:space="preserve"> </w:t>
      </w:r>
      <w:r>
        <w:t xml:space="preserve">282</w:t>
      </w:r>
      <w:r>
        <w:t xml:space="preserve"> </w:t>
      </w:r>
      <w:r>
        <w:t xml:space="preserve">254</w:t>
      </w:r>
      <w:r>
        <w:t xml:space="preserve"> </w:t>
      </w:r>
      <w:r>
        <w:t xml:space="preserve">254</w:t>
      </w:r>
      <w:r>
        <w:t xml:space="preserve"> </w:t>
      </w:r>
      <w:r>
        <w:t xml:space="preserve">254</w:t>
      </w:r>
      <w:r>
        <w:t xml:space="preserve"> </w:t>
      </w:r>
      <w:r>
        <w:t xml:space="preserve">253</w:t>
      </w:r>
      <w:r>
        <w:t xml:space="preserve"> </w:t>
      </w:r>
      <w:r>
        <w:t xml:space="preserve">253</w:t>
      </w:r>
      <w:r>
        <w:t xml:space="preserve"> </w:t>
      </w:r>
      <w:r>
        <w:t xml:space="preserve">CSCF</w:t>
      </w:r>
      <w:r>
        <w:t xml:space="preserve"> </w:t>
      </w:r>
      <w:r>
        <w:t xml:space="preserve">0.92</w:t>
      </w:r>
      <w:r>
        <w:t xml:space="preserve"> </w:t>
      </w:r>
      <w:r>
        <w:t xml:space="preserve">0.88</w:t>
      </w:r>
      <w:r>
        <w:t xml:space="preserve"> </w:t>
      </w:r>
      <w:r>
        <w:t xml:space="preserve">0.85</w:t>
      </w:r>
      <w:r>
        <w:t xml:space="preserve"> </w:t>
      </w:r>
      <w:r>
        <w:t xml:space="preserve">0.85</w:t>
      </w:r>
      <w:r>
        <w:t xml:space="preserve"> </w:t>
      </w:r>
      <w:r>
        <w:t xml:space="preserve">0.75</w:t>
      </w:r>
      <w:r>
        <w:t xml:space="preserve"> </w:t>
      </w:r>
      <w:r>
        <w:t xml:space="preserve">0.74</w:t>
      </w:r>
      <w:r>
        <w:t xml:space="preserve"> </w:t>
      </w:r>
      <w:r>
        <w:t xml:space="preserve">0.64</w:t>
      </w:r>
      <w:r>
        <w:t xml:space="preserve"> </w:t>
      </w:r>
      <w:r>
        <w:t xml:space="preserve">0.55</w:t>
      </w:r>
      <w:r>
        <w:t xml:space="preserve"> </w:t>
      </w:r>
      <w:r>
        <w:t xml:space="preserve">0.45</w:t>
      </w:r>
      <w:r>
        <w:t xml:space="preserve"> </w:t>
      </w:r>
      <w:r>
        <w:t xml:space="preserve">0.36</w:t>
      </w:r>
      <w:r>
        <w:t xml:space="preserve"> </w:t>
      </w:r>
      <w:r>
        <w:t xml:space="preserve">FA (before CBAM phase</w:t>
      </w:r>
      <w:r>
        <w:t xml:space="preserve"> </w:t>
      </w:r>
      <w:r>
        <w:t xml:space="preserve">out)</w:t>
      </w:r>
      <w:r>
        <w:t xml:space="preserve"> </w:t>
      </w:r>
      <w:r>
        <w:t xml:space="preserve">320</w:t>
      </w:r>
      <w:r>
        <w:t xml:space="preserve"> </w:t>
      </w:r>
      <w:r>
        <w:t xml:space="preserve">293</w:t>
      </w:r>
      <w:r>
        <w:t xml:space="preserve"> </w:t>
      </w:r>
      <w:r>
        <w:t xml:space="preserve">267</w:t>
      </w:r>
      <w:r>
        <w:t xml:space="preserve"> </w:t>
      </w:r>
      <w:r>
        <w:t xml:space="preserve">240</w:t>
      </w:r>
      <w:r>
        <w:t xml:space="preserve"> </w:t>
      </w:r>
      <w:r>
        <w:t xml:space="preserve">212</w:t>
      </w:r>
      <w:r>
        <w:t xml:space="preserve"> </w:t>
      </w:r>
      <w:r>
        <w:t xml:space="preserve">187</w:t>
      </w:r>
      <w:r>
        <w:t xml:space="preserve"> </w:t>
      </w:r>
      <w:r>
        <w:t xml:space="preserve">163</w:t>
      </w:r>
      <w:r>
        <w:t xml:space="preserve"> </w:t>
      </w:r>
      <w:r>
        <w:t xml:space="preserve">139</w:t>
      </w:r>
      <w:r>
        <w:t xml:space="preserve"> </w:t>
      </w:r>
      <w:r>
        <w:t xml:space="preserve">114</w:t>
      </w:r>
      <w:r>
        <w:t xml:space="preserve"> </w:t>
      </w:r>
      <w:r>
        <w:t xml:space="preserve">90</w:t>
      </w:r>
      <w:r>
        <w:t xml:space="preserve"> </w:t>
      </w:r>
      <w:r>
        <w:t xml:space="preserve">FA (after CBAM phase</w:t>
      </w:r>
      <w:r>
        <w:t xml:space="preserve"> </w:t>
      </w:r>
      <w:r>
        <w:t xml:space="preserve">out)</w:t>
      </w:r>
      <w:r>
        <w:t xml:space="preserve"> </w:t>
      </w:r>
      <w:r>
        <w:t xml:space="preserve">226</w:t>
      </w:r>
      <w:r>
        <w:t xml:space="preserve"> </w:t>
      </w:r>
      <w:r>
        <w:t xml:space="preserve">184</w:t>
      </w:r>
      <w:r>
        <w:t xml:space="preserve"> </w:t>
      </w:r>
      <w:r>
        <w:t xml:space="preserve">145</w:t>
      </w:r>
      <w:r>
        <w:t xml:space="preserve"> </w:t>
      </w:r>
      <w:r>
        <w:t xml:space="preserve">97</w:t>
      </w:r>
      <w:r>
        <w:t xml:space="preserve"> </w:t>
      </w:r>
      <w:r>
        <w:t xml:space="preserve">85</w:t>
      </w:r>
      <w:r>
        <w:t xml:space="preserve"> </w:t>
      </w:r>
      <w:r>
        <w:t xml:space="preserve">69</w:t>
      </w:r>
      <w:r>
        <w:t xml:space="preserve"> </w:t>
      </w:r>
      <w:r>
        <w:t xml:space="preserve">60</w:t>
      </w:r>
      <w:r>
        <w:t xml:space="preserve"> </w:t>
      </w:r>
      <w:r>
        <w:t xml:space="preserve">51</w:t>
      </w:r>
      <w:r>
        <w:t xml:space="preserve"> </w:t>
      </w:r>
      <w:r>
        <w:t xml:space="preserve">42</w:t>
      </w:r>
      <w:r>
        <w:t xml:space="preserve"> </w:t>
      </w:r>
      <w:r>
        <w:t xml:space="preserve">33</w:t>
      </w:r>
      <w:r>
        <w:t xml:space="preserve"> </w:t>
      </w:r>
      <w:r>
        <w:t xml:space="preserve">Source:</w:t>
      </w:r>
      <w:r>
        <w:br/>
      </w:r>
      <w:r>
        <w:t xml:space="preserve">Own calculation based upon preliminary NIMs data for 2019-23</w:t>
      </w:r>
      <w:r>
        <w:t xml:space="preserve"> </w:t>
      </w:r>
      <w:r>
        <w:t xml:space="preserve">Under the CL2_50 CBAM variant scenario, the manufacture of basic iron and steel and of ferro</w:t>
      </w:r>
      <w:r>
        <w:t xml:space="preserve"> </w:t>
      </w:r>
      <w:r>
        <w:t xml:space="preserve">alloys (NACE code 24.10) receives 174 million EUAs for free and the manufacture of cement</w:t>
      </w:r>
      <w:r>
        <w:t xml:space="preserve"> </w:t>
      </w:r>
      <w:r>
        <w:t xml:space="preserve">(NACE code 23.51) receives 121 million EUAs for free, the majority of these free allowances</w:t>
      </w:r>
      <w:r>
        <w:t xml:space="preserve"> </w:t>
      </w:r>
      <w:r>
        <w:t xml:space="preserve">were distributed only up until 2034. These values are higher in the CL2_50 CBAM variant than</w:t>
      </w:r>
      <w:r>
        <w:t xml:space="preserve"> </w:t>
      </w:r>
      <w:r>
        <w:t xml:space="preserve">in the CL2_50 scenario due to the return of 15% of the allowances that were initially taken</w:t>
      </w:r>
      <w:r>
        <w:t xml:space="preserve"> </w:t>
      </w:r>
      <w:r>
        <w:t xml:space="preserve">away from both sectors due to the application of the CBAM factor.</w:t>
      </w:r>
      <w:r>
        <w:t xml:space="preserve"> </w:t>
      </w:r>
      <w:r>
        <w:t xml:space="preserve">CL3 (PO3)</w:t>
      </w:r>
      <w:r>
        <w:t xml:space="preserve"> </w:t>
      </w:r>
      <w:r>
        <w:t xml:space="preserve">Table 11 shows that the overall budget for free allocation between 2031-40 in CL3, which is</w:t>
      </w:r>
      <w:r>
        <w:t xml:space="preserve"> </w:t>
      </w:r>
      <w:r>
        <w:t xml:space="preserve">assumed to be 2.367 M EUAs over 2031-40, which is higher than the free allocation budget</w:t>
      </w:r>
      <w:r>
        <w:t xml:space="preserve"> </w:t>
      </w:r>
      <w:r>
        <w:t xml:space="preserve">under CL1 or CL2. The preliminary free allocation was then calculated following a bottom-up</w:t>
      </w:r>
      <w:r>
        <w:t xml:space="preserve"> </w:t>
      </w:r>
      <w:r>
        <w:t xml:space="preserve">approach and this resulted in a total of 2,285 M EUAs over 2031-40. This preliminary</w:t>
      </w:r>
      <w:r>
        <w:t xml:space="preserve"> </w:t>
      </w:r>
      <w:r>
        <w:t xml:space="preserve">allocation is considerably lower than under CL1 and CL2 as free allocation provision is</w:t>
      </w:r>
      <w:r>
        <w:t xml:space="preserve"> </w:t>
      </w:r>
      <w:r>
        <w:t xml:space="preserve">discontinued from 2034 onwards for non-CBAM as well as CBAM sectors. Under CL3 the</w:t>
      </w:r>
      <w:r>
        <w:t xml:space="preserve"> </w:t>
      </w:r>
      <w:r>
        <w:t xml:space="preserve">CSCF is only applied in 2031 and for the subsequent years the preliminary allocation is lower</w:t>
      </w:r>
      <w:r>
        <w:t xml:space="preserve"> </w:t>
      </w:r>
      <w:r>
        <w:t xml:space="preserve">than the free allocation budget. In a final step, the CBAM discount factor was applied over</w:t>
      </w:r>
      <w:r>
        <w:t xml:space="preserve"> </w:t>
      </w:r>
      <w:r>
        <w:t xml:space="preserve">Phase V for sub-installations covered by the CBAM and this reduced the total free allocation</w:t>
      </w:r>
      <w:r>
        <w:t xml:space="preserve"> </w:t>
      </w:r>
      <w:r>
        <w:t xml:space="preserve">over 2031-40 to 487 M EUAs in CL3.</w:t>
      </w:r>
      <w:r>
        <w:t xml:space="preserve"> </w:t>
      </w:r>
      <w:r>
        <w:t xml:space="preserve">Table 11: Estimation of the total volume of free allowances available under CL3 for 2031-40</w:t>
      </w:r>
    </w:p>
    <w:p>
      <w:pPr>
        <w:pStyle w:val="BodyText"/>
      </w:pPr>
      <w:r>
        <w:t xml:space="preserve">2031 2032 2033 2034 2035 2036 2037 2038 2039 2040</w:t>
      </w:r>
      <w:r>
        <w:t xml:space="preserve"> </w:t>
      </w:r>
      <w:r>
        <w:t xml:space="preserve">FA Budget</w:t>
      </w:r>
      <w:r>
        <w:t xml:space="preserve"> </w:t>
      </w:r>
      <w:r>
        <w:t xml:space="preserve">354</w:t>
      </w:r>
      <w:r>
        <w:t xml:space="preserve"> </w:t>
      </w:r>
      <w:r>
        <w:t xml:space="preserve">326</w:t>
      </w:r>
      <w:r>
        <w:t xml:space="preserve"> </w:t>
      </w:r>
      <w:r>
        <w:t xml:space="preserve">299</w:t>
      </w:r>
      <w:r>
        <w:t xml:space="preserve"> </w:t>
      </w:r>
      <w:r>
        <w:t xml:space="preserve">270</w:t>
      </w:r>
      <w:r>
        <w:t xml:space="preserve"> </w:t>
      </w:r>
      <w:r>
        <w:t xml:space="preserve">241</w:t>
      </w:r>
      <w:r>
        <w:t xml:space="preserve"> </w:t>
      </w:r>
      <w:r>
        <w:t xml:space="preserve">218</w:t>
      </w:r>
      <w:r>
        <w:t xml:space="preserve"> </w:t>
      </w:r>
      <w:r>
        <w:t xml:space="preserve">198</w:t>
      </w:r>
      <w:r>
        <w:t xml:space="preserve"> </w:t>
      </w:r>
      <w:r>
        <w:t xml:space="preserve">176</w:t>
      </w:r>
      <w:r>
        <w:t xml:space="preserve"> </w:t>
      </w:r>
      <w:r>
        <w:t xml:space="preserve">154</w:t>
      </w:r>
      <w:r>
        <w:t xml:space="preserve"> </w:t>
      </w:r>
      <w:r>
        <w:t xml:space="preserve">132</w:t>
      </w:r>
      <w:r>
        <w:t xml:space="preserve"> </w:t>
      </w:r>
      <w:r>
        <w:t xml:space="preserve">FA (Preliminary)</w:t>
      </w:r>
      <w:r>
        <w:t xml:space="preserve"> </w:t>
      </w:r>
      <w:r>
        <w:t xml:space="preserve">390</w:t>
      </w:r>
      <w:r>
        <w:t xml:space="preserve"> </w:t>
      </w:r>
      <w:r>
        <w:t xml:space="preserve">315</w:t>
      </w:r>
      <w:r>
        <w:t xml:space="preserve"> </w:t>
      </w:r>
      <w:r>
        <w:t xml:space="preserve">243</w:t>
      </w:r>
      <w:r>
        <w:t xml:space="preserve"> </w:t>
      </w:r>
      <w:r>
        <w:t xml:space="preserve">198</w:t>
      </w:r>
      <w:r>
        <w:t xml:space="preserve"> </w:t>
      </w:r>
      <w:r>
        <w:t xml:space="preserve">198</w:t>
      </w:r>
      <w:r>
        <w:t xml:space="preserve"> </w:t>
      </w:r>
      <w:r>
        <w:t xml:space="preserve">188</w:t>
      </w:r>
      <w:r>
        <w:t xml:space="preserve"> </w:t>
      </w:r>
      <w:r>
        <w:t xml:space="preserve">188</w:t>
      </w:r>
      <w:r>
        <w:t xml:space="preserve"> </w:t>
      </w:r>
      <w:r>
        <w:t xml:space="preserve">188</w:t>
      </w:r>
      <w:r>
        <w:t xml:space="preserve"> </w:t>
      </w:r>
      <w:r>
        <w:t xml:space="preserve">188</w:t>
      </w:r>
      <w:r>
        <w:t xml:space="preserve"> </w:t>
      </w:r>
      <w:r>
        <w:t xml:space="preserve">188</w:t>
      </w:r>
      <w:r>
        <w:t xml:space="preserve"> </w:t>
      </w:r>
      <w:r>
        <w:t xml:space="preserve">CSCF</w:t>
      </w:r>
      <w:r>
        <w:t xml:space="preserve"> </w:t>
      </w:r>
      <w:r>
        <w:t xml:space="preserve">0.91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FA (before CBAM</w:t>
      </w:r>
      <w:r>
        <w:t xml:space="preserve"> </w:t>
      </w:r>
      <w:r>
        <w:t xml:space="preserve">phase out)</w:t>
      </w:r>
      <w:r>
        <w:t xml:space="preserve"> </w:t>
      </w:r>
      <w:r>
        <w:t xml:space="preserve">354</w:t>
      </w:r>
      <w:r>
        <w:t xml:space="preserve"> </w:t>
      </w:r>
      <w:r>
        <w:t xml:space="preserve">315</w:t>
      </w:r>
      <w:r>
        <w:t xml:space="preserve"> </w:t>
      </w:r>
      <w:r>
        <w:t xml:space="preserve">243</w:t>
      </w:r>
      <w:r>
        <w:t xml:space="preserve"> </w:t>
      </w:r>
      <w:r>
        <w:t xml:space="preserve">198</w:t>
      </w:r>
      <w:r>
        <w:t xml:space="preserve"> </w:t>
      </w:r>
      <w:r>
        <w:t xml:space="preserve">198</w:t>
      </w:r>
      <w:r>
        <w:t xml:space="preserve"> </w:t>
      </w:r>
      <w:r>
        <w:t xml:space="preserve">188</w:t>
      </w:r>
      <w:r>
        <w:t xml:space="preserve"> </w:t>
      </w:r>
      <w:r>
        <w:t xml:space="preserve">188</w:t>
      </w:r>
      <w:r>
        <w:t xml:space="preserve"> </w:t>
      </w:r>
      <w:r>
        <w:t xml:space="preserve">188</w:t>
      </w:r>
      <w:r>
        <w:t xml:space="preserve"> </w:t>
      </w:r>
      <w:r>
        <w:t xml:space="preserve">188</w:t>
      </w:r>
      <w:r>
        <w:t xml:space="preserve"> </w:t>
      </w:r>
      <w:r>
        <w:t xml:space="preserve">188</w:t>
      </w:r>
      <w:r>
        <w:t xml:space="preserve"> </w:t>
      </w:r>
      <w:r>
        <w:t xml:space="preserve">FA (after CBAM</w:t>
      </w:r>
      <w:r>
        <w:t xml:space="preserve"> </w:t>
      </w:r>
      <w:r>
        <w:t xml:space="preserve">phase out)</w:t>
      </w:r>
      <w:r>
        <w:t xml:space="preserve"> </w:t>
      </w:r>
      <w:r>
        <w:t xml:space="preserve">245</w:t>
      </w:r>
      <w:r>
        <w:t xml:space="preserve"> </w:t>
      </w:r>
      <w:r>
        <w:t xml:space="preserve">169</w:t>
      </w:r>
      <w:r>
        <w:t xml:space="preserve"> </w:t>
      </w:r>
      <w:r>
        <w:t xml:space="preserve">73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Source: Own calculation based upon preliminary NIMs data for 2019-23.</w:t>
      </w:r>
      <w:r>
        <w:t xml:space="preserve"> </w:t>
      </w:r>
      <w:r>
        <w:t xml:space="preserve">Figure 8 shows the distribution of free allocation under CL3. In contrast to the baseline, no free</w:t>
      </w:r>
      <w:r>
        <w:t xml:space="preserve"> </w:t>
      </w:r>
      <w:r>
        <w:t xml:space="preserve">allocation is provided to both CBAM and non-CBAM sectors from 2034 onwards. This policy</w:t>
      </w:r>
      <w:r>
        <w:t xml:space="preserve"> </w:t>
      </w:r>
      <w:r>
        <w:t xml:space="preserve">measure has a significant impact on non-CBAM sectors as they receive considerably less free</w:t>
      </w:r>
      <w:r>
        <w:t xml:space="preserve"> </w:t>
      </w:r>
      <w:r>
        <w:t xml:space="preserve">allocation over 2031-40 compared to the baseline. For example, under CL3 the manufacture of</w:t>
      </w:r>
      <w:r>
        <w:t xml:space="preserve"> </w:t>
      </w:r>
      <w:r>
        <w:t xml:space="preserve">refined petroleum products (NACE code 19.20) and the manufacture of other organic basic</w:t>
      </w:r>
      <w:r>
        <w:t xml:space="preserve"> </w:t>
      </w:r>
      <w:r>
        <w:t xml:space="preserve">chemicals (NACE code 2014) would only receive around 95 M EUAs and 56 M EUAs</w:t>
      </w:r>
      <w:r>
        <w:t xml:space="preserve"> </w:t>
      </w:r>
      <w:r>
        <w:t xml:space="preserve">respectively. The impact is less for CBAM covered sectors such as the manufacture of basic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iron and steel and of ferro alloys (NACE code 2410) and the manufacture of cement (NACE</w:t>
      </w:r>
      <w:r>
        <w:t xml:space="preserve"> </w:t>
      </w:r>
      <w:r>
        <w:t xml:space="preserve">code 2351) as the phase out of their free allocation is already modelled in the baseline and</w:t>
      </w:r>
      <w:r>
        <w:t xml:space="preserve"> </w:t>
      </w:r>
      <w:r>
        <w:t xml:space="preserve">policy scenarios. Both sectors receive 81 M EUAs and 56 M EUAs respectively.</w:t>
      </w:r>
      <w:r>
        <w:br/>
      </w:r>
      <w:r>
        <w:t xml:space="preserve">Figure 8:</w:t>
      </w:r>
      <w:r>
        <w:t xml:space="preserve"> </w:t>
      </w:r>
      <w:r>
        <w:t xml:space="preserve">Distribution of free allocation based under CL3 for 2031-40</w:t>
      </w:r>
    </w:p>
    <w:p>
      <w:pPr>
        <w:pStyle w:val="BodyText"/>
      </w:pPr>
      <w:r>
        <w:t xml:space="preserve">Source: Own calculation based upon preliminary NIMs data for 2019-23</w:t>
      </w:r>
      <w:r>
        <w:t xml:space="preserve"> </w:t>
      </w:r>
      <w:r>
        <w:t xml:space="preserve">Summary</w:t>
      </w:r>
      <w:r>
        <w:t xml:space="preserve"> </w:t>
      </w:r>
      <w:r>
        <w:t xml:space="preserve">The economic impact of the policy measures relates to the cost of installations paying for an</w:t>
      </w:r>
      <w:r>
        <w:t xml:space="preserve"> </w:t>
      </w:r>
      <w:r>
        <w:t xml:space="preserve">increasing share of their emissions as free allocation is reduced. Given that the ETS cap will</w:t>
      </w:r>
      <w:r>
        <w:t xml:space="preserve"> </w:t>
      </w:r>
      <w:r>
        <w:t xml:space="preserve">progressively decline over the 2031-40 period, the availability of free allowances will become</w:t>
      </w:r>
      <w:r>
        <w:t xml:space="preserve"> </w:t>
      </w:r>
      <w:r>
        <w:t xml:space="preserve">scarce in all scenarios, however the overall budget of free allocation and the timing of the phase</w:t>
      </w:r>
      <w:r>
        <w:t xml:space="preserve"> </w:t>
      </w:r>
      <w:r>
        <w:t xml:space="preserve">out vary. As the ETS cap in the policy scenarios is less stringent than the baseline, free</w:t>
      </w:r>
      <w:r>
        <w:t xml:space="preserve"> </w:t>
      </w:r>
      <w:r>
        <w:t xml:space="preserve">allocation is higher except for CL3.</w:t>
      </w:r>
      <w:r>
        <w:t xml:space="preserve"> </w:t>
      </w:r>
      <w:r>
        <w:t xml:space="preserve">In terms of the economic value of the free allocation provided to these sectors it will depend</w:t>
      </w:r>
      <w:r>
        <w:t xml:space="preserve"> </w:t>
      </w:r>
      <w:r>
        <w:t xml:space="preserve">upon the development of the EUA price over the 2031-40 period, which is assumed at EUR</w:t>
      </w:r>
      <w:r>
        <w:t xml:space="preserve"> </w:t>
      </w:r>
      <w:r>
        <w:t xml:space="preserve">150 over the 2031-2040. The same price assumption was used for estimating the total financial</w:t>
      </w:r>
      <w:r>
        <w:t xml:space="preserve"> </w:t>
      </w:r>
      <w:r>
        <w:t xml:space="preserve">value of free allocation across all policy options – see table 12.</w:t>
      </w:r>
      <w:r>
        <w:t xml:space="preserve"> </w:t>
      </w:r>
      <w:r>
        <w:t xml:space="preserve">Table 12: Overview of the 2031-40 free allowances and their economic value in the baseline</w:t>
      </w:r>
      <w:r>
        <w:t xml:space="preserve"> </w:t>
      </w:r>
      <w:r>
        <w:t xml:space="preserve">scenario and the policy measures</w:t>
      </w:r>
      <w:r>
        <w:t xml:space="preserve"> </w:t>
      </w:r>
      <w:r>
        <w:t xml:space="preserve">2031-2040</w:t>
      </w:r>
      <w:r>
        <w:t xml:space="preserve"> </w:t>
      </w:r>
      <w:r>
        <w:t xml:space="preserve">EUR/tCO2</w:t>
      </w:r>
      <w:r>
        <w:t xml:space="preserve"> </w:t>
      </w:r>
      <w:r>
        <w:t xml:space="preserve">EUR 150.0</w:t>
      </w:r>
      <w:r>
        <w:t xml:space="preserve"> </w:t>
      </w:r>
      <w:r>
        <w:t xml:space="preserve">Baseline FA (mil EUAs)</w:t>
      </w:r>
      <w:r>
        <w:t xml:space="preserve"> </w:t>
      </w:r>
      <w:r>
        <w:t xml:space="preserve">779</w:t>
      </w:r>
      <w:r>
        <w:t xml:space="preserve"> </w:t>
      </w:r>
      <w:r>
        <w:t xml:space="preserve">Baseline FA value (bn EUR)</w:t>
      </w:r>
      <w:r>
        <w:t xml:space="preserve"> </w:t>
      </w:r>
      <w:r>
        <w:t xml:space="preserve">EUR 116.9</w:t>
      </w:r>
      <w:r>
        <w:t xml:space="preserve"> </w:t>
      </w:r>
      <w:r>
        <w:t xml:space="preserve">CL1_PO1 (mil EUAs)</w:t>
      </w:r>
      <w:r>
        <w:t xml:space="preserve"> </w:t>
      </w:r>
      <w:r>
        <w:t xml:space="preserve">977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Source: Own calculation based upon preliminary NIMs data for 2019-23</w:t>
      </w:r>
      <w:r>
        <w:t xml:space="preserve"> </w:t>
      </w:r>
      <w:r>
        <w:t xml:space="preserve">1.4.2.1.2.</w:t>
      </w:r>
      <w:r>
        <w:t xml:space="preserve"> </w:t>
      </w:r>
      <w:r>
        <w:t xml:space="preserve">Carbon leakage prevention measures for indirect emissions</w:t>
      </w:r>
      <w:r>
        <w:t xml:space="preserve"> </w:t>
      </w:r>
      <w:r>
        <w:t xml:space="preserve">Currently, the provision of indirect cost compensation is fragmented across the EU. Under</w:t>
      </w:r>
      <w:r>
        <w:t xml:space="preserve"> </w:t>
      </w:r>
      <w:r>
        <w:t xml:space="preserve">option ICC1, the economic impact in 2031-2040 will depend on whether there is a continuation</w:t>
      </w:r>
      <w:r>
        <w:t xml:space="preserve"> </w:t>
      </w:r>
      <w:r>
        <w:t xml:space="preserve">of the existing State aid encouragement, on how this encouragement is implemented through</w:t>
      </w:r>
      <w:r>
        <w:t xml:space="preserve"> </w:t>
      </w:r>
      <w:r>
        <w:t xml:space="preserve">the relevant State aid rules. Alternatively, it will be affected by the design of a harmonised</w:t>
      </w:r>
      <w:r>
        <w:t xml:space="preserve"> </w:t>
      </w:r>
      <w:r>
        <w:t xml:space="preserve">system (ICC2).</w:t>
      </w:r>
      <w:r>
        <w:br/>
      </w:r>
      <w:r>
        <w:t xml:space="preserve">To estimate the scale of the support that may be provided over Phase V of the EU ETS, a</w:t>
      </w:r>
      <w:r>
        <w:t xml:space="preserve"> </w:t>
      </w:r>
      <w:r>
        <w:t xml:space="preserve">quantitative exercise was undertaken based on adjusting recent ICC compensation payments to</w:t>
      </w:r>
      <w:r>
        <w:t xml:space="preserve"> </w:t>
      </w:r>
      <w:r>
        <w:t xml:space="preserve">account for possible developments post-2030. The estimates generated from this exercise must</w:t>
      </w:r>
      <w:r>
        <w:t xml:space="preserve"> </w:t>
      </w:r>
      <w:r>
        <w:t xml:space="preserve">be considered tentative. They explore how today’s ICC compensation could be affected by</w:t>
      </w:r>
      <w:r>
        <w:t xml:space="preserve"> </w:t>
      </w:r>
      <w:r>
        <w:t xml:space="preserve">plausible post-2030 developments, but do not model the impacts of the policy options</w:t>
      </w:r>
      <w:r>
        <w:t xml:space="preserve"> </w:t>
      </w:r>
      <w:r>
        <w:t xml:space="preserve">themselves.</w:t>
      </w:r>
      <w:r>
        <w:t xml:space="preserve"> </w:t>
      </w:r>
      <w:r>
        <w:t xml:space="preserve">Observed ICC payments amounted to EUR 4.1 billion for costs incurred in 2021-2023 on</w:t>
      </w:r>
      <w:r>
        <w:t xml:space="preserve"> </w:t>
      </w:r>
      <w:r>
        <w:t xml:space="preserve">average, ranging from EUR 2.2 billion in 2021 to EUR 5.5 billion in 2023, with the variation</w:t>
      </w:r>
      <w:r>
        <w:t xml:space="preserve"> </w:t>
      </w:r>
      <w:r>
        <w:t xml:space="preserve">explained mainly by increases in the carbon price over this period (see Annex 15 on the ETS</w:t>
      </w:r>
      <w:r>
        <w:t xml:space="preserve"> </w:t>
      </w:r>
      <w:r>
        <w:t xml:space="preserve">Evaluation for additional backward-looking analysis of ICC compensation).</w:t>
      </w:r>
      <w:r>
        <w:t xml:space="preserve"> </w:t>
      </w:r>
      <w:r>
        <w:t xml:space="preserve">A proxy for potential increased Member State participation in ICC compensation was</w:t>
      </w:r>
      <w:r>
        <w:t xml:space="preserve"> </w:t>
      </w:r>
      <w:r>
        <w:t xml:space="preserve">created using Eurostat data on industrial electricity consumption in ICC-relevant sectors15. This</w:t>
      </w:r>
      <w:r>
        <w:t xml:space="preserve"> </w:t>
      </w:r>
      <w:r>
        <w:t xml:space="preserve">suggested that ICC compensation could increase by 18% if more Member States chose to offer</w:t>
      </w:r>
      <w:r>
        <w:t xml:space="preserve"> </w:t>
      </w:r>
      <w:r>
        <w:t xml:space="preserve">compensation. It implicitly assumes that the new national schemes would adopt the average</w:t>
      </w:r>
      <w:r>
        <w:t xml:space="preserve"> </w:t>
      </w:r>
      <w:r>
        <w:t xml:space="preserve">aid intensity of the existing Member State schemes. Figure 9 suggests that most of this increase</w:t>
      </w:r>
      <w:r>
        <w:t xml:space="preserve"> </w:t>
      </w:r>
      <w:r>
        <w:t xml:space="preserve">would come from Sweden. However, it is important to note that the emissions factors in the</w:t>
      </w:r>
      <w:r>
        <w:t xml:space="preserve"> </w:t>
      </w:r>
      <w:r>
        <w:t xml:space="preserve">current State aid guidelines are likely to overstate the extent of indirect cost in this Member</w:t>
      </w:r>
      <w:r>
        <w:t xml:space="preserve"> </w:t>
      </w:r>
      <w:r>
        <w:t xml:space="preserve">State, since the guidelines assume a single emission factor per Member State16, while Sweden</w:t>
      </w:r>
    </w:p>
    <w:p>
      <w:pPr>
        <w:pStyle w:val="BodyText"/>
      </w:pPr>
      <w:r>
        <w:t xml:space="preserve">15 The Eurostat series nrg_d_indq_n was used for this purpose. However, this only provides consumption at 2-</w:t>
      </w:r>
      <w:r>
        <w:t xml:space="preserve"> </w:t>
      </w:r>
      <w:r>
        <w:t xml:space="preserve">digit NACE level. Electricity consumption at the appropriate 4-digit and 6-digit level was estimated using</w:t>
      </w:r>
      <w:r>
        <w:t xml:space="preserve"> </w:t>
      </w:r>
      <w:r>
        <w:t xml:space="preserve">production value data from the PRODCOM database as a weighting factor.</w:t>
      </w:r>
      <w:r>
        <w:br/>
      </w:r>
      <w:r>
        <w:t xml:space="preserve">16 In some cases, the same emission factor covers more than one Member State based on price convergence.</w:t>
      </w:r>
      <w:r>
        <w:t xml:space="preserve"> </w:t>
      </w:r>
      <w:r>
        <w:t xml:space="preserve">CL1_PO1 value (bn EUR)</w:t>
      </w:r>
      <w:r>
        <w:t xml:space="preserve"> </w:t>
      </w:r>
      <w:r>
        <w:t xml:space="preserve">EUR 146.6</w:t>
      </w:r>
      <w:r>
        <w:t xml:space="preserve"> </w:t>
      </w:r>
      <w:r>
        <w:t xml:space="preserve">CL2_90_PO2 (mil EUAs)</w:t>
      </w:r>
      <w:r>
        <w:t xml:space="preserve"> </w:t>
      </w:r>
      <w:r>
        <w:t xml:space="preserve">991</w:t>
      </w:r>
      <w:r>
        <w:t xml:space="preserve"> </w:t>
      </w:r>
      <w:r>
        <w:t xml:space="preserve">CL2_90_PO2 value (bn EUR)</w:t>
      </w:r>
      <w:r>
        <w:t xml:space="preserve"> </w:t>
      </w:r>
      <w:r>
        <w:t xml:space="preserve">EUR 148.7</w:t>
      </w:r>
      <w:r>
        <w:t xml:space="preserve"> </w:t>
      </w:r>
      <w:r>
        <w:t xml:space="preserve">CL2_90_PO2 (CBAM Var) (mil EUAs)</w:t>
      </w:r>
      <w:r>
        <w:t xml:space="preserve"> </w:t>
      </w:r>
      <w:r>
        <w:t xml:space="preserve">1145</w:t>
      </w:r>
      <w:r>
        <w:t xml:space="preserve"> </w:t>
      </w:r>
      <w:r>
        <w:t xml:space="preserve">CL2_90_PO2 (CBAM Var) value (bn EUR)</w:t>
      </w:r>
      <w:r>
        <w:t xml:space="preserve"> </w:t>
      </w:r>
      <w:r>
        <w:t xml:space="preserve">EUR 171.8</w:t>
      </w:r>
      <w:r>
        <w:t xml:space="preserve"> </w:t>
      </w:r>
      <w:r>
        <w:t xml:space="preserve">CL2_50_PO2 (mil EUAs)</w:t>
      </w:r>
      <w:r>
        <w:t xml:space="preserve"> </w:t>
      </w:r>
      <w:r>
        <w:t xml:space="preserve">810</w:t>
      </w:r>
      <w:r>
        <w:t xml:space="preserve"> </w:t>
      </w:r>
      <w:r>
        <w:t xml:space="preserve">CL2_50_PO2 value (bn EUR)</w:t>
      </w:r>
      <w:r>
        <w:t xml:space="preserve"> </w:t>
      </w:r>
      <w:r>
        <w:t xml:space="preserve">EUR 121.5</w:t>
      </w:r>
      <w:r>
        <w:t xml:space="preserve"> </w:t>
      </w:r>
      <w:r>
        <w:t xml:space="preserve">CL2_50_PO2 (CBAM Var) (mil EUAs)</w:t>
      </w:r>
      <w:r>
        <w:t xml:space="preserve"> </w:t>
      </w:r>
      <w:r>
        <w:t xml:space="preserve">992</w:t>
      </w:r>
      <w:r>
        <w:t xml:space="preserve"> </w:t>
      </w:r>
      <w:r>
        <w:t xml:space="preserve">CL2_50_PO2 (CBAM Var) value (bn EUR)</w:t>
      </w:r>
      <w:r>
        <w:t xml:space="preserve"> </w:t>
      </w:r>
      <w:r>
        <w:t xml:space="preserve">EUR 148.8</w:t>
      </w:r>
      <w:r>
        <w:t xml:space="preserve"> </w:t>
      </w:r>
      <w:r>
        <w:t xml:space="preserve">CL3_PO3 (mil EUAs)</w:t>
      </w:r>
      <w:r>
        <w:t xml:space="preserve"> </w:t>
      </w:r>
      <w:r>
        <w:t xml:space="preserve">487</w:t>
      </w:r>
      <w:r>
        <w:t xml:space="preserve"> </w:t>
      </w:r>
      <w:r>
        <w:t xml:space="preserve">CL3_PO3 value (bn EUR)</w:t>
      </w:r>
      <w:r>
        <w:t xml:space="preserve"> </w:t>
      </w:r>
      <w:r>
        <w:t xml:space="preserve">EUR 73.1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has four electricity price zones, with a lot of electro-intensive industry located in Northern</w:t>
      </w:r>
      <w:r>
        <w:t xml:space="preserve"> </w:t>
      </w:r>
      <w:r>
        <w:t xml:space="preserve">zones where electricity is cheaper and less carbon intensive.</w:t>
      </w:r>
      <w:r>
        <w:br/>
      </w:r>
      <w:r>
        <w:t xml:space="preserve">The potential for higher aid intensity by Member States was estimated by using the ratio of</w:t>
      </w:r>
      <w:r>
        <w:t xml:space="preserve"> </w:t>
      </w:r>
      <w:r>
        <w:t xml:space="preserve">ICC payments to relevant industrial electricity consumption over the period 2021-2023. Using</w:t>
      </w:r>
      <w:r>
        <w:t xml:space="preserve"> </w:t>
      </w:r>
      <w:r>
        <w:t xml:space="preserve">this metric, ICC compensation would increase by a further 49% if all Member States were to</w:t>
      </w:r>
      <w:r>
        <w:t xml:space="preserve"> </w:t>
      </w:r>
      <w:r>
        <w:t xml:space="preserve">provide ICC at the same intensity as Germany (the largest provider of aid in absolute terms).</w:t>
      </w:r>
      <w:r>
        <w:t xml:space="preserve"> </w:t>
      </w:r>
      <w:r>
        <w:t xml:space="preserve">Industrial electricity consumption post-2030 was estimated using a PRIMES model</w:t>
      </w:r>
      <w:r>
        <w:t xml:space="preserve"> </w:t>
      </w:r>
      <w:r>
        <w:t xml:space="preserve">scenario, consistent with an 85% domestic economy-wide reduction in GHG emissions</w:t>
      </w:r>
      <w:r>
        <w:t xml:space="preserve"> </w:t>
      </w:r>
      <w:r>
        <w:t xml:space="preserve">compared to 1990 levels17. By this metric, average annual electricity consumption in relevant</w:t>
      </w:r>
      <w:r>
        <w:t xml:space="preserve"> </w:t>
      </w:r>
      <w:r>
        <w:t xml:space="preserve">sectors is expected to remain broadly flat in the period 2030-2040, compared to 2020-2025,</w:t>
      </w:r>
      <w:r>
        <w:t xml:space="preserve"> </w:t>
      </w:r>
      <w:r>
        <w:t xml:space="preserve">with a reduction of 2%. This result is driven by an increased consumption due to electrification</w:t>
      </w:r>
      <w:r>
        <w:t xml:space="preserve"> </w:t>
      </w:r>
      <w:r>
        <w:t xml:space="preserve">(especially in iron &amp; steel) combined with reductions driven by energy efficiency</w:t>
      </w:r>
      <w:r>
        <w:t xml:space="preserve"> </w:t>
      </w:r>
      <w:r>
        <w:t xml:space="preserve">improvements in other sectors (e.g. pulp &amp; paper, non-ferrous metals).</w:t>
      </w:r>
      <w:r>
        <w:t xml:space="preserve"> </w:t>
      </w:r>
      <w:r>
        <w:t xml:space="preserve">Decarbonisation of the power supply is expected to reduce indirect carbon costs post-2030.</w:t>
      </w:r>
      <w:r>
        <w:br/>
      </w:r>
      <w:r>
        <w:t xml:space="preserve">Applying an emission factor based on the GHG intensity of electricity generated by fossil fuels</w:t>
      </w:r>
      <w:r>
        <w:t xml:space="preserve"> </w:t>
      </w:r>
      <w:r>
        <w:t xml:space="preserve">(in the same PRIMES scenario) is expected to reduce ICC by 14% on average. This is due to</w:t>
      </w:r>
      <w:r>
        <w:t xml:space="preserve"> </w:t>
      </w:r>
      <w:r>
        <w:t xml:space="preserve">expected coal-to-gas switching in the power sector.</w:t>
      </w:r>
      <w:r>
        <w:br/>
      </w:r>
      <w:r>
        <w:t xml:space="preserve">Applying a marginal emissions factor could reduce ICC by 58% over the 2030-2040 period</w:t>
      </w:r>
      <w:r>
        <w:t xml:space="preserve"> </w:t>
      </w:r>
      <w:r>
        <w:t xml:space="preserve">due to the expected increased contribution of non-fossil sources in setting electricity prices.</w:t>
      </w:r>
      <w:r>
        <w:t xml:space="preserve"> </w:t>
      </w:r>
      <w:r>
        <w:t xml:space="preserve">This estimate is based on JRC analysis of how marginal price-setting technologies per Member</w:t>
      </w:r>
      <w:r>
        <w:t xml:space="preserve"> </w:t>
      </w:r>
      <w:r>
        <w:t xml:space="preserve">State may evolve up to 2030, combined with a literature-based assumption that fossil-fuel</w:t>
      </w:r>
      <w:r>
        <w:t xml:space="preserve"> </w:t>
      </w:r>
      <w:r>
        <w:t xml:space="preserve">price-setting will fall to 8% of the time by 204018.</w:t>
      </w:r>
      <w:r>
        <w:t xml:space="preserve"> </w:t>
      </w:r>
      <w:r>
        <w:t xml:space="preserve">The carbon price is assumed to reach an average level of EUR 150 in the period 2031-2040 ,</w:t>
      </w:r>
      <w:r>
        <w:t xml:space="preserve"> </w:t>
      </w:r>
      <w:r>
        <w:t xml:space="preserve">compared to EUR 53 used as the basis for ICC calculation in 2021-2023 on average..</w:t>
      </w:r>
      <w:r>
        <w:t xml:space="preserve"> </w:t>
      </w:r>
      <w:r>
        <w:t xml:space="preserve">Table 13 below shows the combined impact of the above estimates for the period 2030-40 on</w:t>
      </w:r>
      <w:r>
        <w:t xml:space="preserve"> </w:t>
      </w:r>
      <w:r>
        <w:t xml:space="preserve">average. It suggests that greater aid provision, from higher participation and/or aid intensity,</w:t>
      </w:r>
      <w:r>
        <w:t xml:space="preserve"> </w:t>
      </w:r>
      <w:r>
        <w:t xml:space="preserve">could increase ICC costs by 76%. Such an increase could result from Member States choosing</w:t>
      </w:r>
      <w:r>
        <w:t xml:space="preserve"> </w:t>
      </w:r>
      <w:r>
        <w:t xml:space="preserve">to offer more State aid (ICC1) or through a harmonised ICC fund (ICC2).</w:t>
      </w:r>
      <w:r>
        <w:br/>
      </w:r>
      <w:r>
        <w:t xml:space="preserve">Regarding post-2030 effects, the greatest impact on ICC cost is expected to be a higher carbon</w:t>
      </w:r>
      <w:r>
        <w:t xml:space="preserve"> </w:t>
      </w:r>
      <w:r>
        <w:t xml:space="preserve">price. This would increase both the cost of ICC compensation and the revenues from which it</w:t>
      </w:r>
      <w:r>
        <w:t xml:space="preserve"> </w:t>
      </w:r>
      <w:r>
        <w:t xml:space="preserve">would be financed, although the revenue increase will be partly offset by reduction of the</w:t>
      </w:r>
      <w:r>
        <w:t xml:space="preserve"> </w:t>
      </w:r>
      <w:r>
        <w:t xml:space="preserve">overall cap. On the other hand, this effect could largely be offset by electricity market</w:t>
      </w:r>
      <w:r>
        <w:t xml:space="preserve"> </w:t>
      </w:r>
      <w:r>
        <w:t xml:space="preserve">decarbonisation, provided that i) this leads to a reduction in fossil fuel technologies setting the</w:t>
      </w:r>
      <w:r>
        <w:t xml:space="preserve"> </w:t>
      </w:r>
      <w:r>
        <w:t xml:space="preserve">electricity price, and ii) ICC compensation rules are adjusted to reflect this.</w:t>
      </w:r>
      <w:r>
        <w:br/>
      </w:r>
      <w:r>
        <w:t xml:space="preserve">Table 13: Decomposition of factors that could affect the total cost of indirect carbon cost</w:t>
      </w:r>
      <w:r>
        <w:t xml:space="preserve"> </w:t>
      </w:r>
      <w:r>
        <w:t xml:space="preserve">compensation post-2030</w:t>
      </w:r>
    </w:p>
    <w:p>
      <w:pPr>
        <w:pStyle w:val="BodyText"/>
      </w:pPr>
      <w:r>
        <w:t xml:space="preserve">Default emission</w:t>
      </w:r>
      <w:r>
        <w:t xml:space="preserve"> </w:t>
      </w:r>
      <w:r>
        <w:t xml:space="preserve">factor</w:t>
      </w:r>
      <w:r>
        <w:t xml:space="preserve"> </w:t>
      </w:r>
      <w:r>
        <w:t xml:space="preserve">Market-based emission</w:t>
      </w:r>
      <w:r>
        <w:t xml:space="preserve"> </w:t>
      </w:r>
      <w:r>
        <w:t xml:space="preserve">factor</w:t>
      </w:r>
    </w:p>
    <w:p>
      <w:pPr>
        <w:pStyle w:val="BodyText"/>
      </w:pPr>
      <w:r>
        <w:t xml:space="preserve">17 For this purpose, electricity consumption by PRIMES for the following sectors was used: iron &amp; steel, pulp</w:t>
      </w:r>
      <w:r>
        <w:t xml:space="preserve"> </w:t>
      </w:r>
      <w:r>
        <w:t xml:space="preserve">&amp; paper, non-ferrous metals, chemicals, other industrial sectors. The influence of each sectoral projection</w:t>
      </w:r>
      <w:r>
        <w:t xml:space="preserve"> </w:t>
      </w:r>
      <w:r>
        <w:t xml:space="preserve">was weighted according to Eurostat electricity consumption in the period 2021-2023.</w:t>
      </w:r>
      <w:r>
        <w:t xml:space="preserve"> </w:t>
      </w:r>
      <w:r>
        <w:t xml:space="preserve">18 JRC analysis is taken from Gasparella et al. (2023). The Merit Order and Price-setting Dynamics in European</w:t>
      </w:r>
      <w:r>
        <w:t xml:space="preserve"> </w:t>
      </w:r>
      <w:r>
        <w:t xml:space="preserve">Electricity Markets. Science for Policy Brief JRC134300. 8% assumption for 2040 is based on analysis of</w:t>
      </w:r>
      <w:r>
        <w:t xml:space="preserve"> </w:t>
      </w:r>
      <w:r>
        <w:t xml:space="preserve">price-setting in Germany in Geis et al. (2025). Price Formation in a Highly-Renewable, Sector-Coupled</w:t>
      </w:r>
      <w:r>
        <w:t xml:space="preserve"> </w:t>
      </w:r>
      <w:r>
        <w:t xml:space="preserve">Energy System. https://doi.org/10.48550/arXiv.2509.10092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% impact</w:t>
      </w:r>
      <w:r>
        <w:t xml:space="preserve"> </w:t>
      </w:r>
      <w:r>
        <w:t xml:space="preserve">EUR</w:t>
      </w:r>
      <w:r>
        <w:t xml:space="preserve"> </w:t>
      </w:r>
      <w:r>
        <w:t xml:space="preserve">bn</w:t>
      </w:r>
      <w:r>
        <w:br/>
      </w:r>
      <w:r>
        <w:t xml:space="preserve">% impact</w:t>
      </w:r>
      <w:r>
        <w:t xml:space="preserve"> </w:t>
      </w:r>
      <w:r>
        <w:t xml:space="preserve">EUR bn</w:t>
      </w:r>
      <w:r>
        <w:t xml:space="preserve"> </w:t>
      </w:r>
      <w:r>
        <w:t xml:space="preserve">ICC compensation avg. 2021-2023</w:t>
      </w:r>
      <w:r>
        <w:t xml:space="preserve"> </w:t>
      </w:r>
      <w:r>
        <w:t xml:space="preserve">-</w:t>
      </w:r>
      <w:r>
        <w:t xml:space="preserve"> </w:t>
      </w:r>
      <w:r>
        <w:t xml:space="preserve">4.1</w:t>
      </w:r>
      <w:r>
        <w:t xml:space="preserve"> </w:t>
      </w:r>
      <w:r>
        <w:t xml:space="preserve">-</w:t>
      </w:r>
      <w:r>
        <w:t xml:space="preserve"> </w:t>
      </w:r>
      <w:r>
        <w:t xml:space="preserve">4.1</w:t>
      </w:r>
      <w:r>
        <w:t xml:space="preserve"> </w:t>
      </w:r>
      <w:r>
        <w:t xml:space="preserve">increased Member State</w:t>
      </w:r>
      <w:r>
        <w:t xml:space="preserve"> </w:t>
      </w:r>
      <w:r>
        <w:t xml:space="preserve">participation</w:t>
      </w:r>
      <w:r>
        <w:t xml:space="preserve"> </w:t>
      </w:r>
      <w:r>
        <w:t xml:space="preserve">+18%</w:t>
      </w:r>
      <w:r>
        <w:t xml:space="preserve"> </w:t>
      </w:r>
      <w:r>
        <w:t xml:space="preserve">4.8</w:t>
      </w:r>
      <w:r>
        <w:t xml:space="preserve"> </w:t>
      </w:r>
      <w:r>
        <w:t xml:space="preserve">+18%</w:t>
      </w:r>
      <w:r>
        <w:t xml:space="preserve"> </w:t>
      </w:r>
      <w:r>
        <w:t xml:space="preserve">4.8</w:t>
      </w:r>
      <w:r>
        <w:t xml:space="preserve"> </w:t>
      </w:r>
      <w:r>
        <w:t xml:space="preserve">higher aid intensity</w:t>
      </w:r>
      <w:r>
        <w:t xml:space="preserve"> </w:t>
      </w:r>
      <w:r>
        <w:t xml:space="preserve">+49%</w:t>
      </w:r>
      <w:r>
        <w:t xml:space="preserve"> </w:t>
      </w:r>
      <w:r>
        <w:t xml:space="preserve">6.1</w:t>
      </w:r>
      <w:r>
        <w:t xml:space="preserve"> </w:t>
      </w:r>
      <w:r>
        <w:t xml:space="preserve">+49%</w:t>
      </w:r>
      <w:r>
        <w:t xml:space="preserve"> </w:t>
      </w:r>
      <w:r>
        <w:t xml:space="preserve">6.1</w:t>
      </w:r>
      <w:r>
        <w:t xml:space="preserve"> </w:t>
      </w:r>
      <w:r>
        <w:t xml:space="preserve">participation &amp; aid intensity combined</w:t>
      </w:r>
      <w:r>
        <w:t xml:space="preserve"> </w:t>
      </w:r>
      <w:r>
        <w:t xml:space="preserve">+76%</w:t>
      </w:r>
      <w:r>
        <w:t xml:space="preserve"> </w:t>
      </w:r>
      <w:r>
        <w:t xml:space="preserve">7.2</w:t>
      </w:r>
      <w:r>
        <w:t xml:space="preserve"> </w:t>
      </w:r>
      <w:r>
        <w:t xml:space="preserve">+76%</w:t>
      </w:r>
      <w:r>
        <w:t xml:space="preserve"> </w:t>
      </w:r>
      <w:r>
        <w:t xml:space="preserve">7.2</w:t>
      </w:r>
    </w:p>
    <w:p>
      <w:pPr>
        <w:pStyle w:val="BodyText"/>
      </w:pPr>
      <w:r>
        <w:t xml:space="preserve">industrial electricity consumption</w:t>
      </w:r>
      <w:r>
        <w:t xml:space="preserve"> </w:t>
      </w:r>
      <w:r>
        <w:t xml:space="preserve">2031-40 avg.</w:t>
      </w:r>
      <w:r>
        <w:t xml:space="preserve"> </w:t>
      </w:r>
      <w:r>
        <w:t xml:space="preserve">-2%</w:t>
      </w:r>
      <w:r>
        <w:t xml:space="preserve"> </w:t>
      </w:r>
      <w:r>
        <w:t xml:space="preserve">4.0</w:t>
      </w:r>
      <w:r>
        <w:t xml:space="preserve"> </w:t>
      </w:r>
      <w:r>
        <w:t xml:space="preserve">-2%</w:t>
      </w:r>
      <w:r>
        <w:t xml:space="preserve"> </w:t>
      </w:r>
      <w:r>
        <w:t xml:space="preserve">4.0</w:t>
      </w:r>
      <w:r>
        <w:t xml:space="preserve"> </w:t>
      </w:r>
      <w:r>
        <w:t xml:space="preserve">decarbonisation of power supply</w:t>
      </w:r>
      <w:r>
        <w:t xml:space="preserve"> </w:t>
      </w:r>
      <w:r>
        <w:t xml:space="preserve">2031-40 avg.</w:t>
      </w:r>
      <w:r>
        <w:t xml:space="preserve"> </w:t>
      </w:r>
      <w:r>
        <w:t xml:space="preserve">-14%</w:t>
      </w:r>
      <w:r>
        <w:t xml:space="preserve"> </w:t>
      </w:r>
      <w:r>
        <w:t xml:space="preserve">3.5</w:t>
      </w:r>
      <w:r>
        <w:t xml:space="preserve"> </w:t>
      </w:r>
      <w:r>
        <w:t xml:space="preserve">-58%</w:t>
      </w:r>
      <w:r>
        <w:t xml:space="preserve"> </w:t>
      </w:r>
      <w:r>
        <w:t xml:space="preserve">3</w:t>
      </w:r>
      <w:r>
        <w:t xml:space="preserve"> </w:t>
      </w:r>
      <w:r>
        <w:t xml:space="preserve">carbon price 2031-40 avg.</w:t>
      </w:r>
      <w:r>
        <w:t xml:space="preserve"> </w:t>
      </w:r>
      <w:r>
        <w:t xml:space="preserve">+174%</w:t>
      </w:r>
      <w:r>
        <w:t xml:space="preserve"> </w:t>
      </w:r>
      <w:r>
        <w:t xml:space="preserve">11.2</w:t>
      </w:r>
      <w:r>
        <w:t xml:space="preserve"> </w:t>
      </w:r>
      <w:r>
        <w:t xml:space="preserve">+174%</w:t>
      </w:r>
      <w:r>
        <w:t xml:space="preserve"> </w:t>
      </w:r>
      <w:r>
        <w:t xml:space="preserve">11.2</w:t>
      </w:r>
      <w:r>
        <w:t xml:space="preserve"> </w:t>
      </w:r>
      <w:r>
        <w:t xml:space="preserve">post-2030 effects combined</w:t>
      </w:r>
      <w:r>
        <w:t xml:space="preserve"> </w:t>
      </w:r>
      <w:r>
        <w:t xml:space="preserve">+141%</w:t>
      </w:r>
      <w:r>
        <w:t xml:space="preserve"> </w:t>
      </w:r>
      <w:r>
        <w:t xml:space="preserve">9.9</w:t>
      </w:r>
      <w:r>
        <w:t xml:space="preserve"> </w:t>
      </w:r>
      <w:r>
        <w:t xml:space="preserve">+18%</w:t>
      </w:r>
      <w:r>
        <w:t xml:space="preserve"> </w:t>
      </w:r>
      <w:r>
        <w:t xml:space="preserve">4.8</w:t>
      </w:r>
    </w:p>
    <w:p>
      <w:pPr>
        <w:pStyle w:val="BodyText"/>
      </w:pPr>
      <w:r>
        <w:t xml:space="preserve">all impacts combined</w:t>
      </w:r>
      <w:r>
        <w:t xml:space="preserve"> </w:t>
      </w:r>
      <w:r>
        <w:t xml:space="preserve">+310%</w:t>
      </w:r>
      <w:r>
        <w:t xml:space="preserve"> </w:t>
      </w:r>
      <w:r>
        <w:t xml:space="preserve">16.8</w:t>
      </w:r>
      <w:r>
        <w:t xml:space="preserve"> </w:t>
      </w:r>
      <w:r>
        <w:t xml:space="preserve">+102%</w:t>
      </w:r>
      <w:r>
        <w:t xml:space="preserve"> </w:t>
      </w:r>
      <w:r>
        <w:t xml:space="preserve">8.3</w:t>
      </w:r>
      <w:r>
        <w:t xml:space="preserve"> </w:t>
      </w:r>
      <w:r>
        <w:t xml:space="preserve">Source: European Commission analysis combining inputs from annual reports on the functioning of the</w:t>
      </w:r>
      <w:r>
        <w:t xml:space="preserve"> </w:t>
      </w:r>
      <w:r>
        <w:t xml:space="preserve">European carbon market, PRIMES, Eurostat, JRC analysis, Geis et al. (2025)</w:t>
      </w:r>
      <w:r>
        <w:t xml:space="preserve"> </w:t>
      </w:r>
      <w:r>
        <w:t xml:space="preserve">The above estimates imply a level of indirect costs equivalent to 11% to 22% of total ETS</w:t>
      </w:r>
      <w:r>
        <w:t xml:space="preserve"> </w:t>
      </w:r>
      <w:r>
        <w:t xml:space="preserve">revenues in the 2031-2040 period on average, which would constrain other uses of these</w:t>
      </w:r>
      <w:r>
        <w:t xml:space="preserve"> </w:t>
      </w:r>
      <w:r>
        <w:t xml:space="preserve">resources.</w:t>
      </w:r>
      <w:r>
        <w:br/>
      </w:r>
      <w:r>
        <w:t xml:space="preserve">In option ICC1, Member States would decide how best to allocate their auction share between</w:t>
      </w:r>
      <w:r>
        <w:t xml:space="preserve"> </w:t>
      </w:r>
      <w:r>
        <w:t xml:space="preserve">ICC compensation and other uses. They may also use other national revenues to fund ICC.</w:t>
      </w:r>
      <w:r>
        <w:br/>
      </w:r>
      <w:r>
        <w:t xml:space="preserve">In option ICC2, it is suggested to limit the ICC fund to 5% of total auction revenues in order</w:t>
      </w:r>
      <w:r>
        <w:t xml:space="preserve"> </w:t>
      </w:r>
      <w:r>
        <w:t xml:space="preserve">to provide resources for other uses while offering the benefits of a harmonised approach to ICC</w:t>
      </w:r>
      <w:r>
        <w:t xml:space="preserve"> </w:t>
      </w:r>
      <w:r>
        <w:t xml:space="preserve">to the extent it is covered by the ICC Fund (certainty to firms and reduction in distortion of the</w:t>
      </w:r>
      <w:r>
        <w:t xml:space="preserve"> </w:t>
      </w:r>
      <w:r>
        <w:t xml:space="preserve">single market). Since this level of resource may not fully compensate for the indirect carbon</w:t>
      </w:r>
      <w:r>
        <w:t xml:space="preserve"> </w:t>
      </w:r>
      <w:r>
        <w:t xml:space="preserve">cost faced by industry, Member States would retain the possibility option to provide additional</w:t>
      </w:r>
      <w:r>
        <w:t xml:space="preserve"> </w:t>
      </w:r>
      <w:r>
        <w:t xml:space="preserve">compensation through State aid.</w:t>
      </w:r>
      <w:r>
        <w:br/>
      </w:r>
      <w:r>
        <w:t xml:space="preserve">The main economic impact of ICC2 compared to ICC1 would be to provide a minimum level</w:t>
      </w:r>
      <w:r>
        <w:t xml:space="preserve"> </w:t>
      </w:r>
      <w:r>
        <w:t xml:space="preserve">of compensation to electro-intensive industries regardless of where they are located in the EU,</w:t>
      </w:r>
      <w:r>
        <w:t xml:space="preserve"> </w:t>
      </w:r>
      <w:r>
        <w:t xml:space="preserve">thereby reducing the extent of fragmentation of the internal market. The extent to which ICC2</w:t>
      </w:r>
      <w:r>
        <w:t xml:space="preserve"> </w:t>
      </w:r>
      <w:r>
        <w:t xml:space="preserve">is preferable over ICC1 therefore depends on the extent to which fragmented provision of ICC</w:t>
      </w:r>
      <w:r>
        <w:t xml:space="preserve"> </w:t>
      </w:r>
      <w:r>
        <w:t xml:space="preserve">compensation is a problem and on how this interplays with sufficient financial resources being</w:t>
      </w:r>
      <w:r>
        <w:t xml:space="preserve"> </w:t>
      </w:r>
      <w:r>
        <w:t xml:space="preserve">available for ICC. Figure 9 provides insight into this issue by comparing each Member State’s</w:t>
      </w:r>
      <w:r>
        <w:t xml:space="preserve"> </w:t>
      </w:r>
      <w:r>
        <w:t xml:space="preserve">share of indirect emissions (estimated using Eurostat electricity consumption data19 and</w:t>
      </w:r>
      <w:r>
        <w:t xml:space="preserve"> </w:t>
      </w:r>
      <w:r>
        <w:t xml:space="preserve">emission factors from the State aid guidelines for 2021-2025) against its level of ICC</w:t>
      </w:r>
      <w:r>
        <w:t xml:space="preserve"> </w:t>
      </w:r>
      <w:r>
        <w:t xml:space="preserve">compensation paid for the period 2021-2023. Share of emissions is used as a proxy for</w:t>
      </w:r>
      <w:r>
        <w:t xml:space="preserve"> </w:t>
      </w:r>
      <w:r>
        <w:t xml:space="preserve">indicating the potential demand for compensation within each Member State. It suggests that,</w:t>
      </w:r>
      <w:r>
        <w:t xml:space="preserve"> </w:t>
      </w:r>
      <w:r>
        <w:t xml:space="preserve">in general, the Member States who do not currently provide ICC compensation have little need</w:t>
      </w:r>
      <w:r>
        <w:t xml:space="preserve"> </w:t>
      </w:r>
      <w:r>
        <w:t xml:space="preserve">to do so. Member States where indirect emissions appear high relative to the compensation</w:t>
      </w:r>
      <w:r>
        <w:t xml:space="preserve"> </w:t>
      </w:r>
      <w:r>
        <w:t xml:space="preserve">paid include Spain, Austria, Italy, Romania, Slovakia and Portugal. Indirect emissions also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appear high in Sweden and Finland in Figure 9, but the actual indirect emissions and associated</w:t>
      </w:r>
      <w:r>
        <w:t xml:space="preserve"> </w:t>
      </w:r>
      <w:r>
        <w:t xml:space="preserve">cost may be lower in these countries due to zonal electricity pricing in the Swedish case, and</w:t>
      </w:r>
      <w:r>
        <w:t xml:space="preserve"> </w:t>
      </w:r>
      <w:r>
        <w:t xml:space="preserve">industrial consumers generating their own electricity in the Finnish case (especially in the pulp</w:t>
      </w:r>
      <w:r>
        <w:t xml:space="preserve"> </w:t>
      </w:r>
      <w:r>
        <w:t xml:space="preserve">and paper sector19).</w:t>
      </w:r>
      <w:r>
        <w:t xml:space="preserve"> </w:t>
      </w:r>
      <w:r>
        <w:t xml:space="preserve">It is important to note that offering ICC compensation is a policy choice for each Member State</w:t>
      </w:r>
      <w:r>
        <w:t xml:space="preserve"> </w:t>
      </w:r>
      <w:r>
        <w:t xml:space="preserve">regarding how to use their auction revenues. While the ETS Directive encourages Member</w:t>
      </w:r>
      <w:r>
        <w:t xml:space="preserve"> </w:t>
      </w:r>
      <w:r>
        <w:t xml:space="preserve">States to limit their compensation to 25% of annual auction revenues, the actual share used</w:t>
      </w:r>
      <w:r>
        <w:t xml:space="preserve"> </w:t>
      </w:r>
      <w:r>
        <w:t xml:space="preserve">varies considerably (see Figure 9). Furthermore, each Member State’s choice of whether to</w:t>
      </w:r>
      <w:r>
        <w:t xml:space="preserve"> </w:t>
      </w:r>
      <w:r>
        <w:t xml:space="preserve">provide compensation and how much budget to allocate to it can vary year-on-year.</w:t>
      </w:r>
    </w:p>
    <w:p>
      <w:pPr>
        <w:pStyle w:val="BodyText"/>
      </w:pPr>
      <w:r>
        <w:t xml:space="preserve">19 Wang M (2024) Does compensating firms for indirect carbon costs work? Evidence from Finnish manufacturing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Figure 9:</w:t>
      </w:r>
      <w:r>
        <w:t xml:space="preserve"> </w:t>
      </w:r>
      <w:r>
        <w:t xml:space="preserve">Comparison of indirect cost compensation and share of indirect emissions per Member</w:t>
      </w:r>
      <w:r>
        <w:t xml:space="preserve"> </w:t>
      </w:r>
      <w:r>
        <w:t xml:space="preserve">State (2021-2023 average)</w:t>
      </w:r>
    </w:p>
    <w:p>
      <w:pPr>
        <w:pStyle w:val="BodyText"/>
      </w:pPr>
      <w:r>
        <w:t xml:space="preserve">Source: European Commission annual reports on the functioning of the European carbon market (compensation),</w:t>
      </w:r>
      <w:r>
        <w:t xml:space="preserve"> </w:t>
      </w:r>
      <w:r>
        <w:t xml:space="preserve">own calculation-based Eurostat electricity consumption and emission factors from State aid guidelines (indirect</w:t>
      </w:r>
      <w:r>
        <w:t xml:space="preserve"> </w:t>
      </w:r>
      <w:r>
        <w:t xml:space="preserve">emissions)</w:t>
      </w:r>
      <w:r>
        <w:t xml:space="preserve"> </w:t>
      </w:r>
      <w:r>
        <w:t xml:space="preserve">In ICC1, each Member State retains the right to choose between ICC compensation and other</w:t>
      </w:r>
      <w:r>
        <w:t xml:space="preserve"> </w:t>
      </w:r>
      <w:r>
        <w:t xml:space="preserve">revenue uses throughout the period to 2040. In ICC2, a share of ETS revenue (that would</w:t>
      </w:r>
      <w:r>
        <w:t xml:space="preserve"> </w:t>
      </w:r>
      <w:r>
        <w:t xml:space="preserve">otherwise have gone to each Member State or to another EU-level instrument) is used to</w:t>
      </w:r>
      <w:r>
        <w:t xml:space="preserve"> </w:t>
      </w:r>
      <w:r>
        <w:t xml:space="preserve">guarantee a certain level of ICC compensation to electro-intensive industries. Therefore, the</w:t>
      </w:r>
      <w:r>
        <w:t xml:space="preserve"> </w:t>
      </w:r>
      <w:r>
        <w:t xml:space="preserve">question of whether to harmonise ICC compensation also represents a choice between</w:t>
      </w:r>
      <w:r>
        <w:t xml:space="preserve"> </w:t>
      </w:r>
      <w:r>
        <w:t xml:space="preserve">providing discretionary resources to Member States vs. providing guaranteed EU-level carbon</w:t>
      </w:r>
      <w:r>
        <w:t xml:space="preserve"> </w:t>
      </w:r>
      <w:r>
        <w:t xml:space="preserve">leakage protection to firms.</w:t>
      </w:r>
      <w:r>
        <w:br/>
      </w:r>
      <w:r>
        <w:t xml:space="preserve">1.4.2.2.</w:t>
      </w:r>
      <w:r>
        <w:t xml:space="preserve"> </w:t>
      </w:r>
      <w:r>
        <w:t xml:space="preserve">Administrative costs on businesses</w:t>
      </w:r>
      <w:r>
        <w:t xml:space="preserve"> </w:t>
      </w:r>
      <w:r>
        <w:t xml:space="preserve">1.4.2.2.1.</w:t>
      </w:r>
      <w:r>
        <w:t xml:space="preserve"> </w:t>
      </w:r>
      <w:r>
        <w:t xml:space="preserve">Carbon leakage prevention measures for direct emissions</w:t>
      </w:r>
      <w:r>
        <w:t xml:space="preserve"> </w:t>
      </w:r>
      <w:r>
        <w:t xml:space="preserve">According to the Better Regulation Guidelines, the administrative costs consist of two different</w:t>
      </w:r>
      <w:r>
        <w:t xml:space="preserve"> </w:t>
      </w:r>
      <w:r>
        <w:t xml:space="preserve">cost components:</w:t>
      </w:r>
      <w:r>
        <w:br/>
      </w:r>
      <w:r>
        <w:t xml:space="preserve">• Business as usual costs (i.e. correspond to the costs resulting from collecting and</w:t>
      </w:r>
      <w:r>
        <w:t xml:space="preserve"> </w:t>
      </w:r>
      <w:r>
        <w:t xml:space="preserve">processing information that would even be done in the absence of any legislation).</w:t>
      </w:r>
      <w:r>
        <w:t xml:space="preserve"> </w:t>
      </w:r>
      <w:r>
        <w:t xml:space="preserve">• Administrative burdens (i.e. stem from the part of the process which is done solely</w:t>
      </w:r>
      <w:r>
        <w:t xml:space="preserve"> </w:t>
      </w:r>
      <w:r>
        <w:t xml:space="preserve">because of legal obligation).</w:t>
      </w:r>
      <w:r>
        <w:t xml:space="preserve"> </w:t>
      </w:r>
      <w:r>
        <w:t xml:space="preserve">The following tasks were considered as being an administrative burden on operators related to</w:t>
      </w:r>
      <w:r>
        <w:t xml:space="preserve"> </w:t>
      </w:r>
      <w:r>
        <w:t xml:space="preserve">their application for free allocation:</w:t>
      </w:r>
      <w:r>
        <w:t xml:space="preserve"> </w:t>
      </w:r>
      <w:r>
        <w:t xml:space="preserve">• Learning of rules, workshops and stakeholder meetings.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• Commission Delegated Regulation (EU) 2019/3312 outlines in Article 4(2) the</w:t>
      </w:r>
      <w:r>
        <w:t xml:space="preserve"> </w:t>
      </w:r>
      <w:r>
        <w:t xml:space="preserve">following particulars that accompany an application for free allocation for allocation</w:t>
      </w:r>
      <w:r>
        <w:t xml:space="preserve"> </w:t>
      </w:r>
      <w:r>
        <w:t xml:space="preserve">data from 2021 onwards from the operator of an incumbent installation (requirements</w:t>
      </w:r>
      <w:r>
        <w:t xml:space="preserve"> </w:t>
      </w:r>
      <w:r>
        <w:t xml:space="preserve">for new entrants are further outlined in Article 5):</w:t>
      </w:r>
      <w:r>
        <w:br/>
      </w:r>
      <w:r>
        <w:t xml:space="preserve">• Baseline data report</w:t>
      </w:r>
      <w:r>
        <w:t xml:space="preserve"> </w:t>
      </w:r>
      <w:r>
        <w:t xml:space="preserve">• Monitoring methodology plan</w:t>
      </w:r>
      <w:r>
        <w:t xml:space="preserve"> </w:t>
      </w:r>
      <w:r>
        <w:t xml:space="preserve">• Verification report</w:t>
      </w:r>
      <w:r>
        <w:t xml:space="preserve"> </w:t>
      </w:r>
      <w:r>
        <w:t xml:space="preserve">• Commission Implementing Regulation (EU) 2019/1842 outlines in Article 3(1) that</w:t>
      </w:r>
      <w:r>
        <w:t xml:space="preserve"> </w:t>
      </w:r>
      <w:r>
        <w:t xml:space="preserve">operators of installations to which free allocation has been given, in accordance with</w:t>
      </w:r>
      <w:r>
        <w:t xml:space="preserve"> </w:t>
      </w:r>
      <w:r>
        <w:t xml:space="preserve">Article 10a of Directive 2003/87/EC, for the trading period from 2021 to 2030 shall</w:t>
      </w:r>
      <w:r>
        <w:t xml:space="preserve"> </w:t>
      </w:r>
      <w:r>
        <w:t xml:space="preserve">report annually on the activity level of each sub-installation in the preceding calendar</w:t>
      </w:r>
      <w:r>
        <w:t xml:space="preserve"> </w:t>
      </w:r>
      <w:r>
        <w:t xml:space="preserve">year</w:t>
      </w:r>
      <w:r>
        <w:br/>
      </w:r>
      <w:r>
        <w:t xml:space="preserve">• Commission Delegated Regulation – EU – 2024/873 outlines in Article 22a</w:t>
      </w:r>
      <w:r>
        <w:t xml:space="preserve"> </w:t>
      </w:r>
      <w:r>
        <w:t xml:space="preserve">conditionality of free allocation on implementation of energy efficiency improvement</w:t>
      </w:r>
      <w:r>
        <w:t xml:space="preserve"> </w:t>
      </w:r>
      <w:r>
        <w:t xml:space="preserve">measures, in which the operator of an installation must demonstrate that</w:t>
      </w:r>
      <w:r>
        <w:t xml:space="preserve"> </w:t>
      </w:r>
      <w:r>
        <w:t xml:space="preserve">recommendations from energy audits under Article 8 of Directive 2012/27/EU5 have</w:t>
      </w:r>
      <w:r>
        <w:t xml:space="preserve"> </w:t>
      </w:r>
      <w:r>
        <w:t xml:space="preserve">been implemented</w:t>
      </w:r>
      <w:r>
        <w:t xml:space="preserve"> </w:t>
      </w:r>
      <w:r>
        <w:t xml:space="preserve">• Commission Delegated Regulation – EU – 2024/873 outlines in Article 22b</w:t>
      </w:r>
      <w:r>
        <w:t xml:space="preserve"> </w:t>
      </w:r>
      <w:r>
        <w:t xml:space="preserve">conditionality of free allocation on climate neutrality plans to be submitted by the</w:t>
      </w:r>
      <w:r>
        <w:t xml:space="preserve"> </w:t>
      </w:r>
      <w:r>
        <w:t xml:space="preserve">operator of an installation.</w:t>
      </w:r>
      <w:r>
        <w:t xml:space="preserve"> </w:t>
      </w:r>
      <w:r>
        <w:t xml:space="preserve">In accordance with the EU Standard Cost Model, it was necessary to identify and classify</w:t>
      </w:r>
      <w:r>
        <w:t xml:space="preserve"> </w:t>
      </w:r>
      <w:r>
        <w:t xml:space="preserve">additional administrative obligations as well as any administrative obligations that may also be</w:t>
      </w:r>
      <w:r>
        <w:t xml:space="preserve"> </w:t>
      </w:r>
      <w:r>
        <w:t xml:space="preserve">eliminated by the implementation of the policy measures.</w:t>
      </w:r>
      <w:r>
        <w:br/>
      </w:r>
      <w:r>
        <w:t xml:space="preserve">All the policy measures include within their design that the carbon leakage list will not be</w:t>
      </w:r>
      <w:r>
        <w:t xml:space="preserve"> </w:t>
      </w:r>
      <w:r>
        <w:t xml:space="preserve">updated for Phase V and the formula for determining free allocation will no longer include the</w:t>
      </w:r>
      <w:r>
        <w:t xml:space="preserve"> </w:t>
      </w:r>
      <w:r>
        <w:t xml:space="preserve">carbon leakage exposure factor. This simplification will eliminate administrative obligations</w:t>
      </w:r>
      <w:r>
        <w:t xml:space="preserve"> </w:t>
      </w:r>
      <w:r>
        <w:t xml:space="preserve">for ETS operators in all the policy measures, with considerable time spent on administration</w:t>
      </w:r>
      <w:r>
        <w:t xml:space="preserve"> </w:t>
      </w:r>
      <w:r>
        <w:t xml:space="preserve">expected to be saved</w:t>
      </w:r>
      <w:r>
        <w:br/>
      </w:r>
      <w:r>
        <w:t xml:space="preserve">Under CL1 there are no new administrative burdens added to ETS operators as the current</w:t>
      </w:r>
      <w:r>
        <w:t xml:space="preserve"> </w:t>
      </w:r>
      <w:r>
        <w:t xml:space="preserve">approach is continued albeit with the modification to the formula for determining free</w:t>
      </w:r>
      <w:r>
        <w:t xml:space="preserve"> </w:t>
      </w:r>
      <w:r>
        <w:t xml:space="preserve">allocation levels because of the discontinuation of the carbon leakage list. The existing</w:t>
      </w:r>
      <w:r>
        <w:t xml:space="preserve"> </w:t>
      </w:r>
      <w:r>
        <w:t xml:space="preserve">obligations for ETS operators (i.e. provision of a baseline data report, monitoring methodology</w:t>
      </w:r>
      <w:r>
        <w:t xml:space="preserve"> </w:t>
      </w:r>
      <w:r>
        <w:t xml:space="preserve">plan and verification plan) would be sufficient to update the existing product benchmarks as</w:t>
      </w:r>
      <w:r>
        <w:t xml:space="preserve"> </w:t>
      </w:r>
      <w:r>
        <w:t xml:space="preserve">under CL1 no change to the current definition of the product benchmarks is considered (so no</w:t>
      </w:r>
      <w:r>
        <w:t xml:space="preserve"> </w:t>
      </w:r>
      <w:r>
        <w:t xml:space="preserve">further inputs into an update of benchmarks would be required and therefore CL1 is not</w:t>
      </w:r>
      <w:r>
        <w:t xml:space="preserve"> </w:t>
      </w:r>
      <w:r>
        <w:t xml:space="preserve">associated with additional administrative obligations).</w:t>
      </w:r>
      <w:r>
        <w:t xml:space="preserve"> </w:t>
      </w:r>
      <w:r>
        <w:t xml:space="preserve">New administrative requirements would, however, be introduced under CL2. Under this policy</w:t>
      </w:r>
      <w:r>
        <w:t xml:space="preserve"> </w:t>
      </w:r>
      <w:r>
        <w:t xml:space="preserve">measure, it is expected that the conditionalities introduced for the period 2026-2030 would be</w:t>
      </w:r>
      <w:r>
        <w:t xml:space="preserve"> </w:t>
      </w:r>
      <w:r>
        <w:t xml:space="preserve">expanded to include more ETS operators in Phase V of the EU ETS. The following</w:t>
      </w:r>
      <w:r>
        <w:t xml:space="preserve"> </w:t>
      </w:r>
      <w:r>
        <w:t xml:space="preserve">complementary actions have been identified because of the additional administrative</w:t>
      </w:r>
      <w:r>
        <w:t xml:space="preserve"> </w:t>
      </w:r>
      <w:r>
        <w:t xml:space="preserve">obligations:</w:t>
      </w:r>
      <w:r>
        <w:t xml:space="preserve"> </w:t>
      </w:r>
      <w:r>
        <w:t xml:space="preserve">• Time spent on learning rules, workshops, stakeholder meetings</w:t>
      </w:r>
      <w:r>
        <w:t xml:space="preserve"> </w:t>
      </w:r>
      <w:r>
        <w:t xml:space="preserve">• Time spent demonstrating that all recommendations from energy audits under Article</w:t>
      </w:r>
      <w:r>
        <w:t xml:space="preserve"> </w:t>
      </w:r>
      <w:r>
        <w:t xml:space="preserve">8 of Directive 2012/27/EU have been implemented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• Time spent preparing and submitting a carbon neutrality plan</w:t>
      </w:r>
      <w:r>
        <w:t xml:space="preserve"> </w:t>
      </w:r>
      <w:r>
        <w:t xml:space="preserve">Defining the target group and the frequency of the obligated actions are required as part of the</w:t>
      </w:r>
      <w:r>
        <w:t xml:space="preserve"> </w:t>
      </w:r>
      <w:r>
        <w:t xml:space="preserve">assessment of additional costs using the EU Standard Cost Model.</w:t>
      </w:r>
      <w:r>
        <w:br/>
      </w:r>
      <w:r>
        <w:t xml:space="preserve">Given that the extension of the conditionality requirement would be subject to further</w:t>
      </w:r>
      <w:r>
        <w:t xml:space="preserve"> </w:t>
      </w:r>
      <w:r>
        <w:t xml:space="preserve">assessment, for the purpose of the impact assessment a range was used to identify the target</w:t>
      </w:r>
      <w:r>
        <w:t xml:space="preserve"> </w:t>
      </w:r>
      <w:r>
        <w:t xml:space="preserve">group. It was assumed that the number of ETS operators that were subject to the conditionalities</w:t>
      </w:r>
      <w:r>
        <w:t xml:space="preserve"> </w:t>
      </w:r>
      <w:r>
        <w:t xml:space="preserve">as applied in 2026-30 would increase by between 20% and 40% for 2031-40.</w:t>
      </w:r>
      <w:r>
        <w:br/>
      </w:r>
      <w:r>
        <w:t xml:space="preserve">The frequency of the required action would remain unchanged and so, for example,</w:t>
      </w:r>
      <w:r>
        <w:t xml:space="preserve"> </w:t>
      </w:r>
      <w:r>
        <w:t xml:space="preserve">demonstrating that recommendations from energy audits have been implemented or the</w:t>
      </w:r>
      <w:r>
        <w:t xml:space="preserve"> </w:t>
      </w:r>
      <w:r>
        <w:t xml:space="preserve">submission of climate neutrality plans would be a one-off activity at the start of Phase V.</w:t>
      </w:r>
      <w:r>
        <w:br/>
      </w:r>
      <w:r>
        <w:t xml:space="preserve">To estimate the additional administrative cost of the complementary actions outlined above for</w:t>
      </w:r>
      <w:r>
        <w:t xml:space="preserve"> </w:t>
      </w:r>
      <w:r>
        <w:t xml:space="preserve">CL2, a survey was developed and circulated to industrial stakeholders to provide information</w:t>
      </w:r>
      <w:r>
        <w:t xml:space="preserve"> </w:t>
      </w:r>
      <w:r>
        <w:t xml:space="preserve">on the time spent (in person hours) on average, per year in 2021-24.</w:t>
      </w:r>
      <w:r>
        <w:br/>
      </w:r>
      <w:r>
        <w:t xml:space="preserve">Respondents indicated that they spent on average:</w:t>
      </w:r>
      <w:r>
        <w:t xml:space="preserve"> </w:t>
      </w:r>
      <w:r>
        <w:t xml:space="preserve">• 33 person/hours on learning rules, workshops, stakeholder meetings (median value: 15</w:t>
      </w:r>
      <w:r>
        <w:t xml:space="preserve"> </w:t>
      </w:r>
      <w:r>
        <w:t xml:space="preserve">person/hours) out of 83 total responses.</w:t>
      </w:r>
      <w:r>
        <w:t xml:space="preserve"> </w:t>
      </w:r>
      <w:r>
        <w:t xml:space="preserve">• 17 person/hours on demonstrating that all recommendations from energy audits under</w:t>
      </w:r>
      <w:r>
        <w:t xml:space="preserve"> </w:t>
      </w:r>
      <w:r>
        <w:t xml:space="preserve">Article 8 of Directive 2012/27/EU have been implemented (median value: 6</w:t>
      </w:r>
      <w:r>
        <w:t xml:space="preserve"> </w:t>
      </w:r>
      <w:r>
        <w:t xml:space="preserve">person/hours) out of 76 total responses.</w:t>
      </w:r>
      <w:r>
        <w:t xml:space="preserve"> </w:t>
      </w:r>
      <w:r>
        <w:t xml:space="preserve">• 19 person/hours on preparing and submitting a carbon neutrality plan out of 69 total</w:t>
      </w:r>
      <w:r>
        <w:t xml:space="preserve"> </w:t>
      </w:r>
      <w:r>
        <w:t xml:space="preserve">responses.</w:t>
      </w:r>
      <w:r>
        <w:t xml:space="preserve"> </w:t>
      </w:r>
      <w:r>
        <w:t xml:space="preserve">Considering an average cost of labour across Member States of EUR 40/hour (based on</w:t>
      </w:r>
      <w:r>
        <w:t xml:space="preserve"> </w:t>
      </w:r>
      <w:r>
        <w:t xml:space="preserve">Eurostat data on Labour cost for LCI by country and industry for 2024), the average</w:t>
      </w:r>
      <w:r>
        <w:t xml:space="preserve"> </w:t>
      </w:r>
      <w:r>
        <w:t xml:space="preserve">administrative cost per tonne of CO2 is EUR 0.02, which represent a very small share</w:t>
      </w:r>
      <w:r>
        <w:t xml:space="preserve"> </w:t>
      </w:r>
      <w:r>
        <w:t xml:space="preserve">(approximately 0.026%) of the carbon price (assumed to be EUR 64.74, which was the average</w:t>
      </w:r>
      <w:r>
        <w:t xml:space="preserve"> </w:t>
      </w:r>
      <w:r>
        <w:t xml:space="preserve">price of a EUA in 2024 and is expected to be a conservative value).</w:t>
      </w:r>
      <w:r>
        <w:t xml:space="preserve"> </w:t>
      </w:r>
      <w:r>
        <w:t xml:space="preserve">To estimate the administrative cost, it is necessary to then scale the administrative cost per</w:t>
      </w:r>
      <w:r>
        <w:t xml:space="preserve"> </w:t>
      </w:r>
      <w:r>
        <w:t xml:space="preserve">tonne by projected ETS industrial emissions in 2031 (i.e. around 400 Mt) and this results in an</w:t>
      </w:r>
      <w:r>
        <w:t xml:space="preserve"> </w:t>
      </w:r>
      <w:r>
        <w:t xml:space="preserve">illustrative one-off administrative cost of around 8 M EURs. This is negligible compared to the</w:t>
      </w:r>
      <w:r>
        <w:t xml:space="preserve"> </w:t>
      </w:r>
      <w:r>
        <w:t xml:space="preserve">estimated value of free allocation.</w:t>
      </w:r>
      <w:r>
        <w:t xml:space="preserve"> </w:t>
      </w:r>
      <w:r>
        <w:t xml:space="preserve">The stakeholder consultation revealed very strong views from industrial associations opposing</w:t>
      </w:r>
      <w:r>
        <w:t xml:space="preserve"> </w:t>
      </w:r>
      <w:r>
        <w:t xml:space="preserve">the expansion of conditionality requirements for free allocation. In interviews and position</w:t>
      </w:r>
      <w:r>
        <w:t xml:space="preserve"> </w:t>
      </w:r>
      <w:r>
        <w:t xml:space="preserve">papers, the argument was consistently advanced by these stakeholders that the purpose of free</w:t>
      </w:r>
      <w:r>
        <w:t xml:space="preserve"> </w:t>
      </w:r>
      <w:r>
        <w:t xml:space="preserve">allocation is to protect industry from carbon costs and that it is not an instrument to directly</w:t>
      </w:r>
      <w:r>
        <w:t xml:space="preserve"> </w:t>
      </w:r>
      <w:r>
        <w:t xml:space="preserve">influence other objectives such as promoting investments in low carbon technologies. Whilst</w:t>
      </w:r>
      <w:r>
        <w:t xml:space="preserve"> </w:t>
      </w:r>
      <w:r>
        <w:t xml:space="preserve">this may indeed be seen as complementary and necessary to reduce industry’s exposure to the</w:t>
      </w:r>
      <w:r>
        <w:t xml:space="preserve"> </w:t>
      </w:r>
      <w:r>
        <w:t xml:space="preserve">carbon price over Phase V, it was nevertheless a matter of principle for some stakeholders that</w:t>
      </w:r>
      <w:r>
        <w:t xml:space="preserve"> </w:t>
      </w:r>
      <w:r>
        <w:t xml:space="preserve">the inclusion of conditionality requirements is not consistent with the original purpose of free</w:t>
      </w:r>
      <w:r>
        <w:t xml:space="preserve"> </w:t>
      </w:r>
      <w:r>
        <w:t xml:space="preserve">allocation provision. However, results from the OPC also showed support for conditionality,</w:t>
      </w:r>
      <w:r>
        <w:t xml:space="preserve"> </w:t>
      </w:r>
      <w:r>
        <w:t xml:space="preserve">mainly among companies and business associations from the energy sector and NGOs. Overall,</w:t>
      </w:r>
      <w:r>
        <w:t xml:space="preserve"> </w:t>
      </w:r>
      <w:r>
        <w:t xml:space="preserve">making free allocation conditional on taking steps towards carbon neutrality was the fourth</w:t>
      </w:r>
      <w:r>
        <w:t xml:space="preserve"> </w:t>
      </w:r>
      <w:r>
        <w:t xml:space="preserve">most frequently indicated preference (13% of all responses) to the question “on what basis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should free allocation be provided beyond 2030 for sectors not covered by the CBAM”</w:t>
      </w:r>
      <w:r>
        <w:t xml:space="preserve"> </w:t>
      </w:r>
      <w:r>
        <w:t xml:space="preserve">(multiple options could be selected).20</w:t>
      </w:r>
      <w:r>
        <w:t xml:space="preserve"> </w:t>
      </w:r>
      <w:r>
        <w:t xml:space="preserve">Article 10a of the ETS Directive specifies that the free allocation rules shall be based on</w:t>
      </w:r>
      <w:r>
        <w:t xml:space="preserve"> </w:t>
      </w:r>
      <w:r>
        <w:t xml:space="preserve">benchmarks, which account for the 10% most efficient installations, to provide incentives for</w:t>
      </w:r>
      <w:r>
        <w:t xml:space="preserve"> </w:t>
      </w:r>
      <w:r>
        <w:t xml:space="preserve">reductions in greenhouse gas emissions and energy efficient techniques (by considering inter</w:t>
      </w:r>
      <w:r>
        <w:t xml:space="preserve"> </w:t>
      </w:r>
      <w:r>
        <w:t xml:space="preserve">alia the most efficient techniques, substitutes and alternative production processes). It also</w:t>
      </w:r>
      <w:r>
        <w:t xml:space="preserve"> </w:t>
      </w:r>
      <w:r>
        <w:t xml:space="preserve">states that free allocation shall not provide incentives to increase emissions. In this spirit, the</w:t>
      </w:r>
      <w:r>
        <w:t xml:space="preserve"> </w:t>
      </w:r>
      <w:r>
        <w:t xml:space="preserve">option of placing mitigation-related conditions on free allocation is retained in this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In practical terms, industrial stakeholders commented frequently in both the OPC and</w:t>
      </w:r>
      <w:r>
        <w:t xml:space="preserve"> </w:t>
      </w:r>
      <w:r>
        <w:t xml:space="preserve">interviews with industrial associations that any expansion of conditionality would add</w:t>
      </w:r>
      <w:r>
        <w:t xml:space="preserve"> </w:t>
      </w:r>
      <w:r>
        <w:t xml:space="preserve">significant administrative burdens to ETS operators. Indeed, this view is consistent with the</w:t>
      </w:r>
      <w:r>
        <w:t xml:space="preserve"> </w:t>
      </w:r>
      <w:r>
        <w:t xml:space="preserve">findings of the impact assessment that PO2 adds the highest additional administrative cost out</w:t>
      </w:r>
      <w:r>
        <w:t xml:space="preserve"> </w:t>
      </w:r>
      <w:r>
        <w:t xml:space="preserve">of the policy options under consideration albeit the value is expected to be very low in</w:t>
      </w:r>
      <w:r>
        <w:t xml:space="preserve"> </w:t>
      </w:r>
      <w:r>
        <w:t xml:space="preserve">comparison to the EUA price.</w:t>
      </w:r>
      <w:r>
        <w:t xml:space="preserve"> </w:t>
      </w:r>
      <w:r>
        <w:t xml:space="preserve">Given that free allocation would be phased out for non-CBAM sectors by 2034 and the time</w:t>
      </w:r>
      <w:r>
        <w:t xml:space="preserve"> </w:t>
      </w:r>
      <w:r>
        <w:t xml:space="preserve">schedule for the reduction in the volume of free allowances received by ETS operators would</w:t>
      </w:r>
      <w:r>
        <w:t xml:space="preserve"> </w:t>
      </w:r>
      <w:r>
        <w:t xml:space="preserve">be based on a declining share of their total verified emissions, it is to be expected that CL3</w:t>
      </w:r>
      <w:r>
        <w:t xml:space="preserve"> </w:t>
      </w:r>
      <w:r>
        <w:t xml:space="preserve">would result in a reduction in the administrative burden of businesses as they would no longer</w:t>
      </w:r>
      <w:r>
        <w:t xml:space="preserve"> </w:t>
      </w:r>
      <w:r>
        <w:t xml:space="preserve">have the cost of applying for free allocation beyond 2034 and in the preceding years the input</w:t>
      </w:r>
      <w:r>
        <w:t xml:space="preserve"> </w:t>
      </w:r>
      <w:r>
        <w:t xml:space="preserve">required would come from existing obligations (i.e. provision of a baseline data report,</w:t>
      </w:r>
      <w:r>
        <w:t xml:space="preserve"> </w:t>
      </w:r>
      <w:r>
        <w:t xml:space="preserve">monitoring methodology plan and verification plan). It is important to add that whilst indeed</w:t>
      </w:r>
      <w:r>
        <w:t xml:space="preserve"> </w:t>
      </w:r>
      <w:r>
        <w:t xml:space="preserve">the administrative costs would be lower if CL3 was adopted, this would lead to much higher</w:t>
      </w:r>
      <w:r>
        <w:t xml:space="preserve"> </w:t>
      </w:r>
      <w:r>
        <w:t xml:space="preserve">carbon costs.</w:t>
      </w:r>
      <w:r>
        <w:br/>
      </w:r>
      <w:r>
        <w:t xml:space="preserve">1.4.2.2.2.</w:t>
      </w:r>
      <w:r>
        <w:t xml:space="preserve"> </w:t>
      </w:r>
      <w:r>
        <w:t xml:space="preserve">Carbon leakage prevention measures for indirect emissions</w:t>
      </w:r>
      <w:r>
        <w:t xml:space="preserve"> </w:t>
      </w:r>
      <w:r>
        <w:t xml:space="preserve">For ICC compensation, Option ICC1 would not involve significant change to the administrative</w:t>
      </w:r>
      <w:r>
        <w:t xml:space="preserve"> </w:t>
      </w:r>
      <w:r>
        <w:t xml:space="preserve">cost for private sector. In this option, monitoring, reporting, verification and conditions for</w:t>
      </w:r>
      <w:r>
        <w:t xml:space="preserve"> </w:t>
      </w:r>
      <w:r>
        <w:t xml:space="preserve">receiving support are elaborated in successive iterations of State aid guidelines.</w:t>
      </w:r>
      <w:r>
        <w:br/>
      </w:r>
      <w:r>
        <w:t xml:space="preserve">Option ICC2 would create an additional administrative burden in cases where an installation</w:t>
      </w:r>
      <w:r>
        <w:t xml:space="preserve"> </w:t>
      </w:r>
      <w:r>
        <w:t xml:space="preserve">receives support both from national State aid and from a harmonised EU system. ICC2 may</w:t>
      </w:r>
      <w:r>
        <w:t xml:space="preserve"> </w:t>
      </w:r>
      <w:r>
        <w:t xml:space="preserve">also cover more firms than ICC1 (installations in Member States that do not offer national State</w:t>
      </w:r>
      <w:r>
        <w:t xml:space="preserve"> </w:t>
      </w:r>
      <w:r>
        <w:t xml:space="preserve">aid), leading to administrative costs for these firms (but also benefits in the form of ICC</w:t>
      </w:r>
      <w:r>
        <w:t xml:space="preserve"> </w:t>
      </w:r>
      <w:r>
        <w:t xml:space="preserve">compensation).</w:t>
      </w:r>
      <w:r>
        <w:br/>
      </w:r>
      <w:r>
        <w:t xml:space="preserve">1.4.2.3.</w:t>
      </w:r>
      <w:r>
        <w:t xml:space="preserve"> </w:t>
      </w:r>
      <w:r>
        <w:t xml:space="preserve">SMEs</w:t>
      </w:r>
      <w:r>
        <w:t xml:space="preserve"> </w:t>
      </w:r>
      <w:r>
        <w:t xml:space="preserve">1.4.2.3.1.</w:t>
      </w:r>
      <w:r>
        <w:t xml:space="preserve"> </w:t>
      </w:r>
      <w:r>
        <w:t xml:space="preserve">Carbon leakage prevention measures for direct emissions</w:t>
      </w:r>
      <w:r>
        <w:t xml:space="preserve"> </w:t>
      </w:r>
      <w:r>
        <w:t xml:space="preserve">The SME test was applied to identify and assess the impact of the policy measures (related to</w:t>
      </w:r>
      <w:r>
        <w:t xml:space="preserve"> </w:t>
      </w:r>
      <w:r>
        <w:t xml:space="preserve">direct emissions) on SMEs. In accordance with the better regulation guidelines, the SME test</w:t>
      </w:r>
      <w:r>
        <w:t xml:space="preserve"> </w:t>
      </w:r>
      <w:r>
        <w:t xml:space="preserve">comprises the following components:</w:t>
      </w:r>
      <w:r>
        <w:t xml:space="preserve"> </w:t>
      </w:r>
      <w:r>
        <w:t xml:space="preserve">• Identification of affected businesses</w:t>
      </w:r>
    </w:p>
    <w:p>
      <w:pPr>
        <w:pStyle w:val="BodyText"/>
      </w:pPr>
      <w:r>
        <w:t xml:space="preserve">20 Refer to the synopsis report documenting the stakeholder engagement strategy for the evaluation and impact</w:t>
      </w:r>
      <w:r>
        <w:t xml:space="preserve"> </w:t>
      </w:r>
      <w:r>
        <w:t xml:space="preserve">assessment.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• Consultation of SME stakeholders</w:t>
      </w:r>
      <w:r>
        <w:t xml:space="preserve"> </w:t>
      </w:r>
      <w:r>
        <w:t xml:space="preserve">• Assessment of the impact on SMEs</w:t>
      </w:r>
      <w:r>
        <w:t xml:space="preserve"> </w:t>
      </w:r>
      <w:r>
        <w:t xml:space="preserve">• Minimising negative impacts on SMEs</w:t>
      </w:r>
      <w:r>
        <w:t xml:space="preserve"> </w:t>
      </w:r>
      <w:r>
        <w:t xml:space="preserve">In a first step, the businesses most likely to be affected by the policy measures were identified</w:t>
      </w:r>
      <w:r>
        <w:t xml:space="preserve"> </w:t>
      </w:r>
      <w:r>
        <w:t xml:space="preserve">by using the preliminary NIMs dataset to categorise sub-installation information for selected</w:t>
      </w:r>
      <w:r>
        <w:t xml:space="preserve"> </w:t>
      </w:r>
      <w:r>
        <w:t xml:space="preserve">non-CBAM sectors into different tCO2 emission ranges. However, SMEs cannot be directly</w:t>
      </w:r>
      <w:r>
        <w:t xml:space="preserve"> </w:t>
      </w:r>
      <w:r>
        <w:t xml:space="preserve">identified from the ETS data available and therefore proxy measures based on low emissions</w:t>
      </w:r>
      <w:r>
        <w:t xml:space="preserve"> </w:t>
      </w:r>
      <w:r>
        <w:t xml:space="preserve">or low power consumption are adopted for the SME test.</w:t>
      </w:r>
      <w:r>
        <w:t xml:space="preserve"> </w:t>
      </w:r>
      <w:r>
        <w:t xml:space="preserve">For the non-CBAM sectors selected shown in Figure 10, the lime and refined oil sectors have</w:t>
      </w:r>
      <w:r>
        <w:t xml:space="preserve"> </w:t>
      </w:r>
      <w:r>
        <w:t xml:space="preserve">the lowest shares of their total sub-installations that emit under 5,000 tCO2 (under 20% and</w:t>
      </w:r>
      <w:r>
        <w:t xml:space="preserve"> </w:t>
      </w:r>
      <w:r>
        <w:t xml:space="preserve">around 20% respectively) while the ceramics and paper and paperboard sectors have the highest</w:t>
      </w:r>
      <w:r>
        <w:t xml:space="preserve"> </w:t>
      </w:r>
      <w:r>
        <w:t xml:space="preserve">shares accounting for over 60% and 50% of their total sub-installations respectively. The</w:t>
      </w:r>
      <w:r>
        <w:t xml:space="preserve"> </w:t>
      </w:r>
      <w:r>
        <w:t xml:space="preserve">chemical sectors both organic and inorganic are within this range with a 34% and 36% share</w:t>
      </w:r>
      <w:r>
        <w:t xml:space="preserve"> </w:t>
      </w:r>
      <w:r>
        <w:t xml:space="preserve">of their total sub-installations that emit under 5,000 tCO2 respectively.</w:t>
      </w:r>
      <w:r>
        <w:br/>
      </w:r>
      <w:r>
        <w:t xml:space="preserve">The distribution of emissions across the different categories highlights some further key</w:t>
      </w:r>
      <w:r>
        <w:t xml:space="preserve"> </w:t>
      </w:r>
      <w:r>
        <w:t xml:space="preserve">insights:</w:t>
      </w:r>
      <w:r>
        <w:t xml:space="preserve"> </w:t>
      </w:r>
      <w:r>
        <w:t xml:space="preserve">• Around 70% of the refined oil sector’s average 2021-23 emissions were generated by</w:t>
      </w:r>
      <w:r>
        <w:t xml:space="preserve"> </w:t>
      </w:r>
      <w:r>
        <w:t xml:space="preserve">around 20% of their total number of sub-installations that emitted CO2 above</w:t>
      </w:r>
      <w:r>
        <w:t xml:space="preserve"> </w:t>
      </w:r>
      <w:r>
        <w:t xml:space="preserve">1,000,000t.</w:t>
      </w:r>
      <w:r>
        <w:t xml:space="preserve"> </w:t>
      </w:r>
      <w:r>
        <w:t xml:space="preserve">• Around 77% of the lime sector’s average 2021-23 emissions were generated by around</w:t>
      </w:r>
      <w:r>
        <w:t xml:space="preserve"> </w:t>
      </w:r>
      <w:r>
        <w:t xml:space="preserve">32% of their total number of sub-installations that emitted CO2 above 1,00,000t.</w:t>
      </w:r>
      <w:r>
        <w:br/>
      </w:r>
      <w:r>
        <w:t xml:space="preserve">• Both inorganic and organic chemical sectors have a more even distribution of emission</w:t>
      </w:r>
      <w:r>
        <w:t xml:space="preserve"> </w:t>
      </w:r>
      <w:r>
        <w:t xml:space="preserve">categories that contribute to their total emissions but still around 61% and 52%</w:t>
      </w:r>
      <w:r>
        <w:t xml:space="preserve"> </w:t>
      </w:r>
      <w:r>
        <w:t xml:space="preserve">respectively of their average 2021-23 emissions were generated by around 7% and 5%</w:t>
      </w:r>
      <w:r>
        <w:t xml:space="preserve"> </w:t>
      </w:r>
      <w:r>
        <w:t xml:space="preserve">respectively of their total number of sub-installations that emitted CO2 above 250,000</w:t>
      </w:r>
      <w:r>
        <w:t xml:space="preserve"> </w:t>
      </w:r>
      <w:r>
        <w:t xml:space="preserve">t.</w:t>
      </w:r>
      <w:r>
        <w:t xml:space="preserve"> </w:t>
      </w:r>
      <w:r>
        <w:t xml:space="preserve">• Around 86% of the paper and paperboard sector’s average 2021-23 emissions were</w:t>
      </w:r>
      <w:r>
        <w:t xml:space="preserve"> </w:t>
      </w:r>
      <w:r>
        <w:t xml:space="preserve">generated by around 46% of their total number of sub-installations that emitted CO2</w:t>
      </w:r>
      <w:r>
        <w:t xml:space="preserve"> </w:t>
      </w:r>
      <w:r>
        <w:t xml:space="preserve">below 100,000t.</w:t>
      </w:r>
      <w:r>
        <w:br/>
      </w:r>
      <w:r>
        <w:t xml:space="preserve">• Around 81% of the ceramic sector’s average 2021-23 emissions were generated by</w:t>
      </w:r>
      <w:r>
        <w:t xml:space="preserve"> </w:t>
      </w:r>
      <w:r>
        <w:t xml:space="preserve">around 36% of their total number of sub-installations that emitted CO2 below 50,000t.</w:t>
      </w:r>
      <w:r>
        <w:br/>
      </w:r>
      <w:r>
        <w:t xml:space="preserve">The analysis of the preliminary NIMs dataset confirms that SMEs are likely to be impacted by</w:t>
      </w:r>
      <w:r>
        <w:t xml:space="preserve"> </w:t>
      </w:r>
      <w:r>
        <w:t xml:space="preserve">the policy measures to phase out free allocation but that the impact on SMEs is likely to vary</w:t>
      </w:r>
      <w:r>
        <w:t xml:space="preserve"> </w:t>
      </w:r>
      <w:r>
        <w:t xml:space="preserve">by non-CBAM sector.</w:t>
      </w:r>
      <w:r>
        <w:br/>
      </w:r>
      <w:r>
        <w:t xml:space="preserve">SME stakeholders were represented by their sector associations in the stakeholder interviews</w:t>
      </w:r>
      <w:r>
        <w:t xml:space="preserve"> </w:t>
      </w:r>
      <w:r>
        <w:t xml:space="preserve">as well as having the opportunity to submit their views within the OPC itself. In terms of the</w:t>
      </w:r>
      <w:r>
        <w:t xml:space="preserve"> </w:t>
      </w:r>
      <w:r>
        <w:t xml:space="preserve">impact of the policy measures on SMEs within the non-CBAM sectors, the consultation</w:t>
      </w:r>
      <w:r>
        <w:t xml:space="preserve"> </w:t>
      </w:r>
      <w:r>
        <w:t xml:space="preserve">exercise collected evidence that the concerns raised (i.e. increased direct carbon costs and a</w:t>
      </w:r>
      <w:r>
        <w:t xml:space="preserve"> </w:t>
      </w:r>
      <w:r>
        <w:t xml:space="preserve">loss of international competitiveness) are very similar in nature to larger emitters but that the</w:t>
      </w:r>
      <w:r>
        <w:t xml:space="preserve"> </w:t>
      </w:r>
      <w:r>
        <w:t xml:space="preserve">magnitude of the impact may be greater. It is to be expected that CL1 will have less of a</w:t>
      </w:r>
      <w:r>
        <w:t xml:space="preserve"> </w:t>
      </w:r>
      <w:r>
        <w:t xml:space="preserve">negative impact on SMEs than CL2 or CL3 given that the non-CBAM sectors receive more</w:t>
      </w:r>
      <w:r>
        <w:t xml:space="preserve"> </w:t>
      </w:r>
      <w:r>
        <w:t xml:space="preserve">free allowances under the current approach without imposing additional requirements under</w:t>
      </w:r>
      <w:r>
        <w:t xml:space="preserve"> </w:t>
      </w:r>
      <w:r>
        <w:t xml:space="preserve">CL2 to comply with conditionalities or receiving less allowances under the more rapid phase</w:t>
      </w:r>
      <w:r>
        <w:t xml:space="preserve"> </w:t>
      </w:r>
      <w:r>
        <w:t xml:space="preserve">out of free allocation envisaged under CL3 to align with CBAM sectors. Indeed, interviews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with industrial stakeholders confirmed that the introduction of further conditionalities as</w:t>
      </w:r>
      <w:r>
        <w:t xml:space="preserve"> </w:t>
      </w:r>
      <w:r>
        <w:t xml:space="preserve">envisaged in CL2 would impose some additional administrative costs on operators and that</w:t>
      </w:r>
      <w:r>
        <w:t xml:space="preserve"> </w:t>
      </w:r>
      <w:r>
        <w:t xml:space="preserve">these would impact SMEs more. Given the strong insistence from industrial sectors for the</w:t>
      </w:r>
      <w:r>
        <w:t xml:space="preserve"> </w:t>
      </w:r>
      <w:r>
        <w:t xml:space="preserve">continuation of free allocation their view that measures to more rapidly phase out free</w:t>
      </w:r>
      <w:r>
        <w:t xml:space="preserve"> </w:t>
      </w:r>
      <w:r>
        <w:t xml:space="preserve">allocation as under CL3 would increase the risk of carbon leakage and that this risk would be</w:t>
      </w:r>
      <w:r>
        <w:t xml:space="preserve"> </w:t>
      </w:r>
      <w:r>
        <w:t xml:space="preserve">greater for SMEs.</w:t>
      </w:r>
      <w:r>
        <w:t xml:space="preserve"> </w:t>
      </w:r>
      <w:r>
        <w:t xml:space="preserve">Figure 10: Share of sub-installations and emissions (average 2021-23) by category size in tCO2</w:t>
      </w:r>
      <w:r>
        <w:t xml:space="preserve"> </w:t>
      </w:r>
      <w:r>
        <w:t xml:space="preserve">for selected non-CBAM sectors</w:t>
      </w:r>
    </w:p>
    <w:p>
      <w:pPr>
        <w:pStyle w:val="BodyText"/>
      </w:pPr>
      <w:r>
        <w:t xml:space="preserve">Source: Own calculation based upon preliminary NIMs data for 2019-23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Figure 11: Share of sub-installations and emissions (average 2021-23) by category size in tCO2</w:t>
      </w:r>
      <w:r>
        <w:t xml:space="preserve"> </w:t>
      </w:r>
      <w:r>
        <w:t xml:space="preserve">for selected CBAM sectors</w:t>
      </w:r>
    </w:p>
    <w:p>
      <w:pPr>
        <w:pStyle w:val="BodyText"/>
      </w:pPr>
      <w:r>
        <w:t xml:space="preserve">Source: Own calculation based upon preliminary NIMs data for 2019-23</w:t>
      </w:r>
      <w:r>
        <w:t xml:space="preserve"> </w:t>
      </w:r>
      <w:r>
        <w:t xml:space="preserve">To minimise the impact of the policy measures on SMEs, it was frequently advocated by</w:t>
      </w:r>
      <w:r>
        <w:t xml:space="preserve"> </w:t>
      </w:r>
      <w:r>
        <w:t xml:space="preserve">industrial stakeholders to extend the opt-out eligibility for small emitters, subject to national</w:t>
      </w:r>
      <w:r>
        <w:t xml:space="preserve"> </w:t>
      </w:r>
      <w:r>
        <w:t xml:space="preserve">measures that will achieve an equivalent contribution to emission reductions, under Article 27</w:t>
      </w:r>
      <w:r>
        <w:t xml:space="preserve"> </w:t>
      </w:r>
      <w:r>
        <w:t xml:space="preserve">of the ETS Directive. An increase in this threshold from 25,000 tCO2/year to 50,000 tCO2 per</w:t>
      </w:r>
      <w:r>
        <w:t xml:space="preserve"> </w:t>
      </w:r>
      <w:r>
        <w:t xml:space="preserve">year was often referred to in the inputs provided under both the OPC and during subsequent</w:t>
      </w:r>
      <w:r>
        <w:t xml:space="preserve"> </w:t>
      </w:r>
      <w:r>
        <w:t xml:space="preserve">interviews with industrial associations. This proposal would reduce the administrative burden</w:t>
      </w:r>
      <w:r>
        <w:t xml:space="preserve"> </w:t>
      </w:r>
      <w:r>
        <w:t xml:space="preserve">for smaller emitters by:</w:t>
      </w:r>
      <w:r>
        <w:t xml:space="preserve"> </w:t>
      </w:r>
      <w:r>
        <w:t xml:space="preserve">• Simplifying monitoring requirements.</w:t>
      </w:r>
      <w:r>
        <w:br/>
      </w:r>
      <w:r>
        <w:t xml:space="preserve">• Removing requirements for smaller emitters to hold an EU registry account.</w:t>
      </w:r>
      <w:r>
        <w:t xml:space="preserve"> </w:t>
      </w:r>
      <w:r>
        <w:t xml:space="preserve">• No requirements to fulfil third-party verification of emissions data.</w:t>
      </w:r>
      <w:r>
        <w:t xml:space="preserve"> </w:t>
      </w:r>
      <w:r>
        <w:t xml:space="preserve">The argument was made repeatedly by industrial stakeholders that such an extension of the opt</w:t>
      </w:r>
      <w:r>
        <w:t xml:space="preserve"> </w:t>
      </w:r>
      <w:r>
        <w:t xml:space="preserve">out eligibility under Article 27 would significantly reduce reporting and compliance burdens</w:t>
      </w:r>
      <w:r>
        <w:t xml:space="preserve"> </w:t>
      </w:r>
      <w:r>
        <w:t xml:space="preserve">on SMEs without jeopardising the overall environmental aims of the system.</w:t>
      </w:r>
      <w:r>
        <w:br/>
      </w:r>
      <w:r>
        <w:t xml:space="preserve">Such an increase in the exclusion threshold would mean that for some sectors like ceramics,</w:t>
      </w:r>
      <w:r>
        <w:t xml:space="preserve"> </w:t>
      </w:r>
      <w:r>
        <w:t xml:space="preserve">most of their emissions will be excluded from the scope of the ETS and covered by equivalent</w:t>
      </w:r>
      <w:r>
        <w:t xml:space="preserve"> </w:t>
      </w:r>
      <w:r>
        <w:t xml:space="preserve">national measures instead. The assessment of these national measures however goes beyond</w:t>
      </w:r>
      <w:r>
        <w:t xml:space="preserve"> </w:t>
      </w:r>
      <w:r>
        <w:t xml:space="preserve">the scope of this impact assessment.</w:t>
      </w:r>
      <w:r>
        <w:t xml:space="preserve"> </w:t>
      </w:r>
      <w:r>
        <w:t xml:space="preserve">1.4.2.3.2.</w:t>
      </w:r>
      <w:r>
        <w:t xml:space="preserve"> </w:t>
      </w:r>
      <w:r>
        <w:t xml:space="preserve">Carbon leakage prevention measures for indirect emissions</w:t>
      </w:r>
      <w:r>
        <w:t xml:space="preserve"> </w:t>
      </w:r>
      <w:r>
        <w:t xml:space="preserve">Like the previous subsection, the SME test was applied to identify and assess the impact of the</w:t>
      </w:r>
      <w:r>
        <w:t xml:space="preserve"> </w:t>
      </w:r>
      <w:r>
        <w:t xml:space="preserve">policy measures related to indirect emissions on SMEs.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In a first step, the businesses most likely to be affected by the policy measures were identified</w:t>
      </w:r>
      <w:r>
        <w:t xml:space="preserve"> </w:t>
      </w:r>
      <w:r>
        <w:t xml:space="preserve">by using the preliminary NIMs dataset to categorise installation information for selected sectors</w:t>
      </w:r>
      <w:r>
        <w:t xml:space="preserve"> </w:t>
      </w:r>
      <w:r>
        <w:t xml:space="preserve">into different electricity consumption ranges with a focus on the sectors selected that are</w:t>
      </w:r>
      <w:r>
        <w:t xml:space="preserve"> </w:t>
      </w:r>
      <w:r>
        <w:t xml:space="preserve">currently eligible for indirect cost compensation under Annex I of the Guidance on certain</w:t>
      </w:r>
      <w:r>
        <w:t xml:space="preserve"> </w:t>
      </w:r>
      <w:r>
        <w:t xml:space="preserve">state aid rules.21 See Figure 12 below. While it is assumed that smaller installations are more</w:t>
      </w:r>
      <w:r>
        <w:t xml:space="preserve"> </w:t>
      </w:r>
      <w:r>
        <w:t xml:space="preserve">likely to be operated by SMEs, there is no specific SME threshold.</w:t>
      </w:r>
      <w:r>
        <w:t xml:space="preserve"> </w:t>
      </w:r>
      <w:r>
        <w:t xml:space="preserve">Only 3% of the refined oil sector’s total number of installations annually consumed under 5,000</w:t>
      </w:r>
      <w:r>
        <w:t xml:space="preserve"> </w:t>
      </w:r>
      <w:r>
        <w:t xml:space="preserve">MWh.22 In contrast, the share of the total number of installations that annually consumed under</w:t>
      </w:r>
      <w:r>
        <w:t xml:space="preserve"> </w:t>
      </w:r>
      <w:r>
        <w:t xml:space="preserve">5,000 MWh on average between 2021 and 2023 was much higher in the manufacture of other</w:t>
      </w:r>
      <w:r>
        <w:t xml:space="preserve"> </w:t>
      </w:r>
      <w:r>
        <w:t xml:space="preserve">inorganic basic chemicals, aluminium production, the manufacture of basic iron and steel and</w:t>
      </w:r>
      <w:r>
        <w:t xml:space="preserve"> </w:t>
      </w:r>
      <w:r>
        <w:t xml:space="preserve">ferro-alloys and copper production accounting for 35%, 32%, 24% and 20% respectively.</w:t>
      </w:r>
      <w:r>
        <w:t xml:space="preserve"> </w:t>
      </w:r>
      <w:r>
        <w:t xml:space="preserve">Given the higher share of installations annually consuming electricity under 5,000 MWh it is</w:t>
      </w:r>
      <w:r>
        <w:t xml:space="preserve"> </w:t>
      </w:r>
      <w:r>
        <w:t xml:space="preserve">more likely that any change to indirect cost compensation will have a greater impact on SMEs</w:t>
      </w:r>
      <w:r>
        <w:t xml:space="preserve"> </w:t>
      </w:r>
      <w:r>
        <w:t xml:space="preserve">in these sectors relative to the other sectors that are also eligible for indirect cost compensation.</w:t>
      </w:r>
      <w:r>
        <w:t xml:space="preserve"> </w:t>
      </w:r>
      <w:r>
        <w:t xml:space="preserve">It should also be noted that the manufacture of lead, zinc and tin production has a high share</w:t>
      </w:r>
      <w:r>
        <w:t xml:space="preserve"> </w:t>
      </w:r>
      <w:r>
        <w:t xml:space="preserve">of installations consuming between 5,000 MWh and 10,000 MWh of electricity on average</w:t>
      </w:r>
      <w:r>
        <w:t xml:space="preserve"> </w:t>
      </w:r>
      <w:r>
        <w:t xml:space="preserve">between 2021 and 2023 indicator that SMEs in this sector may also be impacted more by</w:t>
      </w:r>
      <w:r>
        <w:t xml:space="preserve"> </w:t>
      </w:r>
      <w:r>
        <w:t xml:space="preserve">changes to indirect cost compensation.</w:t>
      </w:r>
      <w:r>
        <w:t xml:space="preserve"> </w:t>
      </w:r>
      <w:r>
        <w:t xml:space="preserve">The analysis of the preliminary NIMs dataset confirms that SMEs are likely to be impacted by</w:t>
      </w:r>
      <w:r>
        <w:t xml:space="preserve"> </w:t>
      </w:r>
      <w:r>
        <w:t xml:space="preserve">the policy measures related to indirect cost compensation but that the impact on SMEs is likely</w:t>
      </w:r>
      <w:r>
        <w:t xml:space="preserve"> </w:t>
      </w:r>
      <w:r>
        <w:t xml:space="preserve">to vary by sector. The impact on SMEs will also depend upon the extent to which their</w:t>
      </w:r>
      <w:r>
        <w:t xml:space="preserve"> </w:t>
      </w:r>
      <w:r>
        <w:t xml:space="preserve">production process is electrified, and the level of electrification varies across and within</w:t>
      </w:r>
      <w:r>
        <w:t xml:space="preserve"> </w:t>
      </w:r>
      <w:r>
        <w:t xml:space="preserve">sectors.</w:t>
      </w:r>
      <w:r>
        <w:t xml:space="preserve"> </w:t>
      </w:r>
      <w:r>
        <w:t xml:space="preserve">SME stakeholders were represented by their sector associations in the stakeholder interviews</w:t>
      </w:r>
      <w:r>
        <w:t xml:space="preserve"> </w:t>
      </w:r>
      <w:r>
        <w:t xml:space="preserve">as well as having the opportunity to submit their views within the OPC itself.</w:t>
      </w:r>
    </w:p>
    <w:p>
      <w:pPr>
        <w:pStyle w:val="BodyText"/>
      </w:pPr>
      <w:r>
        <w:t xml:space="preserve">21 Refer to https://eur-lex.europa.eu/legal-content/EN/TXT/PDF/?uri=CELEX:E2021X0415(01))</w:t>
      </w:r>
      <w:r>
        <w:t xml:space="preserve"> </w:t>
      </w:r>
      <w:r>
        <w:t xml:space="preserve">22 The 5,000 MWh threshold does not refer to any specific legislation but is how the data is presented. So it is</w:t>
      </w:r>
      <w:r>
        <w:t xml:space="preserve"> </w:t>
      </w:r>
      <w:r>
        <w:t xml:space="preserve">more likely that sub-installations below this threshold are SMEs.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Figure 12: Share of installations and electricity consumption (average 2021-23) by category size</w:t>
      </w:r>
      <w:r>
        <w:t xml:space="preserve"> </w:t>
      </w:r>
      <w:r>
        <w:t xml:space="preserve">in MWh/ year for selected sectors that are currently eligible for indirect cost compensation</w:t>
      </w:r>
    </w:p>
    <w:p>
      <w:pPr>
        <w:pStyle w:val="BodyText"/>
      </w:pPr>
      <w:r>
        <w:t xml:space="preserve">Source: Own calculation based upon preliminary NIMs data for 2019-23</w:t>
      </w:r>
      <w:r>
        <w:t xml:space="preserve"> </w:t>
      </w:r>
      <w:r>
        <w:t xml:space="preserve">1.4.2.4.</w:t>
      </w:r>
      <w:r>
        <w:t xml:space="preserve"> </w:t>
      </w:r>
      <w:r>
        <w:t xml:space="preserve">Sectoral competitiveness, trade and investment flows</w:t>
      </w:r>
      <w:r>
        <w:t xml:space="preserve"> </w:t>
      </w:r>
      <w:r>
        <w:t xml:space="preserve">1.4.2.4.1.</w:t>
      </w:r>
      <w:r>
        <w:t xml:space="preserve"> </w:t>
      </w:r>
      <w:r>
        <w:t xml:space="preserve">Carbon leakage prevention measures for direct emissions</w:t>
      </w:r>
      <w:r>
        <w:br/>
      </w:r>
      <w:r>
        <w:t xml:space="preserve">Stakeholder consultation</w:t>
      </w:r>
      <w:r>
        <w:t xml:space="preserve"> </w:t>
      </w:r>
      <w:r>
        <w:t xml:space="preserve">During the stakeholder consultation with industry, the increase in the carbon price in recent</w:t>
      </w:r>
      <w:r>
        <w:t xml:space="preserve"> </w:t>
      </w:r>
      <w:r>
        <w:t xml:space="preserve">years has been highlighted by industrial associations as a key reason for the continuation of</w:t>
      </w:r>
      <w:r>
        <w:t xml:space="preserve"> </w:t>
      </w:r>
      <w:r>
        <w:t xml:space="preserve">free allocation into Phase IV of the EU ETS.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There was a strong consensus during the interviews with industrial stakeholders that phasing</w:t>
      </w:r>
      <w:r>
        <w:t xml:space="preserve"> </w:t>
      </w:r>
      <w:r>
        <w:t xml:space="preserve">out free allocation between 2031 and 2040 would be very likely to have a detrimental impact</w:t>
      </w:r>
      <w:r>
        <w:t xml:space="preserve"> </w:t>
      </w:r>
      <w:r>
        <w:t xml:space="preserve">on their competitiveness if enabling conditions are not available to support the shift in</w:t>
      </w:r>
      <w:r>
        <w:t xml:space="preserve"> </w:t>
      </w:r>
      <w:r>
        <w:t xml:space="preserve">production processes to low carbon alternatives. Although the circumstances of industry varied,</w:t>
      </w:r>
      <w:r>
        <w:t xml:space="preserve"> </w:t>
      </w:r>
      <w:r>
        <w:t xml:space="preserve">there was a commonly expressed view throughout the stakeholder consultation that the carbon</w:t>
      </w:r>
      <w:r>
        <w:t xml:space="preserve"> </w:t>
      </w:r>
      <w:r>
        <w:t xml:space="preserve">cost is an additional cost that puts them at a disadvantage compared to international competitors</w:t>
      </w:r>
      <w:r>
        <w:t xml:space="preserve"> </w:t>
      </w:r>
      <w:r>
        <w:t xml:space="preserve">based in jurisdictions with less stringent climate policies.</w:t>
      </w:r>
      <w:r>
        <w:br/>
      </w:r>
      <w:r>
        <w:t xml:space="preserve">In terms of assessing the impact of the policy measures, the impact will vary depending upon</w:t>
      </w:r>
      <w:r>
        <w:t xml:space="preserve"> </w:t>
      </w:r>
      <w:r>
        <w:t xml:space="preserve">the volume of EUAs distributed to each sector, the stringency of conditionality upon free</w:t>
      </w:r>
      <w:r>
        <w:t xml:space="preserve"> </w:t>
      </w:r>
      <w:r>
        <w:t xml:space="preserve">allocation, or if the phase out of free allowances for non-CBAM sectors is aligned with the</w:t>
      </w:r>
      <w:r>
        <w:t xml:space="preserve"> </w:t>
      </w:r>
      <w:r>
        <w:t xml:space="preserve">time schedule for CBAM sectors. More broadly the impact of these policy options will depend</w:t>
      </w:r>
      <w:r>
        <w:t xml:space="preserve"> </w:t>
      </w:r>
      <w:r>
        <w:t xml:space="preserve">on the success of the EU ETS and other complementary policies in decarbonising industry and</w:t>
      </w:r>
      <w:r>
        <w:t xml:space="preserve"> </w:t>
      </w:r>
      <w:r>
        <w:t xml:space="preserve">facilitating decarbonisation investments, thereby reducing industries’ direct and indirect carbon</w:t>
      </w:r>
      <w:r>
        <w:t xml:space="preserve"> </w:t>
      </w:r>
      <w:r>
        <w:t xml:space="preserve">costs.</w:t>
      </w:r>
      <w:r>
        <w:br/>
      </w:r>
      <w:r>
        <w:t xml:space="preserve">Industrial stakeholders during the consultation consistently argued that in many cases the unit</w:t>
      </w:r>
      <w:r>
        <w:t xml:space="preserve"> </w:t>
      </w:r>
      <w:r>
        <w:t xml:space="preserve">cost of production is higher for products manufactured in the EU compared to international</w:t>
      </w:r>
      <w:r>
        <w:t xml:space="preserve"> </w:t>
      </w:r>
      <w:r>
        <w:t xml:space="preserve">competitors. It was widely acknowledged that the key issue, driving such a differential in</w:t>
      </w:r>
      <w:r>
        <w:t xml:space="preserve"> </w:t>
      </w:r>
      <w:r>
        <w:t xml:space="preserve">production cost in recent years, relates to dramatic shifts in the energy market following</w:t>
      </w:r>
      <w:r>
        <w:t xml:space="preserve"> </w:t>
      </w:r>
      <w:r>
        <w:t xml:space="preserve">unexpected external events such as the global pandemic and subsequent geo-political volatility</w:t>
      </w:r>
      <w:r>
        <w:t xml:space="preserve"> </w:t>
      </w:r>
      <w:r>
        <w:t xml:space="preserve">(i.e. illegal Russian invasion of Ukraine). The issue of competitiveness is further complicated</w:t>
      </w:r>
      <w:r>
        <w:t xml:space="preserve"> </w:t>
      </w:r>
      <w:r>
        <w:t xml:space="preserve">by overcapacity in certain international markets and considerable changes in trading tariff</w:t>
      </w:r>
      <w:r>
        <w:t xml:space="preserve"> </w:t>
      </w:r>
      <w:r>
        <w:t xml:space="preserve">regimes with certain key partners. While these developments are indeed very valid concerns</w:t>
      </w:r>
      <w:r>
        <w:t xml:space="preserve"> </w:t>
      </w:r>
      <w:r>
        <w:t xml:space="preserve">that were expressed by industrial stakeholders, they are primarily addressed by other EU</w:t>
      </w:r>
      <w:r>
        <w:t xml:space="preserve"> </w:t>
      </w:r>
      <w:r>
        <w:t xml:space="preserve">policies, and the scope of this assessment is limited to the impact of measures related to changes</w:t>
      </w:r>
      <w:r>
        <w:t xml:space="preserve"> </w:t>
      </w:r>
      <w:r>
        <w:t xml:space="preserve">in the provision of support to protect against carbon leakage.</w:t>
      </w:r>
      <w:r>
        <w:br/>
      </w:r>
      <w:r>
        <w:t xml:space="preserve">There was an acknowledgement by several industrial stakeholders during the interviews that</w:t>
      </w:r>
      <w:r>
        <w:t xml:space="preserve"> </w:t>
      </w:r>
      <w:r>
        <w:t xml:space="preserve">the carbon price has not necessarily been the driving factor in the differential in the unit</w:t>
      </w:r>
      <w:r>
        <w:t xml:space="preserve"> </w:t>
      </w:r>
      <w:r>
        <w:t xml:space="preserve">production cost between the EU and international competitors that has emerged in recent years.</w:t>
      </w:r>
      <w:r>
        <w:t xml:space="preserve"> </w:t>
      </w:r>
      <w:r>
        <w:t xml:space="preserve">It was, however, consistently argued by several industrial stakeholders that the EU carbon cost</w:t>
      </w:r>
      <w:r>
        <w:t xml:space="preserve"> </w:t>
      </w:r>
      <w:r>
        <w:t xml:space="preserve">exacerbates an already unfavourable situation for EU producers and that the carbon price will</w:t>
      </w:r>
      <w:r>
        <w:t xml:space="preserve"> </w:t>
      </w:r>
      <w:r>
        <w:t xml:space="preserve">have a greater impact if levels of free allocation decline without alternative measures in place</w:t>
      </w:r>
      <w:r>
        <w:t xml:space="preserve"> </w:t>
      </w:r>
      <w:r>
        <w:t xml:space="preserve">to support industry with the decarbonisation required to avoid carbon costs in the future.</w:t>
      </w:r>
      <w:r>
        <w:br/>
      </w:r>
      <w:r>
        <w:t xml:space="preserve">An important topic in this regard is the use of allowance revenue to solely be used to support</w:t>
      </w:r>
      <w:r>
        <w:t xml:space="preserve"> </w:t>
      </w:r>
      <w:r>
        <w:t xml:space="preserve">industry, which was a frequent position advocated by industrial stakeholders during the</w:t>
      </w:r>
      <w:r>
        <w:t xml:space="preserve"> </w:t>
      </w:r>
      <w:r>
        <w:t xml:space="preserve">consultation. As highlighted previously when discussing impacts of the measures on</w:t>
      </w:r>
      <w:r>
        <w:t xml:space="preserve"> </w:t>
      </w:r>
      <w:r>
        <w:t xml:space="preserve">competitiveness, ultimately it will require the state and private sector to work together to ensure</w:t>
      </w:r>
      <w:r>
        <w:t xml:space="preserve"> </w:t>
      </w:r>
      <w:r>
        <w:t xml:space="preserve">the enabling conditions (i.e. availability of green hydrogen, infrastructure for CCUS,</w:t>
      </w:r>
      <w:r>
        <w:t xml:space="preserve"> </w:t>
      </w:r>
      <w:r>
        <w:t xml:space="preserve">availability of low cost and low carbon electricity, market demand for low carbon products)</w:t>
      </w:r>
      <w:r>
        <w:t xml:space="preserve"> </w:t>
      </w:r>
      <w:r>
        <w:t xml:space="preserve">are available so that the ambitious trajectories already outlined by industrial sectors for their</w:t>
      </w:r>
      <w:r>
        <w:t xml:space="preserve"> </w:t>
      </w:r>
      <w:r>
        <w:t xml:space="preserve">decarbonisation are achieved.</w:t>
      </w:r>
      <w:r>
        <w:t xml:space="preserve"> </w:t>
      </w:r>
      <w:r>
        <w:t xml:space="preserve">Other measures and initiatives announced by the European Commission, such as the Industrial</w:t>
      </w:r>
      <w:r>
        <w:t xml:space="preserve"> </w:t>
      </w:r>
      <w:r>
        <w:t xml:space="preserve">Accelerator Act, the European Grids Package, or the CO2 Infrastructure Package will further</w:t>
      </w:r>
      <w:r>
        <w:t xml:space="preserve"> </w:t>
      </w:r>
      <w:r>
        <w:t xml:space="preserve">complement the EU ETS and drive the process of industrial decarbonisation.</w:t>
      </w:r>
      <w:r>
        <w:br/>
      </w:r>
      <w:r>
        <w:t xml:space="preserve">The impact of phasing out free allocation on the competitiveness of industry is more nuanced.</w:t>
      </w:r>
      <w:r>
        <w:t xml:space="preserve"> </w:t>
      </w:r>
      <w:r>
        <w:t xml:space="preserve">According to the stakeholders consulted, it will ultimately depend upon enabling conditions.</w:t>
      </w:r>
      <w:r>
        <w:t xml:space="preserve"> </w:t>
      </w:r>
      <w:r>
        <w:t xml:space="preserve">For example, stakeholders across sectors pointed out that an increased exposure to a higher</w:t>
      </w:r>
      <w:r>
        <w:t xml:space="preserve"> </w:t>
      </w:r>
      <w:r>
        <w:t xml:space="preserve">carbon price will not on its own be sufficient to make the deployment of necessary technologies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viable. Industrial stakeholders argued strongly that without complementary policies to support</w:t>
      </w:r>
      <w:r>
        <w:t xml:space="preserve"> </w:t>
      </w:r>
      <w:r>
        <w:t xml:space="preserve">the deployment of abatement potentials the concern is that there will be deindustrialisation</w:t>
      </w:r>
      <w:r>
        <w:t xml:space="preserve"> </w:t>
      </w:r>
      <w:r>
        <w:t xml:space="preserve">rather than decarbonisation. The main issues raised that industry believe is beyond their direct</w:t>
      </w:r>
      <w:r>
        <w:t xml:space="preserve"> </w:t>
      </w:r>
      <w:r>
        <w:t xml:space="preserve">control to influence included the following:</w:t>
      </w:r>
      <w:r>
        <w:t xml:space="preserve"> </w:t>
      </w:r>
      <w:r>
        <w:t xml:space="preserve">• Availability of financial funding to support CAPEX and OPEX</w:t>
      </w:r>
      <w:r>
        <w:br/>
      </w:r>
      <w:r>
        <w:t xml:space="preserve">• Availability of low carbon electricity at competitive prices</w:t>
      </w:r>
      <w:r>
        <w:t xml:space="preserve"> </w:t>
      </w:r>
      <w:r>
        <w:t xml:space="preserve">• Availability of green hydrogen</w:t>
      </w:r>
      <w:r>
        <w:br/>
      </w:r>
      <w:r>
        <w:t xml:space="preserve">• Availability of biofuels</w:t>
      </w:r>
      <w:r>
        <w:t xml:space="preserve"> </w:t>
      </w:r>
      <w:r>
        <w:t xml:space="preserve">• Availability of a support infrastructure for CCS</w:t>
      </w:r>
      <w:r>
        <w:br/>
      </w:r>
      <w:r>
        <w:t xml:space="preserve">The ability to finance investments in these areas is partly linked to the phase-out of free</w:t>
      </w:r>
      <w:r>
        <w:t xml:space="preserve"> </w:t>
      </w:r>
      <w:r>
        <w:t xml:space="preserve">allocation, since alternative uses within the EU ETS determines some of the support available</w:t>
      </w:r>
      <w:r>
        <w:t xml:space="preserve"> </w:t>
      </w:r>
      <w:r>
        <w:t xml:space="preserve">for decarbonization through EU-wide instruments (such as the Innovation Fund and Industrial</w:t>
      </w:r>
      <w:r>
        <w:t xml:space="preserve"> </w:t>
      </w:r>
      <w:r>
        <w:t xml:space="preserve">Decarbonisation Bank) and from Member States’ shares of auction revenues.</w:t>
      </w:r>
      <w:r>
        <w:t xml:space="preserve"> </w:t>
      </w:r>
      <w:r>
        <w:t xml:space="preserve">Beyond mechanisms linked to EU ETS, the argument was consistently advanced from a range</w:t>
      </w:r>
      <w:r>
        <w:t xml:space="preserve"> </w:t>
      </w:r>
      <w:r>
        <w:t xml:space="preserve">of industrial stakeholders that the success of the transition to a net-zero economy will depend</w:t>
      </w:r>
      <w:r>
        <w:t xml:space="preserve"> </w:t>
      </w:r>
      <w:r>
        <w:t xml:space="preserve">upon there being sufficient demand in the future for low carbon goods within the EU. If such</w:t>
      </w:r>
      <w:r>
        <w:t xml:space="preserve"> </w:t>
      </w:r>
      <w:r>
        <w:t xml:space="preserve">a market is not supported then, in a worst-case scenario, industry fear decarbonising their</w:t>
      </w:r>
      <w:r>
        <w:t xml:space="preserve"> </w:t>
      </w:r>
      <w:r>
        <w:t xml:space="preserve">production processes and then being out competed on price by international competitors on the</w:t>
      </w:r>
      <w:r>
        <w:t xml:space="preserve"> </w:t>
      </w:r>
      <w:r>
        <w:t xml:space="preserve">EU market. In addition to the carbon leakage measures considered in this chapter, these risks</w:t>
      </w:r>
      <w:r>
        <w:t xml:space="preserve"> </w:t>
      </w:r>
      <w:r>
        <w:t xml:space="preserve">are also being addressed by the introduction of the Carbon Border Adjustment Mechanism and</w:t>
      </w:r>
      <w:r>
        <w:t xml:space="preserve"> </w:t>
      </w:r>
      <w:r>
        <w:t xml:space="preserve">ongoing efforts to develop lead markets in the context of the Clean Industrial Deal.</w:t>
      </w:r>
      <w:r>
        <w:br/>
      </w:r>
      <w:r>
        <w:t xml:space="preserve">GEM-E3 model results provides insights into how alternative ETS design choices translate into</w:t>
      </w:r>
      <w:r>
        <w:t xml:space="preserve"> </w:t>
      </w:r>
      <w:r>
        <w:t xml:space="preserve">heterogenous sectoral and macroeconomic impacts, relative to the baseline scenario by taking</w:t>
      </w:r>
      <w:r>
        <w:t xml:space="preserve"> </w:t>
      </w:r>
      <w:r>
        <w:t xml:space="preserve">into consideration key drivers within scenario assumptions such as the different free allocation</w:t>
      </w:r>
      <w:r>
        <w:t xml:space="preserve"> </w:t>
      </w:r>
      <w:r>
        <w:t xml:space="preserve">distributions across industry, as well as the different ETS coverage and cap stringency and</w:t>
      </w:r>
      <w:r>
        <w:t xml:space="preserve"> </w:t>
      </w:r>
      <w:r>
        <w:t xml:space="preserve">alternative revenue recycling. The policy scenarios assessed by the GEM-E3 model are</w:t>
      </w:r>
      <w:r>
        <w:t xml:space="preserve"> </w:t>
      </w:r>
      <w:r>
        <w:t xml:space="preserve">described in section 1.4.1.</w:t>
      </w:r>
      <w:r>
        <w:t xml:space="preserve"> </w:t>
      </w:r>
      <w:r>
        <w:t xml:space="preserve">Changes in the unit cost of production (Table 14) are driven by specific scenario assumptions</w:t>
      </w:r>
      <w:r>
        <w:t xml:space="preserve"> </w:t>
      </w:r>
      <w:r>
        <w:t xml:space="preserve">namely: (i) different shares of free allocation, with highest shares in PO2_90, (ii) changes in</w:t>
      </w:r>
      <w:r>
        <w:t xml:space="preserve"> </w:t>
      </w:r>
      <w:r>
        <w:t xml:space="preserve">carbon prices, notably in PO2 and PO3 where carbon prices are lower than the baseline, (iii)</w:t>
      </w:r>
      <w:r>
        <w:t xml:space="preserve"> </w:t>
      </w:r>
      <w:r>
        <w:t xml:space="preserve">other scenario implications of waste inclusion in the EU ETS (iv) the impact arising from</w:t>
      </w:r>
      <w:r>
        <w:t xml:space="preserve"> </w:t>
      </w:r>
      <w:r>
        <w:t xml:space="preserve">revenue recycling. The dominant driver of the sectoral effects varies between these four</w:t>
      </w:r>
      <w:r>
        <w:t xml:space="preserve"> </w:t>
      </w:r>
      <w:r>
        <w:t xml:space="preserve">mechanisms across sectors.</w:t>
      </w:r>
      <w:r>
        <w:br/>
      </w:r>
      <w:r>
        <w:t xml:space="preserve">Chemical products, which receive the largest share of additional free allocations, exhibit the</w:t>
      </w:r>
      <w:r>
        <w:t xml:space="preserve"> </w:t>
      </w:r>
      <w:r>
        <w:t xml:space="preserve">steepest decline in unit production costs under the policy measures. Among the policy</w:t>
      </w:r>
      <w:r>
        <w:t xml:space="preserve"> </w:t>
      </w:r>
      <w:r>
        <w:t xml:space="preserve">measures, PO3 shows the highest reduction in production costs relative to the baseline, despite</w:t>
      </w:r>
      <w:r>
        <w:t xml:space="preserve"> </w:t>
      </w:r>
      <w:r>
        <w:t xml:space="preserve">the full phase-out of free allowances after 2034. This improvement in competitiveness is driven</w:t>
      </w:r>
      <w:r>
        <w:t xml:space="preserve"> </w:t>
      </w:r>
      <w:r>
        <w:t xml:space="preserve">by the inclusion of waste emissions in the EU ETS, specifically the inclusion of landfills undeer</w:t>
      </w:r>
      <w:r>
        <w:t xml:space="preserve"> </w:t>
      </w:r>
      <w:r>
        <w:t xml:space="preserve">PO3, relaxing the ETS constraint and thereby reducing the carbon price need to meet the EU</w:t>
      </w:r>
      <w:r>
        <w:t xml:space="preserve"> </w:t>
      </w:r>
      <w:r>
        <w:t xml:space="preserve">ETS cap and hence the unit cost of production for PO3. By contrast, policy options with</w:t>
      </w:r>
      <w:r>
        <w:t xml:space="preserve"> </w:t>
      </w:r>
      <w:r>
        <w:t xml:space="preserve">alternative revenue recycling (PO3R and PO1R) exhibit lower competitiveness, as redirecting</w:t>
      </w:r>
      <w:r>
        <w:t xml:space="preserve"> </w:t>
      </w:r>
      <w:r>
        <w:t xml:space="preserve">revenues away from power-sector investment towards households increases domestic demand,</w:t>
      </w:r>
      <w:r>
        <w:t xml:space="preserve"> </w:t>
      </w:r>
      <w:r>
        <w:t xml:space="preserve">which in turn raises both capital and labour costs. Ferrous metals and paper products publishing</w:t>
      </w:r>
      <w:r>
        <w:t xml:space="preserve"> </w:t>
      </w:r>
      <w:r>
        <w:t xml:space="preserve">sectors under PO2 experiences an increase in unit production cost as higher electricity costs</w:t>
      </w:r>
      <w:r>
        <w:t xml:space="preserve"> </w:t>
      </w:r>
      <w:r>
        <w:t xml:space="preserve">offsets the benefits from free allocation (which are lower compared to other sectors) and lower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labour and capital costs. It is noteworthy that when free allocation is extended to both CBAM</w:t>
      </w:r>
      <w:r>
        <w:t xml:space="preserve"> </w:t>
      </w:r>
      <w:r>
        <w:t xml:space="preserve">and non-CBAM sectors, ferrous metals sector becomes more competitive compared to cases</w:t>
      </w:r>
      <w:r>
        <w:t xml:space="preserve"> </w:t>
      </w:r>
      <w:r>
        <w:t xml:space="preserve">when only non-CBAM sectors received free allocation. This effect is driven by near doubling</w:t>
      </w:r>
      <w:r>
        <w:t xml:space="preserve"> </w:t>
      </w:r>
      <w:r>
        <w:t xml:space="preserve">of free allocations when moving from PO2_50 and PO2_90 to PO2_50C and PO2_90C,</w:t>
      </w:r>
      <w:r>
        <w:t xml:space="preserve"> </w:t>
      </w:r>
      <w:r>
        <w:t xml:space="preserve">respectively. Overall, the impact on unit production costs across policy measures and sectors</w:t>
      </w:r>
      <w:r>
        <w:t xml:space="preserve"> </w:t>
      </w:r>
      <w:r>
        <w:t xml:space="preserve">relative to the Reference ranges from -0.18% to 0.19%.</w:t>
      </w:r>
      <w:r>
        <w:t xml:space="preserve"> </w:t>
      </w:r>
      <w:r>
        <w:t xml:space="preserve">Table 14: Percentage change in the unit cost of production relative to the baseline scenario</w:t>
      </w:r>
      <w:r>
        <w:t xml:space="preserve"> </w:t>
      </w:r>
      <w:r>
        <w:t xml:space="preserve">(2040)</w:t>
      </w:r>
    </w:p>
    <w:p>
      <w:pPr>
        <w:pStyle w:val="BodyText"/>
      </w:pPr>
      <w:r>
        <w:t xml:space="preserve">Policy measures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(%)</w:t>
      </w:r>
      <w:r>
        <w:t xml:space="preserve"> </w:t>
      </w:r>
      <w:r>
        <w:t xml:space="preserve">PO1R</w:t>
      </w:r>
      <w:r>
        <w:t xml:space="preserve"> </w:t>
      </w:r>
      <w:r>
        <w:t xml:space="preserve">(%)</w:t>
      </w:r>
      <w:r>
        <w:t xml:space="preserve"> </w:t>
      </w:r>
      <w:r>
        <w:t xml:space="preserve">PO2_50</w:t>
      </w:r>
      <w:r>
        <w:t xml:space="preserve"> </w:t>
      </w:r>
      <w:r>
        <w:t xml:space="preserve">(%)</w:t>
      </w:r>
      <w:r>
        <w:t xml:space="preserve"> </w:t>
      </w:r>
      <w:r>
        <w:t xml:space="preserve">PO2_50C</w:t>
      </w:r>
      <w:r>
        <w:t xml:space="preserve"> </w:t>
      </w:r>
      <w:r>
        <w:t xml:space="preserve">(%)</w:t>
      </w:r>
      <w:r>
        <w:t xml:space="preserve"> </w:t>
      </w:r>
      <w:r>
        <w:t xml:space="preserve">PO2_90</w:t>
      </w:r>
      <w:r>
        <w:t xml:space="preserve"> </w:t>
      </w:r>
      <w:r>
        <w:t xml:space="preserve">(%)</w:t>
      </w:r>
      <w:r>
        <w:t xml:space="preserve"> </w:t>
      </w:r>
      <w:r>
        <w:t xml:space="preserve">PO2_90C</w:t>
      </w:r>
      <w:r>
        <w:t xml:space="preserve"> </w:t>
      </w:r>
      <w:r>
        <w:t xml:space="preserve">(%)</w:t>
      </w:r>
      <w:r>
        <w:t xml:space="preserve"> </w:t>
      </w:r>
      <w:r>
        <w:t xml:space="preserve">PO3</w:t>
      </w:r>
      <w:r>
        <w:t xml:space="preserve"> </w:t>
      </w:r>
      <w:r>
        <w:t xml:space="preserve">(%)</w:t>
      </w:r>
      <w:r>
        <w:t xml:space="preserve"> </w:t>
      </w:r>
      <w:r>
        <w:t xml:space="preserve">PO3R</w:t>
      </w:r>
      <w:r>
        <w:t xml:space="preserve"> </w:t>
      </w:r>
      <w:r>
        <w:t xml:space="preserve">(%)</w:t>
      </w:r>
      <w:r>
        <w:t xml:space="preserve"> </w:t>
      </w:r>
      <w:r>
        <w:t xml:space="preserve">Ferrous</w:t>
      </w:r>
      <w:r>
        <w:t xml:space="preserve"> </w:t>
      </w:r>
      <w:r>
        <w:t xml:space="preserve">metals</w:t>
      </w:r>
      <w:r>
        <w:t xml:space="preserve"> </w:t>
      </w:r>
      <w:r>
        <w:t xml:space="preserve">-0.01</w:t>
      </w:r>
      <w:r>
        <w:t xml:space="preserve"> </w:t>
      </w:r>
      <w:r>
        <w:t xml:space="preserve">0.16</w:t>
      </w:r>
      <w:r>
        <w:t xml:space="preserve"> </w:t>
      </w:r>
      <w:r>
        <w:t xml:space="preserve">0.05</w:t>
      </w:r>
      <w:r>
        <w:t xml:space="preserve"> </w:t>
      </w:r>
      <w:r>
        <w:t xml:space="preserve">0.01</w:t>
      </w:r>
      <w:r>
        <w:t xml:space="preserve"> </w:t>
      </w:r>
      <w:r>
        <w:t xml:space="preserve">0.05</w:t>
      </w:r>
      <w:r>
        <w:t xml:space="preserve"> </w:t>
      </w:r>
      <w:r>
        <w:t xml:space="preserve">0.01</w:t>
      </w:r>
      <w:r>
        <w:t xml:space="preserve"> </w:t>
      </w:r>
      <w:r>
        <w:t xml:space="preserve">-0.01</w:t>
      </w:r>
      <w:r>
        <w:t xml:space="preserve"> </w:t>
      </w:r>
      <w:r>
        <w:t xml:space="preserve">0.10</w:t>
      </w:r>
      <w:r>
        <w:t xml:space="preserve"> </w:t>
      </w:r>
      <w:r>
        <w:t xml:space="preserve">Non-ferrous</w:t>
      </w:r>
      <w:r>
        <w:t xml:space="preserve"> </w:t>
      </w:r>
      <w:r>
        <w:t xml:space="preserve">metals</w:t>
      </w:r>
      <w:r>
        <w:t xml:space="preserve"> </w:t>
      </w:r>
      <w:r>
        <w:t xml:space="preserve">-0.03</w:t>
      </w:r>
      <w:r>
        <w:t xml:space="preserve"> </w:t>
      </w:r>
      <w:r>
        <w:t xml:space="preserve">0.12</w:t>
      </w:r>
      <w:r>
        <w:t xml:space="preserve"> </w:t>
      </w:r>
      <w:r>
        <w:t xml:space="preserve">0.00</w:t>
      </w:r>
      <w:r>
        <w:t xml:space="preserve"> </w:t>
      </w:r>
      <w:r>
        <w:t xml:space="preserve">-0.02</w:t>
      </w:r>
      <w:r>
        <w:t xml:space="preserve"> </w:t>
      </w:r>
      <w:r>
        <w:t xml:space="preserve">-0.01</w:t>
      </w:r>
      <w:r>
        <w:t xml:space="preserve"> </w:t>
      </w:r>
      <w:r>
        <w:t xml:space="preserve">-0.02</w:t>
      </w:r>
      <w:r>
        <w:t xml:space="preserve"> </w:t>
      </w:r>
      <w:r>
        <w:t xml:space="preserve">-0.08</w:t>
      </w:r>
      <w:r>
        <w:t xml:space="preserve"> </w:t>
      </w:r>
      <w:r>
        <w:t xml:space="preserve">0.04</w:t>
      </w:r>
      <w:r>
        <w:t xml:space="preserve"> </w:t>
      </w:r>
      <w:r>
        <w:t xml:space="preserve">Chemical</w:t>
      </w:r>
      <w:r>
        <w:t xml:space="preserve"> </w:t>
      </w:r>
      <w:r>
        <w:t xml:space="preserve">Products</w:t>
      </w:r>
      <w:r>
        <w:t xml:space="preserve"> </w:t>
      </w:r>
      <w:r>
        <w:t xml:space="preserve">-0.17</w:t>
      </w:r>
      <w:r>
        <w:t xml:space="preserve"> </w:t>
      </w:r>
      <w:r>
        <w:t xml:space="preserve">0.00</w:t>
      </w:r>
      <w:r>
        <w:t xml:space="preserve"> </w:t>
      </w:r>
      <w:r>
        <w:t xml:space="preserve">-0.07</w:t>
      </w:r>
      <w:r>
        <w:t xml:space="preserve"> </w:t>
      </w:r>
      <w:r>
        <w:t xml:space="preserve">-0.07</w:t>
      </w:r>
      <w:r>
        <w:t xml:space="preserve"> </w:t>
      </w:r>
      <w:r>
        <w:t xml:space="preserve">-0.12</w:t>
      </w:r>
      <w:r>
        <w:t xml:space="preserve"> </w:t>
      </w:r>
      <w:r>
        <w:t xml:space="preserve">-0.12</w:t>
      </w:r>
      <w:r>
        <w:t xml:space="preserve"> </w:t>
      </w:r>
      <w:r>
        <w:t xml:space="preserve">-0.18</w:t>
      </w:r>
      <w:r>
        <w:t xml:space="preserve"> </w:t>
      </w:r>
      <w:r>
        <w:t xml:space="preserve">-0.09</w:t>
      </w:r>
      <w:r>
        <w:t xml:space="preserve"> </w:t>
      </w:r>
      <w:r>
        <w:t xml:space="preserve">Paper</w:t>
      </w:r>
      <w:r>
        <w:t xml:space="preserve"> </w:t>
      </w:r>
      <w:r>
        <w:t xml:space="preserve">products,</w:t>
      </w:r>
      <w:r>
        <w:t xml:space="preserve"> </w:t>
      </w:r>
      <w:r>
        <w:t xml:space="preserve">publishing</w:t>
      </w:r>
      <w:r>
        <w:t xml:space="preserve"> </w:t>
      </w:r>
      <w:r>
        <w:t xml:space="preserve">0.04</w:t>
      </w:r>
      <w:r>
        <w:t xml:space="preserve"> </w:t>
      </w:r>
      <w:r>
        <w:t xml:space="preserve">0.19</w:t>
      </w:r>
      <w:r>
        <w:t xml:space="preserve"> </w:t>
      </w:r>
      <w:r>
        <w:t xml:space="preserve">0.03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0.06</w:t>
      </w:r>
      <w:r>
        <w:t xml:space="preserve"> </w:t>
      </w:r>
      <w:r>
        <w:t xml:space="preserve">-0.02</w:t>
      </w:r>
      <w:r>
        <w:t xml:space="preserve"> </w:t>
      </w:r>
      <w:r>
        <w:t xml:space="preserve">0.11</w:t>
      </w:r>
      <w:r>
        <w:t xml:space="preserve"> </w:t>
      </w:r>
      <w:r>
        <w:t xml:space="preserve">Non-metallic</w:t>
      </w:r>
      <w:r>
        <w:t xml:space="preserve"> </w:t>
      </w:r>
      <w:r>
        <w:t xml:space="preserve">minerals</w:t>
      </w:r>
      <w:r>
        <w:t xml:space="preserve"> </w:t>
      </w:r>
      <w:r>
        <w:t xml:space="preserve">-0.03</w:t>
      </w:r>
      <w:r>
        <w:t xml:space="preserve"> </w:t>
      </w:r>
      <w:r>
        <w:t xml:space="preserve">0.13</w:t>
      </w:r>
      <w:r>
        <w:t xml:space="preserve"> </w:t>
      </w:r>
      <w:r>
        <w:t xml:space="preserve">0.00</w:t>
      </w:r>
      <w:r>
        <w:t xml:space="preserve"> </w:t>
      </w:r>
      <w:r>
        <w:t xml:space="preserve">-0.02</w:t>
      </w:r>
      <w:r>
        <w:t xml:space="preserve"> </w:t>
      </w:r>
      <w:r>
        <w:t xml:space="preserve">-0.01</w:t>
      </w:r>
      <w:r>
        <w:t xml:space="preserve"> </w:t>
      </w:r>
      <w:r>
        <w:t xml:space="preserve">-0.03</w:t>
      </w:r>
      <w:r>
        <w:t xml:space="preserve"> </w:t>
      </w:r>
      <w:r>
        <w:t xml:space="preserve">-0.05</w:t>
      </w:r>
      <w:r>
        <w:t xml:space="preserve"> </w:t>
      </w:r>
      <w:r>
        <w:t xml:space="preserve">0.08</w:t>
      </w:r>
      <w:r>
        <w:t xml:space="preserve"> </w:t>
      </w:r>
      <w:r>
        <w:t xml:space="preserve">Source: GEM-E3 model (2025)</w:t>
      </w:r>
      <w:r>
        <w:t xml:space="preserve"> </w:t>
      </w:r>
      <w:r>
        <w:t xml:space="preserve">Table 15 below shows the effects on unit cost of production when using the 90-85% cap</w:t>
      </w:r>
      <w:r>
        <w:t xml:space="preserve"> </w:t>
      </w:r>
      <w:r>
        <w:t xml:space="preserve">pathway (see section 1.3.1.1), compared with the reference scenario of 85% linear trajectory.</w:t>
      </w:r>
      <w:r>
        <w:t xml:space="preserve"> </w:t>
      </w:r>
      <w:r>
        <w:t xml:space="preserve">This scenario shows that for most sectors, the more ambitious cap trajectory results in some</w:t>
      </w:r>
      <w:r>
        <w:t xml:space="preserve"> </w:t>
      </w:r>
      <w:r>
        <w:t xml:space="preserve">decrease in EU27 emissions and increases in the non-EU27 emissions in 2035, indicating a</w:t>
      </w:r>
      <w:r>
        <w:t xml:space="preserve"> </w:t>
      </w:r>
      <w:r>
        <w:t xml:space="preserve">marginally higher production costs. The differences in the results for 2040 are marginal or 0.</w:t>
      </w:r>
      <w:r>
        <w:br/>
      </w:r>
      <w:r>
        <w:t xml:space="preserve">Table 15: Percentage change in unit cost of production levels for variants CL290_9085 and</w:t>
      </w:r>
      <w:r>
        <w:t xml:space="preserve"> </w:t>
      </w:r>
      <w:r>
        <w:t xml:space="preserve">CL290C_9085 compared to scenarios CL2_90 and CL2_90C.</w:t>
      </w:r>
    </w:p>
    <w:p>
      <w:pPr>
        <w:pStyle w:val="BodyText"/>
      </w:pPr>
      <w:r>
        <w:t xml:space="preserve">2035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CL2_90_9085 CL2_90C_9085</w:t>
      </w:r>
      <w:r>
        <w:t xml:space="preserve"> </w:t>
      </w:r>
      <w:r>
        <w:t xml:space="preserve">CL2_90_9085</w:t>
      </w:r>
      <w:r>
        <w:t xml:space="preserve"> </w:t>
      </w:r>
      <w:r>
        <w:t xml:space="preserve">CL2_90C_9085</w:t>
      </w:r>
      <w:r>
        <w:t xml:space="preserve"> </w:t>
      </w:r>
      <w:r>
        <w:t xml:space="preserve">Ferrous metals</w:t>
      </w:r>
      <w:r>
        <w:t xml:space="preserve"> </w:t>
      </w:r>
      <w:r>
        <w:t xml:space="preserve">0.00%</w:t>
      </w:r>
      <w:r>
        <w:t xml:space="preserve"> </w:t>
      </w:r>
      <w:r>
        <w:t xml:space="preserve">0.07%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Non-ferrous metals</w:t>
      </w:r>
      <w:r>
        <w:t xml:space="preserve"> </w:t>
      </w:r>
      <w:r>
        <w:t xml:space="preserve">0.02%</w:t>
      </w:r>
      <w:r>
        <w:t xml:space="preserve"> </w:t>
      </w:r>
      <w:r>
        <w:t xml:space="preserve">0.04%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Chemical Products</w:t>
      </w:r>
      <w:r>
        <w:t xml:space="preserve"> </w:t>
      </w:r>
      <w:r>
        <w:t xml:space="preserve">0.11%</w:t>
      </w:r>
      <w:r>
        <w:t xml:space="preserve"> </w:t>
      </w:r>
      <w:r>
        <w:t xml:space="preserve">0.10%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Paper products, publishing</w:t>
      </w:r>
      <w:r>
        <w:t xml:space="preserve"> </w:t>
      </w:r>
      <w:r>
        <w:t xml:space="preserve">0.03%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Non-metallic minerals</w:t>
      </w:r>
      <w:r>
        <w:t xml:space="preserve"> </w:t>
      </w:r>
      <w:r>
        <w:t xml:space="preserve">0.03%</w:t>
      </w:r>
      <w:r>
        <w:t xml:space="preserve"> </w:t>
      </w:r>
      <w:r>
        <w:t xml:space="preserve">0.05%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Source: GEM-E3 model (2025)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Production and exports respond heterogeneously across policy options relative to the baseline</w:t>
      </w:r>
      <w:r>
        <w:t xml:space="preserve"> </w:t>
      </w:r>
      <w:r>
        <w:t xml:space="preserve">scenario, reflecting differences in free allocation, sectoral coverage, and revenue recycling</w:t>
      </w:r>
      <w:r>
        <w:t xml:space="preserve"> </w:t>
      </w:r>
      <w:r>
        <w:t xml:space="preserve">(Tables 16 and 18). Chemical products and non-metallic minerals, which experience reductions</w:t>
      </w:r>
      <w:r>
        <w:t xml:space="preserve"> </w:t>
      </w:r>
      <w:r>
        <w:t xml:space="preserve">in unit production costs relative to the baseline, face higher domestic and external demand and</w:t>
      </w:r>
      <w:r>
        <w:t xml:space="preserve"> </w:t>
      </w:r>
      <w:r>
        <w:t xml:space="preserve">therefore record higher levels of both production and exports across the policy options. PO3</w:t>
      </w:r>
      <w:r>
        <w:t xml:space="preserve"> </w:t>
      </w:r>
      <w:r>
        <w:t xml:space="preserve">also exhibits higher production and export levels relative to the Reference due to lower unit</w:t>
      </w:r>
      <w:r>
        <w:t xml:space="preserve"> </w:t>
      </w:r>
      <w:r>
        <w:t xml:space="preserve">cost of production. By contrast, policy options with alternative recycling (PO3R and PO1R)</w:t>
      </w:r>
      <w:r>
        <w:t xml:space="preserve"> </w:t>
      </w:r>
      <w:r>
        <w:t xml:space="preserve">show lower production and export level due to reduced competitiveness. Non-ferrous metals,</w:t>
      </w:r>
      <w:r>
        <w:t xml:space="preserve"> </w:t>
      </w:r>
      <w:r>
        <w:t xml:space="preserve">chemical products, and non-metallic minerals display higher production and export levels due</w:t>
      </w:r>
      <w:r>
        <w:t xml:space="preserve"> </w:t>
      </w:r>
      <w:r>
        <w:t xml:space="preserve">to improved competitiveness under PO2 scenarios. On the contrary, ferrous metals become</w:t>
      </w:r>
      <w:r>
        <w:t xml:space="preserve"> </w:t>
      </w:r>
      <w:r>
        <w:t xml:space="preserve">competitive leading to higher production and exports only when free allocation is extended to</w:t>
      </w:r>
      <w:r>
        <w:t xml:space="preserve"> </w:t>
      </w:r>
      <w:r>
        <w:t xml:space="preserve">both CBAM and non-CBAM sectors. Overall, the impact on production and export across</w:t>
      </w:r>
      <w:r>
        <w:t xml:space="preserve"> </w:t>
      </w:r>
      <w:r>
        <w:t xml:space="preserve">policy measures and sectors relative to the baseline ranges from -0.56% to 1.61% for</w:t>
      </w:r>
      <w:r>
        <w:t xml:space="preserve"> </w:t>
      </w:r>
      <w:r>
        <w:t xml:space="preserve">production and -1.09% to 4.63% for exports.</w:t>
      </w:r>
      <w:r>
        <w:br/>
      </w:r>
      <w:r>
        <w:t xml:space="preserve">Table 16: Percentage change in production levels in 2040 relative to the baseline scenario</w:t>
      </w:r>
    </w:p>
    <w:p>
      <w:pPr>
        <w:pStyle w:val="BodyText"/>
      </w:pPr>
      <w:r>
        <w:t xml:space="preserve">Policy measures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(%)</w:t>
      </w:r>
      <w:r>
        <w:t xml:space="preserve"> </w:t>
      </w:r>
      <w:r>
        <w:t xml:space="preserve">PO1R</w:t>
      </w:r>
      <w:r>
        <w:t xml:space="preserve"> </w:t>
      </w:r>
      <w:r>
        <w:t xml:space="preserve">(%)</w:t>
      </w:r>
      <w:r>
        <w:t xml:space="preserve"> </w:t>
      </w:r>
      <w:r>
        <w:t xml:space="preserve">PO2_50</w:t>
      </w:r>
      <w:r>
        <w:t xml:space="preserve"> </w:t>
      </w:r>
      <w:r>
        <w:t xml:space="preserve">(%)</w:t>
      </w:r>
      <w:r>
        <w:t xml:space="preserve"> </w:t>
      </w:r>
      <w:r>
        <w:t xml:space="preserve">PO2_50C</w:t>
      </w:r>
      <w:r>
        <w:t xml:space="preserve"> </w:t>
      </w:r>
      <w:r>
        <w:t xml:space="preserve">(%)</w:t>
      </w:r>
      <w:r>
        <w:t xml:space="preserve"> </w:t>
      </w:r>
      <w:r>
        <w:t xml:space="preserve">PO2_90</w:t>
      </w:r>
      <w:r>
        <w:t xml:space="preserve"> </w:t>
      </w:r>
      <w:r>
        <w:t xml:space="preserve">(%)</w:t>
      </w:r>
      <w:r>
        <w:t xml:space="preserve"> </w:t>
      </w:r>
      <w:r>
        <w:t xml:space="preserve">PO2_90C</w:t>
      </w:r>
      <w:r>
        <w:t xml:space="preserve"> </w:t>
      </w:r>
      <w:r>
        <w:t xml:space="preserve">(%)</w:t>
      </w:r>
      <w:r>
        <w:t xml:space="preserve"> </w:t>
      </w:r>
      <w:r>
        <w:t xml:space="preserve">PO3</w:t>
      </w:r>
      <w:r>
        <w:t xml:space="preserve"> </w:t>
      </w:r>
      <w:r>
        <w:t xml:space="preserve">(%)</w:t>
      </w:r>
      <w:r>
        <w:t xml:space="preserve"> </w:t>
      </w:r>
      <w:r>
        <w:t xml:space="preserve">PO3R</w:t>
      </w:r>
      <w:r>
        <w:t xml:space="preserve"> </w:t>
      </w:r>
      <w:r>
        <w:t xml:space="preserve">(%)</w:t>
      </w:r>
      <w:r>
        <w:t xml:space="preserve"> </w:t>
      </w:r>
      <w:r>
        <w:t xml:space="preserve">Ferrous metals</w:t>
      </w:r>
      <w:r>
        <w:t xml:space="preserve"> </w:t>
      </w:r>
      <w:r>
        <w:t xml:space="preserve">-0.02</w:t>
      </w:r>
      <w:r>
        <w:t xml:space="preserve"> </w:t>
      </w:r>
      <w:r>
        <w:t xml:space="preserve">-0.56</w:t>
      </w:r>
      <w:r>
        <w:t xml:space="preserve"> </w:t>
      </w:r>
      <w:r>
        <w:t xml:space="preserve">-0.08</w:t>
      </w:r>
      <w:r>
        <w:t xml:space="preserve"> </w:t>
      </w:r>
      <w:r>
        <w:t xml:space="preserve">0.21</w:t>
      </w:r>
      <w:r>
        <w:t xml:space="preserve"> </w:t>
      </w:r>
      <w:r>
        <w:t xml:space="preserve">-0.08</w:t>
      </w:r>
      <w:r>
        <w:t xml:space="preserve"> </w:t>
      </w:r>
      <w:r>
        <w:t xml:space="preserve">0.16</w:t>
      </w:r>
      <w:r>
        <w:t xml:space="preserve"> </w:t>
      </w:r>
      <w:r>
        <w:t xml:space="preserve">0.20</w:t>
      </w:r>
      <w:r>
        <w:t xml:space="preserve"> </w:t>
      </w:r>
      <w:r>
        <w:t xml:space="preserve">-0.23</w:t>
      </w:r>
      <w:r>
        <w:t xml:space="preserve"> </w:t>
      </w:r>
      <w:r>
        <w:t xml:space="preserve">Non-ferrous</w:t>
      </w:r>
      <w:r>
        <w:t xml:space="preserve"> </w:t>
      </w:r>
      <w:r>
        <w:t xml:space="preserve">metals</w:t>
      </w:r>
      <w:r>
        <w:t xml:space="preserve"> </w:t>
      </w:r>
      <w:r>
        <w:t xml:space="preserve">0.26</w:t>
      </w:r>
      <w:r>
        <w:t xml:space="preserve"> </w:t>
      </w:r>
      <w:r>
        <w:t xml:space="preserve">-0.40</w:t>
      </w:r>
      <w:r>
        <w:t xml:space="preserve"> </w:t>
      </w:r>
      <w:r>
        <w:t xml:space="preserve">0.12</w:t>
      </w:r>
      <w:r>
        <w:t xml:space="preserve"> </w:t>
      </w:r>
      <w:r>
        <w:t xml:space="preserve">0.26</w:t>
      </w:r>
      <w:r>
        <w:t xml:space="preserve"> </w:t>
      </w:r>
      <w:r>
        <w:t xml:space="preserve">0.20</w:t>
      </w:r>
      <w:r>
        <w:t xml:space="preserve"> </w:t>
      </w:r>
      <w:r>
        <w:t xml:space="preserve">0.31</w:t>
      </w:r>
      <w:r>
        <w:t xml:space="preserve"> </w:t>
      </w:r>
      <w:r>
        <w:t xml:space="preserve">0.60</w:t>
      </w:r>
      <w:r>
        <w:t xml:space="preserve"> </w:t>
      </w:r>
      <w:r>
        <w:t xml:space="preserve">0.04</w:t>
      </w:r>
      <w:r>
        <w:t xml:space="preserve"> </w:t>
      </w:r>
      <w:r>
        <w:t xml:space="preserve">Chemical</w:t>
      </w:r>
      <w:r>
        <w:t xml:space="preserve"> </w:t>
      </w:r>
      <w:r>
        <w:t xml:space="preserve">Products</w:t>
      </w:r>
      <w:r>
        <w:t xml:space="preserve"> </w:t>
      </w:r>
      <w:r>
        <w:t xml:space="preserve">1.15</w:t>
      </w:r>
      <w:r>
        <w:t xml:space="preserve"> </w:t>
      </w:r>
      <w:r>
        <w:t xml:space="preserve">0.74</w:t>
      </w:r>
      <w:r>
        <w:t xml:space="preserve"> </w:t>
      </w:r>
      <w:r>
        <w:t xml:space="preserve">0.60</w:t>
      </w:r>
      <w:r>
        <w:t xml:space="preserve"> </w:t>
      </w:r>
      <w:r>
        <w:t xml:space="preserve">0.69</w:t>
      </w:r>
      <w:r>
        <w:t xml:space="preserve"> </w:t>
      </w:r>
      <w:r>
        <w:t xml:space="preserve">0.95</w:t>
      </w:r>
      <w:r>
        <w:t xml:space="preserve"> </w:t>
      </w:r>
      <w:r>
        <w:t xml:space="preserve">1.03</w:t>
      </w:r>
      <w:r>
        <w:t xml:space="preserve"> </w:t>
      </w:r>
      <w:r>
        <w:t xml:space="preserve">0.66</w:t>
      </w:r>
      <w:r>
        <w:t xml:space="preserve"> </w:t>
      </w:r>
      <w:r>
        <w:t xml:space="preserve">0.44</w:t>
      </w:r>
      <w:r>
        <w:t xml:space="preserve"> </w:t>
      </w:r>
      <w:r>
        <w:t xml:space="preserve">Paper products,</w:t>
      </w:r>
      <w:r>
        <w:t xml:space="preserve"> </w:t>
      </w:r>
      <w:r>
        <w:t xml:space="preserve">publishing</w:t>
      </w:r>
      <w:r>
        <w:t xml:space="preserve"> </w:t>
      </w:r>
      <w:r>
        <w:t xml:space="preserve">0.01</w:t>
      </w:r>
      <w:r>
        <w:t xml:space="preserve"> </w:t>
      </w:r>
      <w:r>
        <w:t xml:space="preserve">-0.05</w:t>
      </w:r>
      <w:r>
        <w:t xml:space="preserve"> </w:t>
      </w:r>
      <w:r>
        <w:t xml:space="preserve">-0.03</w:t>
      </w:r>
      <w:r>
        <w:t xml:space="preserve"> </w:t>
      </w:r>
      <w:r>
        <w:t xml:space="preserve">-0.04</w:t>
      </w:r>
      <w:r>
        <w:t xml:space="preserve"> </w:t>
      </w:r>
      <w:r>
        <w:t xml:space="preserve">-0.03</w:t>
      </w:r>
      <w:r>
        <w:t xml:space="preserve"> </w:t>
      </w:r>
      <w:r>
        <w:t xml:space="preserve">-0.03</w:t>
      </w:r>
      <w:r>
        <w:t xml:space="preserve"> </w:t>
      </w:r>
      <w:r>
        <w:t xml:space="preserve">0.02</w:t>
      </w:r>
      <w:r>
        <w:t xml:space="preserve"> </w:t>
      </w:r>
      <w:r>
        <w:t xml:space="preserve">-0.01</w:t>
      </w:r>
      <w:r>
        <w:t xml:space="preserve"> </w:t>
      </w:r>
      <w:r>
        <w:t xml:space="preserve">Non-metallic</w:t>
      </w:r>
      <w:r>
        <w:t xml:space="preserve"> </w:t>
      </w:r>
      <w:r>
        <w:t xml:space="preserve">minerals</w:t>
      </w:r>
      <w:r>
        <w:t xml:space="preserve"> </w:t>
      </w:r>
      <w:r>
        <w:t xml:space="preserve">1.08</w:t>
      </w:r>
      <w:r>
        <w:t xml:space="preserve"> </w:t>
      </w:r>
      <w:r>
        <w:t xml:space="preserve">0.73</w:t>
      </w:r>
      <w:r>
        <w:t xml:space="preserve"> </w:t>
      </w:r>
      <w:r>
        <w:t xml:space="preserve">0.72</w:t>
      </w:r>
      <w:r>
        <w:t xml:space="preserve"> </w:t>
      </w:r>
      <w:r>
        <w:t xml:space="preserve">1.39</w:t>
      </w:r>
      <w:r>
        <w:t xml:space="preserve"> </w:t>
      </w:r>
      <w:r>
        <w:t xml:space="preserve">1.05</w:t>
      </w:r>
      <w:r>
        <w:t xml:space="preserve"> </w:t>
      </w:r>
      <w:r>
        <w:t xml:space="preserve">1.61</w:t>
      </w:r>
      <w:r>
        <w:t xml:space="preserve"> </w:t>
      </w:r>
      <w:r>
        <w:t xml:space="preserve">1.30</w:t>
      </w:r>
      <w:r>
        <w:t xml:space="preserve"> </w:t>
      </w:r>
      <w:r>
        <w:t xml:space="preserve">1.03</w:t>
      </w:r>
      <w:r>
        <w:t xml:space="preserve"> </w:t>
      </w:r>
      <w:r>
        <w:t xml:space="preserve">Source: GEM-E3 model (2025)</w:t>
      </w:r>
      <w:r>
        <w:t xml:space="preserve"> </w:t>
      </w:r>
      <w:r>
        <w:t xml:space="preserve">Table 17 below shows the effects on production levels when using the 90-85% cap pathway</w:t>
      </w:r>
      <w:r>
        <w:t xml:space="preserve"> </w:t>
      </w:r>
      <w:r>
        <w:t xml:space="preserve">(see section 1.3.1.1), compared with the reference scenario of 85% linear trajectory. This</w:t>
      </w:r>
      <w:r>
        <w:t xml:space="preserve"> </w:t>
      </w:r>
      <w:r>
        <w:t xml:space="preserve">scenario shows that for most sectors, the more ambitious cap trajectory results in some decrease</w:t>
      </w:r>
      <w:r>
        <w:t xml:space="preserve"> </w:t>
      </w:r>
      <w:r>
        <w:t xml:space="preserve">in EU27 emissions and increases in the non-EU27 emissions in 2035, indicating a marginally</w:t>
      </w:r>
      <w:r>
        <w:t xml:space="preserve"> </w:t>
      </w:r>
      <w:r>
        <w:t xml:space="preserve">lower production levels. The differences in the results for 2040 are marginal or 0 in most</w:t>
      </w:r>
      <w:r>
        <w:t xml:space="preserve"> </w:t>
      </w:r>
      <w:r>
        <w:t xml:space="preserve">sectors.</w:t>
      </w:r>
      <w:r>
        <w:br/>
      </w:r>
      <w:r>
        <w:t xml:space="preserve">Table 17: Percentage change in production levels for variants CL290_9085 and CL290C_9085</w:t>
      </w:r>
      <w:r>
        <w:t xml:space="preserve"> </w:t>
      </w:r>
      <w:r>
        <w:t xml:space="preserve">compared to scenarios CL2_90 and CL2_90C.</w:t>
      </w:r>
    </w:p>
    <w:p>
      <w:pPr>
        <w:pStyle w:val="BodyText"/>
      </w:pPr>
      <w:r>
        <w:t xml:space="preserve">2035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CL2_90_9085 CL2_90C_9085</w:t>
      </w:r>
      <w:r>
        <w:t xml:space="preserve"> </w:t>
      </w:r>
      <w:r>
        <w:t xml:space="preserve">CL2_90_9085</w:t>
      </w:r>
      <w:r>
        <w:t xml:space="preserve"> </w:t>
      </w:r>
      <w:r>
        <w:t xml:space="preserve">CL2_90C_9085</w:t>
      </w:r>
      <w:r>
        <w:t xml:space="preserve"> </w:t>
      </w:r>
      <w:r>
        <w:t xml:space="preserve">Ferrous metals</w:t>
      </w:r>
      <w:r>
        <w:t xml:space="preserve"> </w:t>
      </w:r>
      <w:r>
        <w:t xml:space="preserve">0.00%</w:t>
      </w:r>
      <w:r>
        <w:t xml:space="preserve"> </w:t>
      </w:r>
      <w:r>
        <w:t xml:space="preserve">0.07%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Non-ferrous metals</w:t>
      </w:r>
      <w:r>
        <w:t xml:space="preserve"> </w:t>
      </w:r>
      <w:r>
        <w:t xml:space="preserve">0.02%</w:t>
      </w:r>
      <w:r>
        <w:t xml:space="preserve"> </w:t>
      </w:r>
      <w:r>
        <w:t xml:space="preserve">0.04%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Chemical Products</w:t>
      </w:r>
      <w:r>
        <w:t xml:space="preserve"> </w:t>
      </w:r>
      <w:r>
        <w:t xml:space="preserve">0.11%</w:t>
      </w:r>
      <w:r>
        <w:t xml:space="preserve"> </w:t>
      </w:r>
      <w:r>
        <w:t xml:space="preserve">0.10%</w:t>
      </w:r>
      <w:r>
        <w:t xml:space="preserve"> </w:t>
      </w:r>
      <w:r>
        <w:t xml:space="preserve">0.06%</w:t>
      </w:r>
      <w:r>
        <w:t xml:space="preserve"> </w:t>
      </w:r>
      <w:r>
        <w:t xml:space="preserve">0.06%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Paper products, publishing</w:t>
      </w:r>
      <w:r>
        <w:t xml:space="preserve"> </w:t>
      </w:r>
      <w:r>
        <w:t xml:space="preserve">0.03%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Non-metallic minerals</w:t>
      </w:r>
      <w:r>
        <w:t xml:space="preserve"> </w:t>
      </w:r>
      <w:r>
        <w:t xml:space="preserve">0.03%</w:t>
      </w:r>
      <w:r>
        <w:t xml:space="preserve"> </w:t>
      </w:r>
      <w:r>
        <w:t xml:space="preserve">0.05%</w:t>
      </w:r>
      <w:r>
        <w:t xml:space="preserve"> </w:t>
      </w:r>
      <w:r>
        <w:t xml:space="preserve">0.04%</w:t>
      </w:r>
      <w:r>
        <w:t xml:space="preserve"> </w:t>
      </w:r>
      <w:r>
        <w:t xml:space="preserve">0.04%</w:t>
      </w:r>
      <w:r>
        <w:t xml:space="preserve"> </w:t>
      </w:r>
      <w:r>
        <w:t xml:space="preserve">Source: GEM-E3 model (2025)</w:t>
      </w:r>
      <w:r>
        <w:t xml:space="preserve"> </w:t>
      </w:r>
      <w:r>
        <w:t xml:space="preserve">Table 18: Percentage change in export levels in 2040 relative to the baseline scenario</w:t>
      </w:r>
    </w:p>
    <w:p>
      <w:pPr>
        <w:pStyle w:val="BodyText"/>
      </w:pPr>
      <w:r>
        <w:t xml:space="preserve">Policy measures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(%)</w:t>
      </w:r>
      <w:r>
        <w:t xml:space="preserve"> </w:t>
      </w:r>
      <w:r>
        <w:t xml:space="preserve">PO1R</w:t>
      </w:r>
      <w:r>
        <w:t xml:space="preserve"> </w:t>
      </w:r>
      <w:r>
        <w:t xml:space="preserve">(%)</w:t>
      </w:r>
      <w:r>
        <w:t xml:space="preserve"> </w:t>
      </w:r>
      <w:r>
        <w:t xml:space="preserve">PO2_50</w:t>
      </w:r>
      <w:r>
        <w:t xml:space="preserve"> </w:t>
      </w:r>
      <w:r>
        <w:t xml:space="preserve">(%)</w:t>
      </w:r>
      <w:r>
        <w:t xml:space="preserve"> </w:t>
      </w:r>
      <w:r>
        <w:t xml:space="preserve">PO2_50C</w:t>
      </w:r>
      <w:r>
        <w:t xml:space="preserve"> </w:t>
      </w:r>
      <w:r>
        <w:t xml:space="preserve">(%)</w:t>
      </w:r>
      <w:r>
        <w:t xml:space="preserve"> </w:t>
      </w:r>
      <w:r>
        <w:t xml:space="preserve">PO2_90</w:t>
      </w:r>
      <w:r>
        <w:t xml:space="preserve"> </w:t>
      </w:r>
      <w:r>
        <w:t xml:space="preserve">(%)</w:t>
      </w:r>
      <w:r>
        <w:t xml:space="preserve"> </w:t>
      </w:r>
      <w:r>
        <w:t xml:space="preserve">PO2_90C</w:t>
      </w:r>
      <w:r>
        <w:t xml:space="preserve"> </w:t>
      </w:r>
      <w:r>
        <w:t xml:space="preserve">(%)</w:t>
      </w:r>
      <w:r>
        <w:t xml:space="preserve"> </w:t>
      </w:r>
      <w:r>
        <w:t xml:space="preserve">PO3</w:t>
      </w:r>
      <w:r>
        <w:t xml:space="preserve"> </w:t>
      </w:r>
      <w:r>
        <w:t xml:space="preserve">(%)</w:t>
      </w:r>
      <w:r>
        <w:t xml:space="preserve"> </w:t>
      </w:r>
      <w:r>
        <w:t xml:space="preserve">PO3R</w:t>
      </w:r>
      <w:r>
        <w:t xml:space="preserve"> </w:t>
      </w:r>
      <w:r>
        <w:t xml:space="preserve">(%)</w:t>
      </w:r>
      <w:r>
        <w:t xml:space="preserve"> </w:t>
      </w:r>
      <w:r>
        <w:t xml:space="preserve">Ferrous</w:t>
      </w:r>
      <w:r>
        <w:t xml:space="preserve"> </w:t>
      </w:r>
      <w:r>
        <w:t xml:space="preserve">metals</w:t>
      </w:r>
      <w:r>
        <w:t xml:space="preserve"> </w:t>
      </w:r>
      <w:r>
        <w:t xml:space="preserve">0.08</w:t>
      </w:r>
      <w:r>
        <w:t xml:space="preserve"> </w:t>
      </w:r>
      <w:r>
        <w:t xml:space="preserve">-1.09</w:t>
      </w:r>
      <w:r>
        <w:t xml:space="preserve"> </w:t>
      </w:r>
      <w:r>
        <w:t xml:space="preserve">-0.23</w:t>
      </w:r>
      <w:r>
        <w:t xml:space="preserve"> </w:t>
      </w:r>
      <w:r>
        <w:t xml:space="preserve">0.81</w:t>
      </w:r>
      <w:r>
        <w:t xml:space="preserve"> </w:t>
      </w:r>
      <w:r>
        <w:t xml:space="preserve">-0.20</w:t>
      </w:r>
      <w:r>
        <w:t xml:space="preserve"> </w:t>
      </w:r>
      <w:r>
        <w:t xml:space="preserve">0.6</w:t>
      </w:r>
      <w:r>
        <w:t xml:space="preserve"> </w:t>
      </w:r>
      <w:r>
        <w:t xml:space="preserve">0.55</w:t>
      </w:r>
      <w:r>
        <w:t xml:space="preserve"> </w:t>
      </w:r>
      <w:r>
        <w:t xml:space="preserve">-0.23</w:t>
      </w:r>
      <w:r>
        <w:t xml:space="preserve"> </w:t>
      </w:r>
      <w:r>
        <w:t xml:space="preserve">Non-ferrous</w:t>
      </w:r>
      <w:r>
        <w:t xml:space="preserve"> </w:t>
      </w:r>
      <w:r>
        <w:t xml:space="preserve">metals</w:t>
      </w:r>
      <w:r>
        <w:t xml:space="preserve"> </w:t>
      </w:r>
      <w:r>
        <w:t xml:space="preserve">0.49</w:t>
      </w:r>
      <w:r>
        <w:t xml:space="preserve"> </w:t>
      </w:r>
      <w:r>
        <w:t xml:space="preserve">-0.39</w:t>
      </w:r>
      <w:r>
        <w:t xml:space="preserve"> </w:t>
      </w:r>
      <w:r>
        <w:t xml:space="preserve">0.23</w:t>
      </w:r>
      <w:r>
        <w:t xml:space="preserve"> </w:t>
      </w:r>
      <w:r>
        <w:t xml:space="preserve">0.47</w:t>
      </w:r>
      <w:r>
        <w:t xml:space="preserve"> </w:t>
      </w:r>
      <w:r>
        <w:t xml:space="preserve">0.37</w:t>
      </w:r>
      <w:r>
        <w:t xml:space="preserve"> </w:t>
      </w:r>
      <w:r>
        <w:t xml:space="preserve">0.57</w:t>
      </w:r>
      <w:r>
        <w:t xml:space="preserve"> </w:t>
      </w:r>
      <w:r>
        <w:t xml:space="preserve">0.96</w:t>
      </w:r>
      <w:r>
        <w:t xml:space="preserve"> </w:t>
      </w:r>
      <w:r>
        <w:t xml:space="preserve">0.24</w:t>
      </w:r>
      <w:r>
        <w:t xml:space="preserve"> </w:t>
      </w:r>
      <w:r>
        <w:t xml:space="preserve">Chemical</w:t>
      </w:r>
      <w:r>
        <w:t xml:space="preserve"> </w:t>
      </w:r>
      <w:r>
        <w:t xml:space="preserve">Products</w:t>
      </w:r>
      <w:r>
        <w:t xml:space="preserve"> </w:t>
      </w:r>
      <w:r>
        <w:t xml:space="preserve">1.59</w:t>
      </w:r>
      <w:r>
        <w:t xml:space="preserve"> </w:t>
      </w:r>
      <w:r>
        <w:t xml:space="preserve">0.93</w:t>
      </w:r>
      <w:r>
        <w:t xml:space="preserve"> </w:t>
      </w:r>
      <w:r>
        <w:t xml:space="preserve">0.85</w:t>
      </w:r>
      <w:r>
        <w:t xml:space="preserve"> </w:t>
      </w:r>
      <w:r>
        <w:t xml:space="preserve">0.96</w:t>
      </w:r>
      <w:r>
        <w:t xml:space="preserve"> </w:t>
      </w:r>
      <w:r>
        <w:t xml:space="preserve">1.33</w:t>
      </w:r>
      <w:r>
        <w:t xml:space="preserve"> </w:t>
      </w:r>
      <w:r>
        <w:t xml:space="preserve">1.42</w:t>
      </w:r>
      <w:r>
        <w:t xml:space="preserve"> </w:t>
      </w:r>
      <w:r>
        <w:t xml:space="preserve">0.92</w:t>
      </w:r>
      <w:r>
        <w:t xml:space="preserve"> </w:t>
      </w:r>
      <w:r>
        <w:t xml:space="preserve">0.53</w:t>
      </w:r>
      <w:r>
        <w:t xml:space="preserve"> </w:t>
      </w:r>
      <w:r>
        <w:t xml:space="preserve">Paper</w:t>
      </w:r>
      <w:r>
        <w:t xml:space="preserve"> </w:t>
      </w:r>
      <w:r>
        <w:t xml:space="preserve">products,</w:t>
      </w:r>
      <w:r>
        <w:t xml:space="preserve"> </w:t>
      </w:r>
      <w:r>
        <w:t xml:space="preserve">publishing</w:t>
      </w:r>
      <w:r>
        <w:t xml:space="preserve"> </w:t>
      </w:r>
      <w:r>
        <w:t xml:space="preserve">-0.06</w:t>
      </w:r>
      <w:r>
        <w:t xml:space="preserve"> </w:t>
      </w:r>
      <w:r>
        <w:t xml:space="preserve">-0.50</w:t>
      </w:r>
      <w:r>
        <w:t xml:space="preserve"> </w:t>
      </w:r>
      <w:r>
        <w:t xml:space="preserve">-0.08</w:t>
      </w:r>
      <w:r>
        <w:t xml:space="preserve"> </w:t>
      </w:r>
      <w:r>
        <w:t xml:space="preserve">-0.14</w:t>
      </w:r>
      <w:r>
        <w:t xml:space="preserve"> </w:t>
      </w:r>
      <w:r>
        <w:t xml:space="preserve">-0.09</w:t>
      </w:r>
      <w:r>
        <w:t xml:space="preserve"> </w:t>
      </w:r>
      <w:r>
        <w:t xml:space="preserve">-0.14</w:t>
      </w:r>
      <w:r>
        <w:t xml:space="preserve"> </w:t>
      </w:r>
      <w:r>
        <w:t xml:space="preserve">0.07</w:t>
      </w:r>
      <w:r>
        <w:t xml:space="preserve"> </w:t>
      </w:r>
      <w:r>
        <w:t xml:space="preserve">-0.32</w:t>
      </w:r>
      <w:r>
        <w:t xml:space="preserve"> </w:t>
      </w:r>
      <w:r>
        <w:t xml:space="preserve">Non-metallic</w:t>
      </w:r>
      <w:r>
        <w:t xml:space="preserve"> </w:t>
      </w:r>
      <w:r>
        <w:t xml:space="preserve">minerals</w:t>
      </w:r>
      <w:r>
        <w:t xml:space="preserve"> </w:t>
      </w:r>
      <w:r>
        <w:t xml:space="preserve">2.96</w:t>
      </w:r>
      <w:r>
        <w:t xml:space="preserve"> </w:t>
      </w:r>
      <w:r>
        <w:t xml:space="preserve">2.04</w:t>
      </w:r>
      <w:r>
        <w:t xml:space="preserve"> </w:t>
      </w:r>
      <w:r>
        <w:t xml:space="preserve">2.12</w:t>
      </w:r>
      <w:r>
        <w:t xml:space="preserve"> </w:t>
      </w:r>
      <w:r>
        <w:t xml:space="preserve">4.02</w:t>
      </w:r>
      <w:r>
        <w:t xml:space="preserve"> </w:t>
      </w:r>
      <w:r>
        <w:t xml:space="preserve">3.02</w:t>
      </w:r>
      <w:r>
        <w:t xml:space="preserve"> </w:t>
      </w:r>
      <w:r>
        <w:t xml:space="preserve">4.63</w:t>
      </w:r>
      <w:r>
        <w:t xml:space="preserve"> </w:t>
      </w:r>
      <w:r>
        <w:t xml:space="preserve">3.86</w:t>
      </w:r>
      <w:r>
        <w:t xml:space="preserve"> </w:t>
      </w:r>
      <w:r>
        <w:t xml:space="preserve">3.06</w:t>
      </w:r>
      <w:r>
        <w:t xml:space="preserve"> </w:t>
      </w:r>
      <w:r>
        <w:t xml:space="preserve">Source: GEM-E3 model (2025)</w:t>
      </w:r>
      <w:r>
        <w:t xml:space="preserve"> </w:t>
      </w:r>
      <w:r>
        <w:t xml:space="preserve">Table 19 below shows the effects on sectoral export levels when using the 90-85% cap pathway</w:t>
      </w:r>
      <w:r>
        <w:t xml:space="preserve"> </w:t>
      </w:r>
      <w:r>
        <w:t xml:space="preserve">(see section 1.3.1.1), compared with the reference scenario of 85% linear trajectory. This</w:t>
      </w:r>
      <w:r>
        <w:t xml:space="preserve"> </w:t>
      </w:r>
      <w:r>
        <w:t xml:space="preserve">scenario shows that for most sectors, the more ambitious cap trajectory results in some decrease</w:t>
      </w:r>
      <w:r>
        <w:t xml:space="preserve"> </w:t>
      </w:r>
      <w:r>
        <w:t xml:space="preserve">in EU27 emissions and increases in the non-EU27 emissions in 2035, indicating a marginally</w:t>
      </w:r>
      <w:r>
        <w:t xml:space="preserve"> </w:t>
      </w:r>
      <w:r>
        <w:t xml:space="preserve">lower export levels, with steepest decrease for non-metallic minerals. The differences in the</w:t>
      </w:r>
      <w:r>
        <w:t xml:space="preserve"> </w:t>
      </w:r>
      <w:r>
        <w:t xml:space="preserve">results for 2040 are marginal or 0 in most sectors.</w:t>
      </w:r>
      <w:r>
        <w:br/>
      </w:r>
      <w:r>
        <w:t xml:space="preserve">Table 19: Percentage change in sectoral export levels for variants CL290_9085 and</w:t>
      </w:r>
      <w:r>
        <w:t xml:space="preserve"> </w:t>
      </w:r>
      <w:r>
        <w:t xml:space="preserve">CL290C_9085 compared to scenarios CL2_90 and CL2_90C.</w:t>
      </w:r>
    </w:p>
    <w:p>
      <w:pPr>
        <w:pStyle w:val="BodyText"/>
      </w:pPr>
      <w:r>
        <w:t xml:space="preserve">2035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CL2_90_9085 CL2_90C_9085</w:t>
      </w:r>
      <w:r>
        <w:t xml:space="preserve"> </w:t>
      </w:r>
      <w:r>
        <w:t xml:space="preserve">CL2_90_9085</w:t>
      </w:r>
      <w:r>
        <w:t xml:space="preserve"> </w:t>
      </w:r>
      <w:r>
        <w:t xml:space="preserve">CL2_90C_9085</w:t>
      </w:r>
      <w:r>
        <w:t xml:space="preserve"> </w:t>
      </w:r>
      <w:r>
        <w:t xml:space="preserve">Ferrous metals</w:t>
      </w:r>
      <w:r>
        <w:t xml:space="preserve"> </w:t>
      </w:r>
      <w:r>
        <w:t xml:space="preserve">-0.66%</w:t>
      </w:r>
      <w:r>
        <w:t xml:space="preserve"> </w:t>
      </w:r>
      <w:r>
        <w:t xml:space="preserve">-0.64%</w:t>
      </w:r>
      <w:r>
        <w:t xml:space="preserve"> </w:t>
      </w:r>
      <w:r>
        <w:t xml:space="preserve">0.02%</w:t>
      </w:r>
      <w:r>
        <w:t xml:space="preserve"> </w:t>
      </w:r>
      <w:r>
        <w:t xml:space="preserve">0.02%</w:t>
      </w:r>
      <w:r>
        <w:t xml:space="preserve"> </w:t>
      </w:r>
      <w:r>
        <w:t xml:space="preserve">Non-ferrous metals</w:t>
      </w:r>
      <w:r>
        <w:t xml:space="preserve"> </w:t>
      </w:r>
      <w:r>
        <w:t xml:space="preserve">-0.47%</w:t>
      </w:r>
      <w:r>
        <w:t xml:space="preserve"> </w:t>
      </w:r>
      <w:r>
        <w:t xml:space="preserve">-0.46%</w:t>
      </w:r>
      <w:r>
        <w:t xml:space="preserve"> </w:t>
      </w:r>
      <w:r>
        <w:t xml:space="preserve">0.03%</w:t>
      </w:r>
      <w:r>
        <w:t xml:space="preserve"> </w:t>
      </w:r>
      <w:r>
        <w:t xml:space="preserve">0.03%</w:t>
      </w:r>
      <w:r>
        <w:t xml:space="preserve"> </w:t>
      </w:r>
      <w:r>
        <w:t xml:space="preserve">Chemical Products</w:t>
      </w:r>
      <w:r>
        <w:t xml:space="preserve"> </w:t>
      </w:r>
      <w:r>
        <w:t xml:space="preserve">-0.48%</w:t>
      </w:r>
      <w:r>
        <w:t xml:space="preserve"> </w:t>
      </w:r>
      <w:r>
        <w:t xml:space="preserve">-0.48%</w:t>
      </w:r>
      <w:r>
        <w:t xml:space="preserve"> </w:t>
      </w:r>
      <w:r>
        <w:t xml:space="preserve">0.08%</w:t>
      </w:r>
      <w:r>
        <w:t xml:space="preserve"> </w:t>
      </w:r>
      <w:r>
        <w:t xml:space="preserve">0.08%</w:t>
      </w:r>
      <w:r>
        <w:t xml:space="preserve"> </w:t>
      </w:r>
      <w:r>
        <w:t xml:space="preserve">Paper products, publishing</w:t>
      </w:r>
      <w:r>
        <w:t xml:space="preserve"> </w:t>
      </w:r>
      <w:r>
        <w:t xml:space="preserve">-0.03%</w:t>
      </w:r>
      <w:r>
        <w:t xml:space="preserve"> </w:t>
      </w:r>
      <w:r>
        <w:t xml:space="preserve">-0.03%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Non-metallic minerals</w:t>
      </w:r>
      <w:r>
        <w:t xml:space="preserve"> </w:t>
      </w:r>
      <w:r>
        <w:t xml:space="preserve">-1.84%</w:t>
      </w:r>
      <w:r>
        <w:t xml:space="preserve"> </w:t>
      </w:r>
      <w:r>
        <w:t xml:space="preserve">-1.79%</w:t>
      </w:r>
      <w:r>
        <w:t xml:space="preserve"> </w:t>
      </w:r>
      <w:r>
        <w:t xml:space="preserve">0.11%</w:t>
      </w:r>
      <w:r>
        <w:t xml:space="preserve"> </w:t>
      </w:r>
      <w:r>
        <w:t xml:space="preserve">0.12%</w:t>
      </w:r>
      <w:r>
        <w:t xml:space="preserve"> </w:t>
      </w:r>
      <w:r>
        <w:t xml:space="preserve">Source: GEM-E3 model (2025)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Table 20 shows the percentage change in GDP and the contribution of its components to this</w:t>
      </w:r>
      <w:r>
        <w:t xml:space="preserve"> </w:t>
      </w:r>
      <w:r>
        <w:t xml:space="preserve">change. In all policy options, GDP in 2040 increases relative to the baseline scenario, reflecting</w:t>
      </w:r>
      <w:r>
        <w:t xml:space="preserve"> </w:t>
      </w:r>
      <w:r>
        <w:t xml:space="preserve">positive macroeconomic effects driven by higher exports and/or increased private</w:t>
      </w:r>
      <w:r>
        <w:t xml:space="preserve"> </w:t>
      </w:r>
      <w:r>
        <w:t xml:space="preserve">consumption, depending on the scenario. The GDP increase ranges from 0.00% under PO2_50</w:t>
      </w:r>
      <w:r>
        <w:t xml:space="preserve"> </w:t>
      </w:r>
      <w:r>
        <w:t xml:space="preserve">to 0.08% under PO3R. All scenarios with alternative recycling schemes show higher GDP</w:t>
      </w:r>
      <w:r>
        <w:t xml:space="preserve"> </w:t>
      </w:r>
      <w:r>
        <w:t xml:space="preserve">growth, with PO3R in particula, with the latter achieving the highest GDP level due to the</w:t>
      </w:r>
      <w:r>
        <w:t xml:space="preserve"> </w:t>
      </w:r>
      <w:r>
        <w:t xml:space="preserve">combined effect of a lower carbon price and stronger household demand stimulated by lump-</w:t>
      </w:r>
      <w:r>
        <w:t xml:space="preserve"> </w:t>
      </w:r>
      <w:r>
        <w:t xml:space="preserve">sum recycling of EU ETS revenues.</w:t>
      </w:r>
      <w:r>
        <w:t xml:space="preserve"> </w:t>
      </w:r>
      <w:r>
        <w:t xml:space="preserve">In all scenarios except those with alternative recycling schemes, an improvement in EU27</w:t>
      </w:r>
      <w:r>
        <w:t xml:space="preserve"> </w:t>
      </w:r>
      <w:r>
        <w:t xml:space="preserve">competitiveness is observed, reflected in higher exports. This outcome is driven by a higher</w:t>
      </w:r>
      <w:r>
        <w:t xml:space="preserve"> </w:t>
      </w:r>
      <w:r>
        <w:t xml:space="preserve">allocation of free allowances to EU ETS sectors (e.g. PO1), and/or lower carbon prices required</w:t>
      </w:r>
      <w:r>
        <w:t xml:space="preserve"> </w:t>
      </w:r>
      <w:r>
        <w:t xml:space="preserve">to meet the cap because of including waste emissions in the EU ETS (e.g. PO3). In the recycling</w:t>
      </w:r>
      <w:r>
        <w:t xml:space="preserve"> </w:t>
      </w:r>
      <w:r>
        <w:t xml:space="preserve">scenarios, private consumption is the main driver of GDP growth, reflecting the lump-sum</w:t>
      </w:r>
      <w:r>
        <w:t xml:space="preserve"> </w:t>
      </w:r>
      <w:r>
        <w:t xml:space="preserve">transfer of EU ETS revenues to households. In these cases, exports decline due to higher labour</w:t>
      </w:r>
      <w:r>
        <w:t xml:space="preserve"> </w:t>
      </w:r>
      <w:r>
        <w:t xml:space="preserve">and capital costs, which arise from increased household demand and upward pressure on factor</w:t>
      </w:r>
      <w:r>
        <w:t xml:space="preserve"> </w:t>
      </w:r>
      <w:r>
        <w:t xml:space="preserve">prices. In PO2 scenarios, private consumption drops marginally.</w:t>
      </w:r>
      <w:r>
        <w:t xml:space="preserve"> </w:t>
      </w:r>
      <w:r>
        <w:t xml:space="preserve">Table 20: Percentage change in GDP and its components in 2040 relative to baseline scenario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(%)</w:t>
      </w:r>
      <w:r>
        <w:t xml:space="preserve"> </w:t>
      </w:r>
      <w:r>
        <w:t xml:space="preserve">PO1R</w:t>
      </w:r>
      <w:r>
        <w:t xml:space="preserve"> </w:t>
      </w:r>
      <w:r>
        <w:t xml:space="preserve">(%)</w:t>
      </w:r>
      <w:r>
        <w:t xml:space="preserve"> </w:t>
      </w:r>
      <w:r>
        <w:t xml:space="preserve">PO2_50</w:t>
      </w:r>
      <w:r>
        <w:t xml:space="preserve"> </w:t>
      </w:r>
      <w:r>
        <w:t xml:space="preserve">(%)</w:t>
      </w:r>
      <w:r>
        <w:t xml:space="preserve"> </w:t>
      </w:r>
      <w:r>
        <w:t xml:space="preserve">PO2_50C</w:t>
      </w:r>
      <w:r>
        <w:t xml:space="preserve"> </w:t>
      </w:r>
      <w:r>
        <w:t xml:space="preserve">(%)</w:t>
      </w:r>
      <w:r>
        <w:t xml:space="preserve"> </w:t>
      </w:r>
      <w:r>
        <w:t xml:space="preserve">PO2_90</w:t>
      </w:r>
      <w:r>
        <w:t xml:space="preserve"> </w:t>
      </w:r>
      <w:r>
        <w:t xml:space="preserve">(%)</w:t>
      </w:r>
      <w:r>
        <w:t xml:space="preserve"> </w:t>
      </w:r>
      <w:r>
        <w:t xml:space="preserve">PO2_90C</w:t>
      </w:r>
      <w:r>
        <w:t xml:space="preserve"> </w:t>
      </w:r>
      <w:r>
        <w:t xml:space="preserve">(%)</w:t>
      </w:r>
      <w:r>
        <w:t xml:space="preserve"> </w:t>
      </w:r>
      <w:r>
        <w:t xml:space="preserve">PO3</w:t>
      </w:r>
      <w:r>
        <w:t xml:space="preserve"> </w:t>
      </w:r>
      <w:r>
        <w:t xml:space="preserve">(%)</w:t>
      </w:r>
      <w:r>
        <w:t xml:space="preserve"> </w:t>
      </w:r>
      <w:r>
        <w:t xml:space="preserve">PO3R</w:t>
      </w:r>
      <w:r>
        <w:t xml:space="preserve"> </w:t>
      </w:r>
      <w:r>
        <w:t xml:space="preserve">(%)</w:t>
      </w:r>
      <w:r>
        <w:t xml:space="preserve"> </w:t>
      </w:r>
      <w:r>
        <w:t xml:space="preserve">GDP</w:t>
      </w:r>
      <w:r>
        <w:t xml:space="preserve"> </w:t>
      </w:r>
      <w:r>
        <w:t xml:space="preserve">0.03</w:t>
      </w:r>
      <w:r>
        <w:t xml:space="preserve"> </w:t>
      </w:r>
      <w:r>
        <w:t xml:space="preserve">0.07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0.02</w:t>
      </w:r>
      <w:r>
        <w:t xml:space="preserve"> </w:t>
      </w:r>
      <w:r>
        <w:t xml:space="preserve">0.05</w:t>
      </w:r>
      <w:r>
        <w:t xml:space="preserve"> </w:t>
      </w:r>
      <w:r>
        <w:t xml:space="preserve">0.08</w:t>
      </w:r>
      <w:r>
        <w:t xml:space="preserve"> </w:t>
      </w:r>
      <w:r>
        <w:t xml:space="preserve">Investment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Government</w:t>
      </w:r>
      <w:r>
        <w:t xml:space="preserve"> </w:t>
      </w:r>
      <w:r>
        <w:t xml:space="preserve">consumption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Private</w:t>
      </w:r>
      <w:r>
        <w:t xml:space="preserve"> </w:t>
      </w:r>
      <w:r>
        <w:t xml:space="preserve">consumption</w:t>
      </w:r>
      <w:r>
        <w:t xml:space="preserve"> </w:t>
      </w:r>
      <w:r>
        <w:t xml:space="preserve">0.03</w:t>
      </w:r>
      <w:r>
        <w:t xml:space="preserve"> </w:t>
      </w:r>
      <w:r>
        <w:t xml:space="preserve">0.22</w:t>
      </w:r>
      <w:r>
        <w:t xml:space="preserve"> </w:t>
      </w:r>
      <w:r>
        <w:t xml:space="preserve">-0.03</w:t>
      </w:r>
      <w:r>
        <w:t xml:space="preserve"> </w:t>
      </w:r>
      <w:r>
        <w:t xml:space="preserve">-0.03</w:t>
      </w:r>
      <w:r>
        <w:t xml:space="preserve"> </w:t>
      </w:r>
      <w:r>
        <w:t xml:space="preserve">-0.03</w:t>
      </w:r>
      <w:r>
        <w:t xml:space="preserve"> </w:t>
      </w:r>
      <w:r>
        <w:t xml:space="preserve">-0.02</w:t>
      </w:r>
      <w:r>
        <w:t xml:space="preserve"> </w:t>
      </w:r>
      <w:r>
        <w:t xml:space="preserve">-0.03</w:t>
      </w:r>
      <w:r>
        <w:t xml:space="preserve"> </w:t>
      </w:r>
      <w:r>
        <w:t xml:space="preserve">0.18</w:t>
      </w:r>
      <w:r>
        <w:t xml:space="preserve"> </w:t>
      </w:r>
      <w:r>
        <w:t xml:space="preserve">Exports</w:t>
      </w:r>
      <w:r>
        <w:t xml:space="preserve"> </w:t>
      </w:r>
      <w:r>
        <w:t xml:space="preserve">0.03</w:t>
      </w:r>
      <w:r>
        <w:t xml:space="preserve"> </w:t>
      </w:r>
      <w:r>
        <w:t xml:space="preserve">-0.06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0.08</w:t>
      </w:r>
      <w:r>
        <w:t xml:space="preserve"> </w:t>
      </w:r>
      <w:r>
        <w:t xml:space="preserve">-0.03</w:t>
      </w:r>
      <w:r>
        <w:t xml:space="preserve"> </w:t>
      </w:r>
      <w:r>
        <w:t xml:space="preserve">Imports</w:t>
      </w:r>
      <w:r>
        <w:t xml:space="preserve"> </w:t>
      </w:r>
      <w:r>
        <w:t xml:space="preserve">-0.03</w:t>
      </w:r>
      <w:r>
        <w:t xml:space="preserve"> </w:t>
      </w:r>
      <w:r>
        <w:t xml:space="preserve">-0.10</w:t>
      </w:r>
      <w:r>
        <w:t xml:space="preserve"> </w:t>
      </w:r>
      <w:r>
        <w:t xml:space="preserve">0.00</w:t>
      </w:r>
      <w:r>
        <w:t xml:space="preserve"> </w:t>
      </w:r>
      <w:r>
        <w:t xml:space="preserve">-0.01</w:t>
      </w:r>
      <w:r>
        <w:t xml:space="preserve"> </w:t>
      </w:r>
      <w:r>
        <w:t xml:space="preserve">-0.01</w:t>
      </w:r>
      <w:r>
        <w:t xml:space="preserve"> </w:t>
      </w:r>
      <w:r>
        <w:t xml:space="preserve">-0.01</w:t>
      </w:r>
      <w:r>
        <w:t xml:space="preserve"> </w:t>
      </w:r>
      <w:r>
        <w:t xml:space="preserve">0.01</w:t>
      </w:r>
      <w:r>
        <w:t xml:space="preserve"> </w:t>
      </w:r>
      <w:r>
        <w:t xml:space="preserve">-0.07</w:t>
      </w:r>
      <w:r>
        <w:t xml:space="preserve"> </w:t>
      </w:r>
      <w:r>
        <w:t xml:space="preserve">Source: GEM-E3 model (2025)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Free allocation was always intended to be transitory in nature so its continuation into Phase V</w:t>
      </w:r>
      <w:r>
        <w:t xml:space="preserve"> </w:t>
      </w:r>
      <w:r>
        <w:t xml:space="preserve">in all the policy measures under consideration shows an acknowledgement by the Commission</w:t>
      </w:r>
      <w:r>
        <w:t xml:space="preserve"> </w:t>
      </w:r>
      <w:r>
        <w:t xml:space="preserve">that the non-CBAM sectors will require further support to decarbonise in what is a very</w:t>
      </w:r>
      <w:r>
        <w:t xml:space="preserve"> </w:t>
      </w:r>
      <w:r>
        <w:t xml:space="preserve">challenging operating environment. However, the trajectory of the ETS cap means that the</w:t>
      </w:r>
      <w:r>
        <w:t xml:space="preserve"> </w:t>
      </w:r>
      <w:r>
        <w:t xml:space="preserve">extent to which free allocation continues to be distributed based on the existing free allocation</w:t>
      </w:r>
      <w:r>
        <w:t xml:space="preserve"> </w:t>
      </w:r>
      <w:r>
        <w:t xml:space="preserve">rules, will increasingly become less relevant if the annual amount of preliminary free allocation</w:t>
      </w:r>
      <w:r>
        <w:t xml:space="preserve"> </w:t>
      </w:r>
      <w:r>
        <w:t xml:space="preserve">calculated exceeds the annual free allocation budget and the cross sectoral correction factor is</w:t>
      </w:r>
      <w:r>
        <w:t xml:space="preserve"> </w:t>
      </w:r>
      <w:r>
        <w:t xml:space="preserve">applied in most years – see Table 21.</w:t>
      </w:r>
      <w:r>
        <w:br/>
      </w:r>
      <w:r>
        <w:t xml:space="preserve">Table 21: Estimated CSCF under the different carbon leakage prevention measure of the total</w:t>
      </w:r>
      <w:r>
        <w:t xml:space="preserve"> </w:t>
      </w:r>
      <w:r>
        <w:t xml:space="preserve">volume of free allowances available under the baseline and policy scenarios for 2031-40</w:t>
      </w:r>
    </w:p>
    <w:p>
      <w:pPr>
        <w:pStyle w:val="BodyText"/>
      </w:pP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CSCF Baseline</w:t>
      </w:r>
      <w:r>
        <w:t xml:space="preserve"> </w:t>
      </w:r>
      <w:r>
        <w:t xml:space="preserve">0.86</w:t>
      </w:r>
      <w:r>
        <w:t xml:space="preserve"> </w:t>
      </w:r>
      <w:r>
        <w:t xml:space="preserve">0.76</w:t>
      </w:r>
      <w:r>
        <w:t xml:space="preserve"> </w:t>
      </w:r>
      <w:r>
        <w:t xml:space="preserve">0.65</w:t>
      </w:r>
      <w:r>
        <w:t xml:space="preserve"> </w:t>
      </w:r>
      <w:r>
        <w:t xml:space="preserve">0.55</w:t>
      </w:r>
      <w:r>
        <w:t xml:space="preserve"> </w:t>
      </w:r>
      <w:r>
        <w:t xml:space="preserve">0.44</w:t>
      </w:r>
      <w:r>
        <w:t xml:space="preserve"> </w:t>
      </w:r>
      <w:r>
        <w:t xml:space="preserve">0.39</w:t>
      </w:r>
      <w:r>
        <w:t xml:space="preserve"> </w:t>
      </w:r>
      <w:r>
        <w:t xml:space="preserve">0.26</w:t>
      </w:r>
      <w:r>
        <w:t xml:space="preserve"> </w:t>
      </w:r>
      <w:r>
        <w:t xml:space="preserve">0.14</w:t>
      </w:r>
      <w:r>
        <w:t xml:space="preserve"> </w:t>
      </w:r>
      <w:r>
        <w:t xml:space="preserve">0.02</w:t>
      </w:r>
      <w:r>
        <w:t xml:space="preserve"> </w:t>
      </w:r>
      <w:r>
        <w:t xml:space="preserve">0.00</w:t>
      </w:r>
      <w:r>
        <w:t xml:space="preserve"> </w:t>
      </w:r>
      <w:r>
        <w:t xml:space="preserve">CSCF CL1</w:t>
      </w:r>
      <w:r>
        <w:t xml:space="preserve"> </w:t>
      </w:r>
      <w:r>
        <w:t xml:space="preserve">0.83</w:t>
      </w:r>
      <w:r>
        <w:t xml:space="preserve"> </w:t>
      </w:r>
      <w:r>
        <w:t xml:space="preserve">0.76</w:t>
      </w:r>
      <w:r>
        <w:t xml:space="preserve"> </w:t>
      </w:r>
      <w:r>
        <w:t xml:space="preserve">0.69</w:t>
      </w:r>
      <w:r>
        <w:t xml:space="preserve"> </w:t>
      </w:r>
      <w:r>
        <w:t xml:space="preserve">0.61</w:t>
      </w:r>
      <w:r>
        <w:t xml:space="preserve"> </w:t>
      </w:r>
      <w:r>
        <w:t xml:space="preserve">0.54</w:t>
      </w:r>
      <w:r>
        <w:t xml:space="preserve"> </w:t>
      </w:r>
      <w:r>
        <w:t xml:space="preserve">0.55</w:t>
      </w:r>
      <w:r>
        <w:t xml:space="preserve"> </w:t>
      </w:r>
      <w:r>
        <w:t xml:space="preserve">0.49</w:t>
      </w:r>
      <w:r>
        <w:t xml:space="preserve"> </w:t>
      </w:r>
      <w:r>
        <w:t xml:space="preserve">0.43</w:t>
      </w:r>
      <w:r>
        <w:t xml:space="preserve"> </w:t>
      </w:r>
      <w:r>
        <w:t xml:space="preserve">0.36</w:t>
      </w:r>
      <w:r>
        <w:t xml:space="preserve"> </w:t>
      </w:r>
      <w:r>
        <w:t xml:space="preserve">0.30</w:t>
      </w:r>
      <w:r>
        <w:t xml:space="preserve"> </w:t>
      </w:r>
      <w:r>
        <w:t xml:space="preserve">CSCF CL2_90</w:t>
      </w:r>
      <w:r>
        <w:t xml:space="preserve"> </w:t>
      </w:r>
      <w:r>
        <w:t xml:space="preserve">0.88</w:t>
      </w:r>
      <w:r>
        <w:t xml:space="preserve"> </w:t>
      </w:r>
      <w:r>
        <w:t xml:space="preserve">0.82</w:t>
      </w:r>
      <w:r>
        <w:t xml:space="preserve"> </w:t>
      </w:r>
      <w:r>
        <w:t xml:space="preserve">0.75</w:t>
      </w:r>
      <w:r>
        <w:t xml:space="preserve"> </w:t>
      </w:r>
      <w:r>
        <w:t xml:space="preserve">0.69</w:t>
      </w:r>
      <w:r>
        <w:t xml:space="preserve"> </w:t>
      </w:r>
      <w:r>
        <w:t xml:space="preserve">0.61</w:t>
      </w:r>
      <w:r>
        <w:t xml:space="preserve"> </w:t>
      </w:r>
      <w:r>
        <w:t xml:space="preserve">0.61</w:t>
      </w:r>
      <w:r>
        <w:t xml:space="preserve"> </w:t>
      </w:r>
      <w:r>
        <w:t xml:space="preserve">0.53</w:t>
      </w:r>
      <w:r>
        <w:t xml:space="preserve"> </w:t>
      </w:r>
      <w:r>
        <w:t xml:space="preserve">0.45</w:t>
      </w:r>
      <w:r>
        <w:t xml:space="preserve"> </w:t>
      </w:r>
      <w:r>
        <w:t xml:space="preserve">0.37</w:t>
      </w:r>
      <w:r>
        <w:t xml:space="preserve"> </w:t>
      </w:r>
      <w:r>
        <w:t xml:space="preserve">0.30</w:t>
      </w:r>
      <w:r>
        <w:t xml:space="preserve"> </w:t>
      </w:r>
      <w:r>
        <w:t xml:space="preserve">CSCF CL2_50</w:t>
      </w:r>
      <w:r>
        <w:t xml:space="preserve"> </w:t>
      </w:r>
      <w:r>
        <w:t xml:space="preserve">0.92</w:t>
      </w:r>
      <w:r>
        <w:t xml:space="preserve"> </w:t>
      </w:r>
      <w:r>
        <w:t xml:space="preserve">0.88</w:t>
      </w:r>
      <w:r>
        <w:t xml:space="preserve"> </w:t>
      </w:r>
      <w:r>
        <w:t xml:space="preserve">0.85</w:t>
      </w:r>
      <w:r>
        <w:t xml:space="preserve"> </w:t>
      </w:r>
      <w:r>
        <w:t xml:space="preserve">0.85</w:t>
      </w:r>
      <w:r>
        <w:t xml:space="preserve"> </w:t>
      </w:r>
      <w:r>
        <w:t xml:space="preserve">0.75</w:t>
      </w:r>
      <w:r>
        <w:t xml:space="preserve"> </w:t>
      </w:r>
      <w:r>
        <w:t xml:space="preserve">0.74</w:t>
      </w:r>
      <w:r>
        <w:t xml:space="preserve"> </w:t>
      </w:r>
      <w:r>
        <w:t xml:space="preserve">0.64</w:t>
      </w:r>
      <w:r>
        <w:t xml:space="preserve"> </w:t>
      </w:r>
      <w:r>
        <w:t xml:space="preserve">0.55</w:t>
      </w:r>
      <w:r>
        <w:t xml:space="preserve"> </w:t>
      </w:r>
      <w:r>
        <w:t xml:space="preserve">0.45</w:t>
      </w:r>
      <w:r>
        <w:t xml:space="preserve"> </w:t>
      </w:r>
      <w:r>
        <w:t xml:space="preserve">0.36</w:t>
      </w:r>
      <w:r>
        <w:t xml:space="preserve"> </w:t>
      </w:r>
      <w:r>
        <w:t xml:space="preserve">CSCF CL3</w:t>
      </w:r>
      <w:r>
        <w:t xml:space="preserve"> </w:t>
      </w:r>
      <w:r>
        <w:t xml:space="preserve">0.91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Source:</w:t>
      </w:r>
      <w:r>
        <w:br/>
      </w:r>
      <w:r>
        <w:t xml:space="preserve">Own calculation</w:t>
      </w:r>
      <w:r>
        <w:t xml:space="preserve"> </w:t>
      </w:r>
      <w:r>
        <w:t xml:space="preserve">1.4.2.4.2.</w:t>
      </w:r>
      <w:r>
        <w:t xml:space="preserve"> </w:t>
      </w:r>
      <w:r>
        <w:t xml:space="preserve">Carbon leakage prevention measures for indirect emissions</w:t>
      </w:r>
      <w:r>
        <w:t xml:space="preserve"> </w:t>
      </w:r>
      <w:r>
        <w:t xml:space="preserve">The main effect of continuing to provide ICC compensation would be to alleviate the risk of</w:t>
      </w:r>
      <w:r>
        <w:t xml:space="preserve"> </w:t>
      </w:r>
      <w:r>
        <w:t xml:space="preserve">carbon leakage and incentivise electrification by compensating for some of this cost. It is</w:t>
      </w:r>
      <w:r>
        <w:t xml:space="preserve"> </w:t>
      </w:r>
      <w:r>
        <w:t xml:space="preserve">therefore an important contributor to the competitiveness of electro-intensive processes within</w:t>
      </w:r>
      <w:r>
        <w:t xml:space="preserve"> </w:t>
      </w:r>
      <w:r>
        <w:t xml:space="preserve">sectors, particularly for as long as direct emitting processes continue to receive free allocation</w:t>
      </w:r>
      <w:r>
        <w:t xml:space="preserve"> </w:t>
      </w:r>
      <w:r>
        <w:t xml:space="preserve">and/or fossil fuels continue to act as the marginal generator, thereby exerting a greater influence</w:t>
      </w:r>
      <w:r>
        <w:t xml:space="preserve"> </w:t>
      </w:r>
      <w:r>
        <w:t xml:space="preserve">on electricity prices than their generation share would suggest.</w:t>
      </w:r>
      <w:r>
        <w:br/>
      </w:r>
      <w:r>
        <w:t xml:space="preserve">Option ICC1 would ensure that this benefit continues, subject to each Member State’s decision</w:t>
      </w:r>
      <w:r>
        <w:t xml:space="preserve"> </w:t>
      </w:r>
      <w:r>
        <w:t xml:space="preserve">regarding the granting of State aid.</w:t>
      </w:r>
      <w:r>
        <w:br/>
      </w:r>
      <w:r>
        <w:t xml:space="preserve">Option ICC2 would bring additional competitiveness benefits to some installations (those who</w:t>
      </w:r>
      <w:r>
        <w:t xml:space="preserve"> </w:t>
      </w:r>
      <w:r>
        <w:t xml:space="preserve">would not have received State aid under ICC1). However, this benefit would need to be</w:t>
      </w:r>
      <w:r>
        <w:t xml:space="preserve"> </w:t>
      </w:r>
      <w:r>
        <w:t xml:space="preserve">weighed against the additional administrative burden associated with a standalone ICC fund.</w:t>
      </w:r>
      <w:r>
        <w:br/>
      </w:r>
      <w:r>
        <w:t xml:space="preserve">During the stakeholder consultation with industry, the differential between electricity prices in</w:t>
      </w:r>
      <w:r>
        <w:t xml:space="preserve"> </w:t>
      </w:r>
      <w:r>
        <w:t xml:space="preserve">the EU-27 with international competitors was often cited as having a negative impact on their</w:t>
      </w:r>
      <w:r>
        <w:t xml:space="preserve"> </w:t>
      </w:r>
      <w:r>
        <w:t xml:space="preserve">levels of competitiveness. While industrial electricity prices in the EU are generally high</w:t>
      </w:r>
      <w:r>
        <w:t xml:space="preserve"> </w:t>
      </w:r>
      <w:r>
        <w:t xml:space="preserve">compared to US and China, this gap has narrowed since the height of the energy crisis in 2022</w:t>
      </w:r>
      <w:r>
        <w:t xml:space="preserve"> </w:t>
      </w:r>
      <w:r>
        <w:t xml:space="preserve">and is smaller in Member States with a larger non-fossil share in electricity generation, as</w:t>
      </w:r>
      <w:r>
        <w:t xml:space="preserve"> </w:t>
      </w:r>
      <w:r>
        <w:t xml:space="preserve">shown in Figure 13. European Commission analysis has indicated that carbon costs accounted</w:t>
      </w:r>
      <w:r>
        <w:t xml:space="preserve"> </w:t>
      </w:r>
      <w:r>
        <w:t xml:space="preserve">for up to 11% of industrial energy prices in the EU on average in 2025, with fuel costs, network</w:t>
      </w:r>
      <w:r>
        <w:t xml:space="preserve"> </w:t>
      </w:r>
      <w:r>
        <w:t xml:space="preserve">charges and taxes each accounting for a larger share.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Figure 13: Estimated electricity price for large industrial consumers</w:t>
      </w:r>
    </w:p>
    <w:p>
      <w:pPr>
        <w:pStyle w:val="BodyText"/>
      </w:pPr>
      <w:r>
        <w:t xml:space="preserve">Source: European Commission: Derived from IEA Electricity 2026 for US, Japan and China23, Others:</w:t>
      </w:r>
      <w:r>
        <w:t xml:space="preserve"> </w:t>
      </w:r>
      <w:r>
        <w:t xml:space="preserve">EUROSTAT 24</w:t>
      </w:r>
      <w:r>
        <w:t xml:space="preserve"> </w:t>
      </w:r>
      <w:r>
        <w:t xml:space="preserve">The issue of indirect carbon costs wase often raised by industry as this is often a cost that they</w:t>
      </w:r>
      <w:r>
        <w:t xml:space="preserve"> </w:t>
      </w:r>
      <w:r>
        <w:t xml:space="preserve">have no direct control over and this will instead depend upon efforts to decarbonise the</w:t>
      </w:r>
      <w:r>
        <w:t xml:space="preserve"> </w:t>
      </w:r>
      <w:r>
        <w:t xml:space="preserve">electricity grid in a way that also ensures the price of electricity does not become excessively</w:t>
      </w:r>
      <w:r>
        <w:t xml:space="preserve"> </w:t>
      </w:r>
      <w:r>
        <w:t xml:space="preserve">high in comparison to industrial competitors. The continuation of indirect cost compensation</w:t>
      </w:r>
      <w:r>
        <w:t xml:space="preserve"> </w:t>
      </w:r>
      <w:r>
        <w:t xml:space="preserve">was therefore consistently supported by industrial stakeholders during the consultation, with</w:t>
      </w:r>
      <w:r>
        <w:t xml:space="preserve"> </w:t>
      </w:r>
      <w:r>
        <w:t xml:space="preserve">74% of respondents to the OPC considering that indirect cost compensation should remain after</w:t>
      </w:r>
      <w:r>
        <w:t xml:space="preserve"> </w:t>
      </w:r>
      <w:r>
        <w:t xml:space="preserve">2030 to address the risk of carbon leakage from carbon costs passed on in electricity prices (in</w:t>
      </w:r>
      <w:r>
        <w:t xml:space="preserve"> </w:t>
      </w:r>
      <w:r>
        <w:t xml:space="preserve">sectors where indirect emissions are not covered by CBAM).</w:t>
      </w:r>
      <w:r>
        <w:br/>
      </w:r>
      <w:r>
        <w:t xml:space="preserve">Stakeholders, including in sectors not currently eligible for ICC compensation, considered it</w:t>
      </w:r>
      <w:r>
        <w:t xml:space="preserve"> </w:t>
      </w:r>
      <w:r>
        <w:t xml:space="preserve">necessary to offset the high electricity costs in Europe in comparison to international</w:t>
      </w:r>
      <w:r>
        <w:t xml:space="preserve"> </w:t>
      </w:r>
      <w:r>
        <w:t xml:space="preserve">competitors and it was argued that without the continuation of such support the viability of</w:t>
      </w:r>
      <w:r>
        <w:t xml:space="preserve"> </w:t>
      </w:r>
      <w:r>
        <w:t xml:space="preserve">current electro-intensive production processes would increasingly become at risk of closure in</w:t>
      </w:r>
      <w:r>
        <w:t xml:space="preserve"> </w:t>
      </w:r>
      <w:r>
        <w:t xml:space="preserve">the future. On this point, it is important to note that ICC compensation addresses only addresses</w:t>
      </w:r>
      <w:r>
        <w:t xml:space="preserve"> </w:t>
      </w:r>
      <w:r>
        <w:t xml:space="preserve">the pass through of carbon costs to electricity consumers. Other high price drivers will need to</w:t>
      </w:r>
      <w:r>
        <w:t xml:space="preserve"> </w:t>
      </w:r>
      <w:r>
        <w:t xml:space="preserve">be addressed by other means such as infrastructure improvements (e.g. the European Grids</w:t>
      </w:r>
      <w:r>
        <w:t xml:space="preserve"> </w:t>
      </w:r>
      <w:r>
        <w:t xml:space="preserve">Package25) or other types of State aid (e.g. the Temporary Electricity Price relief available</w:t>
      </w:r>
      <w:r>
        <w:t xml:space="preserve"> </w:t>
      </w:r>
      <w:r>
        <w:t xml:space="preserve">under the Clean Industrial Deal State Aid Framework26).</w:t>
      </w:r>
    </w:p>
    <w:p>
      <w:pPr>
        <w:pStyle w:val="BodyText"/>
      </w:pPr>
      <w:r>
        <w:t xml:space="preserve">23 Note from IEA Electricity 2026: “Values for 2025 are preliminary. The final electricity price for US is based</w:t>
      </w:r>
      <w:r>
        <w:t xml:space="preserve"> </w:t>
      </w:r>
      <w:r>
        <w:t xml:space="preserve">off the final electricity for industry in Texas. The final electricity price for China is based off the final</w:t>
      </w:r>
      <w:r>
        <w:t xml:space="preserve"> </w:t>
      </w:r>
      <w:r>
        <w:t xml:space="preserve">electricity for industry in Inner Mongolia. The prices for the United States and China are indicative of the</w:t>
      </w:r>
      <w:r>
        <w:t xml:space="preserve"> </w:t>
      </w:r>
      <w:r>
        <w:t xml:space="preserve">average reported prices, individual industries depend on their energy consumption levels and where they are</w:t>
      </w:r>
      <w:r>
        <w:t xml:space="preserve"> </w:t>
      </w:r>
      <w:r>
        <w:t xml:space="preserve">located.”</w:t>
      </w:r>
      <w:r>
        <w:t xml:space="preserve"> </w:t>
      </w:r>
      <w:r>
        <w:t xml:space="preserve">24 ESTAT NRG_PC_205, band IG (150 000 MWh or over), 2025 is based only on the first semester</w:t>
      </w:r>
      <w:r>
        <w:t xml:space="preserve"> </w:t>
      </w:r>
      <w:r>
        <w:t xml:space="preserve">25 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Regions, ’European Grids Package’, COM (2025)1005</w:t>
      </w:r>
      <w:r>
        <w:t xml:space="preserve"> </w:t>
      </w:r>
      <w:r>
        <w:t xml:space="preserve">final;</w:t>
      </w:r>
      <w:r>
        <w:br/>
      </w:r>
      <w:r>
        <w:t xml:space="preserve">Communication from the Commission, Framework for State aid measures to support the Clean Industrial</w:t>
      </w:r>
      <w:r>
        <w:t xml:space="preserve"> </w:t>
      </w:r>
      <w:r>
        <w:t xml:space="preserve">Deal. C/2025/3602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Many industrial stakeholders expressed support for the harmonisation of indirect cost</w:t>
      </w:r>
      <w:r>
        <w:t xml:space="preserve"> </w:t>
      </w:r>
      <w:r>
        <w:t xml:space="preserve">compensation in principle. Overall, 39% of respondents supported harmonising the system for</w:t>
      </w:r>
      <w:r>
        <w:t xml:space="preserve"> </w:t>
      </w:r>
      <w:r>
        <w:t xml:space="preserve">compensating indirect carbon costs at EU level, in response to the OPC question27 if indirect</w:t>
      </w:r>
      <w:r>
        <w:t xml:space="preserve"> </w:t>
      </w:r>
      <w:r>
        <w:t xml:space="preserve">cost compensation will remain necessary after 2030 to address the risk of carbon leakage from</w:t>
      </w:r>
      <w:r>
        <w:t xml:space="preserve"> </w:t>
      </w:r>
      <w:r>
        <w:t xml:space="preserve">carbon costs passed on in electricity prices (in sectors not covered by the CBAM). This</w:t>
      </w:r>
      <w:r>
        <w:t xml:space="preserve"> </w:t>
      </w:r>
      <w:r>
        <w:t xml:space="preserve">response was mainly from sectors and sub-sectors currently not eligible for indirect cost</w:t>
      </w:r>
      <w:r>
        <w:t xml:space="preserve"> </w:t>
      </w:r>
      <w:r>
        <w:t xml:space="preserve">compensation, which could indicate that respondents believed harmonisation would involve</w:t>
      </w:r>
      <w:r>
        <w:t xml:space="preserve"> </w:t>
      </w:r>
      <w:r>
        <w:t xml:space="preserve">expansion of the eligible sectors. Subsequently (and separately), additional sectors were made</w:t>
      </w:r>
      <w:r>
        <w:t xml:space="preserve"> </w:t>
      </w:r>
      <w:r>
        <w:t xml:space="preserve">eligible for ICC compensation in the amendment of State aid guidelines for the period 2025-</w:t>
      </w:r>
      <w:r>
        <w:t xml:space="preserve"> </w:t>
      </w:r>
      <w:r>
        <w:t xml:space="preserve">2030.</w:t>
      </w:r>
      <w:r>
        <w:t xml:space="preserve"> </w:t>
      </w:r>
      <w:r>
        <w:t xml:space="preserve">A harmonised system with a common ICC Fund would not amount to State aid. The extent to</w:t>
      </w:r>
      <w:r>
        <w:t xml:space="preserve"> </w:t>
      </w:r>
      <w:r>
        <w:t xml:space="preserve">which specific firms and sectors would benefit would depend on the generosity of a harmonised</w:t>
      </w:r>
      <w:r>
        <w:t xml:space="preserve"> </w:t>
      </w:r>
      <w:r>
        <w:t xml:space="preserve">system compared to the support they would otherwise receive from national State aid schemes.</w:t>
      </w:r>
      <w:r>
        <w:br/>
      </w:r>
      <w:r>
        <w:t xml:space="preserve">1.4.2.5.</w:t>
      </w:r>
      <w:r>
        <w:t xml:space="preserve"> </w:t>
      </w:r>
      <w:r>
        <w:t xml:space="preserve">Impact on innovation and technological development</w:t>
      </w:r>
      <w:r>
        <w:t xml:space="preserve"> </w:t>
      </w:r>
      <w:r>
        <w:t xml:space="preserve">1.4.2.5.1.</w:t>
      </w:r>
      <w:r>
        <w:t xml:space="preserve"> </w:t>
      </w:r>
      <w:r>
        <w:t xml:space="preserve">Carbon leakage prevention measures for direct emissions</w:t>
      </w:r>
      <w:r>
        <w:t xml:space="preserve"> </w:t>
      </w:r>
      <w:r>
        <w:t xml:space="preserve">The provision of free allocation limits industry’s exposure to the carbon price signal. On the</w:t>
      </w:r>
      <w:r>
        <w:t xml:space="preserve"> </w:t>
      </w:r>
      <w:r>
        <w:t xml:space="preserve">one hand, this may reduce the incentives within industry to abate their emissions. The historical</w:t>
      </w:r>
      <w:r>
        <w:t xml:space="preserve"> </w:t>
      </w:r>
      <w:r>
        <w:t xml:space="preserve">rate of improvement in specific emissions across industry has been limited (with some notable</w:t>
      </w:r>
      <w:r>
        <w:t xml:space="preserve"> </w:t>
      </w:r>
      <w:r>
        <w:t xml:space="preserve">exceptions such as the rapid reduction in emissions from nitric and adipic acid production over</w:t>
      </w:r>
      <w:r>
        <w:t xml:space="preserve"> </w:t>
      </w:r>
      <w:r>
        <w:t xml:space="preserve">Phase III of the EU ETS). On the other hand, free allocation, conditioned on making</w:t>
      </w:r>
      <w:r>
        <w:t xml:space="preserve"> </w:t>
      </w:r>
      <w:r>
        <w:t xml:space="preserve">investments and combined with a long-term perspective of increasing carbon prices may act as</w:t>
      </w:r>
      <w:r>
        <w:t xml:space="preserve"> </w:t>
      </w:r>
      <w:r>
        <w:t xml:space="preserve">an incentive for decarbonization investments, provided a broader enabling framework is in</w:t>
      </w:r>
      <w:r>
        <w:t xml:space="preserve"> </w:t>
      </w:r>
      <w:r>
        <w:t xml:space="preserve">place.</w:t>
      </w:r>
      <w:r>
        <w:t xml:space="preserve"> </w:t>
      </w:r>
      <w:r>
        <w:t xml:space="preserve">In theory, the phasing out of free allocation over 2031-40, as considered in all the policy</w:t>
      </w:r>
      <w:r>
        <w:t xml:space="preserve"> </w:t>
      </w:r>
      <w:r>
        <w:t xml:space="preserve">measures, could have a positive impact on innovation and technological development by</w:t>
      </w:r>
      <w:r>
        <w:t xml:space="preserve"> </w:t>
      </w:r>
      <w:r>
        <w:t xml:space="preserve">increasing the exposure of industrial producers to a rising carbon price as the ETS cap</w:t>
      </w:r>
      <w:r>
        <w:t xml:space="preserve"> </w:t>
      </w:r>
      <w:r>
        <w:t xml:space="preserve">progressively declines. Given that CL3 is associated with the lowest free allocation budget and</w:t>
      </w:r>
      <w:r>
        <w:t xml:space="preserve"> </w:t>
      </w:r>
      <w:r>
        <w:t xml:space="preserve">the fastest phase out, it would rationally result in the biggest impact in terms of innovation and</w:t>
      </w:r>
      <w:r>
        <w:t xml:space="preserve"> </w:t>
      </w:r>
      <w:r>
        <w:t xml:space="preserve">technological development. However, the extent to which a greater exposure to the carbon</w:t>
      </w:r>
      <w:r>
        <w:t xml:space="preserve"> </w:t>
      </w:r>
      <w:r>
        <w:t xml:space="preserve">price because of the implementation of the policy measures will drive the innovation required</w:t>
      </w:r>
      <w:r>
        <w:t xml:space="preserve"> </w:t>
      </w:r>
      <w:r>
        <w:t xml:space="preserve">to decarbonise industry was frequently challenged by industrial stakeholders during the</w:t>
      </w:r>
      <w:r>
        <w:t xml:space="preserve"> </w:t>
      </w:r>
      <w:r>
        <w:t xml:space="preserve">consultation process.</w:t>
      </w:r>
      <w:r>
        <w:br/>
      </w:r>
      <w:r>
        <w:t xml:space="preserve">Representatives from industry were unanimous in arguing that carbon pricing alone (i.e. </w:t>
      </w:r>
      <w:r>
        <w:t xml:space="preserve"> </w:t>
      </w:r>
      <w:r>
        <w:t xml:space="preserve">without revenue recycling) was insufficient to bring about the change required to decarbonise</w:t>
      </w:r>
      <w:r>
        <w:t xml:space="preserve"> </w:t>
      </w:r>
      <w:r>
        <w:t xml:space="preserve">production processes unless the price was at exceedingly high levels that, very likely, would</w:t>
      </w:r>
      <w:r>
        <w:t xml:space="preserve"> </w:t>
      </w:r>
      <w:r>
        <w:t xml:space="preserve">bring into question the ability of the consumer to pay for more expensive low-carbon products.</w:t>
      </w:r>
      <w:r>
        <w:t xml:space="preserve"> </w:t>
      </w:r>
      <w:r>
        <w:t xml:space="preserve">It was also suggested that, in certain industries, the necessary technological innovations are not</w:t>
      </w:r>
      <w:r>
        <w:t xml:space="preserve"> </w:t>
      </w:r>
      <w:r>
        <w:t xml:space="preserve">yet available commercially at scale and at a competitive price. Efforts to reduce the emission</w:t>
      </w:r>
      <w:r>
        <w:t xml:space="preserve"> </w:t>
      </w:r>
      <w:r>
        <w:t xml:space="preserve">intensity could have a negative impact on the quality of their products that would not be an</w:t>
      </w:r>
      <w:r>
        <w:t xml:space="preserve"> </w:t>
      </w:r>
      <w:r>
        <w:t xml:space="preserve">acceptable trade off with the standards required by their end consumers. This often leaves</w:t>
      </w:r>
      <w:r>
        <w:t xml:space="preserve"> </w:t>
      </w:r>
      <w:r>
        <w:t xml:space="preserve">industrial producers with uncertainty over whether to invest in sub-optimal solutions now or to</w:t>
      </w:r>
      <w:r>
        <w:t xml:space="preserve"> </w:t>
      </w:r>
      <w:r>
        <w:t xml:space="preserve">wait for technological breakthroughs later. The timing of such innovative breakthroughs will</w:t>
      </w:r>
      <w:r>
        <w:t xml:space="preserve"> </w:t>
      </w:r>
      <w:r>
        <w:t xml:space="preserve">be influenced and most likely occur sooner by an accelerated phase out of free allocation, but</w:t>
      </w:r>
    </w:p>
    <w:p>
      <w:pPr>
        <w:pStyle w:val="BodyText"/>
      </w:pPr>
      <w:r>
        <w:t xml:space="preserve">27 Representing more than half of the 74% of respondents who supported the continuation of indirect cost</w:t>
      </w:r>
      <w:r>
        <w:t xml:space="preserve"> </w:t>
      </w:r>
      <w:r>
        <w:t xml:space="preserve">compensation beyond 2030.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industry also argued strongly that the levels of financial support was considerably lower than</w:t>
      </w:r>
      <w:r>
        <w:t xml:space="preserve"> </w:t>
      </w:r>
      <w:r>
        <w:t xml:space="preserve">the financial support given to the power sector and that current complementary policies, such</w:t>
      </w:r>
      <w:r>
        <w:t xml:space="preserve"> </w:t>
      </w:r>
      <w:r>
        <w:t xml:space="preserve">as the ETS’s Innovation Fund are not currently at the scale required to finance the investments</w:t>
      </w:r>
      <w:r>
        <w:t xml:space="preserve"> </w:t>
      </w:r>
      <w:r>
        <w:t xml:space="preserve">identified by the industrial roadmaps outlining what is technologically feasible regarding</w:t>
      </w:r>
      <w:r>
        <w:t xml:space="preserve"> </w:t>
      </w:r>
      <w:r>
        <w:t xml:space="preserve">decarbonisation efforts.</w:t>
      </w:r>
      <w:r>
        <w:br/>
      </w:r>
      <w:r>
        <w:t xml:space="preserve">This is why the Clean Industrial Deal Communication announced the Industrial</w:t>
      </w:r>
      <w:r>
        <w:t xml:space="preserve"> </w:t>
      </w:r>
      <w:r>
        <w:t xml:space="preserve">Decarbonisation Bank (IDB) to address the scale-up and roll-out of more mature industrial</w:t>
      </w:r>
      <w:r>
        <w:t xml:space="preserve"> </w:t>
      </w:r>
      <w:r>
        <w:t xml:space="preserve">decarbonisation projects (notably in EIIs) across all MS to be funded by a dedicated part of</w:t>
      </w:r>
      <w:r>
        <w:t xml:space="preserve"> </w:t>
      </w:r>
      <w:r>
        <w:t xml:space="preserve">ETS resources. With the Bank focussing on scale-up and roll-out, there is also need for</w:t>
      </w:r>
      <w:r>
        <w:t xml:space="preserve"> </w:t>
      </w:r>
      <w:r>
        <w:t xml:space="preserve">continuation of the Innovation Fund (IF) (also funded by part of ETS resources) to continue</w:t>
      </w:r>
      <w:r>
        <w:t xml:space="preserve"> </w:t>
      </w:r>
      <w:r>
        <w:t xml:space="preserve">supporting innovative and first of a kind technology that can address difficult to decarbonise</w:t>
      </w:r>
      <w:r>
        <w:t xml:space="preserve"> </w:t>
      </w:r>
      <w:r>
        <w:t xml:space="preserve">sectors. The contribution of IDB and IF to support investments in decarbonisation and thus</w:t>
      </w:r>
      <w:r>
        <w:t xml:space="preserve"> </w:t>
      </w:r>
      <w:r>
        <w:t xml:space="preserve">complementing the measures for carbon leakage protection are analysed in Annex 9.</w:t>
      </w:r>
      <w:r>
        <w:t xml:space="preserve"> </w:t>
      </w:r>
      <w:r>
        <w:t xml:space="preserve">The EU ETS will thus complement and support the objectives of the Clean Industrial Deal by</w:t>
      </w:r>
      <w:r>
        <w:t xml:space="preserve"> </w:t>
      </w:r>
      <w:r>
        <w:t xml:space="preserve">providing a clear and predictable carbon price, incentivising investment in decarbonisation</w:t>
      </w:r>
      <w:r>
        <w:t xml:space="preserve"> </w:t>
      </w:r>
      <w:r>
        <w:t xml:space="preserve">solutions and funding the investments which still lack the business case or where</w:t>
      </w:r>
      <w:r>
        <w:t xml:space="preserve"> </w:t>
      </w:r>
      <w:r>
        <w:t xml:space="preserve">decarbonisation solutions have yet to be demonstrated, while continuing to provide carbon-</w:t>
      </w:r>
      <w:r>
        <w:t xml:space="preserve"> </w:t>
      </w:r>
      <w:r>
        <w:t xml:space="preserve">leakage protection and financial support from the auction revenues with more than EUR 250</w:t>
      </w:r>
      <w:r>
        <w:t xml:space="preserve"> </w:t>
      </w:r>
      <w:r>
        <w:t xml:space="preserve">billion generated since the start of the system.</w:t>
      </w:r>
      <w:r>
        <w:br/>
      </w:r>
      <w:r>
        <w:t xml:space="preserve">1.4.2.5.2.</w:t>
      </w:r>
      <w:r>
        <w:t xml:space="preserve"> </w:t>
      </w:r>
      <w:r>
        <w:t xml:space="preserve">Carbon leakage prevention measures for indirect emissions</w:t>
      </w:r>
      <w:r>
        <w:t xml:space="preserve"> </w:t>
      </w:r>
      <w:r>
        <w:t xml:space="preserve">For several industrial sectors, electrification is crucial to decarbonise. Indirect cost</w:t>
      </w:r>
      <w:r>
        <w:t xml:space="preserve"> </w:t>
      </w:r>
      <w:r>
        <w:t xml:space="preserve">compensation stimulates electrification (and hence technological development) as do the</w:t>
      </w:r>
      <w:r>
        <w:t xml:space="preserve"> </w:t>
      </w:r>
      <w:r>
        <w:t xml:space="preserve">incentives to electrify from the new approach to free allocation (the removal of the</w:t>
      </w:r>
      <w:r>
        <w:t xml:space="preserve"> </w:t>
      </w:r>
      <w:r>
        <w:t xml:space="preserve">exchangeability factor provides free allocation for electrified processes under 14 of the ETS</w:t>
      </w:r>
      <w:r>
        <w:t xml:space="preserve"> </w:t>
      </w:r>
      <w:r>
        <w:t xml:space="preserve">benchmarks28). Without ICC, companies with direct emissions may prefer to continue</w:t>
      </w:r>
      <w:r>
        <w:t xml:space="preserve"> </w:t>
      </w:r>
      <w:r>
        <w:t xml:space="preserve">receiving free allocation for direct emissions rather than electrifying and having indirect carbon</w:t>
      </w:r>
      <w:r>
        <w:t xml:space="preserve"> </w:t>
      </w:r>
      <w:r>
        <w:t xml:space="preserve">costs through their electricity bill (in addition to other drivers of the cost differences between</w:t>
      </w:r>
      <w:r>
        <w:t xml:space="preserve"> </w:t>
      </w:r>
      <w:r>
        <w:t xml:space="preserve">electrified and non-electrified processes).</w:t>
      </w:r>
      <w:r>
        <w:br/>
      </w:r>
      <w:r>
        <w:t xml:space="preserve">Regarding technological improvements in the electricity sector, the carbon content of</w:t>
      </w:r>
      <w:r>
        <w:t xml:space="preserve"> </w:t>
      </w:r>
      <w:r>
        <w:t xml:space="preserve">electricity is often outside the control of ETS operators. However, operators can reduce it (and</w:t>
      </w:r>
      <w:r>
        <w:t xml:space="preserve"> </w:t>
      </w:r>
      <w:r>
        <w:t xml:space="preserve">therefore reduce their exposure to indirect carbon costs) through investments in energy</w:t>
      </w:r>
      <w:r>
        <w:t xml:space="preserve"> </w:t>
      </w:r>
      <w:r>
        <w:t xml:space="preserve">efficiency or other forms of emissions reduction, including flexibility (which may trigger</w:t>
      </w:r>
      <w:r>
        <w:t xml:space="preserve"> </w:t>
      </w:r>
      <w:r>
        <w:t xml:space="preserve">additional demand for batteries and Demand-Side Response technologies) and use of</w:t>
      </w:r>
      <w:r>
        <w:t xml:space="preserve"> </w:t>
      </w:r>
      <w:r>
        <w:t xml:space="preserve">renewables PPAs.</w:t>
      </w:r>
      <w:r>
        <w:t xml:space="preserve"> </w:t>
      </w:r>
      <w:r>
        <w:t xml:space="preserve">1.4.2.6.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1.4.2.6.1.</w:t>
      </w:r>
      <w:r>
        <w:t xml:space="preserve"> </w:t>
      </w:r>
      <w:r>
        <w:t xml:space="preserve">Carbon leakage prevention measures for direct emissions</w:t>
      </w:r>
      <w:r>
        <w:t xml:space="preserve"> </w:t>
      </w:r>
      <w:r>
        <w:t xml:space="preserve">The simplification measures included in all the policy measures on carbon leakage protection</w:t>
      </w:r>
      <w:r>
        <w:t xml:space="preserve"> </w:t>
      </w:r>
      <w:r>
        <w:t xml:space="preserve">will reduce administrative burden also for public authorities, in particular for ETS Competent</w:t>
      </w:r>
      <w:r>
        <w:t xml:space="preserve"> </w:t>
      </w:r>
      <w:r>
        <w:t xml:space="preserve">Authorities.</w:t>
      </w:r>
      <w:r>
        <w:br/>
      </w:r>
      <w:r>
        <w:t xml:space="preserve">The policy measures have budgetary consequences for public authorities as the phase out of</w:t>
      </w:r>
      <w:r>
        <w:t xml:space="preserve"> </w:t>
      </w:r>
      <w:r>
        <w:t xml:space="preserve">free allocation results in an increase of the share of the total allowances under the cap to be</w:t>
      </w:r>
    </w:p>
    <w:p>
      <w:pPr>
        <w:pStyle w:val="BodyText"/>
      </w:pPr>
      <w:r>
        <w:t xml:space="preserve">28 Annex 9 of SWD (2021) 601 final. Part 4/4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used for decarbonisation and, if auctioned, this generates revenues for national governments.</w:t>
      </w:r>
      <w:r>
        <w:t xml:space="preserve"> </w:t>
      </w:r>
      <w:r>
        <w:t xml:space="preserve">At the same time, the decrease of the cap acts in a counterbalancing manner when compared to</w:t>
      </w:r>
      <w:r>
        <w:t xml:space="preserve"> </w:t>
      </w:r>
      <w:r>
        <w:t xml:space="preserve">the baseline scenario.</w:t>
      </w:r>
      <w:r>
        <w:br/>
      </w:r>
      <w:r>
        <w:t xml:space="preserve">A major benefit to public authorities is represented by the auction revenue derived from the</w:t>
      </w:r>
      <w:r>
        <w:t xml:space="preserve"> </w:t>
      </w:r>
      <w:r>
        <w:t xml:space="preserve">auctioning of allowances. The auctioning volumes are derived from based on the estimates for</w:t>
      </w:r>
      <w:r>
        <w:t xml:space="preserve"> </w:t>
      </w:r>
      <w:r>
        <w:t xml:space="preserve">the allowances distributed for free to industry and it does not consider any split between auction</w:t>
      </w:r>
      <w:r>
        <w:t xml:space="preserve"> </w:t>
      </w:r>
      <w:r>
        <w:t xml:space="preserve">revenue that is accrued to EU level funds or to national treasures.</w:t>
      </w:r>
      <w:r>
        <w:br/>
      </w:r>
      <w:r>
        <w:t xml:space="preserve">Table 12 shows the expected value of free and auctioned allowances across the policy options.</w:t>
      </w:r>
      <w:r>
        <w:t xml:space="preserve"> </w:t>
      </w:r>
      <w:r>
        <w:t xml:space="preserve">The volume of free allocation across different policy options also has an impact on</w:t>
      </w:r>
      <w:r>
        <w:t xml:space="preserve"> </w:t>
      </w:r>
      <w:r>
        <w:t xml:space="preserve">(cumulative) auction revenues. Table 22 presents the potential total value of auction revenues</w:t>
      </w:r>
      <w:r>
        <w:t xml:space="preserve"> </w:t>
      </w:r>
      <w:r>
        <w:t xml:space="preserve">over the period 2031-2040, deducting from the estimated cap value the volumes to be allocated</w:t>
      </w:r>
      <w:r>
        <w:t xml:space="preserve"> </w:t>
      </w:r>
      <w:r>
        <w:t xml:space="preserve">for free. This represents potential value to be used by public authorities (at Member States or</w:t>
      </w:r>
      <w:r>
        <w:t xml:space="preserve"> </w:t>
      </w:r>
      <w:r>
        <w:t xml:space="preserve">EU level) for financing climate action and decarbonisation measures.</w:t>
      </w:r>
      <w:r>
        <w:t xml:space="preserve"> </w:t>
      </w:r>
      <w:r>
        <w:t xml:space="preserve">Table 22: Overview of the 2031-40 cumulative auction revenues</w:t>
      </w:r>
    </w:p>
    <w:p>
      <w:pPr>
        <w:pStyle w:val="BodyText"/>
      </w:pPr>
      <w:r>
        <w:t xml:space="preserve">2031-2040</w:t>
      </w:r>
      <w:r>
        <w:t xml:space="preserve"> </w:t>
      </w:r>
      <w:r>
        <w:t xml:space="preserve">Eur23/tCO2</w:t>
      </w:r>
      <w:r>
        <w:t xml:space="preserve"> </w:t>
      </w:r>
      <w:r>
        <w:t xml:space="preserve">EUR 150.0</w:t>
      </w:r>
      <w:r>
        <w:t xml:space="preserve"> </w:t>
      </w:r>
      <w:r>
        <w:t xml:space="preserve">Baseline_Auctioned allowances (mil EUAs)</w:t>
      </w:r>
      <w:r>
        <w:t xml:space="preserve"> </w:t>
      </w:r>
      <w:r>
        <w:t xml:space="preserve">1926</w:t>
      </w:r>
      <w:r>
        <w:t xml:space="preserve"> </w:t>
      </w:r>
      <w:r>
        <w:t xml:space="preserve">Baseline_Cumulative auction revenue</w:t>
      </w:r>
      <w:r>
        <w:t xml:space="preserve"> </w:t>
      </w:r>
      <w:r>
        <w:t xml:space="preserve">EUR 288.9</w:t>
      </w:r>
      <w:r>
        <w:t xml:space="preserve"> </w:t>
      </w:r>
      <w:r>
        <w:t xml:space="preserve">PO1_Auctioned allowances (mil EUAs)</w:t>
      </w:r>
      <w:r>
        <w:t xml:space="preserve"> </w:t>
      </w:r>
      <w:r>
        <w:t xml:space="preserve">4043.7</w:t>
      </w:r>
      <w:r>
        <w:t xml:space="preserve"> </w:t>
      </w:r>
      <w:r>
        <w:t xml:space="preserve">PO1_Cumulative auction revenue (bn EUR)</w:t>
      </w:r>
      <w:r>
        <w:t xml:space="preserve"> </w:t>
      </w:r>
      <w:r>
        <w:t xml:space="preserve">EUR 606.6</w:t>
      </w:r>
      <w:r>
        <w:t xml:space="preserve"> </w:t>
      </w:r>
      <w:r>
        <w:t xml:space="preserve">PO2_Auctioned allowances (mil EUAs)</w:t>
      </w:r>
      <w:r>
        <w:t xml:space="preserve"> </w:t>
      </w:r>
      <w:r>
        <w:t xml:space="preserve">4153.5</w:t>
      </w:r>
      <w:r>
        <w:t xml:space="preserve"> </w:t>
      </w:r>
      <w:r>
        <w:t xml:space="preserve">PO2_Cumulative auction revenue (bn EUR)</w:t>
      </w:r>
      <w:r>
        <w:t xml:space="preserve"> </w:t>
      </w:r>
      <w:r>
        <w:t xml:space="preserve">EUR 623.0</w:t>
      </w:r>
      <w:r>
        <w:t xml:space="preserve"> </w:t>
      </w:r>
      <w:r>
        <w:t xml:space="preserve">PO2_CL2_CBAM variant_auctioned allowances</w:t>
      </w:r>
      <w:r>
        <w:t xml:space="preserve"> </w:t>
      </w:r>
      <w:r>
        <w:t xml:space="preserve">3987.5</w:t>
      </w:r>
      <w:r>
        <w:t xml:space="preserve"> </w:t>
      </w:r>
      <w:r>
        <w:t xml:space="preserve">PO2_CBAM variant Cumulative auction revenue EUR 598.1</w:t>
      </w:r>
      <w:r>
        <w:t xml:space="preserve"> </w:t>
      </w:r>
      <w:r>
        <w:t xml:space="preserve">PO3_Auctioned allowances (mil EUAs)</w:t>
      </w:r>
      <w:r>
        <w:t xml:space="preserve"> </w:t>
      </w:r>
      <w:r>
        <w:t xml:space="preserve">5546</w:t>
      </w:r>
      <w:r>
        <w:t xml:space="preserve"> </w:t>
      </w:r>
      <w:r>
        <w:t xml:space="preserve">PO3_Cumulative auction revenue (bn EUR)</w:t>
      </w:r>
      <w:r>
        <w:t xml:space="preserve"> </w:t>
      </w:r>
      <w:r>
        <w:t xml:space="preserve">EUR 831.9</w:t>
      </w:r>
      <w:r>
        <w:t xml:space="preserve"> </w:t>
      </w:r>
      <w:r>
        <w:t xml:space="preserve">Source:</w:t>
      </w:r>
      <w:r>
        <w:br/>
      </w:r>
      <w:r>
        <w:t xml:space="preserve">Own calculation</w:t>
      </w:r>
      <w:r>
        <w:t xml:space="preserve"> </w:t>
      </w:r>
      <w:r>
        <w:t xml:space="preserve">1.4.2.6.2.</w:t>
      </w:r>
      <w:r>
        <w:t xml:space="preserve"> </w:t>
      </w:r>
      <w:r>
        <w:t xml:space="preserve">Carbon leakage prevention measures for indirect emissions</w:t>
      </w:r>
      <w:r>
        <w:t xml:space="preserve"> </w:t>
      </w:r>
      <w:r>
        <w:t xml:space="preserve">The policy measures also have budgetary consequences for public authorities as the</w:t>
      </w:r>
      <w:r>
        <w:t xml:space="preserve"> </w:t>
      </w:r>
      <w:r>
        <w:t xml:space="preserve">continuation of the encouragement to provide indirect cost compensation enables Member</w:t>
      </w:r>
      <w:r>
        <w:t xml:space="preserve"> </w:t>
      </w:r>
      <w:r>
        <w:t xml:space="preserve">States to consider offsetting higher electricity prices, due in part, to the increase in carbon prices</w:t>
      </w:r>
      <w:r>
        <w:t xml:space="preserve"> </w:t>
      </w:r>
      <w:r>
        <w:t xml:space="preserve">over the 2031-40 period.</w:t>
      </w:r>
      <w:r>
        <w:br/>
      </w:r>
      <w:r>
        <w:t xml:space="preserve">Based upon the previous calculation for adjustment costs for industry (refer to Section</w:t>
      </w:r>
      <w:r>
        <w:t xml:space="preserve"> </w:t>
      </w:r>
      <w:r>
        <w:t xml:space="preserve">1.4.2.1.2), the potential scale of the financing ranges from 9 billion to 17 billion EUR annually</w:t>
      </w:r>
      <w:r>
        <w:t xml:space="preserve"> </w:t>
      </w:r>
      <w:r>
        <w:t xml:space="preserve">on average over 2031-40.</w:t>
      </w:r>
      <w:r>
        <w:br/>
      </w:r>
      <w:r>
        <w:t xml:space="preserve">Under policy measure ICC1, it is entirely up to the Member States whether they want to pay</w:t>
      </w:r>
      <w:r>
        <w:t xml:space="preserve"> </w:t>
      </w:r>
      <w:r>
        <w:t xml:space="preserve">out compensation and incur some of this cost. In practice, the funding for this compensation</w:t>
      </w:r>
      <w:r>
        <w:t xml:space="preserve"> </w:t>
      </w:r>
      <w:r>
        <w:t xml:space="preserve">comes primarily from each Member State’s share of ETS auction revenues (though other</w:t>
      </w:r>
      <w:r>
        <w:t xml:space="preserve"> </w:t>
      </w:r>
      <w:r>
        <w:t xml:space="preserve">national resources can be used), and each Member State will retain the flexibility to use these</w:t>
      </w:r>
      <w:r>
        <w:t xml:space="preserve"> </w:t>
      </w:r>
      <w:r>
        <w:t xml:space="preserve">revenues for ICC or other purposes. In the existing Directive, Member States who provide ICC</w:t>
      </w:r>
      <w:r>
        <w:t xml:space="preserve"> </w:t>
      </w:r>
      <w:r>
        <w:t xml:space="preserve">compensation are required to make information about the support publicly available. The</w:t>
      </w:r>
      <w:r>
        <w:t xml:space="preserve"> </w:t>
      </w:r>
      <w:r>
        <w:t xml:space="preserve">resultant administrative burden for public authorities could be reduced by integrating this</w:t>
      </w:r>
      <w:r>
        <w:t xml:space="preserve"> </w:t>
      </w:r>
      <w:r>
        <w:t xml:space="preserve">requirement into the broader reporting obligations on the use of auction revenues under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Regulation (EU) 2018/1999.Under policy measure ICC2, the EU-level funding for the</w:t>
      </w:r>
      <w:r>
        <w:t xml:space="preserve"> </w:t>
      </w:r>
      <w:r>
        <w:t xml:space="preserve">harmonised ICC fund would come from collection of auction revenues at EU level, implying a</w:t>
      </w:r>
      <w:r>
        <w:t xml:space="preserve"> </w:t>
      </w:r>
      <w:r>
        <w:t xml:space="preserve">lower share either for Member States or other EU-level ETS-funded instruments. This funding</w:t>
      </w:r>
      <w:r>
        <w:t xml:space="preserve"> </w:t>
      </w:r>
      <w:r>
        <w:t xml:space="preserve">would be distributed at EU-level according to the needs of electro-intensive industries, rather</w:t>
      </w:r>
      <w:r>
        <w:t xml:space="preserve"> </w:t>
      </w:r>
      <w:r>
        <w:t xml:space="preserve">than at the discretion of each Member State. Although EU-level funding is largely expected to</w:t>
      </w:r>
      <w:r>
        <w:t xml:space="preserve"> </w:t>
      </w:r>
      <w:r>
        <w:t xml:space="preserve">replace State aid that Member States would otherwise have provided, some installations will</w:t>
      </w:r>
      <w:r>
        <w:t xml:space="preserve"> </w:t>
      </w:r>
      <w:r>
        <w:t xml:space="preserve">receive compensation who otherwise would not have received State aid. Therefore, we expect</w:t>
      </w:r>
      <w:r>
        <w:t xml:space="preserve"> </w:t>
      </w:r>
      <w:r>
        <w:t xml:space="preserve">ICC2 to have a higher cost overall in terms of allowances distributed than ICC1.</w:t>
      </w:r>
      <w:r>
        <w:br/>
      </w:r>
      <w:r>
        <w:t xml:space="preserve">1.4.3. Social impacts</w:t>
      </w:r>
      <w:r>
        <w:t xml:space="preserve"> </w:t>
      </w:r>
      <w:r>
        <w:t xml:space="preserve">1.4.3.1.</w:t>
      </w:r>
      <w:r>
        <w:t xml:space="preserve"> </w:t>
      </w:r>
      <w:r>
        <w:t xml:space="preserve">Employment</w:t>
      </w:r>
      <w:r>
        <w:t xml:space="preserve"> </w:t>
      </w:r>
      <w:r>
        <w:t xml:space="preserve">The issue of employment is directly linked to the long-term viability of industrial production</w:t>
      </w:r>
      <w:r>
        <w:t xml:space="preserve"> </w:t>
      </w:r>
      <w:r>
        <w:t xml:space="preserve">in Europe. During the stakeholder interviews (and further supported by OPC results), industrial</w:t>
      </w:r>
      <w:r>
        <w:t xml:space="preserve"> </w:t>
      </w:r>
      <w:r>
        <w:t xml:space="preserve">associations and businesses consistently argued that the competitiveness of EU producers</w:t>
      </w:r>
      <w:r>
        <w:t xml:space="preserve"> </w:t>
      </w:r>
      <w:r>
        <w:t xml:space="preserve">would be undermined without the continuation of free allocation and by ensuring that the</w:t>
      </w:r>
      <w:r>
        <w:t xml:space="preserve"> </w:t>
      </w:r>
      <w:r>
        <w:t xml:space="preserve">necessary enabling conditions are in place to enable decarbonisation rather than</w:t>
      </w:r>
      <w:r>
        <w:t xml:space="preserve"> </w:t>
      </w:r>
      <w:r>
        <w:t xml:space="preserve">deindustrialisation was frequently cited by stakeholders.</w:t>
      </w:r>
      <w:r>
        <w:t xml:space="preserve"> </w:t>
      </w:r>
      <w:r>
        <w:t xml:space="preserve">The GEM-E3 model was used to estimate the impact of the implementation of policy measures</w:t>
      </w:r>
      <w:r>
        <w:t xml:space="preserve"> </w:t>
      </w:r>
      <w:r>
        <w:t xml:space="preserve">on employment levels. Total economy employment impacts under the policy measures shows</w:t>
      </w:r>
      <w:r>
        <w:t xml:space="preserve"> </w:t>
      </w:r>
      <w:r>
        <w:t xml:space="preserve">a slight positive impact in PO1 following production trends and slight negative impact in the</w:t>
      </w:r>
      <w:r>
        <w:t xml:space="preserve"> </w:t>
      </w:r>
      <w:r>
        <w:t xml:space="preserve">rest of the scenarios. The largest employment gains occur in chemicals and non-metallic</w:t>
      </w:r>
      <w:r>
        <w:t xml:space="preserve"> </w:t>
      </w:r>
      <w:r>
        <w:t xml:space="preserve">minerals sector, which also records the highest production increase by 2040. Across sectors</w:t>
      </w:r>
      <w:r>
        <w:t xml:space="preserve"> </w:t>
      </w:r>
      <w:r>
        <w:t xml:space="preserve">and policy measures, the overall employment impact ranges from -0.56% to 1.76. Among the</w:t>
      </w:r>
      <w:r>
        <w:t xml:space="preserve"> </w:t>
      </w:r>
      <w:r>
        <w:t xml:space="preserve">scenarios, PO1R shows the highest employment increase, driven by the volume of free</w:t>
      </w:r>
      <w:r>
        <w:t xml:space="preserve"> </w:t>
      </w:r>
      <w:r>
        <w:t xml:space="preserve">allowances provided along with the alternate revenue recycling option, whereas PO3 records</w:t>
      </w:r>
      <w:r>
        <w:t xml:space="preserve"> </w:t>
      </w:r>
      <w:r>
        <w:t xml:space="preserve">the lowest due to the complete phase-out of free allowances after 2034 and due to the lower</w:t>
      </w:r>
      <w:r>
        <w:t xml:space="preserve"> </w:t>
      </w:r>
      <w:r>
        <w:t xml:space="preserve">production in market services.</w:t>
      </w:r>
      <w:r>
        <w:br/>
      </w:r>
      <w:r>
        <w:t xml:space="preserve">Table 23: Sectoral employment change for ETS sectors in 2040 relative to the baseline</w:t>
      </w:r>
    </w:p>
    <w:p>
      <w:pPr>
        <w:pStyle w:val="BodyText"/>
      </w:pPr>
      <w:r>
        <w:t xml:space="preserve">Policy measures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(%)</w:t>
      </w:r>
      <w:r>
        <w:t xml:space="preserve"> </w:t>
      </w:r>
      <w:r>
        <w:t xml:space="preserve">PO1R</w:t>
      </w:r>
      <w:r>
        <w:t xml:space="preserve"> </w:t>
      </w:r>
      <w:r>
        <w:t xml:space="preserve">(%)</w:t>
      </w:r>
      <w:r>
        <w:t xml:space="preserve"> </w:t>
      </w:r>
      <w:r>
        <w:t xml:space="preserve">PO2_50</w:t>
      </w:r>
      <w:r>
        <w:t xml:space="preserve"> </w:t>
      </w:r>
      <w:r>
        <w:t xml:space="preserve">(%)</w:t>
      </w:r>
      <w:r>
        <w:t xml:space="preserve"> </w:t>
      </w:r>
      <w:r>
        <w:t xml:space="preserve">PO2_50C</w:t>
      </w:r>
      <w:r>
        <w:t xml:space="preserve"> </w:t>
      </w:r>
      <w:r>
        <w:t xml:space="preserve">(%)</w:t>
      </w:r>
      <w:r>
        <w:t xml:space="preserve"> </w:t>
      </w:r>
      <w:r>
        <w:t xml:space="preserve">PO2_90</w:t>
      </w:r>
      <w:r>
        <w:t xml:space="preserve"> </w:t>
      </w:r>
      <w:r>
        <w:t xml:space="preserve">(%)</w:t>
      </w:r>
      <w:r>
        <w:t xml:space="preserve"> </w:t>
      </w:r>
      <w:r>
        <w:t xml:space="preserve">PO2_90C</w:t>
      </w:r>
      <w:r>
        <w:t xml:space="preserve"> </w:t>
      </w:r>
      <w:r>
        <w:t xml:space="preserve">(%)</w:t>
      </w:r>
      <w:r>
        <w:t xml:space="preserve"> </w:t>
      </w:r>
      <w:r>
        <w:t xml:space="preserve">PO3</w:t>
      </w:r>
      <w:r>
        <w:t xml:space="preserve"> </w:t>
      </w:r>
      <w:r>
        <w:t xml:space="preserve">(%)</w:t>
      </w:r>
      <w:r>
        <w:t xml:space="preserve"> </w:t>
      </w:r>
      <w:r>
        <w:t xml:space="preserve">PO3R</w:t>
      </w:r>
      <w:r>
        <w:t xml:space="preserve"> </w:t>
      </w:r>
      <w:r>
        <w:t xml:space="preserve">(%)</w:t>
      </w:r>
      <w:r>
        <w:t xml:space="preserve"> </w:t>
      </w:r>
      <w:r>
        <w:t xml:space="preserve">Ferrous</w:t>
      </w:r>
      <w:r>
        <w:t xml:space="preserve"> </w:t>
      </w:r>
      <w:r>
        <w:t xml:space="preserve">metals</w:t>
      </w:r>
      <w:r>
        <w:t xml:space="preserve"> </w:t>
      </w:r>
      <w:r>
        <w:t xml:space="preserve">0.00</w:t>
      </w:r>
      <w:r>
        <w:t xml:space="preserve"> </w:t>
      </w:r>
      <w:r>
        <w:t xml:space="preserve">-0.56</w:t>
      </w:r>
      <w:r>
        <w:t xml:space="preserve"> </w:t>
      </w:r>
      <w:r>
        <w:t xml:space="preserve">-0.06</w:t>
      </w:r>
      <w:r>
        <w:t xml:space="preserve"> </w:t>
      </w:r>
      <w:r>
        <w:t xml:space="preserve">0.30</w:t>
      </w:r>
      <w:r>
        <w:t xml:space="preserve"> </w:t>
      </w:r>
      <w:r>
        <w:t xml:space="preserve">-0.06</w:t>
      </w:r>
      <w:r>
        <w:t xml:space="preserve"> </w:t>
      </w:r>
      <w:r>
        <w:t xml:space="preserve">0.24</w:t>
      </w:r>
      <w:r>
        <w:t xml:space="preserve"> </w:t>
      </w:r>
      <w:r>
        <w:t xml:space="preserve">0.27</w:t>
      </w:r>
      <w:r>
        <w:t xml:space="preserve"> </w:t>
      </w:r>
      <w:r>
        <w:t xml:space="preserve">-0.23</w:t>
      </w:r>
      <w:r>
        <w:t xml:space="preserve"> </w:t>
      </w:r>
      <w:r>
        <w:t xml:space="preserve">Non-ferrous</w:t>
      </w:r>
      <w:r>
        <w:t xml:space="preserve"> </w:t>
      </w:r>
      <w:r>
        <w:t xml:space="preserve">metals</w:t>
      </w:r>
      <w:r>
        <w:t xml:space="preserve"> </w:t>
      </w:r>
      <w:r>
        <w:t xml:space="preserve">0.27</w:t>
      </w:r>
      <w:r>
        <w:t xml:space="preserve"> </w:t>
      </w:r>
      <w:r>
        <w:t xml:space="preserve">-0.41</w:t>
      </w:r>
      <w:r>
        <w:t xml:space="preserve"> </w:t>
      </w:r>
      <w:r>
        <w:t xml:space="preserve">0.12</w:t>
      </w:r>
      <w:r>
        <w:t xml:space="preserve"> </w:t>
      </w:r>
      <w:r>
        <w:t xml:space="preserve">0.25</w:t>
      </w:r>
      <w:r>
        <w:t xml:space="preserve"> </w:t>
      </w:r>
      <w:r>
        <w:t xml:space="preserve">0.20</w:t>
      </w:r>
      <w:r>
        <w:t xml:space="preserve"> </w:t>
      </w:r>
      <w:r>
        <w:t xml:space="preserve">0.31</w:t>
      </w:r>
      <w:r>
        <w:t xml:space="preserve"> </w:t>
      </w:r>
      <w:r>
        <w:t xml:space="preserve">0.60</w:t>
      </w:r>
      <w:r>
        <w:t xml:space="preserve"> </w:t>
      </w:r>
      <w:r>
        <w:t xml:space="preserve">-0.01</w:t>
      </w:r>
      <w:r>
        <w:t xml:space="preserve"> </w:t>
      </w:r>
      <w:r>
        <w:t xml:space="preserve">Chemical</w:t>
      </w:r>
      <w:r>
        <w:t xml:space="preserve"> </w:t>
      </w:r>
      <w:r>
        <w:t xml:space="preserve">Products</w:t>
      </w:r>
      <w:r>
        <w:t xml:space="preserve"> </w:t>
      </w:r>
      <w:r>
        <w:t xml:space="preserve">1.13</w:t>
      </w:r>
      <w:r>
        <w:t xml:space="preserve"> </w:t>
      </w:r>
      <w:r>
        <w:t xml:space="preserve">0.75</w:t>
      </w:r>
      <w:r>
        <w:t xml:space="preserve"> </w:t>
      </w:r>
      <w:r>
        <w:t xml:space="preserve">0.56</w:t>
      </w:r>
      <w:r>
        <w:t xml:space="preserve"> </w:t>
      </w:r>
      <w:r>
        <w:t xml:space="preserve">0.65</w:t>
      </w:r>
      <w:r>
        <w:t xml:space="preserve"> </w:t>
      </w:r>
      <w:r>
        <w:t xml:space="preserve">0.90</w:t>
      </w:r>
      <w:r>
        <w:t xml:space="preserve"> </w:t>
      </w:r>
      <w:r>
        <w:t xml:space="preserve">0.97</w:t>
      </w:r>
      <w:r>
        <w:t xml:space="preserve"> </w:t>
      </w:r>
      <w:r>
        <w:t xml:space="preserve">0.50</w:t>
      </w:r>
      <w:r>
        <w:t xml:space="preserve"> </w:t>
      </w:r>
      <w:r>
        <w:t xml:space="preserve">0.25</w:t>
      </w:r>
      <w:r>
        <w:t xml:space="preserve"> </w:t>
      </w:r>
      <w:r>
        <w:t xml:space="preserve">Paper</w:t>
      </w:r>
      <w:r>
        <w:t xml:space="preserve"> </w:t>
      </w:r>
      <w:r>
        <w:t xml:space="preserve">products,</w:t>
      </w:r>
      <w:r>
        <w:t xml:space="preserve"> </w:t>
      </w:r>
      <w:r>
        <w:t xml:space="preserve">publishing</w:t>
      </w:r>
      <w:r>
        <w:t xml:space="preserve"> </w:t>
      </w:r>
      <w:r>
        <w:t xml:space="preserve">0.02</w:t>
      </w:r>
      <w:r>
        <w:t xml:space="preserve"> </w:t>
      </w:r>
      <w:r>
        <w:t xml:space="preserve">0.00</w:t>
      </w:r>
      <w:r>
        <w:t xml:space="preserve"> </w:t>
      </w:r>
      <w:r>
        <w:t xml:space="preserve">-0.04</w:t>
      </w:r>
      <w:r>
        <w:t xml:space="preserve"> </w:t>
      </w:r>
      <w:r>
        <w:t xml:space="preserve">-0.05</w:t>
      </w:r>
      <w:r>
        <w:t xml:space="preserve"> </w:t>
      </w:r>
      <w:r>
        <w:t xml:space="preserve">-0.03</w:t>
      </w:r>
      <w:r>
        <w:t xml:space="preserve"> </w:t>
      </w:r>
      <w:r>
        <w:t xml:space="preserve">-0.05</w:t>
      </w:r>
      <w:r>
        <w:t xml:space="preserve"> </w:t>
      </w:r>
      <w:r>
        <w:t xml:space="preserve">0.00</w:t>
      </w:r>
      <w:r>
        <w:t xml:space="preserve"> </w:t>
      </w:r>
      <w:r>
        <w:t xml:space="preserve">-0.01</w:t>
      </w:r>
      <w:r>
        <w:t xml:space="preserve"> </w:t>
      </w:r>
      <w:r>
        <w:t xml:space="preserve">Non-metallic</w:t>
      </w:r>
      <w:r>
        <w:t xml:space="preserve"> </w:t>
      </w:r>
      <w:r>
        <w:t xml:space="preserve">minerals</w:t>
      </w:r>
      <w:r>
        <w:t xml:space="preserve"> </w:t>
      </w:r>
      <w:r>
        <w:t xml:space="preserve">1.18</w:t>
      </w:r>
      <w:r>
        <w:t xml:space="preserve"> </w:t>
      </w:r>
      <w:r>
        <w:t xml:space="preserve">0.88</w:t>
      </w:r>
      <w:r>
        <w:t xml:space="preserve"> </w:t>
      </w:r>
      <w:r>
        <w:t xml:space="preserve">0.80</w:t>
      </w:r>
      <w:r>
        <w:t xml:space="preserve"> </w:t>
      </w:r>
      <w:r>
        <w:t xml:space="preserve">1.52</w:t>
      </w:r>
      <w:r>
        <w:t xml:space="preserve"> </w:t>
      </w:r>
      <w:r>
        <w:t xml:space="preserve">1.16</w:t>
      </w:r>
      <w:r>
        <w:t xml:space="preserve"> </w:t>
      </w:r>
      <w:r>
        <w:t xml:space="preserve">1.76</w:t>
      </w:r>
      <w:r>
        <w:t xml:space="preserve"> </w:t>
      </w:r>
      <w:r>
        <w:t xml:space="preserve">1.43</w:t>
      </w:r>
      <w:r>
        <w:t xml:space="preserve"> </w:t>
      </w:r>
      <w:r>
        <w:t xml:space="preserve">1.18</w:t>
      </w:r>
      <w:r>
        <w:t xml:space="preserve"> </w:t>
      </w:r>
      <w:r>
        <w:t xml:space="preserve">Source: GEM-E3 model (2025)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The table below shows the effects on sectoral employment when using the 90-85% cap pathway</w:t>
      </w:r>
      <w:r>
        <w:t xml:space="preserve"> </w:t>
      </w:r>
      <w:r>
        <w:t xml:space="preserve">(see section 1.3.1.1), compared with the reference scenario of 85% linear trajectory. This</w:t>
      </w:r>
      <w:r>
        <w:t xml:space="preserve"> </w:t>
      </w:r>
      <w:r>
        <w:t xml:space="preserve">scenario shows that for most sectors, the more ambitious cap trajectory results in some decrease</w:t>
      </w:r>
      <w:r>
        <w:t xml:space="preserve"> </w:t>
      </w:r>
      <w:r>
        <w:t xml:space="preserve">in EU27 emissions and increases in the non-EU27 emissions in 2035, indicating a marginally</w:t>
      </w:r>
      <w:r>
        <w:t xml:space="preserve"> </w:t>
      </w:r>
      <w:r>
        <w:t xml:space="preserve">lower sectoral employment rates in at that point. The differences in the results for 2040 are</w:t>
      </w:r>
      <w:r>
        <w:t xml:space="preserve"> </w:t>
      </w:r>
      <w:r>
        <w:t xml:space="preserve">marginal or 0 in most sectors.</w:t>
      </w:r>
      <w:r>
        <w:br/>
      </w:r>
      <w:r>
        <w:t xml:space="preserve">Table 24: Percentage change in sectoral employment levels for variants CL290_9085 and</w:t>
      </w:r>
      <w:r>
        <w:t xml:space="preserve"> </w:t>
      </w:r>
      <w:r>
        <w:t xml:space="preserve">CL290C_9085 compared to scenarios CL2_90 and CL2_90C.</w:t>
      </w:r>
    </w:p>
    <w:p>
      <w:pPr>
        <w:pStyle w:val="BodyText"/>
      </w:pPr>
      <w:r>
        <w:t xml:space="preserve">2035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CL2_90_9085 CL2_90C_9085 CL2_90_9085 CL2_90C_9085</w:t>
      </w:r>
      <w:r>
        <w:t xml:space="preserve"> </w:t>
      </w:r>
      <w:r>
        <w:t xml:space="preserve">Ferrous metals</w:t>
      </w:r>
      <w:r>
        <w:t xml:space="preserve"> </w:t>
      </w:r>
      <w:r>
        <w:t xml:space="preserve">-0.25%</w:t>
      </w:r>
      <w:r>
        <w:t xml:space="preserve"> </w:t>
      </w:r>
      <w:r>
        <w:t xml:space="preserve">-0.24%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Non-ferrous metals</w:t>
      </w:r>
      <w:r>
        <w:t xml:space="preserve"> </w:t>
      </w:r>
      <w:r>
        <w:t xml:space="preserve">-0.28%</w:t>
      </w:r>
      <w:r>
        <w:t xml:space="preserve"> </w:t>
      </w:r>
      <w:r>
        <w:t xml:space="preserve">-0.27%</w:t>
      </w:r>
      <w:r>
        <w:t xml:space="preserve"> </w:t>
      </w:r>
      <w:r>
        <w:t xml:space="preserve">0.01%</w:t>
      </w:r>
      <w:r>
        <w:t xml:space="preserve"> </w:t>
      </w:r>
      <w:r>
        <w:t xml:space="preserve">0.02%</w:t>
      </w:r>
      <w:r>
        <w:t xml:space="preserve"> </w:t>
      </w:r>
      <w:r>
        <w:t xml:space="preserve">Chemical Products</w:t>
      </w:r>
      <w:r>
        <w:t xml:space="preserve"> </w:t>
      </w:r>
      <w:r>
        <w:t xml:space="preserve">-0.31%</w:t>
      </w:r>
      <w:r>
        <w:t xml:space="preserve"> </w:t>
      </w:r>
      <w:r>
        <w:t xml:space="preserve">-0.31%</w:t>
      </w:r>
      <w:r>
        <w:t xml:space="preserve"> </w:t>
      </w:r>
      <w:r>
        <w:t xml:space="preserve">0.07%</w:t>
      </w:r>
      <w:r>
        <w:t xml:space="preserve"> </w:t>
      </w:r>
      <w:r>
        <w:t xml:space="preserve">0.07%</w:t>
      </w:r>
      <w:r>
        <w:t xml:space="preserve"> </w:t>
      </w:r>
      <w:r>
        <w:t xml:space="preserve">Paper products, publishing</w:t>
      </w:r>
      <w:r>
        <w:t xml:space="preserve"> </w:t>
      </w:r>
      <w:r>
        <w:t xml:space="preserve">-0.03%</w:t>
      </w:r>
      <w:r>
        <w:t xml:space="preserve"> </w:t>
      </w:r>
      <w:r>
        <w:t xml:space="preserve">-0.03%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Non-metallic minerals</w:t>
      </w:r>
      <w:r>
        <w:t xml:space="preserve"> </w:t>
      </w:r>
      <w:r>
        <w:t xml:space="preserve">-0.76%</w:t>
      </w:r>
      <w:r>
        <w:t xml:space="preserve"> </w:t>
      </w:r>
      <w:r>
        <w:t xml:space="preserve">-0.74%</w:t>
      </w:r>
      <w:r>
        <w:t xml:space="preserve"> </w:t>
      </w:r>
      <w:r>
        <w:t xml:space="preserve">0.05%</w:t>
      </w:r>
      <w:r>
        <w:t xml:space="preserve"> </w:t>
      </w:r>
      <w:r>
        <w:t xml:space="preserve">0.05%</w:t>
      </w:r>
      <w:r>
        <w:t xml:space="preserve"> </w:t>
      </w:r>
      <w:r>
        <w:t xml:space="preserve">Source: GEM-E3 model (2025)</w:t>
      </w:r>
      <w:r>
        <w:t xml:space="preserve"> </w:t>
      </w:r>
      <w:r>
        <w:t xml:space="preserve">The issue of employment is directly linked to the long-term viability of industrial production</w:t>
      </w:r>
      <w:r>
        <w:t xml:space="preserve"> </w:t>
      </w:r>
      <w:r>
        <w:t xml:space="preserve">in Europe. During the stakeholder engagement (and further supported by OPC inputs),</w:t>
      </w:r>
      <w:r>
        <w:t xml:space="preserve"> </w:t>
      </w:r>
      <w:r>
        <w:t xml:space="preserve">industrial associations and businesses consistently argued that the competitiveness of EU</w:t>
      </w:r>
      <w:r>
        <w:t xml:space="preserve"> </w:t>
      </w:r>
      <w:r>
        <w:t xml:space="preserve">producers would be undermined without the continuation of free allocation and by ensuring</w:t>
      </w:r>
      <w:r>
        <w:t xml:space="preserve"> </w:t>
      </w:r>
      <w:r>
        <w:t xml:space="preserve">that the necessary enabling conditions are in place to enable decarbonisation rather than</w:t>
      </w:r>
      <w:r>
        <w:t xml:space="preserve"> </w:t>
      </w:r>
      <w:r>
        <w:t xml:space="preserve">deindustrialisation was frequently cited by stakeholders.</w:t>
      </w:r>
      <w:r>
        <w:t xml:space="preserve"> </w:t>
      </w:r>
      <w:r>
        <w:t xml:space="preserve">Continuation of ICC compensation (whether State aid or harmonised) is expected to have a</w:t>
      </w:r>
      <w:r>
        <w:t xml:space="preserve"> </w:t>
      </w:r>
      <w:r>
        <w:t xml:space="preserve">positive impact on employment by protecting against carbon leakage and supporting the</w:t>
      </w:r>
      <w:r>
        <w:t xml:space="preserve"> </w:t>
      </w:r>
      <w:r>
        <w:t xml:space="preserve">business case for electrification of industrial processes. While ICC is not intended to support</w:t>
      </w:r>
      <w:r>
        <w:t xml:space="preserve"> </w:t>
      </w:r>
      <w:r>
        <w:t xml:space="preserve">the capital cost for electrification investments, it strengthens the business case from them by</w:t>
      </w:r>
      <w:r>
        <w:t xml:space="preserve"> </w:t>
      </w:r>
      <w:r>
        <w:t xml:space="preserve">ensuring beneficiaries will not be disadvantaged in the early years when indirect carbon cost</w:t>
      </w:r>
      <w:r>
        <w:t xml:space="preserve"> </w:t>
      </w:r>
      <w:r>
        <w:t xml:space="preserve">may continue to be an important influence on electricity prices.</w:t>
      </w:r>
      <w:r>
        <w:br/>
      </w:r>
      <w:r>
        <w:t xml:space="preserve">1.4.3.2.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In accordance with the Better Regulation Guidelines, the policy measures were assessed to</w:t>
      </w:r>
      <w:r>
        <w:t xml:space="preserve"> </w:t>
      </w:r>
      <w:r>
        <w:t xml:space="preserve">understand if there is impact on the fundamental rights endorsed by the EU Charter of</w:t>
      </w:r>
      <w:r>
        <w:t xml:space="preserve"> </w:t>
      </w:r>
      <w:r>
        <w:t xml:space="preserve">Fundamental Rights. Following a screening of the fundamental rights, the judgement was taken</w:t>
      </w:r>
      <w:r>
        <w:t xml:space="preserve"> </w:t>
      </w:r>
      <w:r>
        <w:t xml:space="preserve">that the policy measures do not have a negative impact and are likely to have a positive impact</w:t>
      </w:r>
      <w:r>
        <w:t xml:space="preserve"> </w:t>
      </w:r>
      <w:r>
        <w:t xml:space="preserve">on the fundamental right with regards to environmental protection under Article 37.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1.4.4. Environmental impacts</w:t>
      </w:r>
      <w:r>
        <w:t xml:space="preserve"> </w:t>
      </w:r>
      <w:r>
        <w:t xml:space="preserve">1.4.4.1.</w:t>
      </w:r>
      <w:r>
        <w:t xml:space="preserve"> </w:t>
      </w:r>
      <w:r>
        <w:t xml:space="preserve">Climate</w:t>
      </w:r>
      <w:r>
        <w:br/>
      </w:r>
      <w:r>
        <w:t xml:space="preserve">1.4.4.1.1.</w:t>
      </w:r>
      <w:r>
        <w:t xml:space="preserve"> </w:t>
      </w:r>
      <w:r>
        <w:t xml:space="preserve">Free allocation: carbon leakage rates</w:t>
      </w:r>
      <w:r>
        <w:t xml:space="preserve"> </w:t>
      </w:r>
      <w:r>
        <w:t xml:space="preserve">The conventional approach for carbon leakage assessment considers the emissions that increase</w:t>
      </w:r>
      <w:r>
        <w:t xml:space="preserve"> </w:t>
      </w:r>
      <w:r>
        <w:t xml:space="preserve">in one (not regulated) region whilst decreasing in another regulated region and can be expressed</w:t>
      </w:r>
      <w:r>
        <w:t xml:space="preserve"> </w:t>
      </w:r>
      <w:r>
        <w:t xml:space="preserve">by the following simple formula: Carbon leakage rate = increase in foreign emissions /</w:t>
      </w:r>
      <w:r>
        <w:t xml:space="preserve"> </w:t>
      </w:r>
      <w:r>
        <w:t xml:space="preserve">decrease in domestic emissions. However, as described in Table 25, EU27 EU ETS GHG</w:t>
      </w:r>
      <w:r>
        <w:t xml:space="preserve"> </w:t>
      </w:r>
      <w:r>
        <w:t xml:space="preserve">emissions increase from baseline levels in all scenarios. Therefore, the conventional formula</w:t>
      </w:r>
      <w:r>
        <w:t xml:space="preserve"> </w:t>
      </w:r>
      <w:r>
        <w:t xml:space="preserve">for carbon leakage estimation is not relevant to this analysis.</w:t>
      </w:r>
      <w:r>
        <w:br/>
      </w:r>
      <w:r>
        <w:t xml:space="preserve">Table 25: Change in the EU 27 emissions in 2040 relative to baseline scenario (in MtCO2eq)</w:t>
      </w:r>
    </w:p>
    <w:p>
      <w:pPr>
        <w:pStyle w:val="BodyText"/>
      </w:pPr>
      <w:r>
        <w:t xml:space="preserve">Policy options</w:t>
      </w:r>
    </w:p>
    <w:p>
      <w:pPr>
        <w:pStyle w:val="BodyText"/>
      </w:pPr>
      <w:r>
        <w:t xml:space="preserve">PO1 PO1R PO2_50 PO2_50C PO2_90 PO2_90C</w:t>
      </w:r>
      <w:r>
        <w:t xml:space="preserve"> </w:t>
      </w:r>
      <w:r>
        <w:t xml:space="preserve">PO3</w:t>
      </w:r>
      <w:r>
        <w:t xml:space="preserve"> </w:t>
      </w:r>
      <w:r>
        <w:t xml:space="preserve">PO3R</w:t>
      </w:r>
      <w:r>
        <w:t xml:space="preserve"> </w:t>
      </w:r>
      <w:r>
        <w:t xml:space="preserve">Total economy</w:t>
      </w:r>
      <w:r>
        <w:t xml:space="preserve"> </w:t>
      </w:r>
      <w:r>
        <w:t xml:space="preserve">7.72</w:t>
      </w:r>
      <w:r>
        <w:t xml:space="preserve"> </w:t>
      </w:r>
      <w:r>
        <w:t xml:space="preserve">8.09</w:t>
      </w:r>
      <w:r>
        <w:t xml:space="preserve"> </w:t>
      </w:r>
      <w:r>
        <w:t xml:space="preserve">7.03</w:t>
      </w:r>
      <w:r>
        <w:t xml:space="preserve"> </w:t>
      </w:r>
      <w:r>
        <w:t xml:space="preserve">7.86</w:t>
      </w:r>
      <w:r>
        <w:t xml:space="preserve"> </w:t>
      </w:r>
      <w:r>
        <w:t xml:space="preserve">9.46</w:t>
      </w:r>
      <w:r>
        <w:t xml:space="preserve"> </w:t>
      </w:r>
      <w:r>
        <w:t xml:space="preserve">10.17</w:t>
      </w:r>
      <w:r>
        <w:t xml:space="preserve"> </w:t>
      </w:r>
      <w:r>
        <w:t xml:space="preserve">45.84</w:t>
      </w:r>
      <w:r>
        <w:t xml:space="preserve"> </w:t>
      </w:r>
      <w:r>
        <w:t xml:space="preserve">46.13</w:t>
      </w:r>
      <w:r>
        <w:t xml:space="preserve"> </w:t>
      </w:r>
      <w:r>
        <w:t xml:space="preserve">Ferrous metals</w:t>
      </w:r>
      <w:r>
        <w:t xml:space="preserve"> </w:t>
      </w:r>
      <w:r>
        <w:t xml:space="preserve">0.06</w:t>
      </w:r>
      <w:r>
        <w:t xml:space="preserve"> </w:t>
      </w:r>
      <w:r>
        <w:t xml:space="preserve">0.03</w:t>
      </w:r>
      <w:r>
        <w:t xml:space="preserve"> </w:t>
      </w:r>
      <w:r>
        <w:t xml:space="preserve">0.37</w:t>
      </w:r>
      <w:r>
        <w:t xml:space="preserve"> </w:t>
      </w:r>
      <w:r>
        <w:t xml:space="preserve">0.46</w:t>
      </w:r>
      <w:r>
        <w:t xml:space="preserve"> </w:t>
      </w:r>
      <w:r>
        <w:t xml:space="preserve">0.39</w:t>
      </w:r>
      <w:r>
        <w:t xml:space="preserve"> </w:t>
      </w:r>
      <w:r>
        <w:t xml:space="preserve">0.47</w:t>
      </w:r>
      <w:r>
        <w:t xml:space="preserve"> </w:t>
      </w:r>
      <w:r>
        <w:t xml:space="preserve">2.51</w:t>
      </w:r>
      <w:r>
        <w:t xml:space="preserve"> </w:t>
      </w:r>
      <w:r>
        <w:t xml:space="preserve">2.42</w:t>
      </w:r>
      <w:r>
        <w:t xml:space="preserve"> </w:t>
      </w:r>
      <w:r>
        <w:t xml:space="preserve">Non-ferrous metals</w:t>
      </w:r>
      <w:r>
        <w:t xml:space="preserve"> </w:t>
      </w:r>
      <w:r>
        <w:t xml:space="preserve">0.04</w:t>
      </w:r>
      <w:r>
        <w:t xml:space="preserve"> </w:t>
      </w:r>
      <w:r>
        <w:t xml:space="preserve">-0.01</w:t>
      </w:r>
      <w:r>
        <w:t xml:space="preserve"> </w:t>
      </w:r>
      <w:r>
        <w:t xml:space="preserve">0.07</w:t>
      </w:r>
      <w:r>
        <w:t xml:space="preserve"> </w:t>
      </w:r>
      <w:r>
        <w:t xml:space="preserve">0.09</w:t>
      </w:r>
      <w:r>
        <w:t xml:space="preserve"> </w:t>
      </w:r>
      <w:r>
        <w:t xml:space="preserve">0.08</w:t>
      </w:r>
      <w:r>
        <w:t xml:space="preserve"> </w:t>
      </w:r>
      <w:r>
        <w:t xml:space="preserve">0.09</w:t>
      </w:r>
      <w:r>
        <w:t xml:space="preserve"> </w:t>
      </w:r>
      <w:r>
        <w:t xml:space="preserve">0.46</w:t>
      </w:r>
      <w:r>
        <w:t xml:space="preserve"> </w:t>
      </w:r>
      <w:r>
        <w:t xml:space="preserve">0.42</w:t>
      </w:r>
      <w:r>
        <w:t xml:space="preserve"> </w:t>
      </w:r>
      <w:r>
        <w:t xml:space="preserve">Chemical Products</w:t>
      </w:r>
      <w:r>
        <w:t xml:space="preserve"> </w:t>
      </w:r>
      <w:r>
        <w:t xml:space="preserve">0.83</w:t>
      </w:r>
      <w:r>
        <w:t xml:space="preserve"> </w:t>
      </w:r>
      <w:r>
        <w:t xml:space="preserve">0.76</w:t>
      </w:r>
      <w:r>
        <w:t xml:space="preserve"> </w:t>
      </w:r>
      <w:r>
        <w:t xml:space="preserve">0.99</w:t>
      </w:r>
      <w:r>
        <w:t xml:space="preserve"> </w:t>
      </w:r>
      <w:r>
        <w:t xml:space="preserve">1.05</w:t>
      </w:r>
      <w:r>
        <w:t xml:space="preserve"> </w:t>
      </w:r>
      <w:r>
        <w:t xml:space="preserve">1.25</w:t>
      </w:r>
      <w:r>
        <w:t xml:space="preserve"> </w:t>
      </w:r>
      <w:r>
        <w:t xml:space="preserve">1.30</w:t>
      </w:r>
      <w:r>
        <w:t xml:space="preserve"> </w:t>
      </w:r>
      <w:r>
        <w:t xml:space="preserve">4.07</w:t>
      </w:r>
      <w:r>
        <w:t xml:space="preserve"> </w:t>
      </w:r>
      <w:r>
        <w:t xml:space="preserve">3.99</w:t>
      </w:r>
      <w:r>
        <w:t xml:space="preserve"> </w:t>
      </w:r>
      <w:r>
        <w:t xml:space="preserve">Paper products,</w:t>
      </w:r>
      <w:r>
        <w:t xml:space="preserve"> </w:t>
      </w:r>
      <w:r>
        <w:t xml:space="preserve">publishing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0.31</w:t>
      </w:r>
      <w:r>
        <w:t xml:space="preserve"> </w:t>
      </w:r>
      <w:r>
        <w:t xml:space="preserve">0.31</w:t>
      </w:r>
      <w:r>
        <w:t xml:space="preserve"> </w:t>
      </w:r>
      <w:r>
        <w:t xml:space="preserve">Non-metallic</w:t>
      </w:r>
      <w:r>
        <w:t xml:space="preserve"> </w:t>
      </w:r>
      <w:r>
        <w:t xml:space="preserve">minerals</w:t>
      </w:r>
      <w:r>
        <w:t xml:space="preserve"> </w:t>
      </w:r>
      <w:r>
        <w:t xml:space="preserve">1.00</w:t>
      </w:r>
      <w:r>
        <w:t xml:space="preserve"> </w:t>
      </w:r>
      <w:r>
        <w:t xml:space="preserve">0.86</w:t>
      </w:r>
      <w:r>
        <w:t xml:space="preserve"> </w:t>
      </w:r>
      <w:r>
        <w:t xml:space="preserve">1.82</w:t>
      </w:r>
      <w:r>
        <w:t xml:space="preserve"> </w:t>
      </w:r>
      <w:r>
        <w:t xml:space="preserve">2.43</w:t>
      </w:r>
      <w:r>
        <w:t xml:space="preserve"> </w:t>
      </w:r>
      <w:r>
        <w:t xml:space="preserve">2.13</w:t>
      </w:r>
      <w:r>
        <w:t xml:space="preserve"> </w:t>
      </w:r>
      <w:r>
        <w:t xml:space="preserve">2.65</w:t>
      </w:r>
      <w:r>
        <w:t xml:space="preserve"> </w:t>
      </w:r>
      <w:r>
        <w:t xml:space="preserve">9.99</w:t>
      </w:r>
      <w:r>
        <w:t xml:space="preserve"> </w:t>
      </w:r>
      <w:r>
        <w:t xml:space="preserve">9.81</w:t>
      </w:r>
      <w:r>
        <w:t xml:space="preserve"> </w:t>
      </w:r>
      <w:r>
        <w:t xml:space="preserve">Source: GEM-E3 model (2025)</w:t>
      </w:r>
      <w:r>
        <w:t xml:space="preserve"> </w:t>
      </w:r>
      <w:r>
        <w:t xml:space="preserve">Emissions are influenced both by the number of free allowances allocated and by the carbon</w:t>
      </w:r>
      <w:r>
        <w:t xml:space="preserve"> </w:t>
      </w:r>
      <w:r>
        <w:t xml:space="preserve">price required to meet the ETS cap. In PO2—and especially in PO3—the inclusion of waste</w:t>
      </w:r>
      <w:r>
        <w:t xml:space="preserve"> </w:t>
      </w:r>
      <w:r>
        <w:t xml:space="preserve">leads to the increase of the cap compared to the baseline, thus providing additional protection</w:t>
      </w:r>
      <w:r>
        <w:t xml:space="preserve"> </w:t>
      </w:r>
      <w:r>
        <w:t xml:space="preserve">against carbon leakage. Overall, EU27 emissions increase across most scenarios, driven by</w:t>
      </w:r>
      <w:r>
        <w:t xml:space="preserve"> </w:t>
      </w:r>
      <w:r>
        <w:t xml:space="preserve">three main factors: 1) the number of free allowances allocated in EU ETS sectors; 2) the carbon</w:t>
      </w:r>
      <w:r>
        <w:t xml:space="preserve"> </w:t>
      </w:r>
      <w:r>
        <w:t xml:space="preserve">price required to meet the cap and 3) the increase in economic activity observed in all scenarios.</w:t>
      </w:r>
      <w:r>
        <w:br/>
      </w:r>
      <w:r>
        <w:t xml:space="preserve">The only case in which EU27 emissions decline is observed in the non-ferrous metals sector</w:t>
      </w:r>
      <w:r>
        <w:t xml:space="preserve"> </w:t>
      </w:r>
      <w:r>
        <w:t xml:space="preserve">under PO1 with recycling, where a reduction in activity leads to a corresponding decrease in</w:t>
      </w:r>
      <w:r>
        <w:t xml:space="preserve"> </w:t>
      </w:r>
      <w:r>
        <w:t xml:space="preserve">emissions. In contrast, the chemicals and non-metallic minerals sectors exhibit the largest</w:t>
      </w:r>
      <w:r>
        <w:t xml:space="preserve"> </w:t>
      </w:r>
      <w:r>
        <w:t xml:space="preserve">absolute increases in emissions, reflecting the higher number of free allowances allocated to</w:t>
      </w:r>
      <w:r>
        <w:t xml:space="preserve"> </w:t>
      </w:r>
      <w:r>
        <w:t xml:space="preserve">these sectors relative to other EU ETS sectors and compared to the baseline scenario. The</w:t>
      </w:r>
      <w:r>
        <w:t xml:space="preserve"> </w:t>
      </w:r>
      <w:r>
        <w:t xml:space="preserve">extension of free allocation to CBAM sectors also results in a slight increase in emissions in</w:t>
      </w:r>
      <w:r>
        <w:t xml:space="preserve"> </w:t>
      </w:r>
      <w:r>
        <w:t xml:space="preserve">those sectors. At the level of the total economy, EU27 emissions increase because of higher</w:t>
      </w:r>
      <w:r>
        <w:t xml:space="preserve"> </w:t>
      </w:r>
      <w:r>
        <w:t xml:space="preserve">overall activity across all scenarios. Moreover, the inclusion of waste emissions further raises</w:t>
      </w:r>
      <w:r>
        <w:t xml:space="preserve"> </w:t>
      </w:r>
      <w:r>
        <w:t xml:space="preserve">emissions in EU ETS sectors, with the largest increase observed in PO3, where all waste</w:t>
      </w:r>
      <w:r>
        <w:t xml:space="preserve"> </w:t>
      </w:r>
      <w:r>
        <w:t xml:space="preserve">emissions are fully covered under the EU ETS.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The lower non-EU emissions for the EU ETS sectors are on account of the competitiveness</w:t>
      </w:r>
      <w:r>
        <w:t xml:space="preserve"> </w:t>
      </w:r>
      <w:r>
        <w:t xml:space="preserve">gains experienced by these sectors within the EU that overcome potential positive demand</w:t>
      </w:r>
      <w:r>
        <w:t xml:space="preserve"> </w:t>
      </w:r>
      <w:r>
        <w:t xml:space="preserve">effects due to the small positive macroeconomic effects seen in the EU. The increase in free</w:t>
      </w:r>
      <w:r>
        <w:t xml:space="preserve"> </w:t>
      </w:r>
      <w:r>
        <w:t xml:space="preserve">allowances and the reduction of the carbon prices result in a decline in unit cost of production</w:t>
      </w:r>
      <w:r>
        <w:t xml:space="preserve"> </w:t>
      </w:r>
      <w:r>
        <w:t xml:space="preserve">for the EU ETS sectors. This results in competitiveness gains resulting to lower emissions</w:t>
      </w:r>
      <w:r>
        <w:t xml:space="preserve"> </w:t>
      </w:r>
      <w:r>
        <w:t xml:space="preserve">outside EU27. This result in more pronounced in the chemicals and non-metallic minerals</w:t>
      </w:r>
      <w:r>
        <w:t xml:space="preserve"> </w:t>
      </w:r>
      <w:r>
        <w:t xml:space="preserve">sectors as the have the largest competitiveness gains.</w:t>
      </w:r>
      <w:r>
        <w:t xml:space="preserve"> </w:t>
      </w:r>
      <w:r>
        <w:t xml:space="preserve">Table 26: Change in the non-EU 27 emissions in 2040 relative to the PRIMES baseline scenario</w:t>
      </w:r>
      <w:r>
        <w:t xml:space="preserve"> </w:t>
      </w:r>
      <w:r>
        <w:t xml:space="preserve">(in MtCO2eq)</w:t>
      </w:r>
    </w:p>
    <w:p>
      <w:pPr>
        <w:pStyle w:val="BodyText"/>
      </w:pPr>
      <w:r>
        <w:t xml:space="preserve">Policy options</w:t>
      </w:r>
    </w:p>
    <w:p>
      <w:pPr>
        <w:pStyle w:val="BodyText"/>
      </w:pPr>
      <w:r>
        <w:t xml:space="preserve">CL1</w:t>
      </w:r>
      <w:r>
        <w:t xml:space="preserve"> </w:t>
      </w:r>
      <w:r>
        <w:t xml:space="preserve">CL1R</w:t>
      </w:r>
      <w:r>
        <w:t xml:space="preserve"> </w:t>
      </w:r>
      <w:r>
        <w:t xml:space="preserve">CL2_5</w:t>
      </w:r>
      <w:r>
        <w:t xml:space="preserve"> </w:t>
      </w:r>
      <w:r>
        <w:t xml:space="preserve">0</w:t>
      </w:r>
      <w:r>
        <w:t xml:space="preserve"> </w:t>
      </w:r>
      <w:r>
        <w:t xml:space="preserve">PO2_5</w:t>
      </w:r>
      <w:r>
        <w:t xml:space="preserve"> </w:t>
      </w:r>
      <w:r>
        <w:t xml:space="preserve">0C</w:t>
      </w:r>
      <w:r>
        <w:t xml:space="preserve"> </w:t>
      </w:r>
      <w:r>
        <w:t xml:space="preserve">CL2_9</w:t>
      </w:r>
      <w:r>
        <w:t xml:space="preserve"> </w:t>
      </w:r>
      <w:r>
        <w:t xml:space="preserve">0</w:t>
      </w:r>
      <w:r>
        <w:t xml:space="preserve"> </w:t>
      </w:r>
      <w:r>
        <w:t xml:space="preserve">PO2_9</w:t>
      </w:r>
      <w:r>
        <w:t xml:space="preserve"> </w:t>
      </w:r>
      <w:r>
        <w:t xml:space="preserve">0C</w:t>
      </w:r>
      <w:r>
        <w:t xml:space="preserve"> </w:t>
      </w:r>
      <w:r>
        <w:t xml:space="preserve">CL3</w:t>
      </w:r>
      <w:r>
        <w:t xml:space="preserve"> </w:t>
      </w:r>
      <w:r>
        <w:t xml:space="preserve">CL3R</w:t>
      </w:r>
      <w:r>
        <w:t xml:space="preserve"> </w:t>
      </w:r>
      <w:r>
        <w:t xml:space="preserve">Total economy</w:t>
      </w:r>
      <w:r>
        <w:t xml:space="preserve"> </w:t>
      </w:r>
      <w:r>
        <w:t xml:space="preserve">-8.36</w:t>
      </w:r>
      <w:r>
        <w:t xml:space="preserve"> </w:t>
      </w:r>
      <w:r>
        <w:t xml:space="preserve">-6.37</w:t>
      </w:r>
      <w:r>
        <w:t xml:space="preserve"> </w:t>
      </w:r>
      <w:r>
        <w:t xml:space="preserve">-4.51</w:t>
      </w:r>
      <w:r>
        <w:t xml:space="preserve"> </w:t>
      </w:r>
      <w:r>
        <w:t xml:space="preserve">-6.88</w:t>
      </w:r>
      <w:r>
        <w:t xml:space="preserve"> </w:t>
      </w:r>
      <w:r>
        <w:t xml:space="preserve">-6.95</w:t>
      </w:r>
      <w:r>
        <w:t xml:space="preserve"> </w:t>
      </w:r>
      <w:r>
        <w:t xml:space="preserve">-8.93</w:t>
      </w:r>
      <w:r>
        <w:t xml:space="preserve"> </w:t>
      </w:r>
      <w:r>
        <w:t xml:space="preserve">-4.67</w:t>
      </w:r>
      <w:r>
        <w:t xml:space="preserve"> </w:t>
      </w:r>
      <w:r>
        <w:t xml:space="preserve">-3.97</w:t>
      </w:r>
      <w:r>
        <w:t xml:space="preserve"> </w:t>
      </w:r>
      <w:r>
        <w:t xml:space="preserve">Ferrous metals</w:t>
      </w:r>
      <w:r>
        <w:t xml:space="preserve"> </w:t>
      </w:r>
      <w:r>
        <w:t xml:space="preserve">0.27</w:t>
      </w:r>
      <w:r>
        <w:t xml:space="preserve"> </w:t>
      </w:r>
      <w:r>
        <w:t xml:space="preserve">1.03</w:t>
      </w:r>
      <w:r>
        <w:t xml:space="preserve"> </w:t>
      </w:r>
      <w:r>
        <w:t xml:space="preserve">0.10</w:t>
      </w:r>
      <w:r>
        <w:t xml:space="preserve"> </w:t>
      </w:r>
      <w:r>
        <w:t xml:space="preserve">-0.16</w:t>
      </w:r>
      <w:r>
        <w:t xml:space="preserve"> </w:t>
      </w:r>
      <w:r>
        <w:t xml:space="preserve">0.19</w:t>
      </w:r>
      <w:r>
        <w:t xml:space="preserve"> </w:t>
      </w:r>
      <w:r>
        <w:t xml:space="preserve">-0.03</w:t>
      </w:r>
      <w:r>
        <w:t xml:space="preserve"> </w:t>
      </w:r>
      <w:r>
        <w:t xml:space="preserve">-0.39</w:t>
      </w:r>
      <w:r>
        <w:t xml:space="preserve"> </w:t>
      </w:r>
      <w:r>
        <w:t xml:space="preserve">0.38</w:t>
      </w:r>
      <w:r>
        <w:t xml:space="preserve"> </w:t>
      </w:r>
      <w:r>
        <w:t xml:space="preserve">Non-ferrous metals</w:t>
      </w:r>
      <w:r>
        <w:t xml:space="preserve"> </w:t>
      </w:r>
      <w:r>
        <w:t xml:space="preserve">0.00</w:t>
      </w:r>
      <w:r>
        <w:t xml:space="preserve"> </w:t>
      </w:r>
      <w:r>
        <w:t xml:space="preserve">0.28</w:t>
      </w:r>
      <w:r>
        <w:t xml:space="preserve"> </w:t>
      </w:r>
      <w:r>
        <w:t xml:space="preserve">-0.03</w:t>
      </w:r>
      <w:r>
        <w:t xml:space="preserve"> </w:t>
      </w:r>
      <w:r>
        <w:t xml:space="preserve">-0.07</w:t>
      </w:r>
      <w:r>
        <w:t xml:space="preserve"> </w:t>
      </w:r>
      <w:r>
        <w:t xml:space="preserve">-0.03</w:t>
      </w:r>
      <w:r>
        <w:t xml:space="preserve"> </w:t>
      </w:r>
      <w:r>
        <w:t xml:space="preserve">-0.06</w:t>
      </w:r>
      <w:r>
        <w:t xml:space="preserve"> </w:t>
      </w:r>
      <w:r>
        <w:t xml:space="preserve">-0.20</w:t>
      </w:r>
      <w:r>
        <w:t xml:space="preserve"> </w:t>
      </w:r>
      <w:r>
        <w:t xml:space="preserve">0.09</w:t>
      </w:r>
      <w:r>
        <w:t xml:space="preserve"> </w:t>
      </w:r>
      <w:r>
        <w:t xml:space="preserve">Chemical Products</w:t>
      </w:r>
      <w:r>
        <w:t xml:space="preserve"> </w:t>
      </w:r>
      <w:r>
        <w:t xml:space="preserve">-3.42</w:t>
      </w:r>
      <w:r>
        <w:t xml:space="preserve"> </w:t>
      </w:r>
      <w:r>
        <w:t xml:space="preserve">-1.97</w:t>
      </w:r>
      <w:r>
        <w:t xml:space="preserve"> </w:t>
      </w:r>
      <w:r>
        <w:t xml:space="preserve">-1.86</w:t>
      </w:r>
      <w:r>
        <w:t xml:space="preserve"> </w:t>
      </w:r>
      <w:r>
        <w:t xml:space="preserve">-2.10</w:t>
      </w:r>
      <w:r>
        <w:t xml:space="preserve"> </w:t>
      </w:r>
      <w:r>
        <w:t xml:space="preserve">-2.88</w:t>
      </w:r>
      <w:r>
        <w:t xml:space="preserve"> </w:t>
      </w:r>
      <w:r>
        <w:t xml:space="preserve">-3.08</w:t>
      </w:r>
      <w:r>
        <w:t xml:space="preserve"> </w:t>
      </w:r>
      <w:r>
        <w:t xml:space="preserve">-2.15</w:t>
      </w:r>
      <w:r>
        <w:t xml:space="preserve"> </w:t>
      </w:r>
      <w:r>
        <w:t xml:space="preserve">-1.25</w:t>
      </w:r>
      <w:r>
        <w:t xml:space="preserve"> </w:t>
      </w:r>
      <w:r>
        <w:t xml:space="preserve">Paper products,</w:t>
      </w:r>
      <w:r>
        <w:t xml:space="preserve"> </w:t>
      </w:r>
      <w:r>
        <w:t xml:space="preserve">publishing</w:t>
      </w:r>
      <w:r>
        <w:t xml:space="preserve"> </w:t>
      </w:r>
      <w:r>
        <w:t xml:space="preserve">0.02</w:t>
      </w:r>
      <w:r>
        <w:t xml:space="preserve"> </w:t>
      </w:r>
      <w:r>
        <w:t xml:space="preserve">0.03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0.03</w:t>
      </w:r>
      <w:r>
        <w:t xml:space="preserve"> </w:t>
      </w:r>
      <w:r>
        <w:t xml:space="preserve">0.01</w:t>
      </w:r>
      <w:r>
        <w:t xml:space="preserve"> </w:t>
      </w:r>
      <w:r>
        <w:t xml:space="preserve">0.02</w:t>
      </w:r>
      <w:r>
        <w:t xml:space="preserve"> </w:t>
      </w:r>
      <w:r>
        <w:t xml:space="preserve">Non-metallic minerals</w:t>
      </w:r>
      <w:r>
        <w:t xml:space="preserve"> </w:t>
      </w:r>
      <w:r>
        <w:t xml:space="preserve">-2.79</w:t>
      </w:r>
      <w:r>
        <w:t xml:space="preserve"> </w:t>
      </w:r>
      <w:r>
        <w:t xml:space="preserve">-1.44</w:t>
      </w:r>
      <w:r>
        <w:t xml:space="preserve"> </w:t>
      </w:r>
      <w:r>
        <w:t xml:space="preserve">-2.08</w:t>
      </w:r>
      <w:r>
        <w:t xml:space="preserve"> </w:t>
      </w:r>
      <w:r>
        <w:t xml:space="preserve">-3.99</w:t>
      </w:r>
      <w:r>
        <w:t xml:space="preserve"> </w:t>
      </w:r>
      <w:r>
        <w:t xml:space="preserve">-2.91</w:t>
      </w:r>
      <w:r>
        <w:t xml:space="preserve"> </w:t>
      </w:r>
      <w:r>
        <w:t xml:space="preserve">-4.52</w:t>
      </w:r>
      <w:r>
        <w:t xml:space="preserve"> </w:t>
      </w:r>
      <w:r>
        <w:t xml:space="preserve">-3.96</w:t>
      </w:r>
      <w:r>
        <w:t xml:space="preserve"> </w:t>
      </w:r>
      <w:r>
        <w:t xml:space="preserve">-2.68</w:t>
      </w:r>
      <w:r>
        <w:t xml:space="preserve"> </w:t>
      </w:r>
      <w:r>
        <w:t xml:space="preserve">Source: GEM-E3 model (2025)</w:t>
      </w:r>
      <w:r>
        <w:t xml:space="preserve"> </w:t>
      </w:r>
      <w:r>
        <w:t xml:space="preserve">Table 27 summarises the effects regarding carbon leakage when using the 90-85% cap pathway</w:t>
      </w:r>
      <w:r>
        <w:t xml:space="preserve"> </w:t>
      </w:r>
      <w:r>
        <w:t xml:space="preserve">(see section 1.3.1.1), compared with the reference 85% linear trajectory. This scenario shows</w:t>
      </w:r>
      <w:r>
        <w:t xml:space="preserve"> </w:t>
      </w:r>
      <w:r>
        <w:t xml:space="preserve">that for most sectors, the more ambitious cap trajectory results in some decrease in EU27</w:t>
      </w:r>
      <w:r>
        <w:t xml:space="preserve"> </w:t>
      </w:r>
      <w:r>
        <w:t xml:space="preserve">emissions and increases in the non-EU27 emissions in 2035, indicating a marginally higher</w:t>
      </w:r>
      <w:r>
        <w:t xml:space="preserve"> </w:t>
      </w:r>
      <w:r>
        <w:t xml:space="preserve">carbon leakage rates at that point. The differences in the results for 2040 are marginal or 0.</w:t>
      </w:r>
      <w:r>
        <w:br/>
      </w:r>
      <w:r>
        <w:t xml:space="preserve">Table 27: Difference EU27 and non-EU27 emissions levels for variants CL290_9085 and</w:t>
      </w:r>
      <w:r>
        <w:t xml:space="preserve"> </w:t>
      </w:r>
      <w:r>
        <w:t xml:space="preserve">CL290C_9085 compared to scenarios CL2_90 and CL2_90C.</w:t>
      </w:r>
    </w:p>
    <w:p>
      <w:pPr>
        <w:pStyle w:val="BodyText"/>
      </w:pPr>
      <w:r>
        <w:t xml:space="preserve">2035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CL2_90_9085</w:t>
      </w:r>
      <w:r>
        <w:t xml:space="preserve"> </w:t>
      </w:r>
      <w:r>
        <w:t xml:space="preserve">CL2_90C_9085</w:t>
      </w:r>
      <w:r>
        <w:t xml:space="preserve"> </w:t>
      </w:r>
      <w:r>
        <w:t xml:space="preserve">CL2_90_908</w:t>
      </w:r>
      <w:r>
        <w:t xml:space="preserve"> </w:t>
      </w:r>
      <w:r>
        <w:t xml:space="preserve">5</w:t>
      </w:r>
      <w:r>
        <w:t xml:space="preserve"> </w:t>
      </w:r>
      <w:r>
        <w:t xml:space="preserve">CL2_90C_908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EU27</w:t>
      </w:r>
      <w:r>
        <w:t xml:space="preserve"> </w:t>
      </w:r>
      <w:r>
        <w:t xml:space="preserve">Non-</w:t>
      </w:r>
      <w:r>
        <w:t xml:space="preserve"> </w:t>
      </w:r>
      <w:r>
        <w:t xml:space="preserve">EU27</w:t>
      </w:r>
      <w:r>
        <w:t xml:space="preserve"> </w:t>
      </w:r>
      <w:r>
        <w:t xml:space="preserve">EU27</w:t>
      </w:r>
      <w:r>
        <w:t xml:space="preserve"> </w:t>
      </w:r>
      <w:r>
        <w:t xml:space="preserve">Non-</w:t>
      </w:r>
      <w:r>
        <w:t xml:space="preserve"> </w:t>
      </w:r>
      <w:r>
        <w:t xml:space="preserve">EU27</w:t>
      </w:r>
      <w:r>
        <w:t xml:space="preserve"> </w:t>
      </w:r>
      <w:r>
        <w:t xml:space="preserve">EU27</w:t>
      </w:r>
      <w:r>
        <w:t xml:space="preserve"> </w:t>
      </w:r>
      <w:r>
        <w:t xml:space="preserve">Non-EU27</w:t>
      </w:r>
      <w:r>
        <w:t xml:space="preserve"> </w:t>
      </w:r>
      <w:r>
        <w:t xml:space="preserve">Total economy</w:t>
      </w:r>
      <w:r>
        <w:t xml:space="preserve"> </w:t>
      </w:r>
      <w:r>
        <w:t xml:space="preserve">-</w:t>
      </w:r>
      <w:r>
        <w:t xml:space="preserve"> </w:t>
      </w:r>
      <w:r>
        <w:t xml:space="preserve">29.91</w:t>
      </w:r>
      <w:r>
        <w:t xml:space="preserve"> </w:t>
      </w:r>
      <w:r>
        <w:t xml:space="preserve">2.54</w:t>
      </w:r>
      <w:r>
        <w:t xml:space="preserve"> </w:t>
      </w:r>
      <w:r>
        <w:t xml:space="preserve">-</w:t>
      </w:r>
      <w:r>
        <w:t xml:space="preserve"> </w:t>
      </w:r>
      <w:r>
        <w:t xml:space="preserve">30.03</w:t>
      </w:r>
      <w:r>
        <w:t xml:space="preserve"> </w:t>
      </w:r>
      <w:r>
        <w:t xml:space="preserve">2.50</w:t>
      </w:r>
      <w:r>
        <w:t xml:space="preserve"> </w:t>
      </w:r>
      <w:r>
        <w:t xml:space="preserve">-0.32</w:t>
      </w:r>
      <w:r>
        <w:t xml:space="preserve"> </w:t>
      </w:r>
      <w:r>
        <w:t xml:space="preserve">-0.44</w:t>
      </w:r>
      <w:r>
        <w:t xml:space="preserve"> </w:t>
      </w:r>
      <w:r>
        <w:t xml:space="preserve">-0.31</w:t>
      </w:r>
      <w:r>
        <w:t xml:space="preserve"> </w:t>
      </w:r>
      <w:r>
        <w:t xml:space="preserve">-0.44</w:t>
      </w:r>
      <w:r>
        <w:t xml:space="preserve"> </w:t>
      </w:r>
      <w:r>
        <w:t xml:space="preserve">Ferrous metals</w:t>
      </w:r>
      <w:r>
        <w:t xml:space="preserve"> </w:t>
      </w:r>
      <w:r>
        <w:t xml:space="preserve">-1.92</w:t>
      </w:r>
      <w:r>
        <w:t xml:space="preserve"> </w:t>
      </w:r>
      <w:r>
        <w:t xml:space="preserve">0.21</w:t>
      </w:r>
      <w:r>
        <w:t xml:space="preserve"> </w:t>
      </w:r>
      <w:r>
        <w:t xml:space="preserve">-1.93</w:t>
      </w:r>
      <w:r>
        <w:t xml:space="preserve"> </w:t>
      </w:r>
      <w:r>
        <w:t xml:space="preserve">0.20</w:t>
      </w:r>
      <w:r>
        <w:t xml:space="preserve"> </w:t>
      </w:r>
      <w:r>
        <w:t xml:space="preserve">0.00</w:t>
      </w:r>
      <w:r>
        <w:t xml:space="preserve"> </w:t>
      </w:r>
      <w:r>
        <w:t xml:space="preserve">-0.01</w:t>
      </w:r>
      <w:r>
        <w:t xml:space="preserve"> </w:t>
      </w:r>
      <w:r>
        <w:t xml:space="preserve">0.00</w:t>
      </w:r>
      <w:r>
        <w:t xml:space="preserve"> </w:t>
      </w:r>
      <w:r>
        <w:t xml:space="preserve">-0.01</w:t>
      </w:r>
      <w:r>
        <w:t xml:space="preserve"> </w:t>
      </w:r>
      <w:r>
        <w:t xml:space="preserve">Non-ferrous metals</w:t>
      </w:r>
      <w:r>
        <w:t xml:space="preserve"> </w:t>
      </w:r>
      <w:r>
        <w:t xml:space="preserve">-0.29</w:t>
      </w:r>
      <w:r>
        <w:t xml:space="preserve"> </w:t>
      </w:r>
      <w:r>
        <w:t xml:space="preserve">0.07</w:t>
      </w:r>
      <w:r>
        <w:t xml:space="preserve"> </w:t>
      </w:r>
      <w:r>
        <w:t xml:space="preserve">-0.29</w:t>
      </w:r>
      <w:r>
        <w:t xml:space="preserve"> </w:t>
      </w:r>
      <w:r>
        <w:t xml:space="preserve">0.07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Chemical Products</w:t>
      </w:r>
      <w:r>
        <w:t xml:space="preserve"> </w:t>
      </w:r>
      <w:r>
        <w:t xml:space="preserve">-4.38</w:t>
      </w:r>
      <w:r>
        <w:t xml:space="preserve"> </w:t>
      </w:r>
      <w:r>
        <w:t xml:space="preserve">1.14</w:t>
      </w:r>
      <w:r>
        <w:t xml:space="preserve"> </w:t>
      </w:r>
      <w:r>
        <w:t xml:space="preserve">-4.39</w:t>
      </w:r>
      <w:r>
        <w:t xml:space="preserve"> </w:t>
      </w:r>
      <w:r>
        <w:t xml:space="preserve">1.14</w:t>
      </w:r>
      <w:r>
        <w:t xml:space="preserve"> </w:t>
      </w:r>
      <w:r>
        <w:t xml:space="preserve">0.03</w:t>
      </w:r>
      <w:r>
        <w:t xml:space="preserve"> </w:t>
      </w:r>
      <w:r>
        <w:t xml:space="preserve">-0.20</w:t>
      </w:r>
      <w:r>
        <w:t xml:space="preserve"> </w:t>
      </w:r>
      <w:r>
        <w:t xml:space="preserve">0.03</w:t>
      </w:r>
      <w:r>
        <w:t xml:space="preserve"> </w:t>
      </w:r>
      <w:r>
        <w:t xml:space="preserve">-0.20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Paper products,</w:t>
      </w:r>
      <w:r>
        <w:t xml:space="preserve"> </w:t>
      </w:r>
      <w:r>
        <w:t xml:space="preserve">publishing</w:t>
      </w:r>
      <w:r>
        <w:t xml:space="preserve"> </w:t>
      </w:r>
      <w:r>
        <w:t xml:space="preserve">-0.33</w:t>
      </w:r>
      <w:r>
        <w:t xml:space="preserve"> </w:t>
      </w:r>
      <w:r>
        <w:t xml:space="preserve">0.00</w:t>
      </w:r>
      <w:r>
        <w:t xml:space="preserve"> </w:t>
      </w:r>
      <w:r>
        <w:t xml:space="preserve">-0.33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Non-metallic minerals</w:t>
      </w:r>
      <w:r>
        <w:t xml:space="preserve"> </w:t>
      </w:r>
      <w:r>
        <w:t xml:space="preserve">-5.66</w:t>
      </w:r>
      <w:r>
        <w:t xml:space="preserve"> </w:t>
      </w:r>
      <w:r>
        <w:t xml:space="preserve">1.89</w:t>
      </w:r>
      <w:r>
        <w:t xml:space="preserve"> </w:t>
      </w:r>
      <w:r>
        <w:t xml:space="preserve">-5.74</w:t>
      </w:r>
      <w:r>
        <w:t xml:space="preserve"> </w:t>
      </w:r>
      <w:r>
        <w:t xml:space="preserve">1.85</w:t>
      </w:r>
      <w:r>
        <w:t xml:space="preserve"> </w:t>
      </w:r>
      <w:r>
        <w:t xml:space="preserve">0.03</w:t>
      </w:r>
      <w:r>
        <w:t xml:space="preserve"> </w:t>
      </w:r>
      <w:r>
        <w:t xml:space="preserve">-0.13</w:t>
      </w:r>
      <w:r>
        <w:t xml:space="preserve"> </w:t>
      </w:r>
      <w:r>
        <w:t xml:space="preserve">0.04</w:t>
      </w:r>
      <w:r>
        <w:t xml:space="preserve"> </w:t>
      </w:r>
      <w:r>
        <w:t xml:space="preserve">-0.14</w:t>
      </w:r>
      <w:r>
        <w:t xml:space="preserve"> </w:t>
      </w:r>
      <w:r>
        <w:t xml:space="preserve">Source: GEM-E3 model (2025)</w:t>
      </w:r>
      <w:r>
        <w:t xml:space="preserve"> </w:t>
      </w:r>
      <w:r>
        <w:t xml:space="preserve">1.4.4.1.2.</w:t>
      </w:r>
      <w:r>
        <w:t xml:space="preserve"> </w:t>
      </w:r>
      <w:r>
        <w:t xml:space="preserve">Indirect cost compensation</w:t>
      </w:r>
      <w:r>
        <w:t xml:space="preserve"> </w:t>
      </w:r>
      <w:r>
        <w:t xml:space="preserve">In principle, ICC compensation contributes to positive environmental outcomes by avoiding</w:t>
      </w:r>
      <w:r>
        <w:t xml:space="preserve"> </w:t>
      </w:r>
      <w:r>
        <w:t xml:space="preserve">carbon leakage in electro-intensive sectors and /or incentivising electrification of industrial</w:t>
      </w:r>
      <w:r>
        <w:t xml:space="preserve"> </w:t>
      </w:r>
      <w:r>
        <w:t xml:space="preserve">processes that would otherwise emit GHGs directly.</w:t>
      </w:r>
      <w:r>
        <w:br/>
      </w:r>
      <w:r>
        <w:t xml:space="preserve">The potential benefit of industrial electrification is large. There are available technologies</w:t>
      </w:r>
      <w:r>
        <w:t xml:space="preserve"> </w:t>
      </w:r>
      <w:r>
        <w:t xml:space="preserve">capable of meeting 60% of European industrial process heat demand today, and 90% by 203529.</w:t>
      </w:r>
      <w:r>
        <w:t xml:space="preserve"> </w:t>
      </w:r>
      <w:r>
        <w:t xml:space="preserve">However, the net benefit in terms of emissions reduction is difficult to quantify due to the</w:t>
      </w:r>
      <w:r>
        <w:t xml:space="preserve"> </w:t>
      </w:r>
      <w:r>
        <w:t xml:space="preserve">variety of industrial processes concerned and the need to consider emissions that may arise</w:t>
      </w:r>
      <w:r>
        <w:t xml:space="preserve"> </w:t>
      </w:r>
      <w:r>
        <w:t xml:space="preserve">from additional electricity consumption.</w:t>
      </w:r>
      <w:r>
        <w:t xml:space="preserve"> </w:t>
      </w:r>
      <w:r>
        <w:t xml:space="preserve">Failure to compensate for ICC would nevertheless be suboptimal from an environmental point</w:t>
      </w:r>
      <w:r>
        <w:t xml:space="preserve"> </w:t>
      </w:r>
      <w:r>
        <w:t xml:space="preserve">of view. Since fossil fuels often constitute the marginal electricity generation technology, a</w:t>
      </w:r>
      <w:r>
        <w:t xml:space="preserve"> </w:t>
      </w:r>
      <w:r>
        <w:t xml:space="preserve">carbon cost is often passed onto electricity consumers that is more than the direct carbon cost</w:t>
      </w:r>
      <w:r>
        <w:t xml:space="preserve"> </w:t>
      </w:r>
      <w:r>
        <w:t xml:space="preserve">paid by electricity generators for their embedded emissions (i.e. this carbon cost is effectively</w:t>
      </w:r>
      <w:r>
        <w:t xml:space="preserve"> </w:t>
      </w:r>
      <w:r>
        <w:t xml:space="preserve">paid by all consumers on the wholesale electricity market, even if a lot of this electricity is zero</w:t>
      </w:r>
      <w:r>
        <w:t xml:space="preserve"> </w:t>
      </w:r>
      <w:r>
        <w:t xml:space="preserve">carbon). This in turn has the effect of discouraging electrified industrial processes and</w:t>
      </w:r>
      <w:r>
        <w:t xml:space="preserve"> </w:t>
      </w:r>
      <w:r>
        <w:t xml:space="preserve">incentivising the use of processes that emit GHGs directly, on top of the fact that free</w:t>
      </w:r>
      <w:r>
        <w:t xml:space="preserve"> </w:t>
      </w:r>
      <w:r>
        <w:t xml:space="preserve">allowances are available for direct emissions.</w:t>
      </w:r>
      <w:r>
        <w:t xml:space="preserve"> </w:t>
      </w:r>
      <w:r>
        <w:t xml:space="preserve">1.4.5. Summary</w:t>
      </w:r>
      <w:r>
        <w:t xml:space="preserve"> </w:t>
      </w:r>
      <w:r>
        <w:t xml:space="preserve">The assessment in the previous sections show the relative effects of the different policy</w:t>
      </w:r>
      <w:r>
        <w:t xml:space="preserve"> </w:t>
      </w:r>
      <w:r>
        <w:t xml:space="preserve">measures against the baseline. On most issues, measures CL1 and CL2 show similar effects,</w:t>
      </w:r>
      <w:r>
        <w:t xml:space="preserve"> </w:t>
      </w:r>
      <w:r>
        <w:t xml:space="preserve">with small relative differences between the two sets of measures. The largest impacts, in</w:t>
      </w:r>
      <w:r>
        <w:t xml:space="preserve"> </w:t>
      </w:r>
      <w:r>
        <w:t xml:space="preserve">particular on carbon leakage, are driven by the changes in the overall ambition level for the EU</w:t>
      </w:r>
      <w:r>
        <w:t xml:space="preserve"> </w:t>
      </w:r>
      <w:r>
        <w:t xml:space="preserve">ETS and the resulting additional free allocation. CL2 on conditional free allocation is</w:t>
      </w:r>
      <w:r>
        <w:t xml:space="preserve"> </w:t>
      </w:r>
      <w:r>
        <w:t xml:space="preserve">considered the preferred option as, in addition to CL1, increases the incentives to invest in</w:t>
      </w:r>
      <w:r>
        <w:t xml:space="preserve"> </w:t>
      </w:r>
      <w:r>
        <w:t xml:space="preserve">decarbonisation and therefore better complement the measures on the Industrial</w:t>
      </w:r>
      <w:r>
        <w:t xml:space="preserve"> </w:t>
      </w:r>
      <w:r>
        <w:t xml:space="preserve">Decarbonisation Bank and the Innovation Fund. CL2 also better addresses the findings in the</w:t>
      </w:r>
      <w:r>
        <w:t xml:space="preserve"> </w:t>
      </w:r>
      <w:r>
        <w:t xml:space="preserve">Evaluation Report (see Annex 15) that indicate that free allocation, while effective at</w:t>
      </w:r>
      <w:r>
        <w:t xml:space="preserve"> </w:t>
      </w:r>
      <w:r>
        <w:t xml:space="preserve">addressing carbon leakage, has also reduced the effective carbon price and reduced the</w:t>
      </w:r>
      <w:r>
        <w:t xml:space="preserve"> </w:t>
      </w:r>
      <w:r>
        <w:t xml:space="preserve">incentives to invest in decarbonisation.</w:t>
      </w:r>
      <w:r>
        <w:br/>
      </w:r>
      <w:r>
        <w:t xml:space="preserve">As regards indirect cost compensation, both ICC1 and ICC2 have similar effects. ICC1,</w:t>
      </w:r>
      <w:r>
        <w:t xml:space="preserve"> </w:t>
      </w:r>
      <w:r>
        <w:t xml:space="preserve">continuing to provide indirect cost compensation via State aid, is the preferred option due to</w:t>
      </w:r>
      <w:r>
        <w:t xml:space="preserve"> </w:t>
      </w:r>
      <w:r>
        <w:t xml:space="preserve">the disadvantages of a harmonised, one-size fits all approach of ICC2, both in terms of</w:t>
      </w:r>
      <w:r>
        <w:t xml:space="preserve"> </w:t>
      </w:r>
      <w:r>
        <w:t xml:space="preserve">administrative costs and the reduced flexibility that ICC2 would imply for deciding the best</w:t>
      </w:r>
      <w:r>
        <w:t xml:space="preserve"> </w:t>
      </w:r>
      <w:r>
        <w:t xml:space="preserve">use of auction revenues.</w:t>
      </w:r>
    </w:p>
    <w:p>
      <w:pPr>
        <w:pStyle w:val="BodyText"/>
      </w:pPr>
      <w:r>
        <w:t xml:space="preserve">29 Fraunhofer ISI (2024): Direct electrification of industrial process heat. An assessment of technologies,</w:t>
      </w:r>
      <w:r>
        <w:t xml:space="preserve"> </w:t>
      </w:r>
      <w:r>
        <w:t xml:space="preserve">potentials and future prospects for the EU. Study on behalf of Agora Industry.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A qualitative overview of the impacts of the policy measures across the different categories are</w:t>
      </w:r>
      <w:r>
        <w:t xml:space="preserve"> </w:t>
      </w:r>
      <w:r>
        <w:t xml:space="preserve">provided below in Table 28.</w:t>
      </w:r>
      <w:r>
        <w:t xml:space="preserve"> </w:t>
      </w:r>
      <w:r>
        <w:t xml:space="preserve">Table 28: Summary of impact assessment for individual measures for carbon leakage relative to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CL1:</w:t>
      </w:r>
      <w:r>
        <w:t xml:space="preserve"> </w:t>
      </w:r>
      <w:r>
        <w:t xml:space="preserve">Improved</w:t>
      </w:r>
      <w:r>
        <w:t xml:space="preserve"> </w:t>
      </w:r>
      <w:r>
        <w:t xml:space="preserve">current</w:t>
      </w:r>
      <w:r>
        <w:t xml:space="preserve"> </w:t>
      </w:r>
      <w:r>
        <w:t xml:space="preserve">approach</w:t>
      </w:r>
      <w:r>
        <w:t xml:space="preserve"> </w:t>
      </w:r>
      <w:r>
        <w:t xml:space="preserve">CL2_90:</w:t>
      </w:r>
      <w:r>
        <w:t xml:space="preserve"> </w:t>
      </w:r>
      <w:r>
        <w:t xml:space="preserve">Conditionalit</w:t>
      </w:r>
      <w:r>
        <w:t xml:space="preserve"> </w:t>
      </w:r>
      <w:r>
        <w:t xml:space="preserve">y (90%</w:t>
      </w:r>
      <w:r>
        <w:t xml:space="preserve"> </w:t>
      </w:r>
      <w:r>
        <w:t xml:space="preserve">compliance)</w:t>
      </w:r>
      <w:r>
        <w:t xml:space="preserve"> </w:t>
      </w:r>
      <w:r>
        <w:t xml:space="preserve">CL2_50:</w:t>
      </w:r>
      <w:r>
        <w:t xml:space="preserve"> </w:t>
      </w:r>
      <w:r>
        <w:t xml:space="preserve">Conditionalit</w:t>
      </w:r>
      <w:r>
        <w:t xml:space="preserve"> </w:t>
      </w:r>
      <w:r>
        <w:t xml:space="preserve">y (50%</w:t>
      </w:r>
      <w:r>
        <w:t xml:space="preserve"> </w:t>
      </w:r>
      <w:r>
        <w:t xml:space="preserve">compliance)</w:t>
      </w:r>
      <w:r>
        <w:t xml:space="preserve"> </w:t>
      </w:r>
      <w:r>
        <w:t xml:space="preserve">CL3: No free</w:t>
      </w:r>
      <w:r>
        <w:t xml:space="preserve"> </w:t>
      </w:r>
      <w:r>
        <w:t xml:space="preserve">allocation</w:t>
      </w:r>
      <w:r>
        <w:t xml:space="preserve"> </w:t>
      </w:r>
      <w:r>
        <w:t xml:space="preserve">after 2034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Carbon leakage rates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Adjustment cost to operator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Administrative cost to operator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+++</w:t>
      </w:r>
      <w:r>
        <w:t xml:space="preserve"> </w:t>
      </w:r>
      <w:r>
        <w:t xml:space="preserve">Administrative cost to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Sectoral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GDP impact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Innovation impact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Employment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Table 29: Summary of impact assessment for individual measures for indirect carbon cost</w:t>
      </w:r>
      <w:r>
        <w:t xml:space="preserve"> </w:t>
      </w:r>
      <w:r>
        <w:t xml:space="preserve">relative to baseline</w:t>
      </w:r>
    </w:p>
    <w:p>
      <w:pPr>
        <w:pStyle w:val="BodyText"/>
      </w:pPr>
      <w:r>
        <w:t xml:space="preserve">ICC1: State aid</w:t>
      </w:r>
      <w:r>
        <w:t xml:space="preserve"> </w:t>
      </w:r>
      <w:r>
        <w:t xml:space="preserve">encouragement</w:t>
      </w:r>
      <w:r>
        <w:t xml:space="preserve"> </w:t>
      </w:r>
      <w:r>
        <w:t xml:space="preserve">ICC2: Harmonised ICC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Address carbon leakage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Adjustment cost to operator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Administrative cost to operator</w:t>
      </w:r>
      <w:r>
        <w:t xml:space="preserve"> </w:t>
      </w:r>
      <w:r>
        <w:t xml:space="preserve">0/-</w:t>
      </w:r>
      <w:r>
        <w:t xml:space="preserve"> </w:t>
      </w:r>
      <w:r>
        <w:t xml:space="preserve">0/-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</w:t>
      </w:r>
      <w:r>
        <w:t xml:space="preserve"> </w:t>
      </w:r>
      <w:r>
        <w:t xml:space="preserve">to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0/-</w:t>
      </w:r>
      <w:r>
        <w:t xml:space="preserve"> </w:t>
      </w:r>
      <w:r>
        <w:t xml:space="preserve">-</w:t>
      </w:r>
      <w:r>
        <w:t xml:space="preserve"> </w:t>
      </w:r>
      <w:r>
        <w:t xml:space="preserve">Sectoral competitiveness</w:t>
      </w:r>
      <w:r>
        <w:t xml:space="preserve"> </w:t>
      </w:r>
      <w:r>
        <w:t xml:space="preserve">0/+</w:t>
      </w:r>
      <w:r>
        <w:t xml:space="preserve"> </w:t>
      </w:r>
      <w:r>
        <w:t xml:space="preserve">0/+</w:t>
      </w:r>
      <w:r>
        <w:t xml:space="preserve"> </w:t>
      </w:r>
      <w:r>
        <w:t xml:space="preserve">Reduce distortion in EU internal market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GDP impact</w:t>
      </w:r>
      <w:r>
        <w:t xml:space="preserve"> </w:t>
      </w:r>
      <w:r>
        <w:t xml:space="preserve">0/+</w:t>
      </w:r>
      <w:r>
        <w:t xml:space="preserve"> </w:t>
      </w:r>
      <w:r>
        <w:t xml:space="preserve">0/+</w:t>
      </w:r>
      <w:r>
        <w:t xml:space="preserve"> </w:t>
      </w:r>
      <w:r>
        <w:t xml:space="preserve">Innovation impact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Employment</w:t>
      </w:r>
      <w:r>
        <w:t xml:space="preserve"> </w:t>
      </w:r>
      <w:r>
        <w:t xml:space="preserve">0/+</w:t>
      </w:r>
      <w:r>
        <w:t xml:space="preserve"> </w:t>
      </w:r>
      <w:r>
        <w:t xml:space="preserve">0/+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61</w:t>
      </w:r>
    </w:p>
    <w:p>
      <w:pPr>
        <w:pStyle w:val="Compact"/>
        <w:numPr>
          <w:ilvl w:val="0"/>
          <w:numId w:val="1001"/>
        </w:numPr>
      </w:pPr>
      <w:r>
        <w:t xml:space="preserve">20 MW THRESHOLD</w:t>
      </w:r>
      <w:r>
        <w:t xml:space="preserve"> </w:t>
      </w:r>
      <w:r>
        <w:t xml:space="preserve">Small installations with lower annual emissions incur a higher cost per tCO2e emitted when</w:t>
      </w:r>
      <w:r>
        <w:t xml:space="preserve"> </w:t>
      </w:r>
      <w:r>
        <w:t xml:space="preserve">participating in the EU ETS than larger installations. This is primarily attributable to the fixed</w:t>
      </w:r>
      <w:r>
        <w:t xml:space="preserve"> </w:t>
      </w:r>
      <w:r>
        <w:t xml:space="preserve">costs associated with system participation. The ETS Directive therefore excludes installations,</w:t>
      </w:r>
      <w:r>
        <w:t xml:space="preserve"> </w:t>
      </w:r>
      <w:r>
        <w:t xml:space="preserve">generally defined as those with total rated thermal capacity below 20MW. Articles 27 and 27a</w:t>
      </w:r>
      <w:r>
        <w:t xml:space="preserve"> </w:t>
      </w:r>
      <w:r>
        <w:t xml:space="preserve">of the ETS Directive provide additional options to exclude some installations.</w:t>
      </w:r>
      <w:r>
        <w:br/>
      </w:r>
      <w:r>
        <w:t xml:space="preserve">Since all emitters in the EU need to contribute to the EU’s climate goals and ideally face the</w:t>
      </w:r>
      <w:r>
        <w:t xml:space="preserve"> </w:t>
      </w:r>
      <w:r>
        <w:t xml:space="preserve">same carbon price, it is therefore worthwhile to explore the option of expanding the system to</w:t>
      </w:r>
      <w:r>
        <w:t xml:space="preserve"> </w:t>
      </w:r>
      <w:r>
        <w:t xml:space="preserve">smaller installations which are currently excluded. Furthermore, the Commission is required to</w:t>
      </w:r>
      <w:r>
        <w:t xml:space="preserve"> </w:t>
      </w:r>
      <w:r>
        <w:t xml:space="preserve">consider the feasibility of lowering the 20MW thermal capacity threshold as per Article</w:t>
      </w:r>
      <w:r>
        <w:t xml:space="preserve"> </w:t>
      </w:r>
      <w:r>
        <w:t xml:space="preserve">30(5)(b) of the ETS Directive.</w:t>
      </w:r>
      <w:r>
        <w:t xml:space="preserve"> </w:t>
      </w:r>
      <w:r>
        <w:t xml:space="preserve">2.1. Scoping exercises</w:t>
      </w:r>
      <w:r>
        <w:t xml:space="preserve"> </w:t>
      </w:r>
      <w:r>
        <w:t xml:space="preserve">A scoping exercise was conducted to identify which emissions could in principle be added to</w:t>
      </w:r>
      <w:r>
        <w:t xml:space="preserve"> </w:t>
      </w:r>
      <w:r>
        <w:t xml:space="preserve">the EU ETS if the 20MW capacity threshold were to be lowered.</w:t>
      </w:r>
      <w:r>
        <w:t xml:space="preserve"> </w:t>
      </w:r>
      <w:r>
        <w:t xml:space="preserve">This identified emissions that are:</w:t>
      </w:r>
      <w:r>
        <w:t xml:space="preserve"> </w:t>
      </w:r>
      <w:r>
        <w:t xml:space="preserve">• not currently covered by EU ETS, but arise from activities that are within its sectoral</w:t>
      </w:r>
      <w:r>
        <w:t xml:space="preserve"> </w:t>
      </w:r>
      <w:r>
        <w:t xml:space="preserve">scope; and</w:t>
      </w:r>
      <w:r>
        <w:br/>
      </w:r>
      <w:r>
        <w:t xml:space="preserve">• are outside the scope of ETS2: (the emissions trading system for buildings, road</w:t>
      </w:r>
      <w:r>
        <w:t xml:space="preserve"> </w:t>
      </w:r>
      <w:r>
        <w:t xml:space="preserve">transport and additional sectors.</w:t>
      </w:r>
      <w:r>
        <w:t xml:space="preserve"> </w:t>
      </w:r>
      <w:r>
        <w:t xml:space="preserve">These emissions were estimated in a two-step process. Firstly, the relevant GHG emissions</w:t>
      </w:r>
      <w:r>
        <w:t xml:space="preserve"> </w:t>
      </w:r>
      <w:r>
        <w:t xml:space="preserve">beneath the 20 MW threshold were estimated using a combination of:</w:t>
      </w:r>
      <w:r>
        <w:t xml:space="preserve"> </w:t>
      </w:r>
      <w:r>
        <w:t xml:space="preserve">• UNFCCC (CRF) inventories30,</w:t>
      </w:r>
      <w:r>
        <w:br/>
      </w:r>
      <w:r>
        <w:t xml:space="preserve">• EU ETS verified emissions31,</w:t>
      </w:r>
      <w:r>
        <w:br/>
      </w:r>
      <w:r>
        <w:t xml:space="preserve">• Article 14 (Governance Regulation) reports which map EU ETS verified emissions to</w:t>
      </w:r>
      <w:r>
        <w:t xml:space="preserve"> </w:t>
      </w:r>
      <w:r>
        <w:t xml:space="preserve">Common Reporting Format (CRF) categories, and</w:t>
      </w:r>
      <w:r>
        <w:br/>
      </w:r>
      <w:r>
        <w:t xml:space="preserve">• Data on Article 27/27a exclusions by Member States, which allow some small</w:t>
      </w:r>
      <w:r>
        <w:t xml:space="preserve"> </w:t>
      </w:r>
      <w:r>
        <w:t xml:space="preserve">installations to be excluded from EU ETS, subject to certain conditions.</w:t>
      </w:r>
      <w:r>
        <w:t xml:space="preserve"> </w:t>
      </w:r>
      <w:r>
        <w:t xml:space="preserve">As a second step the feasibility of lowering the threshold was assessed using data from</w:t>
      </w:r>
      <w:r>
        <w:t xml:space="preserve"> </w:t>
      </w:r>
      <w:r>
        <w:t xml:space="preserve">individual Member States’ national Medium Combustion Plant (MCP) registries to estimate</w:t>
      </w:r>
      <w:r>
        <w:t xml:space="preserve"> </w:t>
      </w:r>
      <w:r>
        <w:t xml:space="preserve">the capacity distribution in installations below 20 MW. The French and Polish MCP registries</w:t>
      </w:r>
      <w:r>
        <w:t xml:space="preserve"> </w:t>
      </w:r>
      <w:r>
        <w:t xml:space="preserve">were identified to be most suitable for further analysis. Data on individual capacities per</w:t>
      </w:r>
      <w:r>
        <w:t xml:space="preserve"> </w:t>
      </w:r>
      <w:r>
        <w:t xml:space="preserve">installation was converted into estimated CO2 emissions using energy input and primary fuel</w:t>
      </w:r>
      <w:r>
        <w:t xml:space="preserve"> </w:t>
      </w:r>
      <w:r>
        <w:t xml:space="preserve">values, and the resulting distribution of emissions by capacity was applied as a representative</w:t>
      </w:r>
      <w:r>
        <w:t xml:space="preserve"> </w:t>
      </w:r>
      <w:r>
        <w:t xml:space="preserve">curve for the entire EU (see Figure 14 below).</w:t>
      </w:r>
    </w:p>
    <w:p>
      <w:pPr>
        <w:pStyle w:val="FirstParagraph"/>
      </w:pPr>
      <w:r>
        <w:t xml:space="preserve">30 European Environment Agency. Greenhouse Gas Data Viewer. European Union,</w:t>
      </w:r>
    </w:p>
    <w:p>
      <w:pPr>
        <w:pStyle w:val="BodyText"/>
      </w:pPr>
      <w:r>
        <w:t xml:space="preserve">https://www.eea.europa.eu/data-and-maps/data/data-viewers/greenhouse-gases. Accessed 21 August 2025.</w:t>
      </w:r>
      <w:r>
        <w:t xml:space="preserve"> </w:t>
      </w:r>
      <w:r>
        <w:t xml:space="preserve">31</w:t>
      </w:r>
      <w:r>
        <w:t xml:space="preserve"> </w:t>
      </w:r>
      <w:r>
        <w:t xml:space="preserve">Ibid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Figure 14: Proxy curve of emissions by capacity</w:t>
      </w:r>
    </w:p>
    <w:p>
      <w:pPr>
        <w:pStyle w:val="BodyText"/>
      </w:pPr>
      <w:r>
        <w:t xml:space="preserve">Source: Own calculation based on MCP registries for France and Poland</w:t>
      </w:r>
      <w:r>
        <w:t xml:space="preserve"> </w:t>
      </w:r>
      <w:r>
        <w:t xml:space="preserve">2.2. Policy measures</w:t>
      </w:r>
      <w:r>
        <w:t xml:space="preserve"> </w:t>
      </w:r>
      <w:r>
        <w:t xml:space="preserve">2.2.1. Description</w:t>
      </w:r>
      <w:r>
        <w:t xml:space="preserve"> </w:t>
      </w:r>
      <w:r>
        <w:t xml:space="preserve">The measures under consideration are the maintenance of the current 20MW threshold and</w:t>
      </w:r>
      <w:r>
        <w:t xml:space="preserve"> </w:t>
      </w:r>
      <w:r>
        <w:t xml:space="preserve">the lowering of the 20MW threshold.</w:t>
      </w:r>
      <w:r>
        <w:t xml:space="preserve"> </w:t>
      </w:r>
      <w:r>
        <w:t xml:space="preserve">• T1: Maintain current 20 MW threshold (PO1, PO2, PO3)</w:t>
      </w:r>
      <w:r>
        <w:t xml:space="preserve"> </w:t>
      </w:r>
      <w:r>
        <w:t xml:space="preserve">o In this measure, no additional installations &lt; 20MW in capacity would be</w:t>
      </w:r>
      <w:r>
        <w:t xml:space="preserve"> </w:t>
      </w:r>
      <w:r>
        <w:t xml:space="preserve">included in the ETS, avoiding any potential additional administrative and</w:t>
      </w:r>
      <w:r>
        <w:t xml:space="preserve"> </w:t>
      </w:r>
      <w:r>
        <w:t xml:space="preserve">transaction fees associated with having to be in compliance with the ETS.</w:t>
      </w:r>
      <w:r>
        <w:t xml:space="preserve"> </w:t>
      </w:r>
      <w:r>
        <w:t xml:space="preserve">• T2: Lower the 20 MW threshold (e.g. 0, 5, 15, 20 MW)</w:t>
      </w:r>
      <w:r>
        <w:t xml:space="preserve"> </w:t>
      </w:r>
      <w:r>
        <w:t xml:space="preserve">o The threshold can be reduced by 20MW, 15MW, 10MW, or 5MW. In each</w:t>
      </w:r>
      <w:r>
        <w:t xml:space="preserve"> </w:t>
      </w:r>
      <w:r>
        <w:t xml:space="preserve">instance, operators of installations that are less than 20MW in capacity would</w:t>
      </w:r>
      <w:r>
        <w:t xml:space="preserve"> </w:t>
      </w:r>
      <w:r>
        <w:t xml:space="preserve">need to submit registration permits to have new entrant installations</w:t>
      </w:r>
      <w:r>
        <w:t xml:space="preserve"> </w:t>
      </w:r>
      <w:r>
        <w:t xml:space="preserve">incorporated into the ETS.32 Following the incorporation of these new</w:t>
      </w:r>
      <w:r>
        <w:t xml:space="preserve"> </w:t>
      </w:r>
      <w:r>
        <w:t xml:space="preserve">installations, operators and competent authorities would incur additional</w:t>
      </w:r>
      <w:r>
        <w:t xml:space="preserve"> </w:t>
      </w:r>
      <w:r>
        <w:t xml:space="preserve">administrative and transaction costs to ensure the new entrants remain in</w:t>
      </w:r>
      <w:r>
        <w:t xml:space="preserve"> </w:t>
      </w:r>
      <w:r>
        <w:t xml:space="preserve">compliance with the ETS and receive free allocation.</w:t>
      </w:r>
    </w:p>
    <w:p>
      <w:pPr>
        <w:pStyle w:val="BodyText"/>
      </w:pPr>
      <w:r>
        <w:t xml:space="preserve">32 Department of Agriculture, Environment and Rural Affairs. Emissions Trading Schemes: Fees, Charges and</w:t>
      </w:r>
      <w:r>
        <w:t xml:space="preserve"> </w:t>
      </w:r>
      <w:r>
        <w:t xml:space="preserve">Civil Penalties. Northern Ireland Executive. https://www.daera-ni.gov.uk/articles/emissions-trading-</w:t>
      </w:r>
      <w:r>
        <w:t xml:space="preserve"> </w:t>
      </w:r>
      <w:r>
        <w:t xml:space="preserve">schemes-fees-charges-and-civil-penalties. Accessed 21 August 2025.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2.3. Assessment of the measures</w:t>
      </w:r>
      <w:r>
        <w:t xml:space="preserve"> </w:t>
      </w:r>
      <w:r>
        <w:t xml:space="preserve">2.3.1. Economic Impacts</w:t>
      </w:r>
      <w:r>
        <w:t xml:space="preserve"> </w:t>
      </w:r>
      <w:r>
        <w:t xml:space="preserve">2.3.1.1.</w:t>
      </w:r>
      <w:r>
        <w:t xml:space="preserve"> </w:t>
      </w:r>
      <w:r>
        <w:t xml:space="preserve">SMEs</w:t>
      </w:r>
      <w:r>
        <w:t xml:space="preserve"> </w:t>
      </w:r>
      <w:r>
        <w:t xml:space="preserve">Based on results of the open public consultation (OPC), a majority of respondents opposed</w:t>
      </w:r>
      <w:r>
        <w:t xml:space="preserve"> </w:t>
      </w:r>
      <w:r>
        <w:t xml:space="preserve">lowering the installation capacity threshold to expand the pool of installations covered by the</w:t>
      </w:r>
      <w:r>
        <w:t xml:space="preserve"> </w:t>
      </w:r>
      <w:r>
        <w:t xml:space="preserve">EU ETS. Those respondents were mainly companies and business associations from across</w:t>
      </w:r>
      <w:r>
        <w:t xml:space="preserve"> </w:t>
      </w:r>
      <w:r>
        <w:t xml:space="preserve">different sectors. In contrast, NGOs and environmental organizations were largely supportive</w:t>
      </w:r>
      <w:r>
        <w:t xml:space="preserve"> </w:t>
      </w:r>
      <w:r>
        <w:t xml:space="preserve">of a potential change. Overall, a substantial share of respondents (almost three out of ten)</w:t>
      </w:r>
      <w:r>
        <w:t xml:space="preserve"> </w:t>
      </w:r>
      <w:r>
        <w:t xml:space="preserve">remained neutral or uncertain.</w:t>
      </w:r>
      <w:r>
        <w:br/>
      </w:r>
      <w:r>
        <w:t xml:space="preserve">Some stakeholders who provided specific comments considered that the administrative burden</w:t>
      </w:r>
      <w:r>
        <w:t xml:space="preserve"> </w:t>
      </w:r>
      <w:r>
        <w:t xml:space="preserve">would outweigh the potential climate benefits. Others expressed concerns regarding the ability</w:t>
      </w:r>
      <w:r>
        <w:t xml:space="preserve"> </w:t>
      </w:r>
      <w:r>
        <w:t xml:space="preserve">of SMEs to maintain their competitiveness within their respective industries. Several also</w:t>
      </w:r>
      <w:r>
        <w:t xml:space="preserve"> </w:t>
      </w:r>
      <w:r>
        <w:t xml:space="preserve">suggested that ETS2, which covers smaller installations with a lighter approach, is a sufficient</w:t>
      </w:r>
      <w:r>
        <w:t xml:space="preserve"> </w:t>
      </w:r>
      <w:r>
        <w:t xml:space="preserve">incentive for fuel mix changes and decarbonisation efforts, but this would not cover process</w:t>
      </w:r>
      <w:r>
        <w:t xml:space="preserve"> </w:t>
      </w:r>
      <w:r>
        <w:t xml:space="preserve">emissions.</w:t>
      </w:r>
      <w:r>
        <w:br/>
      </w:r>
      <w:r>
        <w:t xml:space="preserve">2.3.1.2.</w:t>
      </w:r>
      <w:r>
        <w:t xml:space="preserve"> </w:t>
      </w:r>
      <w:r>
        <w:t xml:space="preserve">Administrative costs on business</w:t>
      </w:r>
      <w:r>
        <w:t xml:space="preserve"> </w:t>
      </w:r>
      <w:r>
        <w:t xml:space="preserve">There are several additional requirements that operators will have to comply with when</w:t>
      </w:r>
      <w:r>
        <w:t xml:space="preserve"> </w:t>
      </w:r>
      <w:r>
        <w:t xml:space="preserve">integrating additional installations into the ETS, including setting and/or expanding the scope</w:t>
      </w:r>
      <w:r>
        <w:t xml:space="preserve"> </w:t>
      </w:r>
      <w:r>
        <w:t xml:space="preserve">of the monitoring plan and verification33.</w:t>
      </w:r>
      <w:r>
        <w:br/>
      </w:r>
      <w:r>
        <w:t xml:space="preserve">T1 Maintain current 20 MW threshold</w:t>
      </w:r>
      <w:r>
        <w:br/>
      </w:r>
      <w:r>
        <w:t xml:space="preserve">Maintaining the threshold at 20MW will have no additional financial implications for operators</w:t>
      </w:r>
      <w:r>
        <w:t xml:space="preserve"> </w:t>
      </w:r>
      <w:r>
        <w:t xml:space="preserve">and competent authorities. However, a considerable number of installations and their emissions</w:t>
      </w:r>
      <w:r>
        <w:t xml:space="preserve"> </w:t>
      </w:r>
      <w:r>
        <w:t xml:space="preserve">will continue to operate outside the scope of the EU ETS. This impact assessment estimates</w:t>
      </w:r>
      <w:r>
        <w:t xml:space="preserve"> </w:t>
      </w:r>
      <w:r>
        <w:t xml:space="preserve">that up to 28 MtCO2e of emissions could remain out of scope of the EU ETS as can be seen in</w:t>
      </w:r>
      <w:r>
        <w:t xml:space="preserve"> </w:t>
      </w:r>
      <w:r>
        <w:t xml:space="preserve">Section 2.3.3.</w:t>
      </w:r>
      <w:r>
        <w:t xml:space="preserve"> </w:t>
      </w:r>
      <w:r>
        <w:t xml:space="preserve">T2 Lower the 20 MW threshold (e.g. 0, 5, 15, 20 MW)</w:t>
      </w:r>
      <w:r>
        <w:t xml:space="preserve"> </w:t>
      </w:r>
      <w:r>
        <w:t xml:space="preserve">Lowering the threshold carries various financial and environmental implications. Operators of</w:t>
      </w:r>
      <w:r>
        <w:t xml:space="preserve"> </w:t>
      </w:r>
      <w:r>
        <w:t xml:space="preserve">new entrant installations will face additional administrative costs34. These are estimated in</w:t>
      </w:r>
      <w:r>
        <w:t xml:space="preserve"> </w:t>
      </w:r>
      <w:r>
        <w:t xml:space="preserve">Table 30 below.</w:t>
      </w:r>
    </w:p>
    <w:p>
      <w:pPr>
        <w:pStyle w:val="BodyText"/>
      </w:pPr>
      <w:r>
        <w:t xml:space="preserve">33 European Parliament and Council. Directive 2003/87/EC of 13 October 2003 Establishing a System for</w:t>
      </w:r>
      <w:r>
        <w:t xml:space="preserve"> </w:t>
      </w:r>
      <w:r>
        <w:t xml:space="preserve">Greenhouse Gas Emission Allowance Trading within the Union and Amending Council Directive 96/61/EC</w:t>
      </w:r>
      <w:r>
        <w:t xml:space="preserve"> </w:t>
      </w:r>
      <w:r>
        <w:t xml:space="preserve">(Consolidated Version as of 1 March 2024). Official Journal of the European Union. https://eur-</w:t>
      </w:r>
      <w:r>
        <w:t xml:space="preserve"> </w:t>
      </w:r>
      <w:r>
        <w:t xml:space="preserve">lex.europa.eu/legal-content/EN/TXT/PDF/?uri=CELEX:02003L0087-20240301</w:t>
      </w:r>
      <w:r>
        <w:t xml:space="preserve"> </w:t>
      </w:r>
      <w:r>
        <w:t xml:space="preserve">34 Schleich, Joachim, and Regina Betz.</w:t>
      </w:r>
      <w:r>
        <w:t xml:space="preserve"> </w:t>
      </w:r>
      <w:r>
        <w:t xml:space="preserve">“EU Emissions Trading and Transaction Costs for Small and Medium</w:t>
      </w:r>
      <w:r>
        <w:t xml:space="preserve"> </w:t>
      </w:r>
      <w:r>
        <w:t xml:space="preserve">Sized Companies.”</w:t>
      </w:r>
      <w:r>
        <w:t xml:space="preserve"> </w:t>
      </w:r>
      <w:r>
        <w:t xml:space="preserve">Intereconomics 39, no. 3 (2004): 121–123. Heidelberg:</w:t>
      </w:r>
      <w:r>
        <w:t xml:space="preserve"> </w:t>
      </w:r>
      <w:r>
        <w:t xml:space="preserve">Springer. https://www.econstor.eu/bitstream/10419/41807/1/388948892.pdf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Table 30: Administrative costs paid per operator in the EU35</w:t>
      </w:r>
      <w:r>
        <w:t xml:space="preserve"> </w:t>
      </w:r>
      <w:r>
        <w:t xml:space="preserve">Cost</w:t>
      </w:r>
      <w:r>
        <w:t xml:space="preserve"> </w:t>
      </w:r>
      <w:r>
        <w:t xml:space="preserve">Type of cost</w:t>
      </w:r>
      <w:r>
        <w:t xml:space="preserve"> </w:t>
      </w:r>
      <w:r>
        <w:t xml:space="preserve">Used in</w:t>
      </w:r>
      <w:r>
        <w:t xml:space="preserve"> </w:t>
      </w:r>
      <w:r>
        <w:t xml:space="preserve">quantification?</w:t>
      </w:r>
      <w:r>
        <w:t xml:space="preserve"> </w:t>
      </w:r>
      <w:r>
        <w:t xml:space="preserve">Amount</w:t>
      </w:r>
      <w:r>
        <w:t xml:space="preserve"> </w:t>
      </w:r>
      <w:r>
        <w:t xml:space="preserve">(EUR)</w:t>
      </w:r>
      <w:r>
        <w:t xml:space="preserve"> </w:t>
      </w:r>
      <w:r>
        <w:t xml:space="preserve">Permit application fee</w:t>
      </w:r>
      <w:r>
        <w:t xml:space="preserve"> </w:t>
      </w:r>
      <w:r>
        <w:t xml:space="preserve">Non-MRV charges</w:t>
      </w:r>
      <w:r>
        <w:t xml:space="preserve"> </w:t>
      </w:r>
      <w:r>
        <w:t xml:space="preserve">No</w:t>
      </w:r>
      <w:r>
        <w:t xml:space="preserve"> </w:t>
      </w:r>
      <w:r>
        <w:t xml:space="preserve">2,164</w:t>
      </w:r>
      <w:r>
        <w:t xml:space="preserve"> </w:t>
      </w:r>
      <w:r>
        <w:t xml:space="preserve">Annual subsistence (renewal) fee</w:t>
      </w:r>
      <w:r>
        <w:t xml:space="preserve"> </w:t>
      </w:r>
      <w:r>
        <w:t xml:space="preserve">Non-MRV charges</w:t>
      </w:r>
      <w:r>
        <w:t xml:space="preserve"> </w:t>
      </w:r>
      <w:r>
        <w:t xml:space="preserve">No</w:t>
      </w:r>
      <w:r>
        <w:t xml:space="preserve"> </w:t>
      </w:r>
      <w:r>
        <w:t xml:space="preserve">4,130</w:t>
      </w:r>
      <w:r>
        <w:t xml:space="preserve"> </w:t>
      </w:r>
      <w:r>
        <w:t xml:space="preserve">Variation fee</w:t>
      </w:r>
      <w:r>
        <w:t xml:space="preserve"> </w:t>
      </w:r>
      <w:r>
        <w:t xml:space="preserve">Non-MRV charges</w:t>
      </w:r>
      <w:r>
        <w:t xml:space="preserve"> </w:t>
      </w:r>
      <w:r>
        <w:t xml:space="preserve">No</w:t>
      </w:r>
      <w:r>
        <w:t xml:space="preserve"> </w:t>
      </w:r>
      <w:r>
        <w:t xml:space="preserve">684</w:t>
      </w:r>
      <w:r>
        <w:t xml:space="preserve"> </w:t>
      </w:r>
      <w:r>
        <w:t xml:space="preserve">Permit transfer</w:t>
      </w:r>
      <w:r>
        <w:t xml:space="preserve"> </w:t>
      </w:r>
      <w:r>
        <w:t xml:space="preserve">Non-MRV charges</w:t>
      </w:r>
      <w:r>
        <w:t xml:space="preserve"> </w:t>
      </w:r>
      <w:r>
        <w:t xml:space="preserve">No</w:t>
      </w:r>
      <w:r>
        <w:t xml:space="preserve"> </w:t>
      </w:r>
      <w:r>
        <w:t xml:space="preserve">684</w:t>
      </w:r>
      <w:r>
        <w:t xml:space="preserve"> </w:t>
      </w:r>
      <w:r>
        <w:t xml:space="preserve">Revocation</w:t>
      </w:r>
      <w:r>
        <w:t xml:space="preserve"> </w:t>
      </w:r>
      <w:r>
        <w:t xml:space="preserve">Non-MRV charges</w:t>
      </w:r>
      <w:r>
        <w:t xml:space="preserve"> </w:t>
      </w:r>
      <w:r>
        <w:t xml:space="preserve">No</w:t>
      </w:r>
      <w:r>
        <w:t xml:space="preserve"> </w:t>
      </w:r>
      <w:r>
        <w:t xml:space="preserve">1,090</w:t>
      </w:r>
      <w:r>
        <w:t xml:space="preserve"> </w:t>
      </w:r>
      <w:r>
        <w:t xml:space="preserve">Surrender</w:t>
      </w:r>
      <w:r>
        <w:t xml:space="preserve"> </w:t>
      </w:r>
      <w:r>
        <w:t xml:space="preserve">Non-MRV charges</w:t>
      </w:r>
      <w:r>
        <w:t xml:space="preserve"> </w:t>
      </w:r>
      <w:r>
        <w:t xml:space="preserve">No</w:t>
      </w:r>
      <w:r>
        <w:t xml:space="preserve"> </w:t>
      </w:r>
      <w:r>
        <w:t xml:space="preserve">1,090</w:t>
      </w:r>
      <w:r>
        <w:t xml:space="preserve"> </w:t>
      </w:r>
      <w:r>
        <w:t xml:space="preserve">Allocation from new entrant reserve</w:t>
      </w:r>
      <w:r>
        <w:t xml:space="preserve"> </w:t>
      </w:r>
      <w:r>
        <w:t xml:space="preserve">Non-MRV charges</w:t>
      </w:r>
      <w:r>
        <w:t xml:space="preserve"> </w:t>
      </w:r>
      <w:r>
        <w:t xml:space="preserve">No</w:t>
      </w:r>
      <w:r>
        <w:t xml:space="preserve"> </w:t>
      </w:r>
      <w:r>
        <w:t xml:space="preserve">1,815</w:t>
      </w:r>
      <w:r>
        <w:t xml:space="preserve"> </w:t>
      </w:r>
      <w:r>
        <w:t xml:space="preserve">Preparing significant modifications to</w:t>
      </w:r>
      <w:r>
        <w:t xml:space="preserve"> </w:t>
      </w:r>
      <w:r>
        <w:t xml:space="preserve">your monitoring plan</w:t>
      </w:r>
      <w:r>
        <w:t xml:space="preserve"> </w:t>
      </w:r>
      <w:r>
        <w:t xml:space="preserve">Monitoring</w:t>
      </w:r>
      <w:r>
        <w:t xml:space="preserve"> </w:t>
      </w:r>
      <w:r>
        <w:t xml:space="preserve">Yes</w:t>
      </w:r>
      <w:r>
        <w:t xml:space="preserve"> </w:t>
      </w:r>
      <w:r>
        <w:t xml:space="preserve">7,212</w:t>
      </w:r>
      <w:r>
        <w:t xml:space="preserve"> </w:t>
      </w:r>
      <w:r>
        <w:t xml:space="preserve">Monitoring in accordance with the</w:t>
      </w:r>
      <w:r>
        <w:t xml:space="preserve"> </w:t>
      </w:r>
      <w:r>
        <w:t xml:space="preserve">approved monitoring plan</w:t>
      </w:r>
      <w:r>
        <w:t xml:space="preserve"> </w:t>
      </w:r>
      <w:r>
        <w:t xml:space="preserve">Monitoring</w:t>
      </w:r>
      <w:r>
        <w:t xml:space="preserve"> </w:t>
      </w:r>
      <w:r>
        <w:t xml:space="preserve">Yes</w:t>
      </w:r>
      <w:r>
        <w:t xml:space="preserve"> </w:t>
      </w:r>
      <w:r>
        <w:t xml:space="preserve">15,671</w:t>
      </w:r>
      <w:r>
        <w:t xml:space="preserve"> </w:t>
      </w:r>
      <w:r>
        <w:t xml:space="preserve">Quality assurance and quality control</w:t>
      </w:r>
      <w:r>
        <w:t xml:space="preserve"> </w:t>
      </w:r>
      <w:r>
        <w:t xml:space="preserve">procedures</w:t>
      </w:r>
      <w:r>
        <w:t xml:space="preserve"> </w:t>
      </w:r>
      <w:r>
        <w:t xml:space="preserve">Monitoring</w:t>
      </w:r>
      <w:r>
        <w:t xml:space="preserve"> </w:t>
      </w:r>
      <w:r>
        <w:t xml:space="preserve">Yes</w:t>
      </w:r>
      <w:r>
        <w:t xml:space="preserve"> </w:t>
      </w:r>
      <w:r>
        <w:t xml:space="preserve">12,021</w:t>
      </w:r>
      <w:r>
        <w:t xml:space="preserve"> </w:t>
      </w:r>
      <w:r>
        <w:t xml:space="preserve">Preparing improvement reports</w:t>
      </w:r>
      <w:r>
        <w:t xml:space="preserve"> </w:t>
      </w:r>
      <w:r>
        <w:t xml:space="preserve">Monitoring</w:t>
      </w:r>
      <w:r>
        <w:t xml:space="preserve"> </w:t>
      </w:r>
      <w:r>
        <w:t xml:space="preserve">Yes</w:t>
      </w:r>
      <w:r>
        <w:t xml:space="preserve"> </w:t>
      </w:r>
      <w:r>
        <w:t xml:space="preserve">4,109</w:t>
      </w:r>
      <w:r>
        <w:t xml:space="preserve"> </w:t>
      </w:r>
      <w:r>
        <w:t xml:space="preserve">Preparing an annual emissions report</w:t>
      </w:r>
      <w:r>
        <w:t xml:space="preserve"> </w:t>
      </w:r>
      <w:r>
        <w:t xml:space="preserve">and submitting it to your competent</w:t>
      </w:r>
      <w:r>
        <w:t xml:space="preserve"> </w:t>
      </w:r>
      <w:r>
        <w:t xml:space="preserve">authority</w:t>
      </w:r>
      <w:r>
        <w:t xml:space="preserve"> </w:t>
      </w:r>
      <w:r>
        <w:t xml:space="preserve">Reporting</w:t>
      </w:r>
      <w:r>
        <w:t xml:space="preserve"> </w:t>
      </w:r>
      <w:r>
        <w:t xml:space="preserve">Yes</w:t>
      </w:r>
      <w:r>
        <w:t xml:space="preserve"> </w:t>
      </w:r>
      <w:r>
        <w:t xml:space="preserve">4,335</w:t>
      </w:r>
      <w:r>
        <w:t xml:space="preserve"> </w:t>
      </w:r>
      <w:r>
        <w:t xml:space="preserve">Verification</w:t>
      </w:r>
      <w:r>
        <w:t xml:space="preserve"> </w:t>
      </w:r>
      <w:r>
        <w:t xml:space="preserve">Verification</w:t>
      </w:r>
      <w:r>
        <w:t xml:space="preserve"> </w:t>
      </w:r>
      <w:r>
        <w:t xml:space="preserve">Yes</w:t>
      </w:r>
      <w:r>
        <w:t xml:space="preserve"> </w:t>
      </w:r>
      <w:r>
        <w:t xml:space="preserve">6,789</w:t>
      </w:r>
      <w:r>
        <w:t xml:space="preserve"> </w:t>
      </w:r>
      <w:r>
        <w:t xml:space="preserve">Any other costs</w:t>
      </w:r>
      <w:r>
        <w:t xml:space="preserve"> </w:t>
      </w:r>
      <w:r>
        <w:t xml:space="preserve">Other</w:t>
      </w:r>
      <w:r>
        <w:t xml:space="preserve"> </w:t>
      </w:r>
      <w:r>
        <w:t xml:space="preserve">Yes</w:t>
      </w:r>
      <w:r>
        <w:t xml:space="preserve"> </w:t>
      </w:r>
      <w:r>
        <w:t xml:space="preserve">9,052</w:t>
      </w:r>
      <w:r>
        <w:t xml:space="preserve"> </w:t>
      </w:r>
      <w:r>
        <w:t xml:space="preserve">Source: Based on Schleich &amp; Betz (2004) and DAERA</w:t>
      </w:r>
      <w:r>
        <w:t xml:space="preserve"> </w:t>
      </w:r>
      <w:r>
        <w:t xml:space="preserve">According to the distribution derived from the French and Polish MCP registry datasets, more</w:t>
      </w:r>
      <w:r>
        <w:t xml:space="preserve"> </w:t>
      </w:r>
      <w:r>
        <w:t xml:space="preserve">than 70% of installations are &lt;=5 MW (see Figure 15 below). The number of installations</w:t>
      </w:r>
      <w:r>
        <w:t xml:space="preserve"> </w:t>
      </w:r>
      <w:r>
        <w:t xml:space="preserve">increases as installation size reduces (see also Figure 14 above for distribution of emissions).</w:t>
      </w:r>
      <w:r>
        <w:t xml:space="preserve"> </w:t>
      </w:r>
      <w:r>
        <w:t xml:space="preserve">Figure 15: Distribution of installations by capacity</w:t>
      </w:r>
    </w:p>
    <w:p>
      <w:pPr>
        <w:pStyle w:val="BodyText"/>
      </w:pPr>
      <w:r>
        <w:t xml:space="preserve">35 Department of Agriculture, Environment and Rural Affairs (DAERA). Emissions Trading Schemes: Fees,</w:t>
      </w:r>
      <w:r>
        <w:t xml:space="preserve"> </w:t>
      </w:r>
      <w:r>
        <w:t xml:space="preserve">Charges and Civil Penalties. Northern Ireland Executive. https://www.daera-ni.gov.uk/articles/emissions-</w:t>
      </w:r>
      <w:r>
        <w:t xml:space="preserve"> </w:t>
      </w:r>
      <w:r>
        <w:t xml:space="preserve">trading-schemes-fees-charges-and-civil-penalties. Accessed 21 August 2025.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Source: Own calculation based on MCP registries for France and Poland</w:t>
      </w:r>
      <w:r>
        <w:t xml:space="preserve"> </w:t>
      </w:r>
      <w:r>
        <w:t xml:space="preserve">The estimated total number of &lt;20MW installations EU-wide (94,428)36, combined with the</w:t>
      </w:r>
      <w:r>
        <w:t xml:space="preserve"> </w:t>
      </w:r>
      <w:r>
        <w:t xml:space="preserve">distribution above indicates that most of the additional administration fees stem from</w:t>
      </w:r>
      <w:r>
        <w:t xml:space="preserve"> </w:t>
      </w:r>
      <w:r>
        <w:t xml:space="preserve">installations that are less than or equal to 5MW, which is attributable to the greater number of</w:t>
      </w:r>
      <w:r>
        <w:t xml:space="preserve"> </w:t>
      </w:r>
      <w:r>
        <w:t xml:space="preserve">smaller installations. Research by Peter Heindl also indicates that average transaction costs are</w:t>
      </w:r>
      <w:r>
        <w:t xml:space="preserve"> </w:t>
      </w:r>
      <w:r>
        <w:t xml:space="preserve">elevated for smaller installations; these are calculated as total transaction costs divided by</w:t>
      </w:r>
      <w:r>
        <w:t xml:space="preserve"> </w:t>
      </w:r>
      <w:r>
        <w:t xml:space="preserve">annual emissions37. While this analysis centres on MRV costs, Heindl’s findings suggest that</w:t>
      </w:r>
      <w:r>
        <w:t xml:space="preserve"> </w:t>
      </w:r>
      <w:r>
        <w:t xml:space="preserve">when further costs are included, smaller installations typically have higher transaction costs</w:t>
      </w:r>
      <w:r>
        <w:t xml:space="preserve"> </w:t>
      </w:r>
      <w:r>
        <w:t xml:space="preserve">than larger installations.40</w:t>
      </w:r>
      <w:r>
        <w:br/>
      </w:r>
      <w:r>
        <w:t xml:space="preserve">Lowering the 20MW threshold will also have significant financial implications on competent</w:t>
      </w:r>
      <w:r>
        <w:t xml:space="preserve"> </w:t>
      </w:r>
      <w:r>
        <w:t xml:space="preserve">authorities. Like operator costs, competent authority costs will be greatest among the smaller</w:t>
      </w:r>
      <w:r>
        <w:t xml:space="preserve"> </w:t>
      </w:r>
      <w:r>
        <w:t xml:space="preserve">installations (&lt;=5MW). Among public authorities in Germany, there is an awareness around</w:t>
      </w:r>
      <w:r>
        <w:t xml:space="preserve"> </w:t>
      </w:r>
      <w:r>
        <w:t xml:space="preserve">transactions costs being higher for smaller emitters and efforts have been made to reduce to</w:t>
      </w:r>
      <w:r>
        <w:t xml:space="preserve"> </w:t>
      </w:r>
      <w:r>
        <w:t xml:space="preserve">these costs which may in effect increase the shift of the costs from operators to authorities38.</w:t>
      </w:r>
      <w:r>
        <w:t xml:space="preserve"> </w:t>
      </w:r>
      <w:r>
        <w:t xml:space="preserve">Overall, competent authorities across the EU may incur costs of around EUR 2.2 million if the</w:t>
      </w:r>
      <w:r>
        <w:t xml:space="preserve"> </w:t>
      </w:r>
      <w:r>
        <w:t xml:space="preserve">threshold were to be lowered to 10 MW, and up to EUR 16.7 million if it were eliminated</w:t>
      </w:r>
      <w:r>
        <w:t xml:space="preserve"> </w:t>
      </w:r>
      <w:r>
        <w:t xml:space="preserve">entirely.</w:t>
      </w:r>
    </w:p>
    <w:p>
      <w:pPr>
        <w:pStyle w:val="BodyText"/>
      </w:pPr>
      <w:r>
        <w:t xml:space="preserve">36 European Environment Agency. Monitoring Mechanism Regulation (MMR) Reporting Tools. Eionet Central</w:t>
      </w:r>
      <w:r>
        <w:t xml:space="preserve"> </w:t>
      </w:r>
      <w:r>
        <w:t xml:space="preserve">Data Repository. https://cdr.eionet.europa.eu/at/eu/mcp/. Accessed 21 August 2025.</w:t>
      </w:r>
      <w:r>
        <w:t xml:space="preserve"> </w:t>
      </w:r>
      <w:r>
        <w:t xml:space="preserve">37 Heindl, Peter. The Impact of Administrative Transaction Costs in the EU Emissions Trading System. ZEW</w:t>
      </w:r>
      <w:r>
        <w:t xml:space="preserve"> </w:t>
      </w:r>
      <w:r>
        <w:t xml:space="preserve">Discussion Paper No. 15-076. Mannheim: Zentrum für Europäische Wirtschaftsforschung (ZEW),</w:t>
      </w:r>
      <w:r>
        <w:t xml:space="preserve"> </w:t>
      </w:r>
      <w:r>
        <w:t xml:space="preserve">2015. https://www.econstor.eu/bitstream/10419/41807/1/388948892.pdf.</w:t>
      </w:r>
      <w:r>
        <w:t xml:space="preserve"> </w:t>
      </w:r>
      <w:r>
        <w:t xml:space="preserve">38 Heindl, Peter. Transaction Costs and Tradable Permits: Empirical Evidence from the EU Emissions Trading</w:t>
      </w:r>
      <w:r>
        <w:t xml:space="preserve"> </w:t>
      </w:r>
      <w:r>
        <w:t xml:space="preserve">Scheme. ZEW Discussion Paper No. 12-021. Mannheim: Zentrum für Europäische Wirtschaftsforschung</w:t>
      </w:r>
      <w:r>
        <w:t xml:space="preserve"> </w:t>
      </w:r>
      <w:r>
        <w:t xml:space="preserve">(ZEW), 2012. https://nbn-resolving.de/urn:nbn:de:bsz:180-madoc-322019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Figure 16: Administration fees for operators and competent authorities by installation capacity</w:t>
      </w:r>
    </w:p>
    <w:p>
      <w:pPr>
        <w:pStyle w:val="BodyText"/>
      </w:pPr>
      <w:r>
        <w:t xml:space="preserve">Source: Based on Heindl (2012)</w:t>
      </w:r>
      <w:r>
        <w:t xml:space="preserve"> </w:t>
      </w:r>
      <w:r>
        <w:t xml:space="preserve">2.3.2. Social impacts</w:t>
      </w:r>
      <w:r>
        <w:t xml:space="preserve"> </w:t>
      </w:r>
      <w:r>
        <w:t xml:space="preserve">Maintaining the 20 MW threshold implies zero impact on employment, income distribution,</w:t>
      </w:r>
      <w:r>
        <w:t xml:space="preserve"> </w:t>
      </w:r>
      <w:r>
        <w:t xml:space="preserve">social protection, social inclusion. Lowering the threshold may have a small negative impact</w:t>
      </w:r>
      <w:r>
        <w:t xml:space="preserve"> </w:t>
      </w:r>
      <w:r>
        <w:t xml:space="preserve">on employment since participation in the EU ETS would represent an additional cost for firms.</w:t>
      </w:r>
      <w:r>
        <w:t xml:space="preserve"> </w:t>
      </w:r>
      <w:r>
        <w:t xml:space="preserve">However, the overall cost would be small given the low amount of emissions that would be</w:t>
      </w:r>
      <w:r>
        <w:t xml:space="preserve"> </w:t>
      </w:r>
      <w:r>
        <w:t xml:space="preserve">covered at the margin (See Section 2.3.3).</w:t>
      </w:r>
      <w:r>
        <w:br/>
      </w:r>
      <w:r>
        <w:t xml:space="preserve">Lowering the 20 MW threshold would ensure broader participation in environmental protection</w:t>
      </w:r>
      <w:r>
        <w:t xml:space="preserve"> </w:t>
      </w:r>
      <w:r>
        <w:t xml:space="preserve">and therefore contribute positively to Article 37 of the Charter on Fundamental Rights of the</w:t>
      </w:r>
      <w:r>
        <w:t xml:space="preserve"> </w:t>
      </w:r>
      <w:r>
        <w:t xml:space="preserve">European Union39. Apart from this, none of the options are expected to have an impact on</w:t>
      </w:r>
      <w:r>
        <w:t xml:space="preserve"> </w:t>
      </w:r>
      <w:r>
        <w:t xml:space="preserve">fundamental rights.</w:t>
      </w:r>
      <w:r>
        <w:br/>
      </w:r>
      <w:r>
        <w:t xml:space="preserve">2.3.3. Environmental impacts</w:t>
      </w:r>
      <w:r>
        <w:t xml:space="preserve"> </w:t>
      </w:r>
      <w:r>
        <w:t xml:space="preserve">2.3.3.1.</w:t>
      </w:r>
      <w:r>
        <w:t xml:space="preserve"> </w:t>
      </w:r>
      <w:r>
        <w:t xml:space="preserve">Estimating emissions that could be affected by lowering the 20 MW</w:t>
      </w:r>
      <w:r>
        <w:t xml:space="preserve"> </w:t>
      </w:r>
      <w:r>
        <w:t xml:space="preserve">threshold</w:t>
      </w:r>
      <w:r>
        <w:t xml:space="preserve"> </w:t>
      </w:r>
      <w:r>
        <w:t xml:space="preserve">Using the average of data from the period 2021-2023, the scoping exercise identified that 226.5</w:t>
      </w:r>
      <w:r>
        <w:t xml:space="preserve"> </w:t>
      </w:r>
      <w:r>
        <w:t xml:space="preserve">Mt CO2e of emissions from activities and gases that are not currently covered by the EU ETS</w:t>
      </w:r>
      <w:r>
        <w:t xml:space="preserve"> </w:t>
      </w:r>
      <w:r>
        <w:t xml:space="preserve">but would fall within its scope if the threshold were set to zero.</w:t>
      </w:r>
      <w:r>
        <w:br/>
      </w:r>
      <w:r>
        <w:t xml:space="preserve">However, once potential ETS2 emissions are removed, the remaining emissions that could be</w:t>
      </w:r>
      <w:r>
        <w:t xml:space="preserve"> </w:t>
      </w:r>
      <w:r>
        <w:t xml:space="preserve">covered by lowering the 20 MW threshold amount to 33 MtCO2e. Furthermore, 4.6 MtCO2e</w:t>
      </w:r>
      <w:r>
        <w:t xml:space="preserve"> </w:t>
      </w:r>
      <w:r>
        <w:t xml:space="preserve">is subtracted to account for emissions excluded from EU ETS under Article 27, since these</w:t>
      </w:r>
    </w:p>
    <w:p>
      <w:pPr>
        <w:pStyle w:val="BodyText"/>
      </w:pPr>
      <w:r>
        <w:t xml:space="preserve">39 European Parliament. Charter of Fundamental Rights of the European Union, 2000/C 364/01, proclaimed in</w:t>
      </w:r>
      <w:r>
        <w:t xml:space="preserve"> </w:t>
      </w:r>
      <w:r>
        <w:t xml:space="preserve">Nice on December 7, 2000, https://www.europarl.europa.eu/charter/pdf/text_en.pdf.</w:t>
      </w:r>
      <w:r>
        <w:t xml:space="preserve"> </w:t>
      </w:r>
      <w:r>
        <w:t xml:space="preserve">3,91</w:t>
      </w:r>
      <w:r>
        <w:t xml:space="preserve"> </w:t>
      </w:r>
      <w:r>
        <w:t xml:space="preserve">0,94</w:t>
      </w:r>
      <w:r>
        <w:t xml:space="preserve"> </w:t>
      </w:r>
      <w:r>
        <w:t xml:space="preserve">0,42</w:t>
      </w:r>
      <w:r>
        <w:t xml:space="preserve"> </w:t>
      </w:r>
      <w:r>
        <w:t xml:space="preserve">0,32</w:t>
      </w:r>
      <w:r>
        <w:t xml:space="preserve"> </w:t>
      </w:r>
      <w:r>
        <w:t xml:space="preserve">11,69</w:t>
      </w:r>
      <w:r>
        <w:t xml:space="preserve"> </w:t>
      </w:r>
      <w:r>
        <w:t xml:space="preserve">2,81</w:t>
      </w:r>
      <w:r>
        <w:t xml:space="preserve"> </w:t>
      </w:r>
      <w:r>
        <w:t xml:space="preserve">1,26</w:t>
      </w:r>
      <w:r>
        <w:t xml:space="preserve"> </w:t>
      </w:r>
      <w:r>
        <w:t xml:space="preserve">0,95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0,0</w:t>
      </w:r>
      <w:r>
        <w:t xml:space="preserve"> </w:t>
      </w:r>
      <w:r>
        <w:t xml:space="preserve">0,5</w:t>
      </w:r>
      <w:r>
        <w:t xml:space="preserve"> </w:t>
      </w:r>
      <w:r>
        <w:t xml:space="preserve">1,0</w:t>
      </w:r>
      <w:r>
        <w:t xml:space="preserve"> </w:t>
      </w:r>
      <w:r>
        <w:t xml:space="preserve">1,5</w:t>
      </w:r>
      <w:r>
        <w:t xml:space="preserve"> </w:t>
      </w:r>
      <w:r>
        <w:t xml:space="preserve">2,0</w:t>
      </w:r>
      <w:r>
        <w:t xml:space="preserve"> </w:t>
      </w:r>
      <w:r>
        <w:t xml:space="preserve">2,5</w:t>
      </w:r>
      <w:r>
        <w:t xml:space="preserve"> </w:t>
      </w:r>
      <w:r>
        <w:t xml:space="preserve">3,0</w:t>
      </w:r>
      <w:r>
        <w:t xml:space="preserve"> </w:t>
      </w:r>
      <w:r>
        <w:t xml:space="preserve">3,5</w:t>
      </w:r>
      <w:r>
        <w:t xml:space="preserve"> </w:t>
      </w:r>
      <w:r>
        <w:t xml:space="preserve">4,0</w:t>
      </w:r>
      <w:r>
        <w:t xml:space="preserve"> </w:t>
      </w:r>
      <w:r>
        <w:t xml:space="preserve">4,5</w:t>
      </w:r>
      <w:r>
        <w:t xml:space="preserve"> </w:t>
      </w:r>
      <w:r>
        <w:t xml:space="preserve">Emissions from</w:t>
      </w:r>
      <w:r>
        <w:t xml:space="preserve"> </w:t>
      </w:r>
      <w:r>
        <w:t xml:space="preserve">installations &lt;=5 MW</w:t>
      </w:r>
      <w:r>
        <w:t xml:space="preserve"> </w:t>
      </w:r>
      <w:r>
        <w:t xml:space="preserve">Emissions from</w:t>
      </w:r>
      <w:r>
        <w:t xml:space="preserve"> </w:t>
      </w:r>
      <w:r>
        <w:t xml:space="preserve">installations &gt;5 MW</w:t>
      </w:r>
      <w:r>
        <w:t xml:space="preserve"> </w:t>
      </w:r>
      <w:r>
        <w:t xml:space="preserve">and &lt;=10</w:t>
      </w:r>
      <w:r>
        <w:t xml:space="preserve"> </w:t>
      </w:r>
      <w:r>
        <w:t xml:space="preserve">Emissions from</w:t>
      </w:r>
      <w:r>
        <w:t xml:space="preserve"> </w:t>
      </w:r>
      <w:r>
        <w:t xml:space="preserve">installations &gt;10 MW</w:t>
      </w:r>
      <w:r>
        <w:t xml:space="preserve"> </w:t>
      </w:r>
      <w:r>
        <w:t xml:space="preserve">and &lt;=15 MW</w:t>
      </w:r>
      <w:r>
        <w:t xml:space="preserve"> </w:t>
      </w:r>
      <w:r>
        <w:t xml:space="preserve">Emissions from</w:t>
      </w:r>
      <w:r>
        <w:t xml:space="preserve"> </w:t>
      </w:r>
      <w:r>
        <w:t xml:space="preserve">installations &gt;15 MW</w:t>
      </w:r>
      <w:r>
        <w:t xml:space="preserve"> </w:t>
      </w:r>
      <w:r>
        <w:t xml:space="preserve">and &lt;=20 MW</w:t>
      </w:r>
      <w:r>
        <w:t xml:space="preserve"> </w:t>
      </w:r>
      <w:r>
        <w:t xml:space="preserve">Operator costs (million euros)</w:t>
      </w:r>
      <w:r>
        <w:t xml:space="preserve"> </w:t>
      </w:r>
      <w:r>
        <w:t xml:space="preserve">Competence authority costs (billion euros)</w:t>
      </w:r>
      <w:r>
        <w:t xml:space="preserve"> </w:t>
      </w:r>
      <w:r>
        <w:t xml:space="preserve">Operator costs</w:t>
      </w:r>
      <w:r>
        <w:t xml:space="preserve"> </w:t>
      </w:r>
      <w:r>
        <w:t xml:space="preserve">Competence authority costs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emissions would not be impacted by lowering the 20 MW threshold.40 As a result, we can</w:t>
      </w:r>
      <w:r>
        <w:t xml:space="preserve"> </w:t>
      </w:r>
      <w:r>
        <w:t xml:space="preserve">estimate that relevant emissions from &lt;20MW installations are approximately 28 MtCO2e,</w:t>
      </w:r>
      <w:r>
        <w:t xml:space="preserve"> </w:t>
      </w:r>
      <w:r>
        <w:t xml:space="preserve">consisting mostly of process emissions.</w:t>
      </w:r>
      <w:r>
        <w:t xml:space="preserve"> </w:t>
      </w:r>
      <w:r>
        <w:t xml:space="preserve">Figure 17: Overview sector activities that make up the EU ETS baseline</w:t>
      </w:r>
    </w:p>
    <w:p>
      <w:pPr>
        <w:pStyle w:val="BodyText"/>
      </w:pPr>
      <w:r>
        <w:t xml:space="preserve">Source: Own calculation based on data sources described in this chapter</w:t>
      </w:r>
      <w:r>
        <w:t xml:space="preserve"> </w:t>
      </w:r>
      <w:r>
        <w:t xml:space="preserve">2.3.3.2.</w:t>
      </w:r>
      <w:r>
        <w:t xml:space="preserve"> </w:t>
      </w:r>
      <w:r>
        <w:t xml:space="preserve">Estimating the distribution of emissions and installation capacities</w:t>
      </w:r>
      <w:r>
        <w:t xml:space="preserve"> </w:t>
      </w:r>
      <w:r>
        <w:t xml:space="preserve">below 20 MW</w:t>
      </w:r>
      <w:r>
        <w:t xml:space="preserve"> </w:t>
      </w:r>
      <w:r>
        <w:t xml:space="preserve">Regarding the distribution of emissions, the proxy curve derived from data on Medium</w:t>
      </w:r>
      <w:r>
        <w:t xml:space="preserve"> </w:t>
      </w:r>
      <w:r>
        <w:t xml:space="preserve">Combustion Plants (MCPs) demonstrates that across the two countries from which the curve is</w:t>
      </w:r>
      <w:r>
        <w:t xml:space="preserve"> </w:t>
      </w:r>
      <w:r>
        <w:t xml:space="preserve">derived, the majority of emissions stem from installations that are less than 10 MW in capacity.</w:t>
      </w:r>
      <w:r>
        <w:t xml:space="preserve"> </w:t>
      </w:r>
      <w:r>
        <w:t xml:space="preserve">However, this trend is drive primarily by the Polish dataset. While both countries have more</w:t>
      </w:r>
      <w:r>
        <w:t xml:space="preserve"> </w:t>
      </w:r>
      <w:r>
        <w:t xml:space="preserve">installations at the lowest capacity levels, France has more emissions in the 15-20 MW bracket,</w:t>
      </w:r>
      <w:r>
        <w:t xml:space="preserve"> </w:t>
      </w:r>
      <w:r>
        <w:t xml:space="preserve">indicating that installations in this capacity bracket.</w:t>
      </w:r>
      <w:r>
        <w:t xml:space="preserve"> </w:t>
      </w:r>
      <w:r>
        <w:t xml:space="preserve">Regarding the distribution of installations, Figure 19 demonstrates the number of installations</w:t>
      </w:r>
      <w:r>
        <w:t xml:space="preserve"> </w:t>
      </w:r>
      <w:r>
        <w:t xml:space="preserve">below and above the 20MW threshold for each Member State41.</w:t>
      </w:r>
    </w:p>
    <w:p>
      <w:pPr>
        <w:pStyle w:val="BodyText"/>
      </w:pPr>
      <w:r>
        <w:t xml:space="preserve">40 These are emissions that Member States can exclude from EU ETS subject to equivalent national measures</w:t>
      </w:r>
      <w:r>
        <w:t xml:space="preserve"> </w:t>
      </w:r>
      <w:r>
        <w:t xml:space="preserve">being in place</w:t>
      </w:r>
      <w:r>
        <w:t xml:space="preserve"> </w:t>
      </w:r>
      <w:r>
        <w:t xml:space="preserve">41European Environment Agency. Monitoring Mechanism Regulation (MMR) Reporting Tools. Eionet Central</w:t>
      </w:r>
      <w:r>
        <w:t xml:space="preserve"> </w:t>
      </w:r>
      <w:r>
        <w:t xml:space="preserve">Data Repository. https://cdr.eionet.europa.eu/at/eu/mcp/. Accessed 21 August 2025.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Figure 18: Number of installations by capacity (2019)</w:t>
      </w:r>
    </w:p>
    <w:p>
      <w:pPr>
        <w:pStyle w:val="BodyText"/>
      </w:pPr>
      <w:r>
        <w:t xml:space="preserve">Source: European Environment Agency</w:t>
      </w:r>
      <w:r>
        <w:t xml:space="preserve"> </w:t>
      </w:r>
      <w:r>
        <w:t xml:space="preserve">2.3.3.3.</w:t>
      </w:r>
      <w:r>
        <w:t xml:space="preserve"> </w:t>
      </w:r>
      <w:r>
        <w:t xml:space="preserve">Comparing policy options</w:t>
      </w:r>
      <w:r>
        <w:t xml:space="preserve"> </w:t>
      </w:r>
      <w:r>
        <w:t xml:space="preserve">T1: Maintain current 20 MW threshold</w:t>
      </w:r>
      <w:r>
        <w:br/>
      </w:r>
      <w:r>
        <w:t xml:space="preserve">If the 20 MW threshold is left unchanged, the relevant emissions that are outside the scope of</w:t>
      </w:r>
      <w:r>
        <w:t xml:space="preserve"> </w:t>
      </w:r>
      <w:r>
        <w:t xml:space="preserve">the EU ETS &amp; ETS2 (which are predominantly process emissions) will need to be reduced or</w:t>
      </w:r>
      <w:r>
        <w:t xml:space="preserve"> </w:t>
      </w:r>
      <w:r>
        <w:t xml:space="preserve">offset by other means.</w:t>
      </w:r>
      <w:r>
        <w:t xml:space="preserve"> </w:t>
      </w:r>
      <w:r>
        <w:t xml:space="preserve">Despite not being included in the EU ETS, emissions from &lt;20 MW installations have been</w:t>
      </w:r>
      <w:r>
        <w:t xml:space="preserve"> </w:t>
      </w:r>
      <w:r>
        <w:t xml:space="preserve">decreasing year over year as observed in Figure 19, indicating that other energy and climate</w:t>
      </w:r>
      <w:r>
        <w:t xml:space="preserve"> </w:t>
      </w:r>
      <w:r>
        <w:t xml:space="preserve">policies at EU-level and in Member States may have influenced industries and businesses to</w:t>
      </w:r>
      <w:r>
        <w:t xml:space="preserve"> </w:t>
      </w:r>
      <w:r>
        <w:t xml:space="preserve">reduce emissions.</w:t>
      </w:r>
      <w:r>
        <w:t xml:space="preserve"> </w:t>
      </w:r>
      <w:r>
        <w:t xml:space="preserve">Figure 19: Annual emissions from &lt;20 MW installations</w:t>
      </w:r>
    </w:p>
    <w:p>
      <w:pPr>
        <w:pStyle w:val="BodyText"/>
      </w:pPr>
      <w:r>
        <w:t xml:space="preserve">Source: Own calculation based on data sources described in this chapter</w:t>
      </w:r>
      <w:r>
        <w:t xml:space="preserve"> </w:t>
      </w:r>
      <w:r>
        <w:t xml:space="preserve">T2: Lower the 20 MW threshold (e.g. 0, 5, 15, 20 MW)</w:t>
      </w:r>
      <w:r>
        <w:t xml:space="preserve"> </w:t>
      </w:r>
      <w:r>
        <w:t xml:space="preserve">According to this analysis, up to 28 MtCO2e of emissions could be brought into the scope of</w:t>
      </w:r>
      <w:r>
        <w:t xml:space="preserve"> </w:t>
      </w:r>
      <w:r>
        <w:t xml:space="preserve">EU ETS by lowering the 20 MW threshold. As Table 31 and Figure 20 below indicate, lowering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the threshold to 15 MW or 10 MW would increase coverage by 5 MtCO2e or 10 MtCO2e</w:t>
      </w:r>
      <w:r>
        <w:t xml:space="preserve"> </w:t>
      </w:r>
      <w:r>
        <w:t xml:space="preserve">respectively. This shows that the majority of emissions (the remaining 18 MtCO2e out of 28</w:t>
      </w:r>
      <w:r>
        <w:t xml:space="preserve"> </w:t>
      </w:r>
      <w:r>
        <w:t xml:space="preserve">MtCO2e) occur in the smallest installations. At the bottom end, 72% of the &lt;20 MW</w:t>
      </w:r>
      <w:r>
        <w:t xml:space="preserve"> </w:t>
      </w:r>
      <w:r>
        <w:t xml:space="preserve">installations (68,000 installations) have a capacity of 5 MW or lower, while accounting for</w:t>
      </w:r>
      <w:r>
        <w:t xml:space="preserve"> </w:t>
      </w:r>
      <w:r>
        <w:t xml:space="preserve">36% of emissions.</w:t>
      </w:r>
      <w:r>
        <w:br/>
      </w:r>
      <w:r>
        <w:t xml:space="preserve">At the top end, lowering the threshold to 15 MW or 10 MW would cover a modest fraction of</w:t>
      </w:r>
      <w:r>
        <w:t xml:space="preserve"> </w:t>
      </w:r>
      <w:r>
        <w:t xml:space="preserve">the remaining emissions (18-37%). This would affect a relatively smaller share of the &lt;20 MW</w:t>
      </w:r>
      <w:r>
        <w:t xml:space="preserve"> </w:t>
      </w:r>
      <w:r>
        <w:t xml:space="preserve">installations (5-12% or 5,000-11,000 installations). However, this still represents a large</w:t>
      </w:r>
      <w:r>
        <w:t xml:space="preserve"> </w:t>
      </w:r>
      <w:r>
        <w:t xml:space="preserve">number of installations in absolute terms. According to the latest available report42, the EU</w:t>
      </w:r>
      <w:r>
        <w:t xml:space="preserve"> </w:t>
      </w:r>
      <w:r>
        <w:t xml:space="preserve">ETS covered 8,640 stationary installations in 2022. Therefore, lowering the threshold to 15</w:t>
      </w:r>
      <w:r>
        <w:t xml:space="preserve"> </w:t>
      </w:r>
      <w:r>
        <w:t xml:space="preserve">MW would imply increasing the number of EU ETS stationary installations by over 50%.</w:t>
      </w:r>
      <w:r>
        <w:t xml:space="preserve"> </w:t>
      </w:r>
      <w:r>
        <w:t xml:space="preserve">Table 31: Estimated emissions and installation coverage from lowering the 20 MW threshold</w:t>
      </w:r>
    </w:p>
    <w:p>
      <w:pPr>
        <w:pStyle w:val="BodyText"/>
      </w:pPr>
      <w:r>
        <w:t xml:space="preserve">Gain in emissions coverage</w:t>
      </w:r>
      <w:r>
        <w:t xml:space="preserve"> </w:t>
      </w:r>
      <w:r>
        <w:t xml:space="preserve">Gain in installation coverage</w:t>
      </w:r>
      <w:r>
        <w:t xml:space="preserve"> </w:t>
      </w:r>
      <w:r>
        <w:t xml:space="preserve">Threshold level</w:t>
      </w:r>
      <w:r>
        <w:t xml:space="preserve"> </w:t>
      </w:r>
      <w:r>
        <w:t xml:space="preserve">%</w:t>
      </w:r>
      <w:r>
        <w:t xml:space="preserve"> </w:t>
      </w:r>
      <w:r>
        <w:t xml:space="preserve">of</w:t>
      </w:r>
      <w:r>
        <w:t xml:space="preserve"> </w:t>
      </w:r>
      <w:r>
        <w:t xml:space="preserve">relevant</w:t>
      </w:r>
      <w:r>
        <w:t xml:space="preserve"> </w:t>
      </w:r>
      <w:r>
        <w:t xml:space="preserve">uncovered</w:t>
      </w:r>
      <w:r>
        <w:t xml:space="preserve"> </w:t>
      </w:r>
      <w:r>
        <w:t xml:space="preserve">emissions</w:t>
      </w:r>
      <w:r>
        <w:t xml:space="preserve"> </w:t>
      </w:r>
      <w:r>
        <w:t xml:space="preserve">MtCO2e</w:t>
      </w:r>
      <w:r>
        <w:t xml:space="preserve"> </w:t>
      </w:r>
      <w:r>
        <w:t xml:space="preserve">% of relevant</w:t>
      </w:r>
      <w:r>
        <w:br/>
      </w:r>
      <w:r>
        <w:t xml:space="preserve">installations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installations</w:t>
      </w:r>
      <w:r>
        <w:t xml:space="preserve"> </w:t>
      </w:r>
      <w:r>
        <w:t xml:space="preserve">≤15 MW</w:t>
      </w:r>
      <w:r>
        <w:t xml:space="preserve"> </w:t>
      </w:r>
      <w:r>
        <w:t xml:space="preserve">18%</w:t>
      </w:r>
      <w:r>
        <w:t xml:space="preserve"> </w:t>
      </w:r>
      <w:r>
        <w:t xml:space="preserve">5 MtCO2e</w:t>
      </w:r>
      <w:r>
        <w:t xml:space="preserve"> </w:t>
      </w:r>
      <w:r>
        <w:t xml:space="preserve">5%</w:t>
      </w:r>
      <w:r>
        <w:t xml:space="preserve"> </w:t>
      </w:r>
      <w:r>
        <w:t xml:space="preserve">5,005</w:t>
      </w:r>
      <w:r>
        <w:t xml:space="preserve"> </w:t>
      </w:r>
      <w:r>
        <w:t xml:space="preserve">≤10 MW</w:t>
      </w:r>
      <w:r>
        <w:t xml:space="preserve"> </w:t>
      </w:r>
      <w:r>
        <w:t xml:space="preserve">37%</w:t>
      </w:r>
      <w:r>
        <w:t xml:space="preserve"> </w:t>
      </w:r>
      <w:r>
        <w:t xml:space="preserve">10 MtCO2e</w:t>
      </w:r>
      <w:r>
        <w:t xml:space="preserve"> </w:t>
      </w:r>
      <w:r>
        <w:t xml:space="preserve">12%</w:t>
      </w:r>
      <w:r>
        <w:t xml:space="preserve"> </w:t>
      </w:r>
      <w:r>
        <w:t xml:space="preserve">11,615</w:t>
      </w:r>
      <w:r>
        <w:t xml:space="preserve"> </w:t>
      </w:r>
      <w:r>
        <w:t xml:space="preserve">≤5 MW</w:t>
      </w:r>
      <w:r>
        <w:t xml:space="preserve"> </w:t>
      </w:r>
      <w:r>
        <w:t xml:space="preserve">64%</w:t>
      </w:r>
      <w:r>
        <w:t xml:space="preserve"> </w:t>
      </w:r>
      <w:r>
        <w:t xml:space="preserve">18 MtCO2e</w:t>
      </w:r>
      <w:r>
        <w:t xml:space="preserve"> </w:t>
      </w:r>
      <w:r>
        <w:t xml:space="preserve">28%</w:t>
      </w:r>
      <w:r>
        <w:t xml:space="preserve"> </w:t>
      </w:r>
      <w:r>
        <w:t xml:space="preserve">26,345</w:t>
      </w:r>
      <w:r>
        <w:t xml:space="preserve"> </w:t>
      </w:r>
      <w:r>
        <w:t xml:space="preserve">No threshold</w:t>
      </w:r>
      <w:r>
        <w:t xml:space="preserve"> </w:t>
      </w:r>
      <w:r>
        <w:t xml:space="preserve">100%</w:t>
      </w:r>
      <w:r>
        <w:t xml:space="preserve"> </w:t>
      </w:r>
      <w:r>
        <w:t xml:space="preserve">28 MtCO2e</w:t>
      </w:r>
      <w:r>
        <w:t xml:space="preserve"> </w:t>
      </w:r>
      <w:r>
        <w:t xml:space="preserve">100%</w:t>
      </w:r>
      <w:r>
        <w:t xml:space="preserve"> </w:t>
      </w:r>
      <w:r>
        <w:t xml:space="preserve">94,428</w:t>
      </w:r>
      <w:r>
        <w:t xml:space="preserve"> </w:t>
      </w:r>
      <w:r>
        <w:t xml:space="preserve">Figure 20: Emissions by installation capacity</w:t>
      </w:r>
    </w:p>
    <w:p>
      <w:pPr>
        <w:pStyle w:val="BodyText"/>
      </w:pPr>
      <w:r>
        <w:t xml:space="preserve">Source: Own calculation based on data sources described in this chapter</w:t>
      </w:r>
    </w:p>
    <w:p>
      <w:pPr>
        <w:pStyle w:val="BodyText"/>
      </w:pPr>
      <w:r>
        <w:t xml:space="preserve">42 European Commission: Directorate-General for Climate Action, Oudenes, M., Iersel, S. v., Bystricky, E. and</w:t>
      </w:r>
      <w:r>
        <w:t xml:space="preserve"> </w:t>
      </w:r>
      <w:r>
        <w:t xml:space="preserve">Gardiner, A., Application of the European Union Emissions Trading Directive – Analysis of national</w:t>
      </w:r>
      <w:r>
        <w:t xml:space="preserve"> </w:t>
      </w:r>
      <w:r>
        <w:t xml:space="preserve">responses under Article 21 of the EU ETS Directive (reported data in 2023), Publications Office of the</w:t>
      </w:r>
      <w:r>
        <w:t xml:space="preserve"> </w:t>
      </w:r>
      <w:r>
        <w:t xml:space="preserve">European Union, 2024, https://data.europa.eu/doi/10.2834/662983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It should be noted that the distribution estimates presented in this analysis rely heavily on the</w:t>
      </w:r>
      <w:r>
        <w:t xml:space="preserve"> </w:t>
      </w:r>
      <w:r>
        <w:t xml:space="preserve">distributions from only two Member States: France and Poland. A more rigorous and consistent</w:t>
      </w:r>
      <w:r>
        <w:t xml:space="preserve"> </w:t>
      </w:r>
      <w:r>
        <w:t xml:space="preserve">analysis would require overcoming the difficulties encountered in obtaining data that is</w:t>
      </w:r>
      <w:r>
        <w:t xml:space="preserve"> </w:t>
      </w:r>
      <w:r>
        <w:t xml:space="preserve">complete, consistent and comparable.</w:t>
      </w:r>
      <w:r>
        <w:t xml:space="preserve"> </w:t>
      </w:r>
      <w:r>
        <w:t xml:space="preserve">2.3.4. Summary</w:t>
      </w:r>
      <w:r>
        <w:t xml:space="preserve"> </w:t>
      </w:r>
      <w:r>
        <w:t xml:space="preserve">Based on the assessment presented in this section, the option of lowering the threshold is not</w:t>
      </w:r>
      <w:r>
        <w:t xml:space="preserve"> </w:t>
      </w:r>
      <w:r>
        <w:t xml:space="preserve">taken further. The main reason for this is that the environmental gains from lowering the</w:t>
      </w:r>
      <w:r>
        <w:t xml:space="preserve"> </w:t>
      </w:r>
      <w:r>
        <w:t xml:space="preserve">threshold would be very small compared to the substantial increase in administrative effort, in</w:t>
      </w:r>
      <w:r>
        <w:t xml:space="preserve"> </w:t>
      </w:r>
      <w:r>
        <w:t xml:space="preserve">particular since most emissions from small installations will be covered under EU ETS2.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ANNEX 13: NEW SECTORS AND TECHNOLOGIES: WASTE</w:t>
      </w:r>
      <w:r>
        <w:t xml:space="preserve"> </w:t>
      </w:r>
      <w:r>
        <w:t xml:space="preserve">MANAGEMENT AND CARBON CAPTURE AND UTILISATION</w:t>
      </w:r>
      <w:r>
        <w:t xml:space="preserve"> </w:t>
      </w:r>
      <w:r>
        <w:t xml:space="preserve">(CCU)</w:t>
      </w:r>
      <w:r>
        <w:t xml:space="preserve"> </w:t>
      </w:r>
      <w:r>
        <w:t xml:space="preserve">LIST OF TABLES</w:t>
      </w:r>
      <w:r>
        <w:t xml:space="preserve"> </w:t>
      </w:r>
      <w:r>
        <w:t xml:space="preserve">Table 1:</w:t>
      </w:r>
      <w:r>
        <w:t xml:space="preserve"> </w:t>
      </w:r>
      <w:r>
        <w:t xml:space="preserve">Emissions data and estimates for MWI in the EU-27. ………………………………. 73</w:t>
      </w:r>
      <w:r>
        <w:t xml:space="preserve"> </w:t>
      </w:r>
      <w:r>
        <w:t xml:space="preserve">Table 2:</w:t>
      </w:r>
      <w:r>
        <w:t xml:space="preserve"> </w:t>
      </w:r>
      <w:r>
        <w:t xml:space="preserve">Modelling of 2030 EU ETS cap extension for the inclusion of emissions from</w:t>
      </w:r>
      <w:r>
        <w:t xml:space="preserve"> </w:t>
      </w:r>
      <w:r>
        <w:t xml:space="preserve">MWI.</w:t>
      </w:r>
      <w:r>
        <w:t xml:space="preserve"> </w:t>
      </w:r>
      <w:r>
        <w:t xml:space="preserve">74</w:t>
      </w:r>
      <w:r>
        <w:t xml:space="preserve"> </w:t>
      </w:r>
      <w:r>
        <w:t xml:space="preserve">Table 3:</w:t>
      </w:r>
      <w:r>
        <w:t xml:space="preserve"> </w:t>
      </w:r>
      <w:r>
        <w:t xml:space="preserve">Emission estimates on landfilling of non-hazardous waste in the EU-27 …….. 77</w:t>
      </w:r>
      <w:r>
        <w:t xml:space="preserve"> </w:t>
      </w:r>
      <w:r>
        <w:t xml:space="preserve">Table 4:</w:t>
      </w:r>
      <w:r>
        <w:t xml:space="preserve"> </w:t>
      </w:r>
      <w:r>
        <w:t xml:space="preserve">Options for threshold for inclusion of waste incineration installations in the EU</w:t>
      </w:r>
      <w:r>
        <w:t xml:space="preserve"> </w:t>
      </w:r>
      <w:r>
        <w:t xml:space="preserve">ETS and estimated impact on installations covered and emissions excluded ……………………. 92</w:t>
      </w:r>
      <w:r>
        <w:t xml:space="preserve"> </w:t>
      </w:r>
      <w:r>
        <w:t xml:space="preserve">Table 5:</w:t>
      </w:r>
      <w:r>
        <w:t xml:space="preserve"> </w:t>
      </w:r>
      <w:r>
        <w:t xml:space="preserve">Internal Commission estimates (2022) for fossil emissions from all types of</w:t>
      </w:r>
      <w:r>
        <w:t xml:space="preserve"> </w:t>
      </w:r>
      <w:r>
        <w:t xml:space="preserve">waste incineration (municipal, hazardous and industrial) in the EU27. ………………………….. 113</w:t>
      </w:r>
      <w:r>
        <w:t xml:space="preserve"> </w:t>
      </w:r>
      <w:r>
        <w:t xml:space="preserve">Table 6:</w:t>
      </w:r>
      <w:r>
        <w:t xml:space="preserve"> </w:t>
      </w:r>
      <w:r>
        <w:t xml:space="preserve">Summary of the Tier Requirements (maximum permissible uncertainty) by</w:t>
      </w:r>
      <w:r>
        <w:t xml:space="preserve"> </w:t>
      </w:r>
      <w:r>
        <w:t xml:space="preserve">category (for a measurement-based methodology). ……………………………………………………… 119</w:t>
      </w:r>
      <w:r>
        <w:t xml:space="preserve"> </w:t>
      </w:r>
      <w:r>
        <w:t xml:space="preserve">Table 7:</w:t>
      </w:r>
      <w:r>
        <w:t xml:space="preserve"> </w:t>
      </w:r>
      <w:r>
        <w:t xml:space="preserve">Overview of product lists by normal use or end-of-life treatment …………….. 132</w:t>
      </w:r>
      <w:r>
        <w:t xml:space="preserve"> </w:t>
      </w:r>
      <w:r>
        <w:t xml:space="preserve">Table 8:</w:t>
      </w:r>
      <w:r>
        <w:t xml:space="preserve"> </w:t>
      </w:r>
      <w:r>
        <w:t xml:space="preserve">Comparison of non-permanent CCU policy measures …………………………….. 154</w:t>
      </w:r>
      <w:r>
        <w:t xml:space="preserve"> </w:t>
      </w:r>
      <w:r>
        <w:t xml:space="preserve">LIST OF FIGURES</w:t>
      </w:r>
      <w:r>
        <w:t xml:space="preserve"> </w:t>
      </w:r>
      <w:r>
        <w:t xml:space="preserve">Figure 1:</w:t>
      </w:r>
      <w:r>
        <w:t xml:space="preserve"> </w:t>
      </w:r>
      <w:r>
        <w:t xml:space="preserve">Municipal waste per capita by treatment category in the EU (1995-2023) ….. 72</w:t>
      </w:r>
      <w:r>
        <w:t xml:space="preserve"> </w:t>
      </w:r>
      <w:r>
        <w:t xml:space="preserve">Figure 2:</w:t>
      </w:r>
      <w:r>
        <w:t xml:space="preserve"> </w:t>
      </w:r>
      <w:r>
        <w:t xml:space="preserve">Number of Waste-to-Energy plants and volume treated by country. …………… 73</w:t>
      </w:r>
      <w:r>
        <w:t xml:space="preserve"> </w:t>
      </w:r>
      <w:r>
        <w:t xml:space="preserve">Figure 3:</w:t>
      </w:r>
      <w:r>
        <w:t xml:space="preserve"> </w:t>
      </w:r>
      <w:r>
        <w:t xml:space="preserve">Share of municipal waste disposed through landfill by EU Member State (2010</w:t>
      </w:r>
      <w:r>
        <w:t xml:space="preserve"> </w:t>
      </w:r>
      <w:r>
        <w:t xml:space="preserve">vs 2023)</w:t>
      </w:r>
      <w:r>
        <w:t xml:space="preserve"> </w:t>
      </w:r>
      <w:r>
        <w:t xml:space="preserve">76</w:t>
      </w:r>
      <w:r>
        <w:t xml:space="preserve"> </w:t>
      </w:r>
      <w:r>
        <w:t xml:space="preserve">Figure 4: Municipal waste recycling rates in 2010 and 2022 (EEA, 2024) ……………………….. 27</w:t>
      </w:r>
      <w:r>
        <w:t xml:space="preserve"> </w:t>
      </w:r>
      <w:r>
        <w:t xml:space="preserve">Figure 5: Municipal waste per capita and treatment methods (in kg, 2023) ………………………. 94</w:t>
      </w:r>
      <w:r>
        <w:t xml:space="preserve"> </w:t>
      </w:r>
      <w:r>
        <w:t xml:space="preserve">Figure 6:</w:t>
      </w:r>
      <w:r>
        <w:t xml:space="preserve"> </w:t>
      </w:r>
      <w:r>
        <w:t xml:space="preserve">Emissions and number of installations reported under the scope of the EU ETS</w:t>
      </w:r>
      <w:r>
        <w:t xml:space="preserve"> </w:t>
      </w:r>
      <w:r>
        <w:t xml:space="preserve">MRV obligation for combustion of fuels in installations for the incineration of municipal waste</w:t>
      </w:r>
      <w:r>
        <w:t xml:space="preserve"> </w:t>
      </w:r>
      <w:r>
        <w:t xml:space="preserve">(2024).</w:t>
      </w:r>
      <w:r>
        <w:t xml:space="preserve"> </w:t>
      </w:r>
      <w:r>
        <w:t xml:space="preserve">112</w:t>
      </w:r>
      <w:r>
        <w:t xml:space="preserve"> </w:t>
      </w:r>
      <w:r>
        <w:t xml:space="preserve">Figure 7:</w:t>
      </w:r>
      <w:r>
        <w:t xml:space="preserve"> </w:t>
      </w:r>
      <w:r>
        <w:t xml:space="preserve">Concept of Renewable Carbon …………………………………………………………….. 128</w:t>
      </w:r>
      <w:r>
        <w:t xml:space="preserve"> </w:t>
      </w:r>
      <w:r>
        <w:t xml:space="preserve">Figure 8:</w:t>
      </w:r>
      <w:r>
        <w:t xml:space="preserve"> </w:t>
      </w:r>
      <w:r>
        <w:t xml:space="preserve">Overview CCU technology pathways for chemicals and polymers …………… 129</w:t>
      </w:r>
      <w:r>
        <w:t xml:space="preserve"> </w:t>
      </w:r>
      <w:r>
        <w:t xml:space="preserve">Figure 9:</w:t>
      </w:r>
      <w:r>
        <w:t xml:space="preserve"> </w:t>
      </w:r>
      <w:r>
        <w:t xml:space="preserve">Simplified illustration of upstream accounting in ETS context ………………… 130</w:t>
      </w:r>
      <w:r>
        <w:t xml:space="preserve"> </w:t>
      </w:r>
      <w:r>
        <w:t xml:space="preserve">Figure 10:</w:t>
      </w:r>
      <w:r>
        <w:t xml:space="preserve"> </w:t>
      </w:r>
      <w:r>
        <w:t xml:space="preserve">Simplified illustration of downstream accounting in ETS context ……………. 131</w:t>
      </w:r>
      <w:r>
        <w:t xml:space="preserve"> </w:t>
      </w:r>
      <w:r>
        <w:t xml:space="preserve">Figure 11:</w:t>
      </w:r>
      <w:r>
        <w:t xml:space="preserve"> </w:t>
      </w:r>
      <w:r>
        <w:t xml:space="preserve">Simplified illustration of hybrid downstream and midstream accounting in ETS</w:t>
      </w:r>
      <w:r>
        <w:t xml:space="preserve"> </w:t>
      </w:r>
      <w:r>
        <w:t xml:space="preserve">context</w:t>
      </w:r>
      <w:r>
        <w:t xml:space="preserve"> </w:t>
      </w:r>
      <w:r>
        <w:t xml:space="preserve">131</w:t>
      </w:r>
      <w:r>
        <w:t xml:space="preserve"> </w:t>
      </w:r>
      <w:r>
        <w:t xml:space="preserve">Figure 12:</w:t>
      </w:r>
      <w:r>
        <w:t xml:space="preserve"> </w:t>
      </w:r>
      <w:r>
        <w:t xml:space="preserve">CO2 flows in PO2 scenario for 2040 ……………………………………………………. 138</w:t>
      </w:r>
    </w:p>
    <w:p>
      <w:pPr>
        <w:pStyle w:val="BodyText"/>
      </w:pPr>
      <w:r>
        <w:t xml:space="preserve">72</w:t>
      </w:r>
    </w:p>
    <w:p>
      <w:pPr>
        <w:pStyle w:val="Compact"/>
        <w:numPr>
          <w:ilvl w:val="0"/>
          <w:numId w:val="1002"/>
        </w:numPr>
      </w:pPr>
      <w:r>
        <w:t xml:space="preserve">WASTE</w:t>
      </w:r>
      <w:r>
        <w:t xml:space="preserve"> </w:t>
      </w:r>
      <w:r>
        <w:t xml:space="preserve">1.1. Overview</w:t>
      </w:r>
      <w:r>
        <w:t xml:space="preserve"> </w:t>
      </w:r>
      <w:r>
        <w:t xml:space="preserve">The EU generates around 2.5 billion tonnes of waste per year, around 5 tonnes annually per</w:t>
      </w:r>
      <w:r>
        <w:t xml:space="preserve"> </w:t>
      </w:r>
      <w:r>
        <w:t xml:space="preserve">person43, with emissions from waste management processes responsible for approximately 6%</w:t>
      </w:r>
      <w:r>
        <w:t xml:space="preserve"> </w:t>
      </w:r>
      <w:r>
        <w:t xml:space="preserve">of the EU’s GHG emissions in 2023. While the waste sector as defined by the IPCC’s 2006</w:t>
      </w:r>
      <w:r>
        <w:t xml:space="preserve"> </w:t>
      </w:r>
      <w:r>
        <w:t xml:space="preserve">guidelines was responsible for more than 3.5% or 109 MtCO2eq of EU GHG emissions in</w:t>
      </w:r>
      <w:r>
        <w:t xml:space="preserve"> </w:t>
      </w:r>
      <w:r>
        <w:t xml:space="preserve">202344, this excludes emissions from waste incineration with energy recovery, which have been</w:t>
      </w:r>
      <w:r>
        <w:t xml:space="preserve"> </w:t>
      </w:r>
      <w:r>
        <w:t xml:space="preserve">estimated to be almost similar in size45.</w:t>
      </w:r>
      <w:r>
        <w:br/>
      </w:r>
      <w:r>
        <w:t xml:space="preserve">The waste management sector includes a range of operations: material recovery (reuse and</w:t>
      </w:r>
      <w:r>
        <w:t xml:space="preserve"> </w:t>
      </w:r>
      <w:r>
        <w:t xml:space="preserve">recycling – chemical and mechanical), composting and anaerobic digestion, and disposal</w:t>
      </w:r>
      <w:r>
        <w:t xml:space="preserve"> </w:t>
      </w:r>
      <w:r>
        <w:t xml:space="preserve">(landfill and incineration) with or without energy recovery. GHG emissions primarily result</w:t>
      </w:r>
      <w:r>
        <w:t xml:space="preserve"> </w:t>
      </w:r>
      <w:r>
        <w:t xml:space="preserve">from anaerobic degradation of biogenic waste streams (e.g. methane from landfills),</w:t>
      </w:r>
      <w:r>
        <w:t xml:space="preserve"> </w:t>
      </w:r>
      <w:r>
        <w:t xml:space="preserve">incineration of fossil waste streams and energy and fuel use (e.g. mechanical and chemical</w:t>
      </w:r>
      <w:r>
        <w:t xml:space="preserve"> </w:t>
      </w:r>
      <w:r>
        <w:t xml:space="preserve">recycling). Between 2010 and 2022 the share of waste landfilled in the EU decreased and other</w:t>
      </w:r>
      <w:r>
        <w:t xml:space="preserve"> </w:t>
      </w:r>
      <w:r>
        <w:t xml:space="preserve">waste management methods like recycling, biological treatment of waste and waste</w:t>
      </w:r>
      <w:r>
        <w:t xml:space="preserve"> </w:t>
      </w:r>
      <w:r>
        <w:t xml:space="preserve">incineration with energy recovery increased. Correspondingly, emissions from waste</w:t>
      </w:r>
      <w:r>
        <w:t xml:space="preserve"> </w:t>
      </w:r>
      <w:r>
        <w:t xml:space="preserve">incineration have increased, while landfill emissions have decreased over this period but</w:t>
      </w:r>
      <w:r>
        <w:t xml:space="preserve"> </w:t>
      </w:r>
      <w:r>
        <w:t xml:space="preserve">continue to be the largest source of GHG emissions from the waste management sector due to</w:t>
      </w:r>
      <w:r>
        <w:t xml:space="preserve"> </w:t>
      </w:r>
      <w:r>
        <w:t xml:space="preserve">the high global warming potential of methane.</w:t>
      </w:r>
      <w:r>
        <w:t xml:space="preserve"> </w:t>
      </w:r>
      <w:r>
        <w:t xml:space="preserve">While the EU’s environment policy framework sets out targets for waste management activities</w:t>
      </w:r>
      <w:r>
        <w:t xml:space="preserve"> </w:t>
      </w:r>
      <w:r>
        <w:t xml:space="preserve">to promote circularity by boosting recycling and reducing landfilling, emissions from waste</w:t>
      </w:r>
      <w:r>
        <w:t xml:space="preserve"> </w:t>
      </w:r>
      <w:r>
        <w:t xml:space="preserve">management activities are currently mainly subject to national emission reduction targets under</w:t>
      </w:r>
      <w:r>
        <w:t xml:space="preserve"> </w:t>
      </w:r>
      <w:r>
        <w:t xml:space="preserve">the Effort Sharing Regulation, with landfilling and waste incineration (with energy recovery)</w:t>
      </w:r>
      <w:r>
        <w:t xml:space="preserve"> </w:t>
      </w:r>
      <w:r>
        <w:t xml:space="preserve">being the main sources. Member States implement a diverse range of measures to deliver on</w:t>
      </w:r>
      <w:r>
        <w:t xml:space="preserve"> </w:t>
      </w:r>
      <w:r>
        <w:t xml:space="preserve">the EU waste policy targets, but few Member States apply dedicated measures to address</w:t>
      </w:r>
      <w:r>
        <w:t xml:space="preserve"> </w:t>
      </w:r>
      <w:r>
        <w:t xml:space="preserve">emissions from waste management. Denmark, Sweden and Lithuania have included municipal</w:t>
      </w:r>
      <w:r>
        <w:t xml:space="preserve"> </w:t>
      </w:r>
      <w:r>
        <w:t xml:space="preserve">waste incineration (MWI) installations with energy recovery in their national implementation</w:t>
      </w:r>
      <w:r>
        <w:t xml:space="preserve"> </w:t>
      </w:r>
      <w:r>
        <w:t xml:space="preserve">of the EU ETS, while Germany applies a national emissions trading system and the Netherlands</w:t>
      </w:r>
      <w:r>
        <w:t xml:space="preserve"> </w:t>
      </w:r>
      <w:r>
        <w:t xml:space="preserve">implemented a carbon levy for MWI emissions.</w:t>
      </w:r>
      <w:r>
        <w:br/>
      </w:r>
      <w:r>
        <w:t xml:space="preserve">Achieving the EU’s 2050 net-zero climate target requires action across all economic sectors.</w:t>
      </w:r>
      <w:r>
        <w:t xml:space="preserve"> </w:t>
      </w:r>
      <w:r>
        <w:t xml:space="preserve">These include actions related to materials and how we produce, use, re-circulate and dispose</w:t>
      </w:r>
      <w:r>
        <w:t xml:space="preserve"> </w:t>
      </w:r>
      <w:r>
        <w:t xml:space="preserve">of them. Waste management and the circular economy hold considerable, mutually reinforcing</w:t>
      </w:r>
      <w:r>
        <w:t xml:space="preserve"> </w:t>
      </w:r>
      <w:r>
        <w:t xml:space="preserve">potential for mitigating climate change. The introduction of additional measures linking</w:t>
      </w:r>
      <w:r>
        <w:t xml:space="preserve"> </w:t>
      </w:r>
      <w:r>
        <w:t xml:space="preserve">emission reductions and circular economy policies is important to help accelerate future GHG</w:t>
      </w:r>
      <w:r>
        <w:t xml:space="preserve"> </w:t>
      </w:r>
      <w:r>
        <w:t xml:space="preserve">emissions reductions while increasing circularity and improving waste management.</w:t>
      </w:r>
      <w:r>
        <w:t xml:space="preserve"> </w:t>
      </w:r>
      <w:r>
        <w:t xml:space="preserve">More than half of stakeholders in the open public consultation from different stakeholder</w:t>
      </w:r>
      <w:r>
        <w:t xml:space="preserve"> </w:t>
      </w:r>
      <w:r>
        <w:t xml:space="preserve">groups, both companies and business associations as well as NGOs and environmental</w:t>
      </w:r>
    </w:p>
    <w:p>
      <w:pPr>
        <w:pStyle w:val="FirstParagraph"/>
      </w:pPr>
      <w:r>
        <w:t xml:space="preserve">43 European Commission (2025). Waste Framework Directive. Available at:</w:t>
      </w:r>
      <w:r>
        <w:t xml:space="preserve"> </w:t>
      </w:r>
      <w:r>
        <w:t xml:space="preserve">https://environment.ec.europa.eu/topics/waste-and-recycling/waste-framework-directive_en (Accessed: 7</w:t>
      </w:r>
      <w:r>
        <w:t xml:space="preserve"> </w:t>
      </w:r>
      <w:r>
        <w:t xml:space="preserve">November 2025).</w:t>
      </w:r>
      <w:r>
        <w:t xml:space="preserve"> </w:t>
      </w:r>
      <w:r>
        <w:t xml:space="preserve">44 CRT source category 5A to 5D. UNFCCC EU National Inventory Document (NID) (2025). Available at:</w:t>
      </w:r>
      <w:r>
        <w:br/>
      </w:r>
      <w:r>
        <w:t xml:space="preserve">https://www.eea.europa.eu/en/analysis/publications/annual-european-union-greenhouse-gas-inventory-</w:t>
      </w:r>
      <w:r>
        <w:t xml:space="preserve"> </w:t>
      </w:r>
      <w:r>
        <w:t xml:space="preserve">2025/eu-nid-2025-1.pdf/@</w:t>
      </w:r>
      <w:r>
        <w:t xml:space="preserve">@download/file</w:t>
      </w:r>
      <w:r>
        <w:t xml:space="preserve"> </w:t>
      </w:r>
      <w:r>
        <w:t xml:space="preserve">45 Counting fossil and biogenic emissions of waste incineration with energy recovery of all waste types</w:t>
      </w:r>
      <w:r>
        <w:t xml:space="preserve"> </w:t>
      </w:r>
      <w:r>
        <w:t xml:space="preserve">(municipal, industrial and hazardous). See section 1.2.1.2. for more details.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organisations, supported the inclusion of MWI installations in the EU ETS. Conversely, further</w:t>
      </w:r>
      <w:r>
        <w:t xml:space="preserve"> </w:t>
      </w:r>
      <w:r>
        <w:t xml:space="preserve">extensions to hazardous waste incineration (HWI) installations or landfills were more divisive.</w:t>
      </w:r>
      <w:r>
        <w:br/>
      </w:r>
      <w:r>
        <w:t xml:space="preserve">This annex considers the impacts of a potential expansion of the EU ETS to MWI and other</w:t>
      </w:r>
      <w:r>
        <w:t xml:space="preserve"> </w:t>
      </w:r>
      <w:r>
        <w:t xml:space="preserve">waste management processes in contributing to the cost-effective decarbonisation of the waste</w:t>
      </w:r>
      <w:r>
        <w:t xml:space="preserve"> </w:t>
      </w:r>
      <w:r>
        <w:t xml:space="preserve">management sector, while promoting a shift to a circular economy, in line with the review</w:t>
      </w:r>
      <w:r>
        <w:t xml:space="preserve"> </w:t>
      </w:r>
      <w:r>
        <w:t xml:space="preserve">clause in Article 30(7) of the ETS Directive. MWI also contributes to other policy measures</w:t>
      </w:r>
      <w:r>
        <w:t xml:space="preserve"> </w:t>
      </w:r>
      <w:r>
        <w:t xml:space="preserve">under consideration in the 2026 EU ETS review, notably the generation of permanent carbon</w:t>
      </w:r>
      <w:r>
        <w:t xml:space="preserve"> </w:t>
      </w:r>
      <w:r>
        <w:t xml:space="preserve">removals from the capture and storage of the biogenic carbon fraction of waste, and the</w:t>
      </w:r>
      <w:r>
        <w:t xml:space="preserve"> </w:t>
      </w:r>
      <w:r>
        <w:t xml:space="preserve">coverage of downstream emissions of non-permanent Carbon Capture and Use (CCU)</w:t>
      </w:r>
      <w:r>
        <w:t xml:space="preserve"> </w:t>
      </w:r>
      <w:r>
        <w:t xml:space="preserve">products.</w:t>
      </w:r>
      <w:r>
        <w:br/>
      </w:r>
      <w:r>
        <w:t xml:space="preserve">1.2. Scope of regulated activities and emissions</w:t>
      </w:r>
      <w:r>
        <w:br/>
      </w:r>
      <w:r>
        <w:t xml:space="preserve">Emissions from the waste management sector are currently mainly covered under the EU’s</w:t>
      </w:r>
      <w:r>
        <w:t xml:space="preserve"> </w:t>
      </w:r>
      <w:r>
        <w:t xml:space="preserve">Effort Sharing Regulation (ESR). However, industrial waste incineration and the co-</w:t>
      </w:r>
      <w:r>
        <w:t xml:space="preserve"> </w:t>
      </w:r>
      <w:r>
        <w:t xml:space="preserve">incineration of waste, e.g. in a cement kiln, are already included in the scope of the EU ETS.</w:t>
      </w:r>
      <w:r>
        <w:t xml:space="preserve"> </w:t>
      </w:r>
      <w:r>
        <w:t xml:space="preserve">In addition, some Member States have included waste incineration installations with energy or</w:t>
      </w:r>
      <w:r>
        <w:t xml:space="preserve"> </w:t>
      </w:r>
      <w:r>
        <w:t xml:space="preserve">heat production as their main purpose in their national implementation of the EU ETS</w:t>
      </w:r>
      <w:r>
        <w:t xml:space="preserve"> </w:t>
      </w:r>
      <w:r>
        <w:t xml:space="preserve">(Denmark, Sweden and Lithuania). This current framework has contributed to a heterogeneous</w:t>
      </w:r>
      <w:r>
        <w:t xml:space="preserve"> </w:t>
      </w:r>
      <w:r>
        <w:t xml:space="preserve">coverage of emissions from waste management under the EU ETS and the ESR, which can</w:t>
      </w:r>
      <w:r>
        <w:t xml:space="preserve"> </w:t>
      </w:r>
      <w:r>
        <w:t xml:space="preserve">lead to competitive distortions within the sector, between sectors and between Member States.</w:t>
      </w:r>
      <w:r>
        <w:br/>
      </w:r>
      <w:r>
        <w:t xml:space="preserve">The main additional regulated activities and emissions considered for inclusion under the scope</w:t>
      </w:r>
      <w:r>
        <w:t xml:space="preserve"> </w:t>
      </w:r>
      <w:r>
        <w:t xml:space="preserve">of the EU ETS are those identified under measures W1 (municipal waste incineration), W2</w:t>
      </w:r>
      <w:r>
        <w:t xml:space="preserve"> </w:t>
      </w:r>
      <w:r>
        <w:t xml:space="preserve">(municipal and hazardous waste incineration) and W3 (municipal and hazardous waste</w:t>
      </w:r>
      <w:r>
        <w:t xml:space="preserve"> </w:t>
      </w:r>
      <w:r>
        <w:t xml:space="preserve">incineration and landfilling of non-hazardous waste).</w:t>
      </w:r>
      <w:r>
        <w:t xml:space="preserve"> </w:t>
      </w:r>
      <w:r>
        <w:t xml:space="preserve">1.2.1. Municipal waste incineration (MWI)</w:t>
      </w:r>
      <w:r>
        <w:t xml:space="preserve"> </w:t>
      </w:r>
      <w:r>
        <w:t xml:space="preserve">Regulated activity</w:t>
      </w:r>
      <w:r>
        <w:t xml:space="preserve"> </w:t>
      </w:r>
      <w:r>
        <w:t xml:space="preserve">Municipal waste consists of waste from households and similarly composed waste from offices,</w:t>
      </w:r>
      <w:r>
        <w:t xml:space="preserve"> </w:t>
      </w:r>
      <w:r>
        <w:t xml:space="preserve">shops and other sources, collected by or on behalf of municipal authorities and disposed of</w:t>
      </w:r>
      <w:r>
        <w:t xml:space="preserve"> </w:t>
      </w:r>
      <w:r>
        <w:t xml:space="preserve">through waste management systems. It accounts for 27 % of total waste generated in the EU</w:t>
      </w:r>
      <w:r>
        <w:t xml:space="preserve"> </w:t>
      </w:r>
      <w:r>
        <w:t xml:space="preserve">(excluding mining and quarrying waste and construction and demolition waste). The generation</w:t>
      </w:r>
      <w:r>
        <w:t xml:space="preserve"> </w:t>
      </w:r>
      <w:r>
        <w:t xml:space="preserve">of municipal waste varies considerably between Member States, from 303 kg per capita in</w:t>
      </w:r>
      <w:r>
        <w:t xml:space="preserve"> </w:t>
      </w:r>
      <w:r>
        <w:t xml:space="preserve">Romania to 803 kg per capita in Austria (2022). Municipal waste incineration (MWI) entails</w:t>
      </w:r>
      <w:r>
        <w:t xml:space="preserve"> </w:t>
      </w:r>
      <w:r>
        <w:t xml:space="preserve">the combustion and conversion of this residual waste into carbon dioxide (CO2) and water, with</w:t>
      </w:r>
      <w:r>
        <w:t xml:space="preserve"> </w:t>
      </w:r>
      <w:r>
        <w:t xml:space="preserve">some remaining ashes (inorganic or inert fraction). The average amount of municipal waste</w:t>
      </w:r>
      <w:r>
        <w:t xml:space="preserve"> </w:t>
      </w:r>
      <w:r>
        <w:t xml:space="preserve">incinerated in the EU has almost doubled between 1995 and 2023, from 30 million tonnes or</w:t>
      </w:r>
      <w:r>
        <w:t xml:space="preserve"> </w:t>
      </w:r>
      <w:r>
        <w:t xml:space="preserve">70 kg/capita to 58 million tonnes or 129 kg/capita46, representing 26% of all municipal waste</w:t>
      </w:r>
      <w:r>
        <w:t xml:space="preserve"> </w:t>
      </w:r>
      <w:r>
        <w:t xml:space="preserve">treated in the EU. This increase is primarily driven by an increase in total waste generated, in</w:t>
      </w:r>
      <w:r>
        <w:t xml:space="preserve"> </w:t>
      </w:r>
      <w:r>
        <w:t xml:space="preserve">combination with part of decreasing landfilled volumes going to incineration47. Figure 1 shows</w:t>
      </w:r>
    </w:p>
    <w:p>
      <w:pPr>
        <w:pStyle w:val="BodyText"/>
      </w:pPr>
      <w:r>
        <w:t xml:space="preserve">46 Eurostat (2025). Municipal waste statistics. Available at: link</w:t>
      </w:r>
      <w:r>
        <w:t xml:space="preserve"> </w:t>
      </w:r>
      <w:r>
        <w:t xml:space="preserve">47 The combined volume of municipal waste recycled (+44 million tonnes of waste), composted (+31 million</w:t>
      </w:r>
      <w:r>
        <w:t xml:space="preserve"> </w:t>
      </w:r>
      <w:r>
        <w:t xml:space="preserve">tonnes of waste) and incinerated (+31 million tonnes of waste) increased by two thirds more than the decrease</w:t>
      </w:r>
      <w:r>
        <w:t xml:space="preserve"> </w:t>
      </w:r>
      <w:r>
        <w:t xml:space="preserve">in volume of municipal waste landfilled (-71 million tonnes of waste) over 1995-2024 (Eurostat), reflecting</w:t>
      </w:r>
      <w:r>
        <w:t xml:space="preserve"> </w:t>
      </w:r>
      <w:r>
        <w:t xml:space="preserve">both a significant increase in overall municipal waste generated and a diversion of waste streams from</w:t>
      </w:r>
      <w:r>
        <w:t xml:space="preserve"> </w:t>
      </w:r>
      <w:r>
        <w:t xml:space="preserve">landfilling to both composting, recycling and incineration.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the development of municipal waste treatment by type, showing an increase in recycling and</w:t>
      </w:r>
      <w:r>
        <w:t xml:space="preserve"> </w:t>
      </w:r>
      <w:r>
        <w:t xml:space="preserve">incineration as landfilling has decreased.</w:t>
      </w:r>
      <w:r>
        <w:br/>
      </w:r>
      <w:r>
        <w:t xml:space="preserve">Figure 1:</w:t>
      </w:r>
      <w:r>
        <w:t xml:space="preserve"> </w:t>
      </w:r>
      <w:r>
        <w:t xml:space="preserve">Municipal waste per capita by treatment category in the EU (1995-2023)</w:t>
      </w:r>
    </w:p>
    <w:p>
      <w:pPr>
        <w:pStyle w:val="BodyText"/>
      </w:pPr>
      <w:r>
        <w:t xml:space="preserve">Source: Eurostat</w:t>
      </w:r>
      <w:r>
        <w:t xml:space="preserve"> </w:t>
      </w:r>
      <w:r>
        <w:t xml:space="preserve">Most MWI installations in the EU operate with energy recovery (also called waste-to-energy</w:t>
      </w:r>
      <w:r>
        <w:t xml:space="preserve"> </w:t>
      </w:r>
      <w:r>
        <w:t xml:space="preserve">or WtE). The Industrial Emissions Directive effectively mandates energy recovery for waste</w:t>
      </w:r>
      <w:r>
        <w:t xml:space="preserve"> </w:t>
      </w:r>
      <w:r>
        <w:t xml:space="preserve">incineration48. A total of 411 WtE plants were reported in the EEA in 2022, excluding</w:t>
      </w:r>
      <w:r>
        <w:t xml:space="preserve"> </w:t>
      </w:r>
      <w:r>
        <w:t xml:space="preserve">hazardous waste incineration (HWI) plants (see Figure 2)49. MWI incineration capacity is high</w:t>
      </w:r>
      <w:r>
        <w:t xml:space="preserve"> </w:t>
      </w:r>
      <w:r>
        <w:t xml:space="preserve">overall in the EEA (with overcapacity by some estimates50) but unevenly distributed, with</w:t>
      </w:r>
      <w:r>
        <w:t xml:space="preserve"> </w:t>
      </w:r>
      <w:r>
        <w:t xml:space="preserve">several Member States having limited or no incineration capacity51. The share of waste-to-</w:t>
      </w:r>
      <w:r>
        <w:t xml:space="preserve"> </w:t>
      </w:r>
      <w:r>
        <w:t xml:space="preserve">energy installations in EU electricity generation was 1.4% in 2019, supplying electricity to</w:t>
      </w:r>
      <w:r>
        <w:t xml:space="preserve"> </w:t>
      </w:r>
      <w:r>
        <w:t xml:space="preserve">some 20 million people (43 billion kWh). The share of municipal waste in district heating</w:t>
      </w:r>
      <w:r>
        <w:t xml:space="preserve"> </w:t>
      </w:r>
      <w:r>
        <w:t xml:space="preserve">generation in the EU is more significant at 9.9% (2019), especially in the North, supplying</w:t>
      </w:r>
      <w:r>
        <w:t xml:space="preserve"> </w:t>
      </w:r>
      <w:r>
        <w:t xml:space="preserve">around 17 million people (99 billion kWh). In some countries, like Germany, this can account</w:t>
      </w:r>
      <w:r>
        <w:t xml:space="preserve"> </w:t>
      </w:r>
      <w:r>
        <w:t xml:space="preserve">for over 4% of the energy supply52. In Denmark, heat recovered from waste incineration</w:t>
      </w:r>
      <w:r>
        <w:t xml:space="preserve"> </w:t>
      </w:r>
      <w:r>
        <w:t xml:space="preserve">accounts for approx. 20% of supplied district heating.</w:t>
      </w:r>
    </w:p>
    <w:p>
      <w:pPr>
        <w:pStyle w:val="BodyText"/>
      </w:pPr>
      <w:r>
        <w:t xml:space="preserve">48 Article 50(5) Industrial Emissions Directive: “Any heat generated by waste incineration plants or waste co-</w:t>
      </w:r>
      <w:r>
        <w:t xml:space="preserve"> </w:t>
      </w:r>
      <w:r>
        <w:t xml:space="preserve">incineration plants shall be recovered as far as practicable.”</w:t>
      </w:r>
      <w:r>
        <w:t xml:space="preserve"> </w:t>
      </w:r>
      <w:r>
        <w:t xml:space="preserve">49 CEWEP (2022). Waste-to-Energy Plants in Europe in 2022. Available at: https://www.cewep.eu/waste-to-</w:t>
      </w:r>
      <w:r>
        <w:t xml:space="preserve"> </w:t>
      </w:r>
      <w:r>
        <w:t xml:space="preserve">energy-plants-in-europe-in-2022/</w:t>
      </w:r>
      <w:r>
        <w:br/>
      </w:r>
      <w:r>
        <w:t xml:space="preserve">50 ZeroWasteEurope (2023). Enough is enough: the case for a moratorium on incineration. Available on :</w:t>
      </w:r>
      <w:r>
        <w:t xml:space="preserve"> </w:t>
      </w:r>
      <w:r>
        <w:t xml:space="preserve">https://zerowasteeurope.eu/wp-</w:t>
      </w:r>
      <w:r>
        <w:t xml:space="preserve"> </w:t>
      </w:r>
      <w:r>
        <w:t xml:space="preserve">content/uploads/2023/09/zwe_sep23_report_enoughisenoughwtemoratorium-1.pdf</w:t>
      </w:r>
      <w:r>
        <w:t xml:space="preserve"> </w:t>
      </w:r>
      <w:r>
        <w:t xml:space="preserve">51 8 Member States had no MWI incineration capacity in 2024 (CY, BG, EL, HR, LV, MT, RO, SI).</w:t>
      </w:r>
      <w:r>
        <w:t xml:space="preserve"> </w:t>
      </w:r>
      <w:r>
        <w:t xml:space="preserve">52 P. Hockenos (2021). ‘Waste to Energy – Controversial power generation by incineration’, Clean Energy</w:t>
      </w:r>
      <w:r>
        <w:t xml:space="preserve"> </w:t>
      </w:r>
      <w:r>
        <w:t xml:space="preserve">Wire, 26 May 2021. Available at: https://www.cleanenergywire.org/factsheets/waste-energy-controversial-</w:t>
      </w:r>
      <w:r>
        <w:t xml:space="preserve"> </w:t>
      </w:r>
      <w:r>
        <w:t xml:space="preserve">power-generation-incineration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1995</w:t>
      </w:r>
      <w:r>
        <w:t xml:space="preserve"> </w:t>
      </w:r>
      <w:r>
        <w:t xml:space="preserve">1996</w:t>
      </w:r>
      <w:r>
        <w:t xml:space="preserve"> </w:t>
      </w:r>
      <w:r>
        <w:t xml:space="preserve">1997</w:t>
      </w:r>
      <w:r>
        <w:t xml:space="preserve"> </w:t>
      </w:r>
      <w:r>
        <w:t xml:space="preserve">1998</w:t>
      </w:r>
      <w:r>
        <w:t xml:space="preserve"> </w:t>
      </w:r>
      <w:r>
        <w:t xml:space="preserve">1999</w:t>
      </w:r>
      <w:r>
        <w:t xml:space="preserve"> </w:t>
      </w:r>
      <w:r>
        <w:t xml:space="preserve">2000</w:t>
      </w:r>
      <w:r>
        <w:t xml:space="preserve"> </w:t>
      </w:r>
      <w:r>
        <w:t xml:space="preserve">2001</w:t>
      </w:r>
      <w:r>
        <w:t xml:space="preserve"> </w:t>
      </w:r>
      <w:r>
        <w:t xml:space="preserve">2002</w:t>
      </w:r>
      <w:r>
        <w:t xml:space="preserve"> </w:t>
      </w:r>
      <w:r>
        <w:t xml:space="preserve">2003</w:t>
      </w:r>
      <w:r>
        <w:t xml:space="preserve"> </w:t>
      </w:r>
      <w:r>
        <w:t xml:space="preserve">2004</w:t>
      </w:r>
      <w:r>
        <w:t xml:space="preserve"> </w:t>
      </w:r>
      <w:r>
        <w:t xml:space="preserve">2005</w:t>
      </w:r>
      <w:r>
        <w:t xml:space="preserve"> </w:t>
      </w:r>
      <w:r>
        <w:t xml:space="preserve">2006</w:t>
      </w:r>
      <w:r>
        <w:t xml:space="preserve"> </w:t>
      </w:r>
      <w:r>
        <w:t xml:space="preserve">2007</w:t>
      </w:r>
      <w:r>
        <w:t xml:space="preserve"> </w:t>
      </w:r>
      <w:r>
        <w:t xml:space="preserve">2008</w:t>
      </w:r>
      <w:r>
        <w:t xml:space="preserve"> </w:t>
      </w:r>
      <w:r>
        <w:t xml:space="preserve">2009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kg per capita</w:t>
      </w:r>
      <w:r>
        <w:t xml:space="preserve"> </w:t>
      </w:r>
      <w:r>
        <w:t xml:space="preserve">Recycling - composting and digestion</w:t>
      </w:r>
      <w:r>
        <w:t xml:space="preserve"> </w:t>
      </w:r>
      <w:r>
        <w:t xml:space="preserve">Recycling - material</w:t>
      </w:r>
      <w:r>
        <w:t xml:space="preserve"> </w:t>
      </w:r>
      <w:r>
        <w:t xml:space="preserve">Disposal - landfill and other (D1-D7, D12)</w:t>
      </w:r>
      <w:r>
        <w:t xml:space="preserve"> </w:t>
      </w:r>
      <w:r>
        <w:t xml:space="preserve">Disposal - incineration (D10) and recovery - energy recovery (R1)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Figure 2:</w:t>
      </w:r>
      <w:r>
        <w:t xml:space="preserve"> </w:t>
      </w:r>
      <w:r>
        <w:t xml:space="preserve">Number of Waste-to-Energy plants and volume treated by country.</w:t>
      </w:r>
    </w:p>
    <w:p>
      <w:pPr>
        <w:pStyle w:val="BodyText"/>
      </w:pPr>
      <w:r>
        <w:t xml:space="preserve">Source: European Commission, based on summary data from CEWEP (2022)</w:t>
      </w:r>
      <w:r>
        <w:t xml:space="preserve"> </w:t>
      </w:r>
      <w:r>
        <w:t xml:space="preserve">Emissions</w:t>
      </w:r>
      <w:r>
        <w:br/>
      </w:r>
      <w:r>
        <w:t xml:space="preserve">Municipal waste is mostly composed of packaging materials and bio-waste (biodegradable</w:t>
      </w:r>
      <w:r>
        <w:t xml:space="preserve"> </w:t>
      </w:r>
      <w:r>
        <w:t xml:space="preserve">garden and park waste, and food and kitchen waste). The climate change impact of MWI</w:t>
      </w:r>
      <w:r>
        <w:t xml:space="preserve"> </w:t>
      </w:r>
      <w:r>
        <w:t xml:space="preserve">accounted as total CO2e emissions largely depends on the distribution between these biogenic</w:t>
      </w:r>
      <w:r>
        <w:t xml:space="preserve"> </w:t>
      </w:r>
      <w:r>
        <w:t xml:space="preserve">and fossil fractions of waste input. This varies locally, regionally and from country to country</w:t>
      </w:r>
      <w:r>
        <w:t xml:space="preserve"> </w:t>
      </w:r>
      <w:r>
        <w:t xml:space="preserve">depending on collection schemes, potential pre-sorting stages and local citizen habits. A tonne</w:t>
      </w:r>
      <w:r>
        <w:t xml:space="preserve"> </w:t>
      </w:r>
      <w:r>
        <w:t xml:space="preserve">of municipal waste is generally estimated to be associated with emissions between 0.7 and 1.2</w:t>
      </w:r>
      <w:r>
        <w:t xml:space="preserve"> </w:t>
      </w:r>
      <w:r>
        <w:t xml:space="preserve">tonne CO2, of which approximately half is fossil and half biogenic53. There are also other</w:t>
      </w:r>
      <w:r>
        <w:t xml:space="preserve"> </w:t>
      </w:r>
      <w:r>
        <w:t xml:space="preserve">emissions associated with the plant operations, for example, the use of burners to start-up or</w:t>
      </w:r>
      <w:r>
        <w:t xml:space="preserve"> </w:t>
      </w:r>
      <w:r>
        <w:t xml:space="preserve">maintain autothermal combustion, or the generation of N2O in the deNOx system.</w:t>
      </w:r>
      <w:r>
        <w:t xml:space="preserve"> </w:t>
      </w:r>
      <w:r>
        <w:t xml:space="preserve">Emissions data and estimates for MWI in the EU are presented in Table 1 and explored and</w:t>
      </w:r>
      <w:r>
        <w:t xml:space="preserve"> </w:t>
      </w:r>
      <w:r>
        <w:t xml:space="preserve">compared in detail in Appendix 1. MWI emissions have increased by almost 300% from 1990</w:t>
      </w:r>
      <w:r>
        <w:t xml:space="preserve"> </w:t>
      </w:r>
      <w:r>
        <w:t xml:space="preserve">to 202354, in parallel to the increase in volumes of waste incinerated55.</w:t>
      </w:r>
      <w:r>
        <w:t xml:space="preserve"> </w:t>
      </w:r>
      <w:r>
        <w:t xml:space="preserve">Table 1:</w:t>
      </w:r>
      <w:r>
        <w:t xml:space="preserve"> </w:t>
      </w:r>
      <w:r>
        <w:t xml:space="preserve">Emissions data and estimates for MWI in the EU-27.</w:t>
      </w:r>
    </w:p>
    <w:p>
      <w:pPr>
        <w:pStyle w:val="BodyText"/>
      </w:pPr>
      <w:r>
        <w:t xml:space="preserve">53 IPCC (2000). Emissions from waste incineration, in IPCC Good Practice Guidance and Uncertainty</w:t>
      </w:r>
      <w:r>
        <w:t xml:space="preserve"> </w:t>
      </w:r>
      <w:r>
        <w:t xml:space="preserve">Management in National Greenhouse Gas Inventories. Published for the IPCC by the Institute for Global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Strategies,</w:t>
      </w:r>
      <w:r>
        <w:t xml:space="preserve"> </w:t>
      </w:r>
      <w:r>
        <w:t xml:space="preserve">Japan.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https://www.ipcc-</w:t>
      </w:r>
      <w:r>
        <w:t xml:space="preserve"> </w:t>
      </w:r>
      <w:r>
        <w:t xml:space="preserve">nggip.iges.or.jp/public/gp/bgp/5_3_Waste_Incineration.pdf</w:t>
      </w:r>
      <w:r>
        <w:t xml:space="preserve"> </w:t>
      </w:r>
      <w:r>
        <w:t xml:space="preserve">54 Based on UNFCCC Inventory Data for categories 5C and 1A1a.</w:t>
      </w:r>
      <w:r>
        <w:t xml:space="preserve"> </w:t>
      </w:r>
      <w:r>
        <w:t xml:space="preserve">55 The increase in incineration emissions is primarily driven by the increase in total municipal waste generated.</w:t>
      </w:r>
      <w:r>
        <w:t xml:space="preserve"> </w:t>
      </w:r>
      <w:r>
        <w:t xml:space="preserve">The volume of plastics incinerated and the volume of plastics recycled have increased more than the volume</w:t>
      </w:r>
      <w:r>
        <w:t xml:space="preserve"> </w:t>
      </w:r>
      <w:r>
        <w:t xml:space="preserve">of plastics landfilled have decreased. The EU generated 42.5 million tonnes of plastic waste in 2022, of which</w:t>
      </w:r>
      <w:r>
        <w:t xml:space="preserve"> </w:t>
      </w:r>
      <w:r>
        <w:t xml:space="preserve">roughly 80% was incinerated or landfilled (JRC, 2025. Plastic materials flows in the EU-27 and their</w:t>
      </w:r>
      <w:r>
        <w:t xml:space="preserve"> </w:t>
      </w:r>
      <w:r>
        <w:t xml:space="preserve">environmental impacts).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Source</w:t>
      </w:r>
      <w:r>
        <w:t xml:space="preserve"> </w:t>
      </w:r>
      <w:r>
        <w:t xml:space="preserve">Year</w:t>
      </w:r>
      <w:r>
        <w:t xml:space="preserve"> </w:t>
      </w:r>
      <w:r>
        <w:t xml:space="preserve">of</w:t>
      </w:r>
      <w:r>
        <w:t xml:space="preserve"> </w:t>
      </w:r>
      <w:r>
        <w:t xml:space="preserve">reporting</w:t>
      </w:r>
      <w:r>
        <w:t xml:space="preserve"> </w:t>
      </w:r>
      <w:r>
        <w:t xml:space="preserve">Year</w:t>
      </w:r>
      <w:r>
        <w:t xml:space="preserve"> </w:t>
      </w:r>
      <w:r>
        <w:t xml:space="preserve">of</w:t>
      </w:r>
      <w:r>
        <w:t xml:space="preserve"> </w:t>
      </w:r>
      <w:r>
        <w:t xml:space="preserve">emissions</w:t>
      </w:r>
      <w:r>
        <w:t xml:space="preserve"> </w:t>
      </w:r>
      <w:r>
        <w:t xml:space="preserve">Fossil</w:t>
      </w:r>
      <w:r>
        <w:t xml:space="preserve"> </w:t>
      </w:r>
      <w:r>
        <w:t xml:space="preserve">emissions</w:t>
      </w:r>
      <w:r>
        <w:t xml:space="preserve"> </w:t>
      </w:r>
      <w:r>
        <w:t xml:space="preserve">(MtCO2e)</w:t>
      </w:r>
      <w:r>
        <w:t xml:space="preserve"> </w:t>
      </w:r>
      <w:r>
        <w:t xml:space="preserve">Biogenic</w:t>
      </w:r>
      <w:r>
        <w:t xml:space="preserve"> </w:t>
      </w:r>
      <w:r>
        <w:t xml:space="preserve">emissions</w:t>
      </w:r>
      <w:r>
        <w:t xml:space="preserve"> </w:t>
      </w:r>
      <w:r>
        <w:t xml:space="preserve">(MtCO2e)</w:t>
      </w:r>
      <w:r>
        <w:t xml:space="preserve"> </w:t>
      </w:r>
      <w:r>
        <w:t xml:space="preserve">Data limitations</w:t>
      </w:r>
      <w:r>
        <w:t xml:space="preserve"> </w:t>
      </w:r>
      <w:r>
        <w:t xml:space="preserve">ETS MRV data</w:t>
      </w:r>
      <w:r>
        <w:t xml:space="preserve"> </w:t>
      </w:r>
      <w:r>
        <w:t xml:space="preserve">2025</w:t>
      </w:r>
      <w:r>
        <w:t xml:space="preserve"> </w:t>
      </w:r>
      <w:r>
        <w:t xml:space="preserve">2024</w:t>
      </w:r>
      <w:r>
        <w:t xml:space="preserve"> </w:t>
      </w:r>
      <w:r>
        <w:t xml:space="preserve">39.4</w:t>
      </w:r>
      <w:r>
        <w:t xml:space="preserve"> </w:t>
      </w:r>
      <w:r>
        <w:t xml:space="preserve">45.6</w:t>
      </w:r>
      <w:r>
        <w:t xml:space="preserve"> </w:t>
      </w:r>
      <w:r>
        <w:t xml:space="preserve">Only</w:t>
      </w:r>
      <w:r>
        <w:t xml:space="preserve"> </w:t>
      </w:r>
      <w:r>
        <w:t xml:space="preserve">installations</w:t>
      </w:r>
      <w:r>
        <w:t xml:space="preserve"> </w:t>
      </w:r>
      <w:r>
        <w:t xml:space="preserve">above 20MW.</w:t>
      </w:r>
      <w:r>
        <w:t xml:space="preserve"> </w:t>
      </w:r>
      <w:r>
        <w:t xml:space="preserve">UNFCCC</w:t>
      </w:r>
      <w:r>
        <w:t xml:space="preserve"> </w:t>
      </w:r>
      <w:r>
        <w:t xml:space="preserve">Inventory Data</w:t>
      </w:r>
      <w:r>
        <w:t xml:space="preserve"> </w:t>
      </w:r>
      <w:r>
        <w:t xml:space="preserve">2025</w:t>
      </w:r>
      <w:r>
        <w:t xml:space="preserve"> </w:t>
      </w:r>
      <w:r>
        <w:t xml:space="preserve">2023</w:t>
      </w:r>
      <w:r>
        <w:t xml:space="preserve"> </w:t>
      </w:r>
      <w:r>
        <w:t xml:space="preserve">38.2</w:t>
      </w:r>
      <w:r>
        <w:t xml:space="preserve"> </w:t>
      </w:r>
      <w:r>
        <w:t xml:space="preserve">/</w:t>
      </w:r>
      <w:r>
        <w:t xml:space="preserve"> </w:t>
      </w:r>
      <w:r>
        <w:t xml:space="preserve">Includes some non-</w:t>
      </w:r>
      <w:r>
        <w:t xml:space="preserve"> </w:t>
      </w:r>
      <w:r>
        <w:t xml:space="preserve">disaggregated</w:t>
      </w:r>
      <w:r>
        <w:t xml:space="preserve"> </w:t>
      </w:r>
      <w:r>
        <w:t xml:space="preserve">emissions from other</w:t>
      </w:r>
      <w:r>
        <w:t xml:space="preserve"> </w:t>
      </w:r>
      <w:r>
        <w:t xml:space="preserve">activities.</w:t>
      </w:r>
      <w:r>
        <w:t xml:space="preserve"> </w:t>
      </w:r>
      <w:r>
        <w:t xml:space="preserve">Internal</w:t>
      </w:r>
      <w:r>
        <w:t xml:space="preserve"> </w:t>
      </w:r>
      <w:r>
        <w:t xml:space="preserve">Commission</w:t>
      </w:r>
      <w:r>
        <w:t xml:space="preserve"> </w:t>
      </w:r>
      <w:r>
        <w:t xml:space="preserve">estimate</w:t>
      </w:r>
      <w:r>
        <w:t xml:space="preserve"> </w:t>
      </w:r>
      <w:r>
        <w:t xml:space="preserve">2022</w:t>
      </w:r>
      <w:r>
        <w:t xml:space="preserve"> </w:t>
      </w:r>
      <w:r>
        <w:t xml:space="preserve">2016-2018</w:t>
      </w:r>
      <w:r>
        <w:t xml:space="preserve"> </w:t>
      </w:r>
      <w:r>
        <w:t xml:space="preserve">44.3</w:t>
      </w:r>
      <w:r>
        <w:t xml:space="preserve"> </w:t>
      </w:r>
      <w:r>
        <w:t xml:space="preserve">/</w:t>
      </w:r>
      <w:r>
        <w:t xml:space="preserve"> </w:t>
      </w:r>
      <w:r>
        <w:t xml:space="preserve">Includes</w:t>
      </w:r>
      <w:r>
        <w:t xml:space="preserve"> </w:t>
      </w:r>
      <w:r>
        <w:t xml:space="preserve">emissions</w:t>
      </w:r>
      <w:r>
        <w:t xml:space="preserve"> </w:t>
      </w:r>
      <w:r>
        <w:t xml:space="preserve">from HWI and co-</w:t>
      </w:r>
      <w:r>
        <w:t xml:space="preserve"> </w:t>
      </w:r>
      <w:r>
        <w:t xml:space="preserve">incineration.</w:t>
      </w:r>
      <w:r>
        <w:t xml:space="preserve"> </w:t>
      </w:r>
      <w:r>
        <w:t xml:space="preserve">Cap</w:t>
      </w:r>
      <w:r>
        <w:br/>
      </w:r>
      <w:r>
        <w:t xml:space="preserve">The cap on emissions determines the ambition level of the ETS and is the maximum absolute</w:t>
      </w:r>
      <w:r>
        <w:t xml:space="preserve"> </w:t>
      </w:r>
      <w:r>
        <w:t xml:space="preserve">quantity of GHGs that can be emitted by the covered activities to ensure the emission reduction</w:t>
      </w:r>
      <w:r>
        <w:t xml:space="preserve"> </w:t>
      </w:r>
      <w:r>
        <w:t xml:space="preserve">target. The cap’s annual trajectory is declining based on the linear reduction factor (LRF),</w:t>
      </w:r>
      <w:r>
        <w:t xml:space="preserve"> </w:t>
      </w:r>
      <w:r>
        <w:t xml:space="preserve">which is set as a percentage applied to a reference value. The cap and LRF approach for MWI</w:t>
      </w:r>
      <w:r>
        <w:t xml:space="preserve"> </w:t>
      </w:r>
      <w:r>
        <w:t xml:space="preserve">would need to be consistent with the overall EU ETS cap and LRF, implying an increase of the</w:t>
      </w:r>
      <w:r>
        <w:t xml:space="preserve"> </w:t>
      </w:r>
      <w:r>
        <w:t xml:space="preserve">cap by the scope of MWI emissions. To determine the cap increase in order to base the system</w:t>
      </w:r>
      <w:r>
        <w:t xml:space="preserve"> </w:t>
      </w:r>
      <w:r>
        <w:t xml:space="preserve">on recent, robust and verified data, the cap extension for MWI (measure W1) has been</w:t>
      </w:r>
      <w:r>
        <w:t xml:space="preserve"> </w:t>
      </w:r>
      <w:r>
        <w:t xml:space="preserve">modelled to be in the range of 41.5 MtCO2eq (EU-27) and 42.2 MtCO2e (EEA)56 (see Table</w:t>
      </w:r>
      <w:r>
        <w:t xml:space="preserve"> </w:t>
      </w:r>
      <w:r>
        <w:t xml:space="preserve">2), starting from the data explored in this section and taking into account differences in scope</w:t>
      </w:r>
      <w:r>
        <w:t xml:space="preserve"> </w:t>
      </w:r>
      <w:r>
        <w:t xml:space="preserve">and timeframe (see Appendix 1 for details).</w:t>
      </w:r>
      <w:r>
        <w:br/>
      </w:r>
      <w:r>
        <w:t xml:space="preserve">Table 2:</w:t>
      </w:r>
      <w:r>
        <w:t xml:space="preserve"> </w:t>
      </w:r>
      <w:r>
        <w:t xml:space="preserve">Modelling of 2030 EU ETS cap extension for the inclusion of emissions from MWI.</w:t>
      </w:r>
    </w:p>
    <w:p>
      <w:pPr>
        <w:pStyle w:val="BodyText"/>
      </w:pPr>
      <w:r>
        <w:t xml:space="preserve">Waste scope and categories</w:t>
      </w:r>
      <w:r>
        <w:t xml:space="preserve"> </w:t>
      </w:r>
      <w:r>
        <w:t xml:space="preserve">EU27 (Mt)</w:t>
      </w:r>
      <w:r>
        <w:t xml:space="preserve"> </w:t>
      </w:r>
      <w:r>
        <w:t xml:space="preserve">EEA</w:t>
      </w:r>
      <w:r>
        <w:t xml:space="preserve"> </w:t>
      </w:r>
      <w:r>
        <w:t xml:space="preserve">(Mt)</w:t>
      </w:r>
      <w:r>
        <w:t xml:space="preserve"> </w:t>
      </w:r>
      <w:r>
        <w:t xml:space="preserve">A</w:t>
      </w:r>
      <w:r>
        <w:t xml:space="preserve"> </w:t>
      </w:r>
      <w:r>
        <w:t xml:space="preserve">2024 ETS MRV data (MWI fossil emissions)</w:t>
      </w:r>
      <w:r>
        <w:t xml:space="preserve"> </w:t>
      </w:r>
      <w:r>
        <w:t xml:space="preserve">38.6</w:t>
      </w:r>
      <w:r>
        <w:t xml:space="preserve"> </w:t>
      </w:r>
      <w:r>
        <w:t xml:space="preserve">39.4</w:t>
      </w:r>
      <w:r>
        <w:t xml:space="preserve"> </w:t>
      </w:r>
      <w:r>
        <w:t xml:space="preserve">B</w:t>
      </w:r>
      <w:r>
        <w:t xml:space="preserve"> </w:t>
      </w:r>
      <w:r>
        <w:t xml:space="preserve">A plus gap filling for missing reporting data57</w:t>
      </w:r>
      <w:r>
        <w:t xml:space="preserve"> </w:t>
      </w:r>
      <w:r>
        <w:t xml:space="preserve">39.2</w:t>
      </w:r>
      <w:r>
        <w:t xml:space="preserve"> </w:t>
      </w:r>
      <w:r>
        <w:t xml:space="preserve">39.9</w:t>
      </w:r>
      <w:r>
        <w:t xml:space="preserve"> </w:t>
      </w:r>
      <w:r>
        <w:t xml:space="preserve">C</w:t>
      </w:r>
      <w:r>
        <w:t xml:space="preserve"> </w:t>
      </w:r>
      <w:r>
        <w:t xml:space="preserve">B plus margin for new capacity 2025-203058</w:t>
      </w:r>
      <w:r>
        <w:t xml:space="preserve"> </w:t>
      </w:r>
      <w:r>
        <w:t xml:space="preserve">40.5</w:t>
      </w:r>
      <w:r>
        <w:t xml:space="preserve"> </w:t>
      </w:r>
      <w:r>
        <w:t xml:space="preserve">41.2</w:t>
      </w:r>
      <w:r>
        <w:t xml:space="preserve"> </w:t>
      </w:r>
      <w:r>
        <w:t xml:space="preserve">D</w:t>
      </w:r>
      <w:r>
        <w:t xml:space="preserve"> </w:t>
      </w:r>
      <w:r>
        <w:t xml:space="preserve">C plus buffer for underestimation and uncertainties</w:t>
      </w:r>
      <w:r>
        <w:t xml:space="preserve"> </w:t>
      </w:r>
      <w:r>
        <w:t xml:space="preserve">41.5</w:t>
      </w:r>
      <w:r>
        <w:t xml:space="preserve"> </w:t>
      </w:r>
      <w:r>
        <w:t xml:space="preserve">42.2</w:t>
      </w:r>
      <w:r>
        <w:t xml:space="preserve"> </w:t>
      </w:r>
      <w:r>
        <w:t xml:space="preserve">F</w:t>
      </w:r>
      <w:r>
        <w:t xml:space="preserve"> </w:t>
      </w:r>
      <w:r>
        <w:t xml:space="preserve">Total cap 2030 (MWI only, A-D)</w:t>
      </w:r>
      <w:r>
        <w:t xml:space="preserve"> </w:t>
      </w:r>
      <w:r>
        <w:t xml:space="preserve">41.5</w:t>
      </w:r>
      <w:r>
        <w:t xml:space="preserve"> </w:t>
      </w:r>
      <w:r>
        <w:t xml:space="preserve">42.2</w:t>
      </w:r>
      <w:r>
        <w:t xml:space="preserve"> </w:t>
      </w:r>
      <w:r>
        <w:t xml:space="preserve">1.2.2. Hazardous waste incineration (HWI)</w:t>
      </w:r>
      <w:r>
        <w:t xml:space="preserve"> </w:t>
      </w:r>
      <w:r>
        <w:t xml:space="preserve">Regulated activity</w:t>
      </w:r>
      <w:r>
        <w:t xml:space="preserve"> </w:t>
      </w:r>
      <w:r>
        <w:t xml:space="preserve">Hazardous waste is waste with one or more of the hazardous properties listed in Annex III of</w:t>
      </w:r>
      <w:r>
        <w:t xml:space="preserve"> </w:t>
      </w:r>
      <w:r>
        <w:t xml:space="preserve">the EU Waste Framework Directive. It covers a broad range of wastes that because of their</w:t>
      </w:r>
      <w:r>
        <w:t xml:space="preserve"> </w:t>
      </w:r>
      <w:r>
        <w:t xml:space="preserve">chemical reactivity, toxic, explosive, corrosive, radioactive or other characteristics, cause</w:t>
      </w:r>
      <w:r>
        <w:t xml:space="preserve"> </w:t>
      </w:r>
      <w:r>
        <w:t xml:space="preserve">danger, or are likely to cause danger, to health or the environment. In total, 10.5 million tonnes</w:t>
      </w:r>
      <w:r>
        <w:t xml:space="preserve"> </w:t>
      </w:r>
      <w:r>
        <w:t xml:space="preserve">of hazardous waste were incinerated in the EU in 2022, of which 6.4 with energy recovery and</w:t>
      </w:r>
    </w:p>
    <w:p>
      <w:pPr>
        <w:pStyle w:val="BodyText"/>
      </w:pPr>
      <w:r>
        <w:t xml:space="preserve">56 This estimate uses the PRIMES model, calibrated to Eurostat energy balances and the reporting by EU</w:t>
      </w:r>
      <w:r>
        <w:t xml:space="preserve"> </w:t>
      </w:r>
      <w:r>
        <w:t xml:space="preserve">Member States under the EU Governance Regulation and reflected in GHG inventory data under UNFCCC,</w:t>
      </w:r>
      <w:r>
        <w:t xml:space="preserve"> </w:t>
      </w:r>
      <w:r>
        <w:t xml:space="preserve">and compared to the emissions reported under the ETS MRV obligation in 2024, to draw an average.</w:t>
      </w:r>
      <w:r>
        <w:t xml:space="preserve"> </w:t>
      </w:r>
      <w:r>
        <w:t xml:space="preserve">57 Total missing reporting data identified from 4 installations in 3 Member States (BE, DE, HU) estimated at</w:t>
      </w:r>
      <w:r>
        <w:t xml:space="preserve"> </w:t>
      </w:r>
      <w:r>
        <w:t xml:space="preserve">~0.40 MtCO2e in total based on combined nominal capacity and standardised fossil-based emission factor of</w:t>
      </w:r>
      <w:r>
        <w:t xml:space="preserve"> </w:t>
      </w:r>
      <w:r>
        <w:t xml:space="preserve">0.5/tonne of waste, in addition to 0.20 MtCO2e emissions reported under the fuel combustion activity by 2</w:t>
      </w:r>
      <w:r>
        <w:t xml:space="preserve"> </w:t>
      </w:r>
      <w:r>
        <w:t xml:space="preserve">installations in LT.</w:t>
      </w:r>
      <w:r>
        <w:t xml:space="preserve"> </w:t>
      </w:r>
      <w:r>
        <w:t xml:space="preserve">58 Estimated at 4% (EU27 only) based on extrapolation of capacity increase over the previous ten-year period</w:t>
      </w:r>
      <w:r>
        <w:t xml:space="preserve"> </w:t>
      </w:r>
      <w:r>
        <w:t xml:space="preserve">(2012-2022) and desk research on planned projects by 2030.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4.1 without energy recovery59. This has remained broadly stable over the past decade.</w:t>
      </w:r>
      <w:r>
        <w:t xml:space="preserve"> </w:t>
      </w:r>
      <w:r>
        <w:t xml:space="preserve">Hazardous waste incineration (HWI) is regulated by the Industrial Emissions Directive, which</w:t>
      </w:r>
      <w:r>
        <w:t xml:space="preserve"> </w:t>
      </w:r>
      <w:r>
        <w:t xml:space="preserve">sets strict operating conditions and technical requirements to protect human health and the</w:t>
      </w:r>
      <w:r>
        <w:t xml:space="preserve"> </w:t>
      </w:r>
      <w:r>
        <w:t xml:space="preserve">environment. Facilities use high temperatures and advanced flue gas cleaning to destroy</w:t>
      </w:r>
      <w:r>
        <w:t xml:space="preserve"> </w:t>
      </w:r>
      <w:r>
        <w:t xml:space="preserve">hazardous substances.</w:t>
      </w:r>
      <w:r>
        <w:t xml:space="preserve"> </w:t>
      </w:r>
      <w:r>
        <w:t xml:space="preserve">Emissions</w:t>
      </w:r>
      <w:r>
        <w:br/>
      </w:r>
      <w:r>
        <w:t xml:space="preserve">Accurate data on emissions from HWI in the EU are currently not available. Based on default</w:t>
      </w:r>
      <w:r>
        <w:t xml:space="preserve"> </w:t>
      </w:r>
      <w:r>
        <w:t xml:space="preserve">emission factors and cross-analysis of aggregate waste incineration emissions data in Appendix</w:t>
      </w:r>
      <w:r>
        <w:t xml:space="preserve"> </w:t>
      </w:r>
      <w:r>
        <w:t xml:space="preserve">1, the fossil fraction of HWI emissions in the EU-27 in addition to MWI emissions have been</w:t>
      </w:r>
      <w:r>
        <w:t xml:space="preserve"> </w:t>
      </w:r>
      <w:r>
        <w:t xml:space="preserve">estimated to be around 3.15 MtCO2e (See Appendix 1, Section C).</w:t>
      </w:r>
      <w:r>
        <w:t xml:space="preserve"> </w:t>
      </w:r>
      <w:r>
        <w:t xml:space="preserve">Cap</w:t>
      </w:r>
      <w:r>
        <w:br/>
      </w:r>
      <w:r>
        <w:t xml:space="preserve">The cap-setting for HWI inclusion (measures W2 and W3) would imply an increase of the EU</w:t>
      </w:r>
      <w:r>
        <w:t xml:space="preserve"> </w:t>
      </w:r>
      <w:r>
        <w:t xml:space="preserve">ETS cap by the scope of HWI emissions. In view of current limitations on HWI emissions data</w:t>
      </w:r>
      <w:r>
        <w:t xml:space="preserve"> </w:t>
      </w:r>
      <w:r>
        <w:t xml:space="preserve">availability, cap-setting would ideally be based on a monitoring and reporting period to gather</w:t>
      </w:r>
      <w:r>
        <w:t xml:space="preserve"> </w:t>
      </w:r>
      <w:r>
        <w:t xml:space="preserve">robust and verified emissions data with harmonised standards and rules to establish more</w:t>
      </w:r>
      <w:r>
        <w:t xml:space="preserve"> </w:t>
      </w:r>
      <w:r>
        <w:t xml:space="preserve">precise data.</w:t>
      </w:r>
      <w:r>
        <w:t xml:space="preserve"> </w:t>
      </w:r>
      <w:r>
        <w:t xml:space="preserve">1.2.3. Landfilling of non-hazardous waste</w:t>
      </w:r>
      <w:r>
        <w:t xml:space="preserve"> </w:t>
      </w:r>
      <w:r>
        <w:t xml:space="preserve">Regulated activity</w:t>
      </w:r>
      <w:r>
        <w:t xml:space="preserve"> </w:t>
      </w:r>
      <w:r>
        <w:t xml:space="preserve">Landfilling entails the deposit of waste into or onto land. It includes specially engineered</w:t>
      </w:r>
      <w:r>
        <w:t xml:space="preserve"> </w:t>
      </w:r>
      <w:r>
        <w:t xml:space="preserve">landfill sites and temporary storage of over one year on permanent sites. In 2022, 137 million</w:t>
      </w:r>
      <w:r>
        <w:t xml:space="preserve"> </w:t>
      </w:r>
      <w:r>
        <w:t xml:space="preserve">tonnes of waste was disposed in landfills in the EU, of which 52 million tonnes was municipal</w:t>
      </w:r>
      <w:r>
        <w:t xml:space="preserve"> </w:t>
      </w:r>
      <w:r>
        <w:t xml:space="preserve">waste, representing 23% of all municipal waste treated in the EU. The EU has seen a significant</w:t>
      </w:r>
      <w:r>
        <w:t xml:space="preserve"> </w:t>
      </w:r>
      <w:r>
        <w:t xml:space="preserve">reduction in average municipal waste landfill disposal rates by 59% or 71 million tonnes from</w:t>
      </w:r>
      <w:r>
        <w:t xml:space="preserve"> </w:t>
      </w:r>
      <w:r>
        <w:t xml:space="preserve">1995 to 2023, in parallel to a substantial increase of biogenic waste going to composting and</w:t>
      </w:r>
      <w:r>
        <w:t xml:space="preserve"> </w:t>
      </w:r>
      <w:r>
        <w:t xml:space="preserve">anaerobic digestion and of fossil waste going to recycling and incineration. Nevertheless,</w:t>
      </w:r>
      <w:r>
        <w:t xml:space="preserve"> </w:t>
      </w:r>
      <w:r>
        <w:t xml:space="preserve">several Member States continue to be strongly reliant on landfilling for municipal waste, as</w:t>
      </w:r>
      <w:r>
        <w:t xml:space="preserve"> </w:t>
      </w:r>
      <w:r>
        <w:t xml:space="preserve">illustrated in Figure 3. Across the EEA, 2.491 active landfill installations were registered in</w:t>
      </w:r>
      <w:r>
        <w:t xml:space="preserve"> </w:t>
      </w:r>
      <w:r>
        <w:t xml:space="preserve">202460, in addition to at least 1,995 illegal or substandard landfills (2021)61.</w:t>
      </w:r>
    </w:p>
    <w:p>
      <w:pPr>
        <w:pStyle w:val="BodyText"/>
      </w:pPr>
      <w:r>
        <w:t xml:space="preserve">59 Eurostat (2024). Waste Statistics. Available at: Waste statistics - Statistics Explained - Eurostat</w:t>
      </w:r>
      <w:r>
        <w:br/>
      </w:r>
      <w:r>
        <w:t xml:space="preserve">60 In the European Pollutant Release and Transfer Register (E-PRTR), which covers specific landfills defined</w:t>
      </w:r>
      <w:r>
        <w:t xml:space="preserve"> </w:t>
      </w:r>
      <w:r>
        <w:t xml:space="preserve">as receiving 10 tonnes per day or with a total capacity of 25,000 tonnes or more, excluding inert waste landfills</w:t>
      </w:r>
      <w:r>
        <w:t xml:space="preserve"> </w:t>
      </w:r>
      <w:r>
        <w:t xml:space="preserve">and those closed before July 16, 2001. Facilities only report if they exceed specific thresholds for pollutant</w:t>
      </w:r>
      <w:r>
        <w:t xml:space="preserve"> </w:t>
      </w:r>
      <w:r>
        <w:t xml:space="preserve">releases or waste transfers.</w:t>
      </w:r>
      <w:r>
        <w:t xml:space="preserve"> </w:t>
      </w:r>
      <w:r>
        <w:t xml:space="preserve">61 Commission report (COM(2023)304final) on identifying Member States at risk of not meeting the 2025</w:t>
      </w:r>
      <w:r>
        <w:t xml:space="preserve"> </w:t>
      </w:r>
      <w:r>
        <w:t xml:space="preserve">preparing for re-use and recycling target for municipal waste, the 2025 recycling target for packaging waste</w:t>
      </w:r>
      <w:r>
        <w:t xml:space="preserve"> </w:t>
      </w:r>
      <w:r>
        <w:t xml:space="preserve">and the 2035 municipal waste landfilling reduction target.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Figure 3:</w:t>
      </w:r>
      <w:r>
        <w:t xml:space="preserve"> </w:t>
      </w:r>
      <w:r>
        <w:t xml:space="preserve">Share of municipal waste disposed through landfill by EU Member State (2010 vs</w:t>
      </w:r>
      <w:r>
        <w:t xml:space="preserve"> </w:t>
      </w:r>
      <w:r>
        <w:t xml:space="preserve">2023)</w:t>
      </w:r>
    </w:p>
    <w:p>
      <w:pPr>
        <w:pStyle w:val="BodyText"/>
      </w:pPr>
      <w:r>
        <w:t xml:space="preserve">Source: European Commission, based on Eurostat.</w:t>
      </w:r>
      <w:r>
        <w:t xml:space="preserve"> </w:t>
      </w:r>
      <w:r>
        <w:t xml:space="preserve">Emissions</w:t>
      </w:r>
      <w:r>
        <w:br/>
      </w:r>
      <w:r>
        <w:t xml:space="preserve">One of the primary concerns with landfilling is the emission of landfill gases, particularly</w:t>
      </w:r>
      <w:r>
        <w:t xml:space="preserve"> </w:t>
      </w:r>
      <w:r>
        <w:t xml:space="preserve">methane (CH₄). Landfill gas is composed of around 45%-60% CH4 and 40%-55% CO262.</w:t>
      </w:r>
      <w:r>
        <w:t xml:space="preserve"> </w:t>
      </w:r>
      <w:r>
        <w:t xml:space="preserve">However, as methane is a potent GHG with a global warming potential approximately 27 to 30</w:t>
      </w:r>
      <w:r>
        <w:t xml:space="preserve"> </w:t>
      </w:r>
      <w:r>
        <w:t xml:space="preserve">times greater than carbon dioxide (CO₂) over a 100-year period and 84 to 87 times more over</w:t>
      </w:r>
      <w:r>
        <w:t xml:space="preserve"> </w:t>
      </w:r>
      <w:r>
        <w:t xml:space="preserve">a 20-year period63, methane represents the vast majority of GHG emissions from landfills in</w:t>
      </w:r>
      <w:r>
        <w:t xml:space="preserve"> </w:t>
      </w:r>
      <w:r>
        <w:t xml:space="preserve">CO2-equivalent. Methane is generated from the anaerobic decomposition of organic waste,</w:t>
      </w:r>
      <w:r>
        <w:t xml:space="preserve"> </w:t>
      </w:r>
      <w:r>
        <w:t xml:space="preserve">including food scraps, garden waste and paper. The decomposition of waste in landfills is a</w:t>
      </w:r>
      <w:r>
        <w:t xml:space="preserve"> </w:t>
      </w:r>
      <w:r>
        <w:t xml:space="preserve">long-term process that continues to release methane over time, at progressively decreasing</w:t>
      </w:r>
      <w:r>
        <w:t xml:space="preserve"> </w:t>
      </w:r>
      <w:r>
        <w:t xml:space="preserve">levels, for more than 50 years after disposal (so-called ‘historic emissions’). The main factors</w:t>
      </w:r>
      <w:r>
        <w:t xml:space="preserve"> </w:t>
      </w:r>
      <w:r>
        <w:t xml:space="preserve">influencing the quantity of CH4 produced are the amount of waste disposed and the</w:t>
      </w:r>
      <w:r>
        <w:t xml:space="preserve"> </w:t>
      </w:r>
      <w:r>
        <w:t xml:space="preserve">concentration of biodegradable carbon in that waste. In addition, CH4 emissions from landfills</w:t>
      </w:r>
      <w:r>
        <w:t xml:space="preserve"> </w:t>
      </w:r>
      <w:r>
        <w:t xml:space="preserve">are influenced by the amount of CH4 recovered and utilized or flared64. Fossil waste streams,</w:t>
      </w:r>
      <w:r>
        <w:t xml:space="preserve"> </w:t>
      </w:r>
      <w:r>
        <w:t xml:space="preserve">such as plastics, represent only a minor fraction of GHG emissions from landfills.</w:t>
      </w:r>
      <w:r>
        <w:br/>
      </w:r>
      <w:r>
        <w:t xml:space="preserve">Methane from landfills continues to account for the largest share of the waste sector’s</w:t>
      </w:r>
      <w:r>
        <w:t xml:space="preserve"> </w:t>
      </w:r>
      <w:r>
        <w:t xml:space="preserve">emissions in the EU65. At the same time, landfill emissions (for all solid waste) have decreased</w:t>
      </w:r>
      <w:r>
        <w:t xml:space="preserve"> </w:t>
      </w:r>
      <w:r>
        <w:t xml:space="preserve">by 55% from 132.3 Mt CO2e since 1990 and 25% from 99.4 Mt CO2e since 2010, primarily</w:t>
      </w:r>
      <w:r>
        <w:t xml:space="preserve"> </w:t>
      </w:r>
      <w:r>
        <w:t xml:space="preserve">due to a reduction in biodegradable waste being landfilled and a significant increase in landfill</w:t>
      </w:r>
    </w:p>
    <w:p>
      <w:pPr>
        <w:pStyle w:val="BodyText"/>
      </w:pPr>
      <w:r>
        <w:t xml:space="preserve">62 Alongside small amounts of nitrogen, oxygen, ammonia, sulphides, hydrogen, carbon monoxide, and non-</w:t>
      </w:r>
      <w:r>
        <w:t xml:space="preserve"> </w:t>
      </w:r>
      <w:r>
        <w:t xml:space="preserve">methane organic compounds (NMOCs) such as trichloroethylene, benzene, and vinyl chloride.</w:t>
      </w:r>
      <w:r>
        <w:t xml:space="preserve"> </w:t>
      </w:r>
      <w:r>
        <w:t xml:space="preserve">63 European Commission (2025). Methane Emissions. Available at : https://energy.ec.europa.eu/topics/carbon-</w:t>
      </w:r>
      <w:r>
        <w:t xml:space="preserve"> </w:t>
      </w:r>
      <w:r>
        <w:t xml:space="preserve">management-and-fossil-fuels/methane-</w:t>
      </w:r>
      <w:r>
        <w:t xml:space="preserve"> </w:t>
      </w:r>
      <w:r>
        <w:t xml:space="preserve">emissions_en#:~:text=On%20a%20100%2Dyear%20timescale,on%20a%2020%2Dyear%20timescale</w:t>
      </w:r>
      <w:r>
        <w:t xml:space="preserve"> </w:t>
      </w:r>
      <w:r>
        <w:t xml:space="preserve">64 EEA (2024). Annual European Union greenhouse gas inventory 1990–2022 and inventory document 2024.</w:t>
      </w:r>
      <w:r>
        <w:t xml:space="preserve"> </w:t>
      </w:r>
      <w:r>
        <w:t xml:space="preserve">Available at: https://www.eea.europa.eu/en/analysis/publications/annual-european-union-greenhouse-gas-</w:t>
      </w:r>
      <w:r>
        <w:t xml:space="preserve"> </w:t>
      </w:r>
      <w:r>
        <w:t xml:space="preserve">inventory.</w:t>
      </w:r>
      <w:r>
        <w:br/>
      </w:r>
      <w:r>
        <w:t xml:space="preserve">65 EEA (2024). Capturing the climate change mitigation benefits of circular economy and waste sector policies</w:t>
      </w:r>
      <w:r>
        <w:t xml:space="preserve"> </w:t>
      </w:r>
      <w:r>
        <w:t xml:space="preserve">and measures. Available at: Capturing the climate change mitigation benefits of circular economy and waste</w:t>
      </w:r>
      <w:r>
        <w:t xml:space="preserve"> </w:t>
      </w:r>
      <w:r>
        <w:t xml:space="preserve">sector policies and measures | Publications | European Environment Agency (EEA)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Belgium</w:t>
      </w:r>
      <w:r>
        <w:t xml:space="preserve"> </w:t>
      </w:r>
      <w:r>
        <w:t xml:space="preserve">Finland</w:t>
      </w:r>
      <w:r>
        <w:t xml:space="preserve"> </w:t>
      </w:r>
      <w:r>
        <w:t xml:space="preserve">Estonia</w:t>
      </w:r>
      <w:r>
        <w:t xml:space="preserve"> </w:t>
      </w:r>
      <w:r>
        <w:t xml:space="preserve">Germany</w:t>
      </w:r>
      <w:r>
        <w:t xml:space="preserve"> </w:t>
      </w:r>
      <w:r>
        <w:t xml:space="preserve">Sweden</w:t>
      </w:r>
      <w:r>
        <w:t xml:space="preserve"> </w:t>
      </w:r>
      <w:r>
        <w:t xml:space="preserve">Netherlands</w:t>
      </w:r>
      <w:r>
        <w:t xml:space="preserve"> </w:t>
      </w:r>
      <w:r>
        <w:t xml:space="preserve">Austria</w:t>
      </w:r>
      <w:r>
        <w:t xml:space="preserve"> </w:t>
      </w:r>
      <w:r>
        <w:t xml:space="preserve">Denmark</w:t>
      </w:r>
      <w:r>
        <w:t xml:space="preserve"> </w:t>
      </w:r>
      <w:r>
        <w:t xml:space="preserve">Luxembourg</w:t>
      </w:r>
      <w:r>
        <w:t xml:space="preserve"> </w:t>
      </w:r>
      <w:r>
        <w:t xml:space="preserve">Lithuania</w:t>
      </w:r>
      <w:r>
        <w:t xml:space="preserve"> </w:t>
      </w:r>
      <w:r>
        <w:t xml:space="preserve">Slovenia</w:t>
      </w:r>
      <w:r>
        <w:t xml:space="preserve"> </w:t>
      </w:r>
      <w:r>
        <w:t xml:space="preserve">Italy</w:t>
      </w:r>
      <w:r>
        <w:t xml:space="preserve"> </w:t>
      </w:r>
      <w:r>
        <w:t xml:space="preserve">Ireland</w:t>
      </w:r>
      <w:r>
        <w:t xml:space="preserve"> </w:t>
      </w:r>
      <w:r>
        <w:t xml:space="preserve">France</w:t>
      </w:r>
      <w:r>
        <w:t xml:space="preserve"> </w:t>
      </w:r>
      <w:r>
        <w:t xml:space="preserve">Poland</w:t>
      </w:r>
      <w:r>
        <w:t xml:space="preserve"> </w:t>
      </w:r>
      <w:r>
        <w:t xml:space="preserve">Slovakia</w:t>
      </w:r>
      <w:r>
        <w:t xml:space="preserve"> </w:t>
      </w:r>
      <w:r>
        <w:t xml:space="preserve">Czechia</w:t>
      </w:r>
      <w:r>
        <w:t xml:space="preserve"> </w:t>
      </w:r>
      <w:r>
        <w:t xml:space="preserve">Latvia</w:t>
      </w:r>
      <w:r>
        <w:t xml:space="preserve"> </w:t>
      </w:r>
      <w:r>
        <w:t xml:space="preserve">Bulgaria</w:t>
      </w:r>
      <w:r>
        <w:t xml:space="preserve"> </w:t>
      </w:r>
      <w:r>
        <w:t xml:space="preserve">Spain</w:t>
      </w:r>
      <w:r>
        <w:t xml:space="preserve"> </w:t>
      </w:r>
      <w:r>
        <w:t xml:space="preserve">Croatia</w:t>
      </w:r>
      <w:r>
        <w:t xml:space="preserve"> </w:t>
      </w:r>
      <w:r>
        <w:t xml:space="preserve">Hungary</w:t>
      </w:r>
      <w:r>
        <w:t xml:space="preserve"> </w:t>
      </w:r>
      <w:r>
        <w:t xml:space="preserve">Portugal</w:t>
      </w:r>
      <w:r>
        <w:t xml:space="preserve"> </w:t>
      </w:r>
      <w:r>
        <w:t xml:space="preserve">Cyprus</w:t>
      </w:r>
      <w:r>
        <w:t xml:space="preserve"> </w:t>
      </w:r>
      <w:r>
        <w:t xml:space="preserve">Malta</w:t>
      </w:r>
      <w:r>
        <w:t xml:space="preserve"> </w:t>
      </w:r>
      <w:r>
        <w:t xml:space="preserve">Romania</w:t>
      </w:r>
      <w:r>
        <w:t xml:space="preserve"> </w:t>
      </w:r>
      <w:r>
        <w:t xml:space="preserve">Greece</w:t>
      </w:r>
      <w:r>
        <w:t xml:space="preserve"> </w:t>
      </w:r>
      <w:r>
        <w:t xml:space="preserve">2010%</w:t>
      </w:r>
      <w:r>
        <w:t xml:space="preserve"> </w:t>
      </w:r>
      <w:r>
        <w:t xml:space="preserve">2023%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methane recovery and flaring. Table 3 presents the data sources and estimates for emissions</w:t>
      </w:r>
      <w:r>
        <w:t xml:space="preserve"> </w:t>
      </w:r>
      <w:r>
        <w:t xml:space="preserve">from landfilling in the EU, which are explored in further detail in Appendix 1.</w:t>
      </w:r>
      <w:r>
        <w:br/>
      </w:r>
      <w:r>
        <w:t xml:space="preserve">Table 3:</w:t>
      </w:r>
      <w:r>
        <w:t xml:space="preserve"> </w:t>
      </w:r>
      <w:r>
        <w:t xml:space="preserve">Emission estimates on landfilling of non-hazardous waste in the EU-27</w:t>
      </w:r>
      <w:r>
        <w:t xml:space="preserve"> </w:t>
      </w:r>
      <w:r>
        <w:t xml:space="preserve">Source</w:t>
      </w:r>
      <w:r>
        <w:t xml:space="preserve"> </w:t>
      </w:r>
      <w:r>
        <w:t xml:space="preserve">Emission Year</w:t>
      </w:r>
      <w:r>
        <w:t xml:space="preserve"> </w:t>
      </w:r>
      <w:r>
        <w:t xml:space="preserve">Emissions</w:t>
      </w:r>
      <w:r>
        <w:t xml:space="preserve"> </w:t>
      </w:r>
      <w:r>
        <w:t xml:space="preserve">(MtCO2e)</w:t>
      </w:r>
      <w:r>
        <w:t xml:space="preserve"> </w:t>
      </w:r>
      <w:r>
        <w:t xml:space="preserve">Comments</w:t>
      </w:r>
      <w:r>
        <w:t xml:space="preserve"> </w:t>
      </w:r>
      <w:r>
        <w:t xml:space="preserve">UNFCCC</w:t>
      </w:r>
      <w:r>
        <w:t xml:space="preserve"> </w:t>
      </w:r>
      <w:r>
        <w:t xml:space="preserve">inventory</w:t>
      </w:r>
      <w:r>
        <w:t xml:space="preserve"> </w:t>
      </w:r>
      <w:r>
        <w:t xml:space="preserve">data66</w:t>
      </w:r>
      <w:r>
        <w:t xml:space="preserve"> </w:t>
      </w:r>
      <w:r>
        <w:t xml:space="preserve">2023</w:t>
      </w:r>
      <w:r>
        <w:t xml:space="preserve"> </w:t>
      </w:r>
      <w:r>
        <w:t xml:space="preserve">65.3 (managed)</w:t>
      </w:r>
      <w:r>
        <w:br/>
      </w:r>
      <w:r>
        <w:t xml:space="preserve">8.6 (unmanaged)</w:t>
      </w:r>
      <w:r>
        <w:t xml:space="preserve"> </w:t>
      </w:r>
      <w:r>
        <w:t xml:space="preserve">Scope</w:t>
      </w:r>
      <w:r>
        <w:t xml:space="preserve"> </w:t>
      </w:r>
      <w:r>
        <w:t xml:space="preserve">covering</w:t>
      </w:r>
      <w:r>
        <w:t xml:space="preserve"> </w:t>
      </w:r>
      <w:r>
        <w:t xml:space="preserve">emissions from historical</w:t>
      </w:r>
      <w:r>
        <w:t xml:space="preserve"> </w:t>
      </w:r>
      <w:r>
        <w:t xml:space="preserve">disposal of all solid waste</w:t>
      </w:r>
      <w:r>
        <w:t xml:space="preserve"> </w:t>
      </w:r>
      <w:r>
        <w:t xml:space="preserve">Default</w:t>
      </w:r>
      <w:r>
        <w:t xml:space="preserve"> </w:t>
      </w:r>
      <w:r>
        <w:t xml:space="preserve">emission</w:t>
      </w:r>
      <w:r>
        <w:t xml:space="preserve"> </w:t>
      </w:r>
      <w:r>
        <w:t xml:space="preserve">factor</w:t>
      </w:r>
      <w:r>
        <w:t xml:space="preserve"> </w:t>
      </w:r>
      <w:r>
        <w:t xml:space="preserve">2022</w:t>
      </w:r>
      <w:r>
        <w:t xml:space="preserve"> </w:t>
      </w:r>
      <w:r>
        <w:t xml:space="preserve">82.2</w:t>
      </w:r>
      <w:r>
        <w:t xml:space="preserve"> </w:t>
      </w:r>
      <w:r>
        <w:t xml:space="preserve">Scope</w:t>
      </w:r>
      <w:r>
        <w:t xml:space="preserve"> </w:t>
      </w:r>
      <w:r>
        <w:t xml:space="preserve">covering</w:t>
      </w:r>
      <w:r>
        <w:t xml:space="preserve"> </w:t>
      </w:r>
      <w:r>
        <w:t xml:space="preserve">emissions from future</w:t>
      </w:r>
      <w:r>
        <w:t xml:space="preserve"> </w:t>
      </w:r>
      <w:r>
        <w:t xml:space="preserve">disposal of all solid waste</w:t>
      </w:r>
      <w:r>
        <w:t xml:space="preserve"> </w:t>
      </w:r>
      <w:r>
        <w:t xml:space="preserve">Default</w:t>
      </w:r>
      <w:r>
        <w:t xml:space="preserve"> </w:t>
      </w:r>
      <w:r>
        <w:t xml:space="preserve">emission</w:t>
      </w:r>
      <w:r>
        <w:t xml:space="preserve"> </w:t>
      </w:r>
      <w:r>
        <w:t xml:space="preserve">factor</w:t>
      </w:r>
      <w:r>
        <w:t xml:space="preserve"> </w:t>
      </w:r>
      <w:r>
        <w:t xml:space="preserve">2022</w:t>
      </w:r>
      <w:r>
        <w:t xml:space="preserve"> </w:t>
      </w:r>
      <w:r>
        <w:t xml:space="preserve">31.2</w:t>
      </w:r>
      <w:r>
        <w:t xml:space="preserve"> </w:t>
      </w:r>
      <w:r>
        <w:t xml:space="preserve">Scope</w:t>
      </w:r>
      <w:r>
        <w:t xml:space="preserve"> </w:t>
      </w:r>
      <w:r>
        <w:t xml:space="preserve">covering</w:t>
      </w:r>
      <w:r>
        <w:t xml:space="preserve"> </w:t>
      </w:r>
      <w:r>
        <w:t xml:space="preserve">emissions from future</w:t>
      </w:r>
      <w:r>
        <w:t xml:space="preserve"> </w:t>
      </w:r>
      <w:r>
        <w:t xml:space="preserve">disposal</w:t>
      </w:r>
      <w:r>
        <w:t xml:space="preserve"> </w:t>
      </w:r>
      <w:r>
        <w:t xml:space="preserve">of</w:t>
      </w:r>
      <w:r>
        <w:t xml:space="preserve"> </w:t>
      </w:r>
      <w:r>
        <w:t xml:space="preserve">only</w:t>
      </w:r>
      <w:r>
        <w:t xml:space="preserve"> </w:t>
      </w:r>
      <w:r>
        <w:t xml:space="preserve">municipal waste</w:t>
      </w:r>
      <w:r>
        <w:t xml:space="preserve"> </w:t>
      </w:r>
      <w:r>
        <w:t xml:space="preserve">Cap</w:t>
      </w:r>
      <w:r>
        <w:br/>
      </w:r>
      <w:r>
        <w:t xml:space="preserve">The cap-setting for the inclusion of non-hazardous landfills (measure W3) implies an increase</w:t>
      </w:r>
      <w:r>
        <w:t xml:space="preserve"> </w:t>
      </w:r>
      <w:r>
        <w:t xml:space="preserve">of the existing cap by the scope of non-hazardous landfill emissions. Current EU-wide data on</w:t>
      </w:r>
      <w:r>
        <w:t xml:space="preserve"> </w:t>
      </w:r>
      <w:r>
        <w:t xml:space="preserve">GHG emissions from landfills are mainly calculation-based, with constraints on accurateness</w:t>
      </w:r>
      <w:r>
        <w:t xml:space="preserve"> </w:t>
      </w:r>
      <w:r>
        <w:t xml:space="preserve">in absence of comprehensive measurement-based data (see Section 1.4.3. for further</w:t>
      </w:r>
      <w:r>
        <w:t xml:space="preserve"> </w:t>
      </w:r>
      <w:r>
        <w:t xml:space="preserve">discussion). The determination of the cap would therefore ideally be based on a monitoring and</w:t>
      </w:r>
      <w:r>
        <w:t xml:space="preserve"> </w:t>
      </w:r>
      <w:r>
        <w:t xml:space="preserve">reporting period to gather robust and verified data based on harmonised standards and rules.</w:t>
      </w:r>
      <w:r>
        <w:br/>
      </w:r>
      <w:r>
        <w:t xml:space="preserve">In addition, an inclusion of landfill emissions in the EU ETS would need to determine the scope</w:t>
      </w:r>
      <w:r>
        <w:t xml:space="preserve"> </w:t>
      </w:r>
      <w:r>
        <w:t xml:space="preserve">of emissions under the cap, i.e. only ‘future’ emissions (resulting from waste disposed in</w:t>
      </w:r>
      <w:r>
        <w:t xml:space="preserve"> </w:t>
      </w:r>
      <w:r>
        <w:t xml:space="preserve">landfills as of the date of inclusion) or also ‘historical’ emissions (resulting from the gradual</w:t>
      </w:r>
      <w:r>
        <w:t xml:space="preserve"> </w:t>
      </w:r>
      <w:r>
        <w:t xml:space="preserve">decay of waste disposed in landfills prior to the date of inclusion). Based on the data explored</w:t>
      </w:r>
      <w:r>
        <w:t xml:space="preserve"> </w:t>
      </w:r>
      <w:r>
        <w:t xml:space="preserve">in this section, the emissions covered would vary from 73.9 MtCO2eq in 2022 in the latter case</w:t>
      </w:r>
      <w:r>
        <w:t xml:space="preserve"> </w:t>
      </w:r>
      <w:r>
        <w:t xml:space="preserve">to 82.2 MtCO2eq in the former case.</w:t>
      </w:r>
      <w:r>
        <w:br/>
      </w:r>
      <w:r>
        <w:t xml:space="preserve">1.2.4. Discarded measures</w:t>
      </w:r>
      <w:r>
        <w:br/>
      </w:r>
      <w:r>
        <w:t xml:space="preserve">Chemical recycling (W4): chemical recycling is a form of plastic waste treatment breaking</w:t>
      </w:r>
      <w:r>
        <w:t xml:space="preserve"> </w:t>
      </w:r>
      <w:r>
        <w:t xml:space="preserve">plastic waste down into original chemical components, enabling to recover or convert plastic</w:t>
      </w:r>
      <w:r>
        <w:t xml:space="preserve"> </w:t>
      </w:r>
      <w:r>
        <w:t xml:space="preserve">waste streams which are difficult or impossible to mechanically recycle and deliver higher</w:t>
      </w:r>
      <w:r>
        <w:t xml:space="preserve"> </w:t>
      </w:r>
      <w:r>
        <w:t xml:space="preserve">quality and technical performance of recycled outputs67. Chemical recycling is a part of the</w:t>
      </w:r>
      <w:r>
        <w:t xml:space="preserve"> </w:t>
      </w:r>
      <w:r>
        <w:t xml:space="preserve">chemical sector not covered as a separate activity under the EU ETS68. It covers a range of</w:t>
      </w:r>
      <w:r>
        <w:t xml:space="preserve"> </w:t>
      </w:r>
      <w:r>
        <w:t xml:space="preserve">methods and technologies, including pyrolysis, gasification, depolymerization and solvolysis.</w:t>
      </w:r>
      <w:r>
        <w:t xml:space="preserve"> </w:t>
      </w:r>
      <w:r>
        <w:t xml:space="preserve">It is an emerging technology with currently limited commercial operation in the EU, recycling</w:t>
      </w:r>
      <w:r>
        <w:t xml:space="preserve"> </w:t>
      </w:r>
      <w:r>
        <w:t xml:space="preserve">less than 0.2% of plastic waste, but expected to scale-up in the future. Data on emissions from</w:t>
      </w:r>
      <w:r>
        <w:t xml:space="preserve"> </w:t>
      </w:r>
      <w:r>
        <w:t xml:space="preserve">chemical recycling in the EU are currently not available. Some chemical recycling processes</w:t>
      </w:r>
    </w:p>
    <w:p>
      <w:pPr>
        <w:pStyle w:val="BodyText"/>
      </w:pPr>
      <w:r>
        <w:t xml:space="preserve">66 It is important to note the differences in scope when comparing emissions data between landfills and</w:t>
      </w:r>
      <w:r>
        <w:t xml:space="preserve"> </w:t>
      </w:r>
      <w:r>
        <w:t xml:space="preserve">municipal waste incineration. Whereas landfill emissions data generally cover emissions from all solid waste,</w:t>
      </w:r>
      <w:r>
        <w:t xml:space="preserve"> </w:t>
      </w:r>
      <w:r>
        <w:t xml:space="preserve">municipal waste incineration emissions cover emissions only from municipal waste.</w:t>
      </w:r>
      <w:r>
        <w:t xml:space="preserve"> </w:t>
      </w:r>
      <w:r>
        <w:t xml:space="preserve">67 For example, a recent study comparing different waste treatment options found that chemical recycling</w:t>
      </w:r>
      <w:r>
        <w:t xml:space="preserve"> </w:t>
      </w:r>
      <w:r>
        <w:t xml:space="preserve">through solvolysis of wind blades would be the most circular solution – up to 83% more resource-efficient</w:t>
      </w:r>
      <w:r>
        <w:t xml:space="preserve"> </w:t>
      </w:r>
      <w:r>
        <w:t xml:space="preserve">than the other alternatives: Diez-Canamero, B. and Mendoza, J. M. F. (2023) Circular economy performance</w:t>
      </w:r>
      <w:r>
        <w:t xml:space="preserve"> </w:t>
      </w:r>
      <w:r>
        <w:t xml:space="preserve">and carbon footprint of wind turbine blade waste management alternatives. Waste Management 164: 94–105.</w:t>
      </w:r>
      <w:r>
        <w:t xml:space="preserve"> </w:t>
      </w:r>
      <w:r>
        <w:t xml:space="preserve">68 The bulk organic chemicals activity under the EU ETS is process specific.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are characterised by a high energy intensity, in particular pyrolysis and gasification. Their</w:t>
      </w:r>
      <w:r>
        <w:t xml:space="preserve"> </w:t>
      </w:r>
      <w:r>
        <w:t xml:space="preserve">overall contribution to EU GHG emissions would be dependent on the future scale-up and</w:t>
      </w:r>
      <w:r>
        <w:t xml:space="preserve"> </w:t>
      </w:r>
      <w:r>
        <w:t xml:space="preserve">application69 of these technologies, as well as on the life-cycle carbon footprint of the recycled</w:t>
      </w:r>
      <w:r>
        <w:t xml:space="preserve"> </w:t>
      </w:r>
      <w:r>
        <w:t xml:space="preserve">materials compared to virgin alternatives. From an environmental point of view, chemical</w:t>
      </w:r>
      <w:r>
        <w:t xml:space="preserve"> </w:t>
      </w:r>
      <w:r>
        <w:t xml:space="preserve">recycling complements mechanical recycling for otherwise difficult or impossible to recycle</w:t>
      </w:r>
      <w:r>
        <w:t xml:space="preserve"> </w:t>
      </w:r>
      <w:r>
        <w:t xml:space="preserve">waste streams, positively contributing to the waste hierarchy, while mechanical recycling</w:t>
      </w:r>
      <w:r>
        <w:t xml:space="preserve"> </w:t>
      </w:r>
      <w:r>
        <w:t xml:space="preserve">technologies are in general preferable to chemical recycling technologies where mechanical</w:t>
      </w:r>
      <w:r>
        <w:t xml:space="preserve"> </w:t>
      </w:r>
      <w:r>
        <w:t xml:space="preserve">recycling can produce recyclates with similar quality or performance characteristics.</w:t>
      </w:r>
      <w:r>
        <w:br/>
      </w:r>
      <w:r>
        <w:t xml:space="preserve">Mechanical recycling (W5): mechanical recycling would in most cases establish an end of</w:t>
      </w:r>
      <w:r>
        <w:t xml:space="preserve"> </w:t>
      </w:r>
      <w:r>
        <w:t xml:space="preserve">waste status, higher up the waste hierarchy than incineration or landfilling. Recycling activities</w:t>
      </w:r>
      <w:r>
        <w:t xml:space="preserve"> </w:t>
      </w:r>
      <w:r>
        <w:t xml:space="preserve">are very variable, treating a variety of outputs70 and employing different technologies. Data on</w:t>
      </w:r>
      <w:r>
        <w:t xml:space="preserve"> </w:t>
      </w:r>
      <w:r>
        <w:t xml:space="preserve">emissions from mechanical recycling in the EU are not available. However, mechanical</w:t>
      </w:r>
      <w:r>
        <w:t xml:space="preserve"> </w:t>
      </w:r>
      <w:r>
        <w:t xml:space="preserve">recycling is primarily an energy-intensive process with the associated emissions from the</w:t>
      </w:r>
      <w:r>
        <w:t xml:space="preserve"> </w:t>
      </w:r>
      <w:r>
        <w:t xml:space="preserve">power sector already covered by the EU ETS, while recycled materials generally have a better</w:t>
      </w:r>
      <w:r>
        <w:t xml:space="preserve"> </w:t>
      </w:r>
      <w:r>
        <w:t xml:space="preserve">carbon footprint across the lifecycle compared to virgin products71. The application of the</w:t>
      </w:r>
      <w:r>
        <w:t xml:space="preserve"> </w:t>
      </w:r>
      <w:r>
        <w:t xml:space="preserve">carbon price signal to these waste management processes would not be expected to cover a</w:t>
      </w:r>
      <w:r>
        <w:t xml:space="preserve"> </w:t>
      </w:r>
      <w:r>
        <w:t xml:space="preserve">substantial additional volume of emissions, while under the waste hierarchy mechanical</w:t>
      </w:r>
      <w:r>
        <w:t xml:space="preserve"> </w:t>
      </w:r>
      <w:r>
        <w:t xml:space="preserve">recycling is preferable compared to incineration or landfilling, thus limiting the reach of the</w:t>
      </w:r>
      <w:r>
        <w:t xml:space="preserve"> </w:t>
      </w:r>
      <w:r>
        <w:t xml:space="preserve">carbon price incentive from an overall environmental perspective.</w:t>
      </w:r>
      <w:r>
        <w:t xml:space="preserve"> </w:t>
      </w:r>
      <w:r>
        <w:t xml:space="preserve">Composting and anaerobic digestion (W6): composting and anaerobic digestion are</w:t>
      </w:r>
      <w:r>
        <w:t xml:space="preserve"> </w:t>
      </w:r>
      <w:r>
        <w:t xml:space="preserve">biological processes. For composting the decomposition of organic waste takes place under</w:t>
      </w:r>
      <w:r>
        <w:t xml:space="preserve"> </w:t>
      </w:r>
      <w:r>
        <w:t xml:space="preserve">aerobic conditions primarily resulting in biogenic CO2 emissions, which would be zero-rated</w:t>
      </w:r>
      <w:r>
        <w:t xml:space="preserve"> </w:t>
      </w:r>
      <w:r>
        <w:t xml:space="preserve">under the EU ETS. The remaining GHG emissions from N2O and CH4 are relatively modest,</w:t>
      </w:r>
      <w:r>
        <w:t xml:space="preserve"> </w:t>
      </w:r>
      <w:r>
        <w:t xml:space="preserve">with composting being substantially less methane-intensive than landfilling and overall</w:t>
      </w:r>
      <w:r>
        <w:t xml:space="preserve"> </w:t>
      </w:r>
      <w:r>
        <w:t xml:space="preserve">accounting for only 2.8 MtCO2e emissions from CH4 in 2023 (compared to 76-84 MtCO2e</w:t>
      </w:r>
      <w:r>
        <w:t xml:space="preserve"> </w:t>
      </w:r>
      <w:r>
        <w:t xml:space="preserve">from landfills) and 1.7 MtCO2e from N2072. Anaerobic digestion is smaller than composting</w:t>
      </w:r>
      <w:r>
        <w:t xml:space="preserve"> </w:t>
      </w:r>
      <w:r>
        <w:t xml:space="preserve">both in terms of volumes and associated emissions. It is a closed process by design for the</w:t>
      </w:r>
      <w:r>
        <w:t xml:space="preserve"> </w:t>
      </w:r>
      <w:r>
        <w:t xml:space="preserve">recovery of methane for renewable energy, although subject to some release of fugitive</w:t>
      </w:r>
      <w:r>
        <w:t xml:space="preserve"> </w:t>
      </w:r>
      <w:r>
        <w:t xml:space="preserve">methane emissions amounting to 2.0 MtCO2e in 2023, at a more limited scale compared to</w:t>
      </w:r>
      <w:r>
        <w:t xml:space="preserve"> </w:t>
      </w:r>
      <w:r>
        <w:t xml:space="preserve">composting and landfilling and with remediation possible. Under the waste hierarchy,</w:t>
      </w:r>
      <w:r>
        <w:t xml:space="preserve"> </w:t>
      </w:r>
      <w:r>
        <w:t xml:space="preserve">anaerobic digestion and composting are preferable as a form of recovery and recycling</w:t>
      </w:r>
      <w:r>
        <w:t xml:space="preserve"> </w:t>
      </w:r>
      <w:r>
        <w:t xml:space="preserve">contributing to the reduction of organic waste. Consequently, the application of the carbon</w:t>
      </w:r>
      <w:r>
        <w:t xml:space="preserve"> </w:t>
      </w:r>
      <w:r>
        <w:t xml:space="preserve">price signal to these waste management processes would not cover substantial additional</w:t>
      </w:r>
      <w:r>
        <w:t xml:space="preserve"> </w:t>
      </w:r>
      <w:r>
        <w:t xml:space="preserve">volumes of emissions, while not being coherent with the objective of the waste hierarchy</w:t>
      </w:r>
      <w:r>
        <w:t xml:space="preserve"> </w:t>
      </w:r>
      <w:r>
        <w:t xml:space="preserve">incentivising these processes, limiting the reach of the carbon price incentive from an overall</w:t>
      </w:r>
      <w:r>
        <w:t xml:space="preserve"> </w:t>
      </w:r>
      <w:r>
        <w:t xml:space="preserve">environmental perspective.</w:t>
      </w:r>
      <w:r>
        <w:t xml:space="preserve"> </w:t>
      </w:r>
      <w:r>
        <w:t xml:space="preserve">Carbon taxation: as an alternative to cap-and-trade systems, carbon taxation can offer</w:t>
      </w:r>
      <w:r>
        <w:t xml:space="preserve"> </w:t>
      </w:r>
      <w:r>
        <w:t xml:space="preserve">predictable marginal costs and a simplified legal structure, while raising stable revenue without</w:t>
      </w:r>
      <w:r>
        <w:t xml:space="preserve"> </w:t>
      </w:r>
      <w:r>
        <w:t xml:space="preserve">the complexity of allowance auctions or registries. Conversely, taxation can also be less</w:t>
      </w:r>
      <w:r>
        <w:t xml:space="preserve"> </w:t>
      </w:r>
      <w:r>
        <w:t xml:space="preserve">predictable over time in view of discretionary decisions on design and levels, which</w:t>
      </w:r>
    </w:p>
    <w:p>
      <w:pPr>
        <w:pStyle w:val="BodyText"/>
      </w:pPr>
      <w:r>
        <w:t xml:space="preserve">69 For example, whether its application remains limited to recycling waste streams that can otherwise not be</w:t>
      </w:r>
      <w:r>
        <w:t xml:space="preserve"> </w:t>
      </w:r>
      <w:r>
        <w:t xml:space="preserve">mechanically recycled or is expanded to cover waste streams that could also be mechanically recycled.</w:t>
      </w:r>
      <w:r>
        <w:t xml:space="preserve"> </w:t>
      </w:r>
      <w:r>
        <w:t xml:space="preserve">70 Such as paper and cardboard, flexible plastics, different dense plastics, wood materials, glass, ferrous metals,</w:t>
      </w:r>
      <w:r>
        <w:t xml:space="preserve"> </w:t>
      </w:r>
      <w:r>
        <w:t xml:space="preserve">non-ferrous metals, etc.</w:t>
      </w:r>
      <w:r>
        <w:t xml:space="preserve"> </w:t>
      </w:r>
      <w:r>
        <w:t xml:space="preserve">71 This is, for example, applicable to the recycling of glass and metals, and for many plastics (depending on the</w:t>
      </w:r>
      <w:r>
        <w:t xml:space="preserve"> </w:t>
      </w:r>
      <w:r>
        <w:t xml:space="preserve">process).</w:t>
      </w:r>
      <w:r>
        <w:t xml:space="preserve"> </w:t>
      </w:r>
      <w:r>
        <w:t xml:space="preserve">72 UNFCCC</w:t>
      </w:r>
      <w:r>
        <w:t xml:space="preserve"> </w:t>
      </w:r>
      <w:r>
        <w:t xml:space="preserve">EU</w:t>
      </w:r>
      <w:r>
        <w:t xml:space="preserve"> </w:t>
      </w:r>
      <w:r>
        <w:t xml:space="preserve">National</w:t>
      </w:r>
      <w:r>
        <w:t xml:space="preserve"> </w:t>
      </w:r>
      <w:r>
        <w:t xml:space="preserve">Inventory</w:t>
      </w:r>
      <w:r>
        <w:t xml:space="preserve"> </w:t>
      </w:r>
      <w:r>
        <w:t xml:space="preserve">Document</w:t>
      </w:r>
      <w:r>
        <w:t xml:space="preserve"> </w:t>
      </w:r>
      <w:r>
        <w:t xml:space="preserve">(NID)</w:t>
      </w:r>
      <w:r>
        <w:t xml:space="preserve"> </w:t>
      </w:r>
      <w:r>
        <w:t xml:space="preserve">(2024).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https://unfccc.int/documents/644896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undermines efficiency and investment predictability. Contrary to cap-and-trade systems</w:t>
      </w:r>
      <w:r>
        <w:t xml:space="preserve"> </w:t>
      </w:r>
      <w:r>
        <w:t xml:space="preserve">taxation does not guarantee the achievement of emissions reductions in absence of a cap on</w:t>
      </w:r>
      <w:r>
        <w:t xml:space="preserve"> </w:t>
      </w:r>
      <w:r>
        <w:t xml:space="preserve">total emissions, while carrying a higher aggregate cost due to the lack of market flexibility</w:t>
      </w:r>
      <w:r>
        <w:t xml:space="preserve"> </w:t>
      </w:r>
      <w:r>
        <w:t xml:space="preserve">steering the most cost-efficient decarbonisation routes. Harmonised taxation at EU-level would</w:t>
      </w:r>
      <w:r>
        <w:t xml:space="preserve"> </w:t>
      </w:r>
      <w:r>
        <w:t xml:space="preserve">carry an additional procedural complexity due to the unanimity requirement as a fiscal measure.</w:t>
      </w:r>
      <w:r>
        <w:t xml:space="preserve"> </w:t>
      </w:r>
      <w:r>
        <w:t xml:space="preserve">On the other hand, national taxation reflects the current policy situation, characterised by a lack</w:t>
      </w:r>
      <w:r>
        <w:t xml:space="preserve"> </w:t>
      </w:r>
      <w:r>
        <w:t xml:space="preserve">of harmonisation and risk of tax competition. Currently only one third of EU Member States</w:t>
      </w:r>
      <w:r>
        <w:t xml:space="preserve"> </w:t>
      </w:r>
      <w:r>
        <w:t xml:space="preserve">have some form of taxation on waste incineration in place, of which only two apply a carbon</w:t>
      </w:r>
      <w:r>
        <w:t xml:space="preserve"> </w:t>
      </w:r>
      <w:r>
        <w:t xml:space="preserve">tax (the Netherlands and Norway). With few exceptions, taxation levels are substantially below</w:t>
      </w:r>
      <w:r>
        <w:t xml:space="preserve"> </w:t>
      </w:r>
      <w:r>
        <w:t xml:space="preserve">both current and projected future ETS prices, averaging EUR 19 to 29 across the EU73. For</w:t>
      </w:r>
      <w:r>
        <w:t xml:space="preserve"> </w:t>
      </w:r>
      <w:r>
        <w:t xml:space="preserve">landfilling, all but five Member States apply taxation, and levels are generally higher than for</w:t>
      </w:r>
      <w:r>
        <w:t xml:space="preserve"> </w:t>
      </w:r>
      <w:r>
        <w:t xml:space="preserve">waste incineration, averaging EUR 39 to 4674. For these reasons, this measure was discarded</w:t>
      </w:r>
      <w:r>
        <w:t xml:space="preserve"> </w:t>
      </w:r>
      <w:r>
        <w:t xml:space="preserve">as an option to address emissions from the waste management sector, either harmonised at EU-</w:t>
      </w:r>
      <w:r>
        <w:t xml:space="preserve"> </w:t>
      </w:r>
      <w:r>
        <w:t xml:space="preserve">level or for Member State implementation.</w:t>
      </w:r>
      <w:r>
        <w:t xml:space="preserve"> </w:t>
      </w:r>
      <w:r>
        <w:t xml:space="preserve">1.3. Carbon price signal and emission abatement</w:t>
      </w:r>
      <w:r>
        <w:br/>
      </w:r>
      <w:r>
        <w:t xml:space="preserve">The application of the carbon price to waste incineration and landfilling can drive emissions</w:t>
      </w:r>
      <w:r>
        <w:t xml:space="preserve"> </w:t>
      </w:r>
      <w:r>
        <w:t xml:space="preserve">reductions, depending on the carbon cost for operators, the carbon cost passthrough in the waste</w:t>
      </w:r>
      <w:r>
        <w:t xml:space="preserve"> </w:t>
      </w:r>
      <w:r>
        <w:t xml:space="preserve">value chain and available cost-effective emissions abatement pathways at different levels of</w:t>
      </w:r>
      <w:r>
        <w:t xml:space="preserve"> </w:t>
      </w:r>
      <w:r>
        <w:t xml:space="preserve">the waste value chain.</w:t>
      </w:r>
      <w:r>
        <w:br/>
      </w:r>
      <w:r>
        <w:t xml:space="preserve">The overall carbon cost for operators depends on multiple factors including total volume of</w:t>
      </w:r>
      <w:r>
        <w:t xml:space="preserve"> </w:t>
      </w:r>
      <w:r>
        <w:t xml:space="preserve">waste treated, waste composition (fossil vs biogenic fractions), the EU ETS price, the ability</w:t>
      </w:r>
      <w:r>
        <w:t xml:space="preserve"> </w:t>
      </w:r>
      <w:r>
        <w:t xml:space="preserve">to pass on carbon costs to other actors, elasticities, and the availability and cost-effectiveness</w:t>
      </w:r>
      <w:r>
        <w:t xml:space="preserve"> </w:t>
      </w:r>
      <w:r>
        <w:t xml:space="preserve">of decarbonisation pathways and removals generated.</w:t>
      </w:r>
      <w:r>
        <w:br/>
      </w:r>
      <w:r>
        <w:t xml:space="preserve">The baseline assumes no EU ETS carbon cost and an average gate fee for municipal waste</w:t>
      </w:r>
      <w:r>
        <w:t xml:space="preserve"> </w:t>
      </w:r>
      <w:r>
        <w:t xml:space="preserve">incinerators of EUR 100 per tonne of waste75 (not considering separate taxes or levies on waste</w:t>
      </w:r>
      <w:r>
        <w:t xml:space="preserve"> </w:t>
      </w:r>
      <w:r>
        <w:t xml:space="preserve">incineration, which could be modulated to compensate the additional carbon cost). For the</w:t>
      </w:r>
      <w:r>
        <w:t xml:space="preserve"> </w:t>
      </w:r>
      <w:r>
        <w:t xml:space="preserve">inclusion of municipal waste incineration, assuming a carbon price of EUR 110 per tonne CO2e</w:t>
      </w:r>
      <w:r>
        <w:t xml:space="preserve"> </w:t>
      </w:r>
      <w:r>
        <w:t xml:space="preserve">in 2030, 1 tonne of municipal waste incinerated being associated with 0.7-1.2 tonne of CO2 of</w:t>
      </w:r>
      <w:r>
        <w:t xml:space="preserve"> </w:t>
      </w:r>
      <w:r>
        <w:t xml:space="preserve">which 50% fossil CO2, and not integrating emissions abatement incentivised by the carbon</w:t>
      </w:r>
      <w:r>
        <w:t xml:space="preserve"> </w:t>
      </w:r>
      <w:r>
        <w:t xml:space="preserve">price, the average effective carbon cost per tonne of municipal waste incinerated is estimated</w:t>
      </w:r>
      <w:r>
        <w:t xml:space="preserve"> </w:t>
      </w:r>
      <w:r>
        <w:t xml:space="preserve">to range between EUR 38.5 and 66 (2030), at which level the carbon cost would add 38.5%-</w:t>
      </w:r>
      <w:r>
        <w:t xml:space="preserve"> </w:t>
      </w:r>
      <w:r>
        <w:t xml:space="preserve">66% to the gate fee when fully passed through to waste suppliers. The cost would further</w:t>
      </w:r>
      <w:r>
        <w:t xml:space="preserve"> </w:t>
      </w:r>
      <w:r>
        <w:t xml:space="preserve">increase in case the ETS price increases towards 2040.</w:t>
      </w:r>
      <w:r>
        <w:br/>
      </w:r>
      <w:r>
        <w:t xml:space="preserve">For landfills, the baseline assumes no EU ETS carbon cost and generally lower gate fees than</w:t>
      </w:r>
      <w:r>
        <w:t xml:space="preserve"> </w:t>
      </w:r>
      <w:r>
        <w:t xml:space="preserve">for municipal waste incineration, at EUR 50 per tonne of non-hazardous waste on average</w:t>
      </w:r>
      <w:r>
        <w:t xml:space="preserve"> </w:t>
      </w:r>
      <w:r>
        <w:t xml:space="preserve">(separate landfill taxes not included, which could be modulated to compensate</w:t>
      </w:r>
      <w:r>
        <w:t xml:space="preserve"> </w:t>
      </w:r>
      <w:r>
        <w:t xml:space="preserve">the additional carbon cost)76. For landfills, assuming an emissions factor of 0.6 CO2e for</w:t>
      </w:r>
    </w:p>
    <w:p>
      <w:pPr>
        <w:pStyle w:val="BodyText"/>
      </w:pPr>
      <w:r>
        <w:t xml:space="preserve">73 EEA (2023). Overview of taxes on the incineration of municipal waste used in EU Member States, 2023.</w:t>
      </w:r>
      <w:r>
        <w:t xml:space="preserve"> </w:t>
      </w:r>
      <w:r>
        <w:t xml:space="preserve">74 EEA (2023). Overview of landfill taxes on municipal waste used in EU Member States, 2023.</w:t>
      </w:r>
      <w:r>
        <w:t xml:space="preserve"> </w:t>
      </w:r>
      <w:r>
        <w:t xml:space="preserve">75 Gate fees vary significantly between Member States and regions, ranging between 80 and 120 EUR per tonne</w:t>
      </w:r>
      <w:r>
        <w:t xml:space="preserve"> </w:t>
      </w:r>
      <w:r>
        <w:t xml:space="preserve">of waste.</w:t>
      </w:r>
      <w:r>
        <w:t xml:space="preserve"> </w:t>
      </w:r>
      <w:r>
        <w:t xml:space="preserve">76 While gate fees for landfills are generally lower in the EU than for municipal waste incineration, taxation and</w:t>
      </w:r>
      <w:r>
        <w:t xml:space="preserve"> </w:t>
      </w:r>
      <w:r>
        <w:t xml:space="preserve">levies on landfills are considerably higher and more prevalent than on incineration; EEA (2013). Typical</w:t>
      </w:r>
      <w:r>
        <w:t xml:space="preserve"> </w:t>
      </w:r>
      <w:r>
        <w:t xml:space="preserve">charge (gate fee and landfill tax) for legal landfilling of non-hazardous municipal waste in EU Member States</w:t>
      </w:r>
      <w:r>
        <w:t xml:space="preserve"> </w:t>
      </w:r>
      <w:r>
        <w:t xml:space="preserve">and regions. Last updated on 11 September 2024. Available at: https://www.eea.europa.eu/en/analysis/maps-</w:t>
      </w:r>
      <w:r>
        <w:t xml:space="preserve"> </w:t>
      </w:r>
      <w:r>
        <w:t xml:space="preserve">and-charts/typical-charge-gate-fee-and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methane77, the average carbon cost per tonne of landfilled waste is estimated to amount to EUR</w:t>
      </w:r>
      <w:r>
        <w:t xml:space="preserve"> </w:t>
      </w:r>
      <w:r>
        <w:t xml:space="preserve">66 on average, which would more than double the average gate fee when fully passed through</w:t>
      </w:r>
      <w:r>
        <w:t xml:space="preserve"> </w:t>
      </w:r>
      <w:r>
        <w:t xml:space="preserve">to the waste supplier. The cost would further increase as ETS prices increase towards 2040.</w:t>
      </w:r>
      <w:r>
        <w:br/>
      </w:r>
      <w:r>
        <w:t xml:space="preserve">The carbon price signal is expected to provide an economic incentive to reduce emissions from</w:t>
      </w:r>
      <w:r>
        <w:t xml:space="preserve"> </w:t>
      </w:r>
      <w:r>
        <w:t xml:space="preserve">waste incineration and landfilling, mitigating carbon costs and buffering against future carbon</w:t>
      </w:r>
      <w:r>
        <w:t xml:space="preserve"> </w:t>
      </w:r>
      <w:r>
        <w:t xml:space="preserve">price increases, provided cost-effective decarbonisation pathways are available. Action to abate</w:t>
      </w:r>
      <w:r>
        <w:t xml:space="preserve"> </w:t>
      </w:r>
      <w:r>
        <w:t xml:space="preserve">emissions can be incentivised at installation level (see Section 1.3.2.) and in the waste value</w:t>
      </w:r>
      <w:r>
        <w:t xml:space="preserve"> </w:t>
      </w:r>
      <w:r>
        <w:t xml:space="preserve">chain (see Section 1.3.1.).</w:t>
      </w:r>
      <w:r>
        <w:br/>
      </w:r>
      <w:r>
        <w:t xml:space="preserve">1.3.1. Ability to pass-on the carbon cost and emissions abatement in the waste value</w:t>
      </w:r>
      <w:r>
        <w:t xml:space="preserve"> </w:t>
      </w:r>
      <w:r>
        <w:t xml:space="preserve">chain</w:t>
      </w:r>
      <w:r>
        <w:br/>
      </w:r>
      <w:r>
        <w:t xml:space="preserve">One of the most effective ways to ensure that no fossil carbon at stack (incineration) or methane</w:t>
      </w:r>
      <w:r>
        <w:t xml:space="preserve"> </w:t>
      </w:r>
      <w:r>
        <w:t xml:space="preserve">(landfills) is emitted is source reduction or elimination. The carbon cost passthrough from</w:t>
      </w:r>
      <w:r>
        <w:t xml:space="preserve"> </w:t>
      </w:r>
      <w:r>
        <w:t xml:space="preserve">waste disposal operators to waste collection authorities, notably local authorities, and other</w:t>
      </w:r>
      <w:r>
        <w:t xml:space="preserve"> </w:t>
      </w:r>
      <w:r>
        <w:t xml:space="preserve">waste suppliers, such as commercial actors or recyclers, should incentivise action by waste</w:t>
      </w:r>
      <w:r>
        <w:t xml:space="preserve"> </w:t>
      </w:r>
      <w:r>
        <w:t xml:space="preserve">collection authorities and other waste suppliers to reduce residual waste streams and the</w:t>
      </w:r>
      <w:r>
        <w:t xml:space="preserve"> </w:t>
      </w:r>
      <w:r>
        <w:t xml:space="preserve">carbon/methane content in residual waste streams sent for disposal. The ability to do so is</w:t>
      </w:r>
      <w:r>
        <w:t xml:space="preserve"> </w:t>
      </w:r>
      <w:r>
        <w:t xml:space="preserve">subject to the price elasticities in the sector, the contractual arrangements in place, and</w:t>
      </w:r>
      <w:r>
        <w:t xml:space="preserve"> </w:t>
      </w:r>
      <w:r>
        <w:t xml:space="preserve">complementary policies and measures including targeted reinvestment of EU ETS revenues</w:t>
      </w:r>
      <w:r>
        <w:t xml:space="preserve"> </w:t>
      </w:r>
      <w:r>
        <w:t xml:space="preserve">(see Section 1.3.4.).</w:t>
      </w:r>
      <w:r>
        <w:br/>
      </w:r>
      <w:r>
        <w:t xml:space="preserve">Evidence indicates policy-relevant price elasticities for the demand for residual waste disposal</w:t>
      </w:r>
      <w:r>
        <w:t xml:space="preserve"> </w:t>
      </w:r>
      <w:r>
        <w:t xml:space="preserve">ranging from -0.2 to -0.4, implying a 10-20% reduction potential in incineration in response to</w:t>
      </w:r>
      <w:r>
        <w:t xml:space="preserve"> </w:t>
      </w:r>
      <w:r>
        <w:t xml:space="preserve">an average increase in disposal costs by EUR 50 (2030), and cross-price elasticities for</w:t>
      </w:r>
      <w:r>
        <w:t xml:space="preserve"> </w:t>
      </w:r>
      <w:r>
        <w:t xml:space="preserve">diversion to recycling ranging from +0.32 to +0.4578, implying an 16-22.5% increase potential</w:t>
      </w:r>
      <w:r>
        <w:t xml:space="preserve"> </w:t>
      </w:r>
      <w:r>
        <w:t xml:space="preserve">in waste diverted from incineration to recycling. Elasticities are highest for higher price signals</w:t>
      </w:r>
      <w:r>
        <w:t xml:space="preserve"> </w:t>
      </w:r>
      <w:r>
        <w:t xml:space="preserve">and for targeted weight-based or Pay-As-You-Throw waste collection systems for non-</w:t>
      </w:r>
      <w:r>
        <w:t xml:space="preserve"> </w:t>
      </w:r>
      <w:r>
        <w:t xml:space="preserve">recyclable waste. Evidence on price elasticities for hazardous waste and for landfilling is more</w:t>
      </w:r>
      <w:r>
        <w:t xml:space="preserve"> </w:t>
      </w:r>
      <w:r>
        <w:t xml:space="preserve">limited due to the wide variety of waste types under this category.</w:t>
      </w:r>
      <w:r>
        <w:br/>
      </w:r>
      <w:r>
        <w:t xml:space="preserve">The carbon price incentive can improve circularity and reduce waste handling costs through</w:t>
      </w:r>
      <w:r>
        <w:t xml:space="preserve"> </w:t>
      </w:r>
      <w:r>
        <w:t xml:space="preserve">improved waste prevention and separate collection. Consider a stylised example of a waste</w:t>
      </w:r>
    </w:p>
    <w:p>
      <w:pPr>
        <w:pStyle w:val="BodyText"/>
      </w:pPr>
      <w:r>
        <w:t xml:space="preserve">77 Conventional landfill with flaring. See Appendix 1 for further details.</w:t>
      </w:r>
      <w:r>
        <w:t xml:space="preserve"> </w:t>
      </w:r>
      <w:r>
        <w:t xml:space="preserve">78 See among others: Nordic Council of Ministers (2025). Can Economic Instruments Transform Behaviour?</w:t>
      </w:r>
      <w:r>
        <w:t xml:space="preserve"> </w:t>
      </w:r>
      <w:r>
        <w:t xml:space="preserve">Available at: https://pub.norden.org/temanord2025-523/index.html; CE Delft (2025) for ZeroWasteEurope.</w:t>
      </w:r>
      <w:r>
        <w:t xml:space="preserve"> </w:t>
      </w:r>
      <w:r>
        <w:t xml:space="preserve">Waste Incineration under the EU ETS. Delft, CE Delft. Available at : https://cedelft.eu/publications/waste-</w:t>
      </w:r>
      <w:r>
        <w:t xml:space="preserve"> </w:t>
      </w:r>
      <w:r>
        <w:t xml:space="preserve">incineration-under-the-eu-ets/; Meens-Eriksson, S. (2024). Does costlier waste treatment lead to less residual</w:t>
      </w:r>
      <w:r>
        <w:t xml:space="preserve"> </w:t>
      </w:r>
      <w:r>
        <w:t xml:space="preserve">waste? Evidence from Swedish municipalities. In the Economics of Residual Waste. Umea University.</w:t>
      </w:r>
      <w:r>
        <w:t xml:space="preserve"> </w:t>
      </w:r>
      <w:r>
        <w:t xml:space="preserve">Available at: https://umu.diva-portal.org/smash/search.jsf?dswid=-8748; Gautier, A and Salem, I (2023). The</w:t>
      </w:r>
      <w:r>
        <w:t xml:space="preserve"> </w:t>
      </w:r>
      <w:r>
        <w:t xml:space="preserve">impact of prices and pricing units on residual and organic waste: evidence from Wallonia, Belgium. Waste</w:t>
      </w:r>
      <w:r>
        <w:t xml:space="preserve"> </w:t>
      </w:r>
      <w:r>
        <w:t xml:space="preserve">Management, Volume 155, pages 99-106. https://doi.org/10.1016/j.wasman.2022.10.027; Finnish</w:t>
      </w:r>
      <w:r>
        <w:t xml:space="preserve"> </w:t>
      </w:r>
      <w:r>
        <w:t xml:space="preserve">Environment Institute (SYKE) (2026). Selvitys kierrätyksen edistämisen ja jätteenpolton hillinnän</w:t>
      </w:r>
      <w:r>
        <w:t xml:space="preserve"> </w:t>
      </w:r>
      <w:r>
        <w:t xml:space="preserve">ohjauskeinoista. Available at: https://julkaisut.valtioneuvosto.fi/server/api/core/bitstreams/58c2facb-a2f2-</w:t>
      </w:r>
      <w:r>
        <w:t xml:space="preserve"> </w:t>
      </w:r>
      <w:r>
        <w:t xml:space="preserve">4028-9bec-4e6f146ce9b9/content; OECD (2019), Waste management and the circular economy in selected</w:t>
      </w:r>
      <w:r>
        <w:t xml:space="preserve"> </w:t>
      </w:r>
      <w:r>
        <w:t xml:space="preserve">OECD countries: evidence from environmental performance reviews, OECD Environmental Performance</w:t>
      </w:r>
      <w:r>
        <w:t xml:space="preserve"> </w:t>
      </w:r>
      <w:r>
        <w:t xml:space="preserve">Reviews, OECD Publishing, Paris (https://doi.org/10.1787/9789264309395-en; Sasao T. et al. (2021). Does</w:t>
      </w:r>
      <w:r>
        <w:t xml:space="preserve"> </w:t>
      </w:r>
      <w:r>
        <w:t xml:space="preserve">Weight-based pricing for municipal waste collection contribute to waste reduction? A dynamic panel analysis</w:t>
      </w:r>
      <w:r>
        <w:t xml:space="preserve"> </w:t>
      </w:r>
      <w:r>
        <w:t xml:space="preserve">in</w:t>
      </w:r>
      <w:r>
        <w:t xml:space="preserve"> </w:t>
      </w:r>
      <w:r>
        <w:t xml:space="preserve">Flanders.</w:t>
      </w:r>
      <w:r>
        <w:t xml:space="preserve"> </w:t>
      </w:r>
      <w:r>
        <w:t xml:space="preserve">Waste</w:t>
      </w:r>
      <w:r>
        <w:t xml:space="preserve"> </w:t>
      </w:r>
      <w:r>
        <w:t xml:space="preserve">Management,</w:t>
      </w:r>
      <w:r>
        <w:t xml:space="preserve"> </w:t>
      </w:r>
      <w:r>
        <w:t xml:space="preserve">Volume</w:t>
      </w:r>
      <w:r>
        <w:t xml:space="preserve"> </w:t>
      </w:r>
      <w:r>
        <w:t xml:space="preserve">128,</w:t>
      </w:r>
      <w:r>
        <w:t xml:space="preserve"> </w:t>
      </w:r>
      <w:r>
        <w:t xml:space="preserve">pages</w:t>
      </w:r>
      <w:r>
        <w:t xml:space="preserve"> </w:t>
      </w:r>
      <w:r>
        <w:t xml:space="preserve">132-141.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https://doi.org/10.1016/j.wasman.2021.04.056; Bel G., Gradus R. (2016). Effects of unit-based pricing on</w:t>
      </w:r>
      <w:r>
        <w:t xml:space="preserve"> </w:t>
      </w:r>
      <w:r>
        <w:t xml:space="preserve">household waste collection demand: A meta-regression analysis. Resource and Energy Economics, Volume</w:t>
      </w:r>
      <w:r>
        <w:t xml:space="preserve"> </w:t>
      </w:r>
      <w:r>
        <w:t xml:space="preserve">44, 2016, Pages 169-182. https://doi.org/10.1016/j.reseneeco.2016.03.003.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supplier (e.g. a shopping centre) with a current total waste volume of 150 tonnes per month</w:t>
      </w:r>
      <w:r>
        <w:t xml:space="preserve"> </w:t>
      </w:r>
      <w:r>
        <w:t xml:space="preserve">and a waste handling ratio of 67% recycled and 33% sent to incineration as mixed municipal</w:t>
      </w:r>
      <w:r>
        <w:t xml:space="preserve"> </w:t>
      </w:r>
      <w:r>
        <w:t xml:space="preserve">waste at a gate fee of EUR 100 per tonne of waste, leading to a mixed waste handling cost of</w:t>
      </w:r>
      <w:r>
        <w:t xml:space="preserve"> </w:t>
      </w:r>
      <w:r>
        <w:t xml:space="preserve">EUR 4.950 per month. If the carbon price is passed through increasing the gate fee by 40% and</w:t>
      </w:r>
      <w:r>
        <w:t xml:space="preserve"> </w:t>
      </w:r>
      <w:r>
        <w:t xml:space="preserve">the shopping centre improves its waste prevention and separate collection to reduce its share</w:t>
      </w:r>
      <w:r>
        <w:t xml:space="preserve"> </w:t>
      </w:r>
      <w:r>
        <w:t xml:space="preserve">of mixed municipal waste sent to incineration by one third to 22%, then the mixed waste</w:t>
      </w:r>
      <w:r>
        <w:t xml:space="preserve"> </w:t>
      </w:r>
      <w:r>
        <w:t xml:space="preserve">handling cost decreases by 6.5% to EUR 4.620 per month compared to the current situation79.</w:t>
      </w:r>
      <w:r>
        <w:t xml:space="preserve"> </w:t>
      </w:r>
      <w:r>
        <w:t xml:space="preserve">Selected circular economy measures that can steer the collection and disposal of municipal</w:t>
      </w:r>
      <w:r>
        <w:t xml:space="preserve"> </w:t>
      </w:r>
      <w:r>
        <w:t xml:space="preserve">waste in line with the higher steps of the waste hierarchy, reduce emissions at disposal stage</w:t>
      </w:r>
      <w:r>
        <w:t xml:space="preserve"> </w:t>
      </w:r>
      <w:r>
        <w:t xml:space="preserve">and help manage the impact of the carbon cost include:</w:t>
      </w:r>
      <w:r>
        <w:t xml:space="preserve"> </w:t>
      </w:r>
      <w:r>
        <w:t xml:space="preserve">Improved separate waste collection to improve recycling: Recycling (both of fossil and</w:t>
      </w:r>
      <w:r>
        <w:t xml:space="preserve"> </w:t>
      </w:r>
      <w:r>
        <w:t xml:space="preserve">biogenic waste streams) is key to reduce emissions from waste management, with the net</w:t>
      </w:r>
      <w:r>
        <w:t xml:space="preserve"> </w:t>
      </w:r>
      <w:r>
        <w:t xml:space="preserve">climate change impacts of the waste management system the lowest in Member States</w:t>
      </w:r>
      <w:r>
        <w:t xml:space="preserve"> </w:t>
      </w:r>
      <w:r>
        <w:t xml:space="preserve">recycling the most80. However, separate collection of polymers and textiles (with significant</w:t>
      </w:r>
      <w:r>
        <w:t xml:space="preserve"> </w:t>
      </w:r>
      <w:r>
        <w:t xml:space="preserve">impacts from incineration) that could otherwise be recycled remains overall low81. Depending</w:t>
      </w:r>
      <w:r>
        <w:t xml:space="preserve"> </w:t>
      </w:r>
      <w:r>
        <w:t xml:space="preserve">on national variations, approximately 70% of the waste gathered as mixed municipal waste</w:t>
      </w:r>
      <w:r>
        <w:t xml:space="preserve"> </w:t>
      </w:r>
      <w:r>
        <w:t xml:space="preserve">could be collected separately and recycled in a Member State with an average EU recycling</w:t>
      </w:r>
      <w:r>
        <w:t xml:space="preserve"> </w:t>
      </w:r>
      <w:r>
        <w:t xml:space="preserve">rate like Finland82. The greatest share of fossil CO2 in this recyclable share comes from plastic</w:t>
      </w:r>
      <w:r>
        <w:t xml:space="preserve"> </w:t>
      </w:r>
      <w:r>
        <w:t xml:space="preserve">waste, which is estimated to contain 69% of fossil carbon out of the weight of the dry material.</w:t>
      </w:r>
      <w:r>
        <w:t xml:space="preserve"> </w:t>
      </w:r>
      <w:r>
        <w:t xml:space="preserve">The carbon cost passthrough from operators to waste disposal authorities is expected to</w:t>
      </w:r>
      <w:r>
        <w:t xml:space="preserve"> </w:t>
      </w:r>
      <w:r>
        <w:t xml:space="preserve">incentivise action to reduce residual waste and increase recycling. Improving separate waste</w:t>
      </w:r>
      <w:r>
        <w:t xml:space="preserve"> </w:t>
      </w:r>
      <w:r>
        <w:t xml:space="preserve">collection to reduce the volume of residual waste and increase the range of recyclables</w:t>
      </w:r>
      <w:r>
        <w:t xml:space="preserve"> </w:t>
      </w:r>
      <w:r>
        <w:t xml:space="preserve">collected, especially those with a high fossil carbon content, can result in twofold savings by</w:t>
      </w:r>
      <w:r>
        <w:t xml:space="preserve"> </w:t>
      </w:r>
      <w:r>
        <w:t xml:space="preserve">decreasing GHG emissions and by reducing disposal costs for local authorities, especially in</w:t>
      </w:r>
      <w:r>
        <w:t xml:space="preserve"> </w:t>
      </w:r>
      <w:r>
        <w:t xml:space="preserve">the early years, by up to 37-56%83. The potential depends on the current performance of local</w:t>
      </w:r>
      <w:r>
        <w:t xml:space="preserve"> </w:t>
      </w:r>
      <w:r>
        <w:t xml:space="preserve">authorities, with lower performing systems having a higher reduction potential, while higher</w:t>
      </w:r>
      <w:r>
        <w:t xml:space="preserve"> </w:t>
      </w:r>
      <w:r>
        <w:t xml:space="preserve">performing systems are expected to face a lower carbon cost due to the measures already in</w:t>
      </w:r>
      <w:r>
        <w:t xml:space="preserve"> </w:t>
      </w:r>
      <w:r>
        <w:t xml:space="preserve">place. Early action is important, as improved separate waste collection can reduce the carbon</w:t>
      </w:r>
      <w:r>
        <w:t xml:space="preserve"> </w:t>
      </w:r>
      <w:r>
        <w:t xml:space="preserve">cost in the shorter term and savings can be invested in future service improvements. In addition,</w:t>
      </w:r>
      <w:r>
        <w:t xml:space="preserve"> </w:t>
      </w:r>
      <w:r>
        <w:t xml:space="preserve">improved upstream infrastructure to process and recycle the existing and other fossil streams</w:t>
      </w:r>
      <w:r>
        <w:t xml:space="preserve"> </w:t>
      </w:r>
      <w:r>
        <w:t xml:space="preserve">will be necessary to achieve the requirements and could be supported through revenues from</w:t>
      </w:r>
      <w:r>
        <w:t xml:space="preserve"> </w:t>
      </w:r>
      <w:r>
        <w:t xml:space="preserve">carbon pricing.</w:t>
      </w:r>
      <w:r>
        <w:t xml:space="preserve"> </w:t>
      </w:r>
      <w:r>
        <w:t xml:space="preserve">Improved biogenic waste collection and treatment: For landfills, reducing the amount of</w:t>
      </w:r>
      <w:r>
        <w:t xml:space="preserve"> </w:t>
      </w:r>
      <w:r>
        <w:t xml:space="preserve">organic waste sent to landfills is one of the most effective ways to lower GHG emissions.</w:t>
      </w:r>
      <w:r>
        <w:t xml:space="preserve"> </w:t>
      </w:r>
      <w:r>
        <w:t xml:space="preserve">Separate collection of biowaste (with significant impacts from landfilling) remains overall low.</w:t>
      </w:r>
      <w:r>
        <w:t xml:space="preserve"> </w:t>
      </w:r>
      <w:r>
        <w:t xml:space="preserve">Through separate collection of food, paper, and garden waste, biodegradable waste can be</w:t>
      </w:r>
      <w:r>
        <w:t xml:space="preserve"> </w:t>
      </w:r>
      <w:r>
        <w:t xml:space="preserve">diverted to alternative treatments such as composting, anaerobic digestion (AD), or biogas</w:t>
      </w:r>
      <w:r>
        <w:t xml:space="preserve"> </w:t>
      </w:r>
      <w:r>
        <w:t xml:space="preserve">production. Implementing local or extended policies that ban biodegradable waste from</w:t>
      </w:r>
    </w:p>
    <w:p>
      <w:pPr>
        <w:pStyle w:val="BodyText"/>
      </w:pPr>
      <w:r>
        <w:t xml:space="preserve">79 While the waste additionally sent for recycling may also carry an offtake cost, waste customer costs for</w:t>
      </w:r>
      <w:r>
        <w:t xml:space="preserve"> </w:t>
      </w:r>
      <w:r>
        <w:t xml:space="preserve">recycling are generally substantially lower than for disposal and part of the mixed waste reduction is also</w:t>
      </w:r>
      <w:r>
        <w:t xml:space="preserve"> </w:t>
      </w:r>
      <w:r>
        <w:t xml:space="preserve">assumed to result from waste prevention.</w:t>
      </w:r>
      <w:r>
        <w:t xml:space="preserve"> </w:t>
      </w:r>
      <w:r>
        <w:t xml:space="preserve">80 Albizzati, P.F. (2024). A model to assess the environmental and economic impacts of municipal waste</w:t>
      </w:r>
      <w:r>
        <w:t xml:space="preserve"> </w:t>
      </w:r>
      <w:r>
        <w:t xml:space="preserve">management in Europe. Waste Management 174, p. 605-617.</w:t>
      </w:r>
      <w:r>
        <w:t xml:space="preserve"> </w:t>
      </w:r>
      <w:r>
        <w:t xml:space="preserve">81 Sund, J.H. et al. (2025). Comprehensive assessment of environmental and economic impacts of the entire EU</w:t>
      </w:r>
      <w:r>
        <w:t xml:space="preserve"> </w:t>
      </w:r>
      <w:r>
        <w:t xml:space="preserve">waste management system. Waste Management 204, 114910.</w:t>
      </w:r>
      <w:r>
        <w:t xml:space="preserve"> </w:t>
      </w:r>
      <w:r>
        <w:t xml:space="preserve">82 Helsinki Region Environmental Services Authority (HSY) (2024). Composition of mixed household waste in</w:t>
      </w:r>
      <w:r>
        <w:t xml:space="preserve"> </w:t>
      </w:r>
      <w:r>
        <w:t xml:space="preserve">the Helsinki Metropolitan Area in 2024.</w:t>
      </w:r>
      <w:r>
        <w:t xml:space="preserve"> </w:t>
      </w:r>
      <w:r>
        <w:t xml:space="preserve">83 SUEZ (2025). Strategic approaches to minimising ETS costs for waste producers. Available at:</w:t>
      </w:r>
      <w:r>
        <w:t xml:space="preserve"> </w:t>
      </w:r>
      <w:r>
        <w:t xml:space="preserve">https://www.suez.co.uk/en-gb/news/list-of-publications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landfills can further reinforce these efforts. In addition, Mechanical-Biological Treatment</w:t>
      </w:r>
      <w:r>
        <w:t xml:space="preserve"> </w:t>
      </w:r>
      <w:r>
        <w:t xml:space="preserve">(MBT) can pre-treat waste before it reaches landfills by extracting recyclables and reducing</w:t>
      </w:r>
      <w:r>
        <w:t xml:space="preserve"> </w:t>
      </w:r>
      <w:r>
        <w:t xml:space="preserve">organic content, which will lead to a reduction in associated methane emissions. Combining</w:t>
      </w:r>
      <w:r>
        <w:t xml:space="preserve"> </w:t>
      </w:r>
      <w:r>
        <w:t xml:space="preserve">these policies can be particularly effective at reducing the amount of GHG emissions produced</w:t>
      </w:r>
      <w:r>
        <w:t xml:space="preserve"> </w:t>
      </w:r>
      <w:r>
        <w:t xml:space="preserve">by landfills. However, this only affects emissions from future landfill disposal but does not</w:t>
      </w:r>
      <w:r>
        <w:t xml:space="preserve"> </w:t>
      </w:r>
      <w:r>
        <w:t xml:space="preserve">address emissions from historic disposal in landfills, for which measures at installation-level</w:t>
      </w:r>
      <w:r>
        <w:t xml:space="preserve"> </w:t>
      </w:r>
      <w:r>
        <w:t xml:space="preserve">are needed (see Section 1.3.2.).</w:t>
      </w:r>
      <w:r>
        <w:br/>
      </w:r>
      <w:r>
        <w:t xml:space="preserve">Pay-as-you-Throw schemes (PAYT): PAYT schemes involve households or commercial</w:t>
      </w:r>
      <w:r>
        <w:t xml:space="preserve"> </w:t>
      </w:r>
      <w:r>
        <w:t xml:space="preserve">actors paying corresponding to the amount of residual waste they produce. This can be enacted</w:t>
      </w:r>
      <w:r>
        <w:t xml:space="preserve"> </w:t>
      </w:r>
      <w:r>
        <w:t xml:space="preserve">through residual waste bags costing more than recycling or biowaste bags, or through the cost</w:t>
      </w:r>
      <w:r>
        <w:t xml:space="preserve"> </w:t>
      </w:r>
      <w:r>
        <w:t xml:space="preserve">of residual waste disposal being variable by weight. PAYT measures incentivise better sorting</w:t>
      </w:r>
      <w:r>
        <w:t xml:space="preserve"> </w:t>
      </w:r>
      <w:r>
        <w:t xml:space="preserve">of waste through making recycling the cheaper option and have been widely used across</w:t>
      </w:r>
      <w:r>
        <w:t xml:space="preserve"> </w:t>
      </w:r>
      <w:r>
        <w:t xml:space="preserve">Europe at different scales. For example, Parma in Emilia Romagna, Italy (population of</w:t>
      </w:r>
      <w:r>
        <w:t xml:space="preserve"> </w:t>
      </w:r>
      <w:r>
        <w:t xml:space="preserve">200,000), has achieved a waste separation rate of over 80% and a 65% decrease in residual</w:t>
      </w:r>
      <w:r>
        <w:t xml:space="preserve"> </w:t>
      </w:r>
      <w:r>
        <w:t xml:space="preserve">waste generation 3 years after PAYT implementation. PAYT was enacted by equipping</w:t>
      </w:r>
      <w:r>
        <w:t xml:space="preserve"> </w:t>
      </w:r>
      <w:r>
        <w:t xml:space="preserve">residual waste bins with transponders associated to each user and charging them for extra</w:t>
      </w:r>
      <w:r>
        <w:t xml:space="preserve"> </w:t>
      </w:r>
      <w:r>
        <w:t xml:space="preserve">deliveries beyond the minimum included in their waste bill (to avoid littering). As well as door-</w:t>
      </w:r>
      <w:r>
        <w:t xml:space="preserve"> </w:t>
      </w:r>
      <w:r>
        <w:t xml:space="preserve">to-door collection, the city set up eco-stations in park-and ride-facilities, accessible 24/7 with</w:t>
      </w:r>
      <w:r>
        <w:t xml:space="preserve"> </w:t>
      </w:r>
      <w:r>
        <w:t xml:space="preserve">a badge or health insurance card, with volumetric-controlled doors for residual waste to track</w:t>
      </w:r>
      <w:r>
        <w:t xml:space="preserve"> </w:t>
      </w:r>
      <w:r>
        <w:t xml:space="preserve">residual waste outside of collections and prevent littering. Further selected case studies are</w:t>
      </w:r>
      <w:r>
        <w:t xml:space="preserve"> </w:t>
      </w:r>
      <w:r>
        <w:t xml:space="preserve">listed in Appendix 2.</w:t>
      </w:r>
      <w:r>
        <w:t xml:space="preserve"> </w:t>
      </w:r>
      <w:r>
        <w:t xml:space="preserve">Improved recycling efficiency: the estimated recycling efficiency (i.e. the share of plastic</w:t>
      </w:r>
      <w:r>
        <w:t xml:space="preserve"> </w:t>
      </w:r>
      <w:r>
        <w:t xml:space="preserve">waste being recycled out of the total input to a recycling plant) in mechanical recycling varies</w:t>
      </w:r>
      <w:r>
        <w:t xml:space="preserve"> </w:t>
      </w:r>
      <w:r>
        <w:t xml:space="preserve">for each type of waste. The average recycling efficiency in conventional mechanical recycling</w:t>
      </w:r>
      <w:r>
        <w:t xml:space="preserve"> </w:t>
      </w:r>
      <w:r>
        <w:t xml:space="preserve">plants ranges between 66% and 88%84,85, and 71% to 93% in the 25% most advanced facilities,</w:t>
      </w:r>
      <w:r>
        <w:t xml:space="preserve"> </w:t>
      </w:r>
      <w:r>
        <w:t xml:space="preserve">implying a 23% average reject rate in conventional and 15% average reject rate in modern</w:t>
      </w:r>
      <w:r>
        <w:t xml:space="preserve"> </w:t>
      </w:r>
      <w:r>
        <w:t xml:space="preserve">facilities86. Residues are generally sent to incineration and, to a lesser extent, landfills and other</w:t>
      </w:r>
      <w:r>
        <w:t xml:space="preserve"> </w:t>
      </w:r>
      <w:r>
        <w:t xml:space="preserve">uses already covered by the EU ETS such as solid recovered fuel. To fulfil the ambitious</w:t>
      </w:r>
      <w:r>
        <w:t xml:space="preserve"> </w:t>
      </w:r>
      <w:r>
        <w:t xml:space="preserve">recycling targets set at EU level, the improvement of the efficiency of the collection and</w:t>
      </w:r>
      <w:r>
        <w:t xml:space="preserve"> </w:t>
      </w:r>
      <w:r>
        <w:t xml:space="preserve">recycling systems is imperative. This includes improvements in mechanical recycling and the</w:t>
      </w:r>
      <w:r>
        <w:t xml:space="preserve"> </w:t>
      </w:r>
      <w:r>
        <w:t xml:space="preserve">further development and scaling of advanced and chemical recycling technologies. The carbon</w:t>
      </w:r>
      <w:r>
        <w:t xml:space="preserve"> </w:t>
      </w:r>
      <w:r>
        <w:t xml:space="preserve">price on disposal of rejects can provide a complementary financial incentive and support from</w:t>
      </w:r>
      <w:r>
        <w:t xml:space="preserve"> </w:t>
      </w:r>
      <w:r>
        <w:t xml:space="preserve">ETS revenues to optimise collection, sorting and recycling systems. The cost-passthrough is</w:t>
      </w:r>
      <w:r>
        <w:t xml:space="preserve"> </w:t>
      </w:r>
      <w:r>
        <w:t xml:space="preserve">estimated to add around EUR 33 per tonne of plastic waste bale received and processed in</w:t>
      </w:r>
      <w:r>
        <w:t xml:space="preserve"> </w:t>
      </w:r>
      <w:r>
        <w:t xml:space="preserve">recycling, or a 5-6% increase on the total cost for recyclers￼.The effectiveness of the carbon</w:t>
      </w:r>
      <w:r>
        <w:t xml:space="preserve"> </w:t>
      </w:r>
      <w:r>
        <w:t xml:space="preserve">price cost passthrough in incentivising action to reduce residual waste and increase recycling</w:t>
      </w:r>
      <w:r>
        <w:t xml:space="preserve"> </w:t>
      </w:r>
      <w:r>
        <w:t xml:space="preserve">depends not only on elasticities but also on the ability of operators to pass on the carbon cost</w:t>
      </w:r>
      <w:r>
        <w:t xml:space="preserve"> </w:t>
      </w:r>
      <w:r>
        <w:t xml:space="preserve">in gate fees87 through contractual provisions. Contracts between waste incineration or landfill</w:t>
      </w:r>
      <w:r>
        <w:t xml:space="preserve"> </w:t>
      </w:r>
      <w:r>
        <w:t xml:space="preserve">operators and public or private waste suppliers establish how certain cost categories are</w:t>
      </w:r>
    </w:p>
    <w:p>
      <w:pPr>
        <w:pStyle w:val="BodyText"/>
      </w:pPr>
      <w:r>
        <w:t xml:space="preserve">84 Antonopoulos, I., Faraca, G. and Tonini, D., Recycling of post-consumer plastic packaging waste in the EU:</w:t>
      </w:r>
      <w:r>
        <w:t xml:space="preserve"> </w:t>
      </w:r>
      <w:r>
        <w:t xml:space="preserve">Recovery rates, material flows, and barriers, WASTE MANAGEMENT, ISSN 0956-053X, 126, 2021, p. </w:t>
      </w:r>
      <w:r>
        <w:t xml:space="preserve"> </w:t>
      </w:r>
      <w:r>
        <w:t xml:space="preserve">694–705, JRC121522.</w:t>
      </w:r>
      <w:r>
        <w:t xml:space="preserve"> </w:t>
      </w:r>
      <w:r>
        <w:t xml:space="preserve">85 For example 81.1% for PET (polyethylene terephthalate) packaging and 88% for HDPE (high-density</w:t>
      </w:r>
      <w:r>
        <w:t xml:space="preserve"> </w:t>
      </w:r>
      <w:r>
        <w:t xml:space="preserve">polyethylene) packaging.</w:t>
      </w:r>
      <w:r>
        <w:t xml:space="preserve"> </w:t>
      </w:r>
      <w:r>
        <w:t xml:space="preserve">86 Residues or rejects from recycling activities are generally attributable to contamination or the higher</w:t>
      </w:r>
      <w:r>
        <w:t xml:space="preserve"> </w:t>
      </w:r>
      <w:r>
        <w:t xml:space="preserve">complexity in the materials of products hindering recyclability, infrastructure limitations or economic</w:t>
      </w:r>
      <w:r>
        <w:t xml:space="preserve"> </w:t>
      </w:r>
      <w:r>
        <w:t xml:space="preserve">viability</w:t>
      </w:r>
      <w:r>
        <w:t xml:space="preserve"> </w:t>
      </w:r>
      <w:r>
        <w:t xml:space="preserve">87 Gate fees are the charges levied on waste producers for disposing of waste, which can be modified to account</w:t>
      </w:r>
      <w:r>
        <w:t xml:space="preserve"> </w:t>
      </w:r>
      <w:r>
        <w:t xml:space="preserve">for the carbon cost.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transferred from the operator to the local authority or other specific waste suppliers such as</w:t>
      </w:r>
      <w:r>
        <w:t xml:space="preserve"> </w:t>
      </w:r>
      <w:r>
        <w:t xml:space="preserve">commercial or industrial actors. Contracts take varying formats (public service contracts with</w:t>
      </w:r>
      <w:r>
        <w:t xml:space="preserve"> </w:t>
      </w:r>
      <w:r>
        <w:t xml:space="preserve">local authorities, or commercial contracts with other waste suppliers) and durations (e.g. </w:t>
      </w:r>
      <w:r>
        <w:t xml:space="preserve"> </w:t>
      </w:r>
      <w:r>
        <w:t xml:space="preserve">generally ranging between 5 to 20 years for public service contracts). The carbon cost</w:t>
      </w:r>
      <w:r>
        <w:t xml:space="preserve"> </w:t>
      </w:r>
      <w:r>
        <w:t xml:space="preserve">passthrough mechanism can be devised either as a lump sum in gate fees, fixing the carbon</w:t>
      </w:r>
      <w:r>
        <w:t xml:space="preserve"> </w:t>
      </w:r>
      <w:r>
        <w:t xml:space="preserve">cost over a set period to allow for more predictable planning; through a modulated approach</w:t>
      </w:r>
      <w:r>
        <w:t xml:space="preserve"> </w:t>
      </w:r>
      <w:r>
        <w:t xml:space="preserve">differentiating the gate fee depending on the emissions intensity of waste that is being disposed</w:t>
      </w:r>
      <w:r>
        <w:t xml:space="preserve"> </w:t>
      </w:r>
      <w:r>
        <w:t xml:space="preserve">to encourage upstream actors to reduce the amount of specific waste streams sent to</w:t>
      </w:r>
      <w:r>
        <w:t xml:space="preserve"> </w:t>
      </w:r>
      <w:r>
        <w:t xml:space="preserve">incineration or disposal; or based on performance-based contracts, rewarding improvements in</w:t>
      </w:r>
      <w:r>
        <w:t xml:space="preserve"> </w:t>
      </w:r>
      <w:r>
        <w:t xml:space="preserve">efficiency and investment in lower-emission technologies. To facilitate the implementation of</w:t>
      </w:r>
      <w:r>
        <w:t xml:space="preserve"> </w:t>
      </w:r>
      <w:r>
        <w:t xml:space="preserve">cost passthrough mechanisms in public service contracts, a transitional period could help to</w:t>
      </w:r>
      <w:r>
        <w:t xml:space="preserve"> </w:t>
      </w:r>
      <w:r>
        <w:t xml:space="preserve">anticipate and prepare for the needed changes.</w:t>
      </w:r>
      <w:r>
        <w:br/>
      </w:r>
      <w:r>
        <w:t xml:space="preserve">1.3.2. Emission abatement at installation level</w:t>
      </w:r>
      <w:r>
        <w:br/>
      </w:r>
      <w:r>
        <w:t xml:space="preserve">Carbon pricing also creates economic incentives to mitigate emissions at the stage of waste</w:t>
      </w:r>
      <w:r>
        <w:t xml:space="preserve"> </w:t>
      </w:r>
      <w:r>
        <w:t xml:space="preserve">disposal, with several pathways for cost and emissions abatement available to waste disposal</w:t>
      </w:r>
      <w:r>
        <w:t xml:space="preserve"> </w:t>
      </w:r>
      <w:r>
        <w:t xml:space="preserve">operators:</w:t>
      </w:r>
      <w:r>
        <w:br/>
      </w:r>
      <w:r>
        <w:t xml:space="preserve">Waste incineration</w:t>
      </w:r>
      <w:r>
        <w:br/>
      </w:r>
      <w:r>
        <w:t xml:space="preserve">Mixed waste sorting (MWS) to reduce emissions before incineration: Sorting allows to</w:t>
      </w:r>
      <w:r>
        <w:t xml:space="preserve"> </w:t>
      </w:r>
      <w:r>
        <w:t xml:space="preserve">reduce CO2 emissions and improve overall energy efficiency of waste incineration by</w:t>
      </w:r>
      <w:r>
        <w:t xml:space="preserve"> </w:t>
      </w:r>
      <w:r>
        <w:t xml:space="preserve">extracting high-carbon-content and recyclable materials, preventing their incineration88. It can</w:t>
      </w:r>
      <w:r>
        <w:t xml:space="preserve"> </w:t>
      </w:r>
      <w:r>
        <w:t xml:space="preserve">be implemented either downstream or at installation-level. A report by Eunomia Research and</w:t>
      </w:r>
      <w:r>
        <w:t xml:space="preserve"> </w:t>
      </w:r>
      <w:r>
        <w:t xml:space="preserve">Consulting (ERC) estimated that MWS could save between 10.2 and 23.3 MtCO2e annually</w:t>
      </w:r>
      <w:r>
        <w:t xml:space="preserve"> </w:t>
      </w:r>
      <w:r>
        <w:t xml:space="preserve">across the waste management sector in the EU89, which would represent savings of 5-10% of</w:t>
      </w:r>
      <w:r>
        <w:t xml:space="preserve"> </w:t>
      </w:r>
      <w:r>
        <w:t xml:space="preserve">total EU waste management emissions (including waste-to-energy, landfilling and other</w:t>
      </w:r>
      <w:r>
        <w:t xml:space="preserve"> </w:t>
      </w:r>
      <w:r>
        <w:t xml:space="preserve">activities), while another recent study found a 20% emissions reduction potential specifically</w:t>
      </w:r>
      <w:r>
        <w:t xml:space="preserve"> </w:t>
      </w:r>
      <w:r>
        <w:t xml:space="preserve">for waste incineration in Sweden from the implementation of MWS90. Selected case studies are</w:t>
      </w:r>
      <w:r>
        <w:t xml:space="preserve"> </w:t>
      </w:r>
      <w:r>
        <w:t xml:space="preserve">presented in Appendix 2. In terms of cost-effectiveness, cost of mixed waste sorting for MWI</w:t>
      </w:r>
      <w:r>
        <w:t xml:space="preserve"> </w:t>
      </w:r>
      <w:r>
        <w:t xml:space="preserve">emissions reductions has been estimated at around 24 EUR/tonne of waste treated in the UK91,</w:t>
      </w:r>
      <w:r>
        <w:t xml:space="preserve"> </w:t>
      </w:r>
      <w:r>
        <w:t xml:space="preserve">with cost-effectiveness increasing as the carbon content of waste increases, while costs</w:t>
      </w:r>
      <w:r>
        <w:t xml:space="preserve"> </w:t>
      </w:r>
      <w:r>
        <w:t xml:space="preserve">associated with implementing Material Recovery and Biological Treatment (MRBT) systems,</w:t>
      </w:r>
      <w:r>
        <w:t xml:space="preserve"> </w:t>
      </w:r>
      <w:r>
        <w:t xml:space="preserve">which combines mechanical sorting and biological processes to manage leftover mixed waste,</w:t>
      </w:r>
      <w:r>
        <w:t xml:space="preserve"> </w:t>
      </w:r>
      <w:r>
        <w:t xml:space="preserve">have been estimated to range from 2 to 13 EUR/tonne of waste treated92 in high-capacity</w:t>
      </w:r>
      <w:r>
        <w:t xml:space="preserve"> </w:t>
      </w:r>
      <w:r>
        <w:t xml:space="preserve">(200kt) facilities, depending on regional factors such as labour and energy costs. In addition,</w:t>
      </w:r>
      <w:r>
        <w:t xml:space="preserve"> </w:t>
      </w:r>
      <w:r>
        <w:t xml:space="preserve">MWS applied at installation level can also generate economic benefits for operators as the gate</w:t>
      </w:r>
    </w:p>
    <w:p>
      <w:pPr>
        <w:pStyle w:val="BodyText"/>
      </w:pPr>
      <w:r>
        <w:t xml:space="preserve">88 Mechanical-biological treatment (MBT) and advanced sorting technologies, such as mechanical separation,</w:t>
      </w:r>
      <w:r>
        <w:t xml:space="preserve"> </w:t>
      </w:r>
      <w:r>
        <w:t xml:space="preserve">near-infrared (NIR) sensors, and AI-powered classification, can identify plastics for recycling or chemical</w:t>
      </w:r>
      <w:r>
        <w:t xml:space="preserve"> </w:t>
      </w:r>
      <w:r>
        <w:t xml:space="preserve">recovery, reducing fossil CO2 emissions. and advanced sorting systems can extract. Additionally, pre-drying</w:t>
      </w:r>
      <w:r>
        <w:t xml:space="preserve"> </w:t>
      </w:r>
      <w:r>
        <w:t xml:space="preserve">and shredding waste enhances combustion efficiency by removing excess moisture, decreasing the need for</w:t>
      </w:r>
      <w:r>
        <w:t xml:space="preserve"> </w:t>
      </w:r>
      <w:r>
        <w:t xml:space="preserve">auxiliary fuel, and further cutting emissions.</w:t>
      </w:r>
      <w:r>
        <w:br/>
      </w:r>
      <w:r>
        <w:t xml:space="preserve">89 Eunomia (2023). Mixed Waste Sorting to meet the EU’s Circular Economy Objectives. Available at:</w:t>
      </w:r>
      <w:r>
        <w:t xml:space="preserve"> </w:t>
      </w:r>
      <w:r>
        <w:t xml:space="preserve">https://eunomia.eco/reports/mixed-waste-sorting-to-meet-the-eus-circular-economy-objectives/</w:t>
      </w:r>
      <w:r>
        <w:br/>
      </w:r>
      <w:r>
        <w:t xml:space="preserve">90 IVL Swedish Environoment Research Institute (2025). Comparing high-quality recycling and downcycling</w:t>
      </w:r>
      <w:r>
        <w:t xml:space="preserve"> </w:t>
      </w:r>
      <w:r>
        <w:t xml:space="preserve">of plastics. Available at: https://ivl.diva-portal.org/smash/get/diva2:1936329/FULLTEXT01.pdf</w:t>
      </w:r>
      <w:r>
        <w:t xml:space="preserve"> </w:t>
      </w:r>
      <w:r>
        <w:t xml:space="preserve">91 SUEZ (2025). Strategic approaches to minimising ETS costs for waste producers. Available at:</w:t>
      </w:r>
      <w:r>
        <w:t xml:space="preserve"> </w:t>
      </w:r>
      <w:r>
        <w:t xml:space="preserve">https://www.suez.co.uk/en-gb/news/list-of-publications. Exchange rate used: 1 GBP = 1.15 EUR.</w:t>
      </w:r>
      <w:r>
        <w:t xml:space="preserve"> </w:t>
      </w:r>
      <w:r>
        <w:t xml:space="preserve">92 ZeroWasteEurope (2023). Nothing left behind: modelling Material Recovery and Biological Treatment’s</w:t>
      </w:r>
      <w:r>
        <w:t xml:space="preserve"> </w:t>
      </w:r>
      <w:r>
        <w:t xml:space="preserve">contribution to resource recovery and fighting climate change. Available at: https://zerowasteeurope.eu/wp-</w:t>
      </w:r>
      <w:r>
        <w:t xml:space="preserve"> </w:t>
      </w:r>
      <w:r>
        <w:t xml:space="preserve">content/uploads/2023/04/ZWE_Apr23_Study_MRBT_costs_study.pdf.pdf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fee is received for the initial volume of residual waste, while recyclable fractions subsequently</w:t>
      </w:r>
      <w:r>
        <w:t xml:space="preserve"> </w:t>
      </w:r>
      <w:r>
        <w:t xml:space="preserve">sorted out can be sold to the recycling industry. While these studies have different geographical</w:t>
      </w:r>
      <w:r>
        <w:t xml:space="preserve"> </w:t>
      </w:r>
      <w:r>
        <w:t xml:space="preserve">and sectoral scopes, the results and the case studies in Appendix 2 indicate MWS is a cost-</w:t>
      </w:r>
      <w:r>
        <w:t xml:space="preserve"> </w:t>
      </w:r>
      <w:r>
        <w:t xml:space="preserve">effective abatement option for municipal waste incineration.</w:t>
      </w:r>
      <w:r>
        <w:br/>
      </w:r>
      <w:r>
        <w:t xml:space="preserve">Fuel switch and alternative feedstocks during incineration: Compared to other sectors, a</w:t>
      </w:r>
      <w:r>
        <w:t xml:space="preserve"> </w:t>
      </w:r>
      <w:r>
        <w:t xml:space="preserve">fuel switch is not a general decarbonisation pathway for the municipal waste incineration</w:t>
      </w:r>
      <w:r>
        <w:t xml:space="preserve"> </w:t>
      </w:r>
      <w:r>
        <w:t xml:space="preserve">sector. A secondary pathway to reduce incineration emissions involves replacing auxiliary</w:t>
      </w:r>
      <w:r>
        <w:t xml:space="preserve"> </w:t>
      </w:r>
      <w:r>
        <w:t xml:space="preserve">fossil fuel by biofuels or other renewable alternatives93. However, these emissions generally</w:t>
      </w:r>
      <w:r>
        <w:t xml:space="preserve"> </w:t>
      </w:r>
      <w:r>
        <w:t xml:space="preserve">represent only a low ratio of total emissions from a waste incinerator. Fuel switching in</w:t>
      </w:r>
      <w:r>
        <w:t xml:space="preserve"> </w:t>
      </w:r>
      <w:r>
        <w:t xml:space="preserve">hazardous waste incinerators could be more relevant, as auxiliary burners need to be lighted</w:t>
      </w:r>
      <w:r>
        <w:t xml:space="preserve"> </w:t>
      </w:r>
      <w:r>
        <w:t xml:space="preserve">with a higher frequency to maintain the 1,100C temperature requirement in the secondary</w:t>
      </w:r>
      <w:r>
        <w:t xml:space="preserve"> </w:t>
      </w:r>
      <w:r>
        <w:t xml:space="preserve">chamber. No detailed information was available on the costs associated with fuel switching</w:t>
      </w:r>
      <w:r>
        <w:t xml:space="preserve"> </w:t>
      </w:r>
      <w:r>
        <w:t xml:space="preserve">and alternative feedstocks.</w:t>
      </w:r>
      <w:r>
        <w:br/>
      </w:r>
      <w:r>
        <w:t xml:space="preserve">Process optimisation during incineration: Process optimisation enables plants to deliver a</w:t>
      </w:r>
      <w:r>
        <w:t xml:space="preserve"> </w:t>
      </w:r>
      <w:r>
        <w:t xml:space="preserve">higher amount of energy, as power, heat or both, when burning the same amount of municipal</w:t>
      </w:r>
      <w:r>
        <w:t xml:space="preserve"> </w:t>
      </w:r>
      <w:r>
        <w:t xml:space="preserve">solid waste. Examples include improved combustion efficiency by optimising oxygen supply</w:t>
      </w:r>
      <w:r>
        <w:t xml:space="preserve"> </w:t>
      </w:r>
      <w:r>
        <w:t xml:space="preserve">and temperature, advanced monitoring and control systems to optimise combustion efficiency</w:t>
      </w:r>
      <w:r>
        <w:t xml:space="preserve"> </w:t>
      </w:r>
      <w:r>
        <w:t xml:space="preserve">and minimise excess air, and upgrading boilers, heat recovery systems and turbines to</w:t>
      </w:r>
      <w:r>
        <w:t xml:space="preserve"> </w:t>
      </w:r>
      <w:r>
        <w:t xml:space="preserve">maximise energy output per unit of waste. These result in a lower carbon intensity per kWh of</w:t>
      </w:r>
      <w:r>
        <w:t xml:space="preserve"> </w:t>
      </w:r>
      <w:r>
        <w:t xml:space="preserve">energy produced or delivered, reducing the carbon cost.</w:t>
      </w:r>
      <w:r>
        <w:br/>
      </w:r>
      <w:r>
        <w:t xml:space="preserve">Carbon capture, utilisation and storage (CCU/S) to sequester emissions after</w:t>
      </w:r>
      <w:r>
        <w:t xml:space="preserve"> </w:t>
      </w:r>
      <w:r>
        <w:t xml:space="preserve">incineration: Carbon capture provides a twofold contribution to GHG reductions in the</w:t>
      </w:r>
      <w:r>
        <w:t xml:space="preserve"> </w:t>
      </w:r>
      <w:r>
        <w:t xml:space="preserve">incineration sector by preventing the release of carbon of fossil origin and by removing carbon</w:t>
      </w:r>
      <w:r>
        <w:t xml:space="preserve"> </w:t>
      </w:r>
      <w:r>
        <w:t xml:space="preserve">of biogenic origin, generating negative emissions. CCU/S can capture up to 90% of residual</w:t>
      </w:r>
      <w:r>
        <w:t xml:space="preserve"> </w:t>
      </w:r>
      <w:r>
        <w:t xml:space="preserve">CO2 before emission at stack94, and either permanently fixate or store it (CCS) or use it in</w:t>
      </w:r>
      <w:r>
        <w:t xml:space="preserve"> </w:t>
      </w:r>
      <w:r>
        <w:t xml:space="preserve">downstream industrial applications (CCU). Experience from Member States who have already</w:t>
      </w:r>
      <w:r>
        <w:t xml:space="preserve"> </w:t>
      </w:r>
      <w:r>
        <w:t xml:space="preserve">applied a carbon price on waste incineration indicates growing interest in carbon capture at</w:t>
      </w:r>
      <w:r>
        <w:t xml:space="preserve"> </w:t>
      </w:r>
      <w:r>
        <w:t xml:space="preserve">incineration facilities (see Appendix 2 for selected case studies). The business case for cost-</w:t>
      </w:r>
      <w:r>
        <w:t xml:space="preserve"> </w:t>
      </w:r>
      <w:r>
        <w:t xml:space="preserve">effective carbon capture implementation in MWI is driven by the investment and operational</w:t>
      </w:r>
      <w:r>
        <w:t xml:space="preserve"> </w:t>
      </w:r>
      <w:r>
        <w:t xml:space="preserve">cost of carbon capture technologies, the carbon price, and additional factors:</w:t>
      </w:r>
      <w:r>
        <w:t xml:space="preserve"> </w:t>
      </w:r>
      <w:r>
        <w:t xml:space="preserve">• the cost of carbon capture in waste-to-energy installations has variously been</w:t>
      </w:r>
      <w:r>
        <w:t xml:space="preserve"> </w:t>
      </w:r>
      <w:r>
        <w:t xml:space="preserve">estimated to range from EUR 40-75/tonne of CO295 (CAPEX) to EUR 76-</w:t>
      </w:r>
      <w:r>
        <w:t xml:space="preserve"> </w:t>
      </w:r>
      <w:r>
        <w:t xml:space="preserve">127/tonne of CO296 (total CAPEX and OPEX), which is lower than for most other</w:t>
      </w:r>
      <w:r>
        <w:t xml:space="preserve"> </w:t>
      </w:r>
      <w:r>
        <w:t xml:space="preserve">hard-to-abate industrial sectors97, to EUR172/tonne of CO298 (total CAPEX and</w:t>
      </w:r>
    </w:p>
    <w:p>
      <w:pPr>
        <w:pStyle w:val="BodyText"/>
      </w:pPr>
      <w:r>
        <w:t xml:space="preserve">93 These could be for example hydrogen, hydrogenated vegetable oil (HVO) or biomass co-firing.</w:t>
      </w:r>
      <w:r>
        <w:t xml:space="preserve"> </w:t>
      </w:r>
      <w:r>
        <w:t xml:space="preserve">94 There are several carbon capture methods suitable for incineration plants. Post-combustion capture is the</w:t>
      </w:r>
      <w:r>
        <w:t xml:space="preserve"> </w:t>
      </w:r>
      <w:r>
        <w:t xml:space="preserve">most practical for existing facilities, using chemical solvents, adsorbents, or membranes to extract CO2 from</w:t>
      </w:r>
      <w:r>
        <w:t xml:space="preserve"> </w:t>
      </w:r>
      <w:r>
        <w:t xml:space="preserve">exhaust gases. Oxy-fuel combustion involves burning waste in an oxygen-rich environment instead of air,</w:t>
      </w:r>
      <w:r>
        <w:t xml:space="preserve"> </w:t>
      </w:r>
      <w:r>
        <w:t xml:space="preserve">producing a high-purity CO2 stream that is easier to capture. While pre-combustion capture is less common</w:t>
      </w:r>
      <w:r>
        <w:t xml:space="preserve"> </w:t>
      </w:r>
      <w:r>
        <w:t xml:space="preserve">in incineration, it can be applied in waste gasification processes.</w:t>
      </w:r>
      <w:r>
        <w:br/>
      </w:r>
      <w:r>
        <w:t xml:space="preserve">95 JRC (2024). Carbon capture, utilisation and storage in the European Union.</w:t>
      </w:r>
      <w:r>
        <w:t xml:space="preserve"> </w:t>
      </w:r>
      <w:r>
        <w:t xml:space="preserve">96 Eunomia Research &amp; Consulting for Viridor (2021). CCUS Development Pathway for the EfW Sector.</w:t>
      </w:r>
      <w:r>
        <w:t xml:space="preserve"> </w:t>
      </w:r>
      <w:r>
        <w:t xml:space="preserve">Exchange rate applied: 1 GBP = 1.15 EUR. The lower costs in this range relate to WtE facilities that are in</w:t>
      </w:r>
      <w:r>
        <w:t xml:space="preserve"> </w:t>
      </w:r>
      <w:r>
        <w:t xml:space="preserve">closer proximity to CCUS clusters as they can benefit from shared infrastructure.</w:t>
      </w:r>
      <w:r>
        <w:t xml:space="preserve"> </w:t>
      </w:r>
      <w:r>
        <w:t xml:space="preserve">97 Capture costs are primarily determined by the characteristics of the CO2-rich stream. The high concentration</w:t>
      </w:r>
      <w:r>
        <w:t xml:space="preserve"> </w:t>
      </w:r>
      <w:r>
        <w:t xml:space="preserve">of CO₂ in flue gases enhances the efficiency and cost-effectiveness of capture compared to other industrial</w:t>
      </w:r>
      <w:r>
        <w:t xml:space="preserve"> </w:t>
      </w:r>
      <w:r>
        <w:t xml:space="preserve">sources.</w:t>
      </w:r>
      <w:r>
        <w:t xml:space="preserve"> </w:t>
      </w:r>
      <w:r>
        <w:t xml:space="preserve">98 Oxford Institute for Energy Studies (2024). Carbon capture from energy-from-waste (EfW): A low-hanging</w:t>
      </w:r>
      <w:r>
        <w:t xml:space="preserve"> </w:t>
      </w:r>
      <w:r>
        <w:t xml:space="preserve">fruit for CCS deployment in the UK? Exchange rate applied: 1 GBP = 1.15 EUR.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OPEX), which is comparable to other industrial sectors. These costs expected to</w:t>
      </w:r>
      <w:r>
        <w:t xml:space="preserve"> </w:t>
      </w:r>
      <w:r>
        <w:t xml:space="preserve">come further down as technologies mature and become more widely adopted99,100,101</w:t>
      </w:r>
      <w:r>
        <w:t xml:space="preserve"> </w:t>
      </w:r>
      <w:r>
        <w:t xml:space="preserve">and exclude the potential to generate biogenic carbon removals and negative</w:t>
      </w:r>
      <w:r>
        <w:t xml:space="preserve"> </w:t>
      </w:r>
      <w:r>
        <w:t xml:space="preserve">emissions, which is significant in the sector compared to other industrial sectors.</w:t>
      </w:r>
      <w:r>
        <w:t xml:space="preserve"> </w:t>
      </w:r>
      <w:r>
        <w:t xml:space="preserve">Taken into account the potential to also generate and integrate carbon removals, a</w:t>
      </w:r>
      <w:r>
        <w:t xml:space="preserve"> </w:t>
      </w:r>
      <w:r>
        <w:t xml:space="preserve">positive business case for carbon capture is expected by the mid-2030s.</w:t>
      </w:r>
      <w:r>
        <w:t xml:space="preserve"> </w:t>
      </w:r>
      <w:r>
        <w:t xml:space="preserve">• the integration of carbon removals under the EU ETS, allowing to generate revenue</w:t>
      </w:r>
      <w:r>
        <w:t xml:space="preserve"> </w:t>
      </w:r>
      <w:r>
        <w:t xml:space="preserve">from removals from the biogenic fraction of MWI emissions, supporting the</w:t>
      </w:r>
      <w:r>
        <w:t xml:space="preserve"> </w:t>
      </w:r>
      <w:r>
        <w:t xml:space="preserve">business case for carbon capture implementation.</w:t>
      </w:r>
      <w:r>
        <w:t xml:space="preserve"> </w:t>
      </w:r>
      <w:r>
        <w:t xml:space="preserve">• implementation of waste heat recovery to offset the loss in heat output from the</w:t>
      </w:r>
      <w:r>
        <w:t xml:space="preserve"> </w:t>
      </w:r>
      <w:r>
        <w:t xml:space="preserve">operation of carbon capture technology, minimising the reduction in heat available</w:t>
      </w:r>
      <w:r>
        <w:t xml:space="preserve"> </w:t>
      </w:r>
      <w:r>
        <w:t xml:space="preserve">for supply to district heating networks (where applicable)102. In addition, innovation</w:t>
      </w:r>
      <w:r>
        <w:t xml:space="preserve"> </w:t>
      </w:r>
      <w:r>
        <w:t xml:space="preserve">in advanced solvent systems can contribute to reduce energy requirements of</w:t>
      </w:r>
      <w:r>
        <w:t xml:space="preserve"> </w:t>
      </w:r>
      <w:r>
        <w:t xml:space="preserve">solvent regeneration in the future.</w:t>
      </w:r>
      <w:r>
        <w:br/>
      </w:r>
      <w:r>
        <w:t xml:space="preserve">• a predictable timescale and financial support to plan and invest in carbon</w:t>
      </w:r>
      <w:r>
        <w:t xml:space="preserve"> </w:t>
      </w:r>
      <w:r>
        <w:t xml:space="preserve">capture technology, with other abatement options offering pathways to reduce the</w:t>
      </w:r>
      <w:r>
        <w:t xml:space="preserve"> </w:t>
      </w:r>
      <w:r>
        <w:t xml:space="preserve">carbon cost in the shorter-term until the implementation of carbon capture over</w:t>
      </w:r>
      <w:r>
        <w:t xml:space="preserve"> </w:t>
      </w:r>
      <w:r>
        <w:t xml:space="preserve">time. Financial support and a transition period could complement the economic</w:t>
      </w:r>
      <w:r>
        <w:t xml:space="preserve"> </w:t>
      </w:r>
      <w:r>
        <w:t xml:space="preserve">incentive of the carbon price. Financial support is currently already available under</w:t>
      </w:r>
      <w:r>
        <w:t xml:space="preserve"> </w:t>
      </w:r>
      <w:r>
        <w:t xml:space="preserve">the Innovation Fund and the Modernisation Fund.</w:t>
      </w:r>
      <w:r>
        <w:t xml:space="preserve"> </w:t>
      </w:r>
      <w:r>
        <w:t xml:space="preserve">• waste incineration infrastructure is generally modern and technically advanced,</w:t>
      </w:r>
      <w:r>
        <w:t xml:space="preserve"> </w:t>
      </w:r>
      <w:r>
        <w:t xml:space="preserve">with long operational lifespans, making it well-suited for CCUS retrofitting. In the</w:t>
      </w:r>
      <w:r>
        <w:t xml:space="preserve"> </w:t>
      </w:r>
      <w:r>
        <w:t xml:space="preserve">UK – with a similar market structure as the EU27 – 60-65% of 57 installations,</w:t>
      </w:r>
      <w:r>
        <w:t xml:space="preserve"> </w:t>
      </w:r>
      <w:r>
        <w:t xml:space="preserve">covering 74-78% of total emissions from the sector, have been found to be CCUS</w:t>
      </w:r>
      <w:r>
        <w:t xml:space="preserve"> </w:t>
      </w:r>
      <w:r>
        <w:t xml:space="preserve">compatible103. Further development of smaller modular units and the</w:t>
      </w:r>
      <w:r>
        <w:t xml:space="preserve"> </w:t>
      </w:r>
      <w:r>
        <w:t xml:space="preserve">implementation of CCS-readiness mandates104 requiring new MWI installations</w:t>
      </w:r>
      <w:r>
        <w:t xml:space="preserve"> </w:t>
      </w:r>
      <w:r>
        <w:t xml:space="preserve">to be designed for compatibility with carbon capture technology, addressing</w:t>
      </w:r>
    </w:p>
    <w:p>
      <w:pPr>
        <w:pStyle w:val="BodyText"/>
      </w:pPr>
      <w:r>
        <w:t xml:space="preserve">99 Global</w:t>
      </w:r>
      <w:r>
        <w:t xml:space="preserve"> </w:t>
      </w:r>
      <w:r>
        <w:t xml:space="preserve">CCS</w:t>
      </w:r>
      <w:r>
        <w:t xml:space="preserve"> </w:t>
      </w:r>
      <w:r>
        <w:t xml:space="preserve">Institute</w:t>
      </w:r>
      <w:r>
        <w:t xml:space="preserve"> </w:t>
      </w:r>
      <w:r>
        <w:t xml:space="preserve">(2021).</w:t>
      </w:r>
      <w:r>
        <w:t xml:space="preserve"> </w:t>
      </w:r>
      <w:r>
        <w:t xml:space="preserve">Technology</w:t>
      </w:r>
      <w:r>
        <w:t xml:space="preserve"> </w:t>
      </w:r>
      <w:r>
        <w:t xml:space="preserve">Readiness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CCS.</w:t>
      </w:r>
      <w:r>
        <w:t xml:space="preserve"> </w:t>
      </w:r>
      <w:r>
        <w:t xml:space="preserve">Available</w:t>
      </w:r>
      <w:r>
        <w:t xml:space="preserve"> </w:t>
      </w:r>
      <w:r>
        <w:t xml:space="preserve">at :</w:t>
      </w:r>
      <w:r>
        <w:t xml:space="preserve"> </w:t>
      </w:r>
      <w:r>
        <w:t xml:space="preserve">https://scienceforsustainability.org/w/images/b/bc/Technology-Readiness-and-Costs-for-CCS-2021-1.pdf</w:t>
      </w:r>
      <w:r>
        <w:br/>
      </w:r>
      <w:r>
        <w:t xml:space="preserve">100 Carbon Clean (2021). https://www.carbonclean.com/en/press-releases/breakthrough-industrial-carbon-</w:t>
      </w:r>
      <w:r>
        <w:t xml:space="preserve"> </w:t>
      </w:r>
      <w:r>
        <w:t xml:space="preserve">capture-</w:t>
      </w:r>
      <w:r>
        <w:t xml:space="preserve"> </w:t>
      </w:r>
      <w:r>
        <w:t xml:space="preserve">solution#:~:text=CycloneCC%20has%20a%20footprint%20that,and%20storage%20(CCUS)%20undeniabl</w:t>
      </w:r>
      <w:r>
        <w:t xml:space="preserve"> </w:t>
      </w:r>
      <w:r>
        <w:t xml:space="preserve">e</w:t>
      </w:r>
      <w:r>
        <w:t xml:space="preserve"> </w:t>
      </w:r>
      <w:r>
        <w:t xml:space="preserve">101 JRC (2024). Carbon capture, utilisation and storage in the European Union.</w:t>
      </w:r>
      <w:r>
        <w:t xml:space="preserve"> </w:t>
      </w:r>
      <w:r>
        <w:t xml:space="preserve">102 The operation of carbon capture technology is energy intensive. An estimate of the energy demand required,</w:t>
      </w:r>
      <w:r>
        <w:t xml:space="preserve"> </w:t>
      </w:r>
      <w:r>
        <w:t xml:space="preserve">depending on the size and configuration of the installation, is around 3.6-3.9 GJ/tCO2 or 1MWh/tCO2</w:t>
      </w:r>
      <w:r>
        <w:t xml:space="preserve"> </w:t>
      </w:r>
      <w:r>
        <w:t xml:space="preserve">(thermal input, usually from medium pressure steam to run the stripper) and in the range of 100-</w:t>
      </w:r>
      <w:r>
        <w:t xml:space="preserve"> </w:t>
      </w:r>
      <w:r>
        <w:t xml:space="preserve">250kWe/tCO2 (electrical or power input, to run all equipment such as pumps, fans, etc). This can reduce the</w:t>
      </w:r>
      <w:r>
        <w:t xml:space="preserve"> </w:t>
      </w:r>
      <w:r>
        <w:t xml:space="preserve">heat and/or power output available for supply by a waste-to-energy installation to a district heating or energy</w:t>
      </w:r>
      <w:r>
        <w:t xml:space="preserve"> </w:t>
      </w:r>
      <w:r>
        <w:t xml:space="preserve">network. The loss in heat output can be fully recovered by means of carbon capture technology selection and</w:t>
      </w:r>
      <w:r>
        <w:t xml:space="preserve"> </w:t>
      </w:r>
      <w:r>
        <w:t xml:space="preserve">waste heat recovery through heat integration and installation of heat pumps. Conversely, full recovery of heat</w:t>
      </w:r>
      <w:r>
        <w:t xml:space="preserve"> </w:t>
      </w:r>
      <w:r>
        <w:t xml:space="preserve">output results in a significant (up to 50%) reduction in power output, as alternative capture technologies and</w:t>
      </w:r>
      <w:r>
        <w:t xml:space="preserve"> </w:t>
      </w:r>
      <w:r>
        <w:t xml:space="preserve">heat pumps consume power.</w:t>
      </w:r>
      <w:r>
        <w:br/>
      </w:r>
      <w:r>
        <w:t xml:space="preserve">103 Oxford Institute for Energy Studies (2024). Carbon capture from energy-from-waste (EfW): A low-hanging</w:t>
      </w:r>
      <w:r>
        <w:t xml:space="preserve"> </w:t>
      </w:r>
      <w:r>
        <w:t xml:space="preserve">fruit for CCS deployment in the UK?</w:t>
      </w:r>
      <w:r>
        <w:t xml:space="preserve"> </w:t>
      </w:r>
      <w:r>
        <w:t xml:space="preserve">104 For example, the UK has implemented the CCS Readiness Requirement that mandates that all new</w:t>
      </w:r>
      <w:r>
        <w:t xml:space="preserve"> </w:t>
      </w:r>
      <w:r>
        <w:t xml:space="preserve">combustion power stations with a capacity of 300 MW or more must be designed to allow future retrofitting</w:t>
      </w:r>
      <w:r>
        <w:t xml:space="preserve"> </w:t>
      </w:r>
      <w:r>
        <w:t xml:space="preserve">of CCS technology, to make new infrastructure compatible with future decarbonisation technologies.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practical constraints in retrofitting smaller existing plants due to footprint</w:t>
      </w:r>
      <w:r>
        <w:t xml:space="preserve"> </w:t>
      </w:r>
      <w:r>
        <w:t xml:space="preserve">restrictions105.</w:t>
      </w:r>
      <w:r>
        <w:t xml:space="preserve"> </w:t>
      </w:r>
      <w:r>
        <w:t xml:space="preserve">• further development of a harmonised EU regulatory framework for industrial</w:t>
      </w:r>
      <w:r>
        <w:t xml:space="preserve"> </w:t>
      </w:r>
      <w:r>
        <w:t xml:space="preserve">carbon management, including CO2 transport, access to storage locations (CCS),</w:t>
      </w:r>
      <w:r>
        <w:t xml:space="preserve"> </w:t>
      </w:r>
      <w:r>
        <w:t xml:space="preserve">demand for recycled carbon (CCU), and the creation of a single European market</w:t>
      </w:r>
      <w:r>
        <w:t xml:space="preserve"> </w:t>
      </w:r>
      <w:r>
        <w:t xml:space="preserve">for CO2.</w:t>
      </w:r>
      <w:r>
        <w:t xml:space="preserve"> </w:t>
      </w:r>
      <w:r>
        <w:t xml:space="preserve">Landfills</w:t>
      </w:r>
      <w:r>
        <w:br/>
      </w:r>
      <w:r>
        <w:t xml:space="preserve">Landfills covered by the Industrial Emissions Directive must apply Best Available Techniques</w:t>
      </w:r>
      <w:r>
        <w:t xml:space="preserve"> </w:t>
      </w:r>
      <w:r>
        <w:t xml:space="preserve">(BAT). In addition, a BAT Reference Document (BREF) and BAT conclusions for landfills</w:t>
      </w:r>
      <w:r>
        <w:t xml:space="preserve"> </w:t>
      </w:r>
      <w:r>
        <w:t xml:space="preserve">are currently under development. Emissions abatement pathways include:</w:t>
      </w:r>
      <w:r>
        <w:t xml:space="preserve"> </w:t>
      </w:r>
      <w:r>
        <w:t xml:space="preserve">Biofilters and biocovers to reduce emissions: Biofilters and biocovers106 are passive</w:t>
      </w:r>
      <w:r>
        <w:t xml:space="preserve"> </w:t>
      </w:r>
      <w:r>
        <w:t xml:space="preserve">techniques that can be used to mitigate landfill gas (LFG) emissions. Biofilters and biocovers</w:t>
      </w:r>
      <w:r>
        <w:t xml:space="preserve"> </w:t>
      </w:r>
      <w:r>
        <w:t xml:space="preserve">can function independently of active gas collection systems and can be used for areas of</w:t>
      </w:r>
      <w:r>
        <w:t xml:space="preserve"> </w:t>
      </w:r>
      <w:r>
        <w:t xml:space="preserve">landfills no longer connected to such systems. Biocovers utilising substantial amounts of aged</w:t>
      </w:r>
      <w:r>
        <w:t xml:space="preserve"> </w:t>
      </w:r>
      <w:r>
        <w:t xml:space="preserve">compost have demonstrated methane oxidation rates between 30% and 40%, while methane</w:t>
      </w:r>
      <w:r>
        <w:t xml:space="preserve"> </w:t>
      </w:r>
      <w:r>
        <w:t xml:space="preserve">oxidation rates in biofilters can reach up to 19%107. For example, the Fakse landfill biocover</w:t>
      </w:r>
      <w:r>
        <w:t xml:space="preserve"> </w:t>
      </w:r>
      <w:r>
        <w:t xml:space="preserve">project in Denmark covered over 5,000 m2 with biocovers, with field tests showing a 30%</w:t>
      </w:r>
      <w:r>
        <w:t xml:space="preserve"> </w:t>
      </w:r>
      <w:r>
        <w:t xml:space="preserve">reduction in methane emissions. The cost of biofilters and biocovers is overall limited and</w:t>
      </w:r>
      <w:r>
        <w:t xml:space="preserve"> </w:t>
      </w:r>
      <w:r>
        <w:t xml:space="preserve">depends on the local availability of materials. Costs include installation, as well as ongoing</w:t>
      </w:r>
      <w:r>
        <w:t xml:space="preserve"> </w:t>
      </w:r>
      <w:r>
        <w:t xml:space="preserve">maintenance, such as watering oxidizing materials in dry climates and monitoring their</w:t>
      </w:r>
      <w:r>
        <w:t xml:space="preserve"> </w:t>
      </w:r>
      <w:r>
        <w:t xml:space="preserve">effectiveness over time. The United States Environmental Protection Agency (EPA) estimates</w:t>
      </w:r>
      <w:r>
        <w:t xml:space="preserve"> </w:t>
      </w:r>
      <w:r>
        <w:t xml:space="preserve">that, on average, the capital cost for a biocover is approximately EUR 16.7 per hectare.</w:t>
      </w:r>
      <w:r>
        <w:t xml:space="preserve"> </w:t>
      </w:r>
      <w:r>
        <w:t xml:space="preserve">Quality landfill management: Effective landfill (cover) management plays a key role in</w:t>
      </w:r>
      <w:r>
        <w:t xml:space="preserve"> </w:t>
      </w:r>
      <w:r>
        <w:t xml:space="preserve">reducing methane emissions. Using impermeable covers helps prevent rainwater infiltration</w:t>
      </w:r>
      <w:r>
        <w:t xml:space="preserve"> </w:t>
      </w:r>
      <w:r>
        <w:t xml:space="preserve">while enhancing methane capture. Additionally, implementing a leachate collection and</w:t>
      </w:r>
      <w:r>
        <w:t xml:space="preserve"> </w:t>
      </w:r>
      <w:r>
        <w:t xml:space="preserve">management system reduces moisture levels and anaerobic conditions within the landfill,</w:t>
      </w:r>
      <w:r>
        <w:t xml:space="preserve"> </w:t>
      </w:r>
      <w:r>
        <w:t xml:space="preserve">thereby limiting CH4 production.108 Enhanced landfill management practices can improve</w:t>
      </w:r>
      <w:r>
        <w:t xml:space="preserve"> </w:t>
      </w:r>
      <w:r>
        <w:t xml:space="preserve">waste decomposition and maximise gas collection efficiency. Key strategies include</w:t>
      </w:r>
      <w:r>
        <w:t xml:space="preserve"> </w:t>
      </w:r>
      <w:r>
        <w:t xml:space="preserve">compacting waste to minimize empty spaces where methane can accumulate and using</w:t>
      </w:r>
      <w:r>
        <w:t xml:space="preserve"> </w:t>
      </w:r>
      <w:r>
        <w:t xml:space="preserve">alternative daily cover materials that support gas capture. Additionally, routine monitoring and</w:t>
      </w:r>
      <w:r>
        <w:t xml:space="preserve"> </w:t>
      </w:r>
      <w:r>
        <w:t xml:space="preserve">maintenance of gas collection systems are crucial to ensuring long-term effectiveness.109</w:t>
      </w:r>
      <w:r>
        <w:t xml:space="preserve"> </w:t>
      </w:r>
      <w:r>
        <w:t xml:space="preserve">Landfill gas (LFG) capture and utilisation: Capturing LFG involves collecting methane</w:t>
      </w:r>
      <w:r>
        <w:t xml:space="preserve"> </w:t>
      </w:r>
      <w:r>
        <w:t xml:space="preserve">produced during waste decomposition and repurposing it, for biogas production, electricity</w:t>
      </w:r>
    </w:p>
    <w:p>
      <w:pPr>
        <w:pStyle w:val="BodyText"/>
      </w:pPr>
      <w:r>
        <w:t xml:space="preserve">105 According to literature sources, the footprint for a carbon capture plant could range between 270-1,600</w:t>
      </w:r>
      <w:r>
        <w:t xml:space="preserve"> </w:t>
      </w:r>
      <w:r>
        <w:t xml:space="preserve">m2/tCO2. See for example: Realmonte, G., Drouet, L., Gambhir, A. et al. An inter-model assessment of the</w:t>
      </w:r>
      <w:r>
        <w:t xml:space="preserve"> </w:t>
      </w:r>
      <w:r>
        <w:t xml:space="preserve">role of direct air capture in deep mitigation pathways. Nat Commun 10, 3277 (2019).</w:t>
      </w:r>
      <w:r>
        <w:t xml:space="preserve"> </w:t>
      </w:r>
      <w:r>
        <w:t xml:space="preserve">https://doi.org/10.1038/s41467-019-10842-5</w:t>
      </w:r>
      <w:r>
        <w:br/>
      </w:r>
      <w:r>
        <w:t xml:space="preserve">106 A biofilter comprises a porous material layer topped with organic matter, such as compost, designed to oxidise</w:t>
      </w:r>
      <w:r>
        <w:t xml:space="preserve"> </w:t>
      </w:r>
      <w:r>
        <w:t xml:space="preserve">methane present in LFG. LFG is directed from gas vents through flexible tubing into the biofilter, where</w:t>
      </w:r>
      <w:r>
        <w:t xml:space="preserve"> </w:t>
      </w:r>
      <w:r>
        <w:t xml:space="preserve">methanotrophic bacteria convert methane into carbon dioxide which is a significantly less potent GHG.</w:t>
      </w:r>
      <w:r>
        <w:t xml:space="preserve"> </w:t>
      </w:r>
      <w:r>
        <w:t xml:space="preserve">Alternatively, a biocover involves placing a porous material layer directly on top the landfill, covered by an</w:t>
      </w:r>
      <w:r>
        <w:t xml:space="preserve"> </w:t>
      </w:r>
      <w:r>
        <w:t xml:space="preserve">oxidising layer of mature compost. As fugitive LFG permeates this cover, methane oxidation occurs.</w:t>
      </w:r>
      <w:r>
        <w:t xml:space="preserve"> </w:t>
      </w:r>
      <w:r>
        <w:t xml:space="preserve">107 EPA (2025). Apply Biofilters or Biocovers. Available at : https://www.epa.gov/lmop/apply-biofilters-or-</w:t>
      </w:r>
      <w:r>
        <w:t xml:space="preserve"> </w:t>
      </w:r>
      <w:r>
        <w:t xml:space="preserve">biocovers</w:t>
      </w:r>
      <w:r>
        <w:br/>
      </w:r>
      <w:r>
        <w:t xml:space="preserve">108 Kurniawan T. A. et al. (2024). ‘Landfill mining: A step forward to reducing CH4 emissions and enhancing</w:t>
      </w:r>
      <w:r>
        <w:t xml:space="preserve"> </w:t>
      </w:r>
      <w:r>
        <w:t xml:space="preserve">CO2 sequestration from landfill’. Journal of Hazardous Materials Advances. Available at:</w:t>
      </w:r>
      <w:r>
        <w:t xml:space="preserve"> </w:t>
      </w:r>
      <w:r>
        <w:t xml:space="preserve">https://doi.org/10.1016/j.hazadv.2024.100512</w:t>
      </w:r>
      <w:r>
        <w:br/>
      </w:r>
      <w:r>
        <w:t xml:space="preserve">109 See footnote 65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generation or heat generation in industrial processes. LFG capture not only mitigates the release</w:t>
      </w:r>
      <w:r>
        <w:t xml:space="preserve"> </w:t>
      </w:r>
      <w:r>
        <w:t xml:space="preserve">of methane into the atmosphere but can also provide sustainable energy alternatives, with</w:t>
      </w:r>
      <w:r>
        <w:t xml:space="preserve"> </w:t>
      </w:r>
      <w:r>
        <w:t xml:space="preserve">efficient energy recovery generating substantial savings110. Alternatively flaring systems can</w:t>
      </w:r>
      <w:r>
        <w:t xml:space="preserve"> </w:t>
      </w:r>
      <w:r>
        <w:t xml:space="preserve">burn excess methane if energy recovery is not feasible, converting CH4 to CO2 which has a</w:t>
      </w:r>
      <w:r>
        <w:t xml:space="preserve"> </w:t>
      </w:r>
      <w:r>
        <w:t xml:space="preserve">lower global warming potential. LFG capture efficiency varies, with well-managed, modern</w:t>
      </w:r>
      <w:r>
        <w:t xml:space="preserve"> </w:t>
      </w:r>
      <w:r>
        <w:t xml:space="preserve">sites achieving 70-90% efficiency111. The abatement potential of landfill gas capture and</w:t>
      </w:r>
      <w:r>
        <w:t xml:space="preserve"> </w:t>
      </w:r>
      <w:r>
        <w:t xml:space="preserve">utilisation was also explored during the stakeholder consultation, confirming these results. The</w:t>
      </w:r>
      <w:r>
        <w:t xml:space="preserve"> </w:t>
      </w:r>
      <w:r>
        <w:t xml:space="preserve">overall Levelized Cost of Electricity (LCOE) for electricity production from biogas in the EU</w:t>
      </w:r>
      <w:r>
        <w:t xml:space="preserve"> </w:t>
      </w:r>
      <w:r>
        <w:t xml:space="preserve">was analysed to be 80 EUR/MWh (2018)112 and between 40-60 EUR/MWh specifically for</w:t>
      </w:r>
      <w:r>
        <w:t xml:space="preserve"> </w:t>
      </w:r>
      <w:r>
        <w:t xml:space="preserve">LFG capture and utilisation projects (2020)113, making it a competitive renewable energy</w:t>
      </w:r>
      <w:r>
        <w:t xml:space="preserve"> </w:t>
      </w:r>
      <w:r>
        <w:t xml:space="preserve">source with an LCOE within the range of onshore wind and (substantially) below fossil power</w:t>
      </w:r>
      <w:r>
        <w:t xml:space="preserve"> </w:t>
      </w:r>
      <w:r>
        <w:t xml:space="preserve">sources. Selected case studies on LFG projects are presented in Appendix 2.</w:t>
      </w:r>
      <w:r>
        <w:t xml:space="preserve"> </w:t>
      </w:r>
      <w:r>
        <w:t xml:space="preserve">1.3.3. Complementary measures and revenue use</w:t>
      </w:r>
      <w:r>
        <w:t xml:space="preserve"> </w:t>
      </w:r>
      <w:r>
        <w:t xml:space="preserve">Complementary policies and measures and the targeted reinvestment of EU ETS revenues can</w:t>
      </w:r>
      <w:r>
        <w:t xml:space="preserve"> </w:t>
      </w:r>
      <w:r>
        <w:t xml:space="preserve">provide key complementary incentives for abatement, in particular by reducing the amount of</w:t>
      </w:r>
      <w:r>
        <w:t xml:space="preserve"> </w:t>
      </w:r>
      <w:r>
        <w:t xml:space="preserve">non-recyclable plastics at production level and by increasing recycling of fossil-based waste</w:t>
      </w:r>
      <w:r>
        <w:t xml:space="preserve"> </w:t>
      </w:r>
      <w:r>
        <w:t xml:space="preserve">streams, in particular plastics, through upstream improvements in product design, improving</w:t>
      </w:r>
      <w:r>
        <w:t xml:space="preserve"> </w:t>
      </w:r>
      <w:r>
        <w:t xml:space="preserve">producer responsibility for waste treatment, and expanding recycling capacity. The EU already</w:t>
      </w:r>
      <w:r>
        <w:t xml:space="preserve"> </w:t>
      </w:r>
      <w:r>
        <w:t xml:space="preserve">has several policy frameworks that promote such measures. A recent report by the Joint</w:t>
      </w:r>
      <w:r>
        <w:t xml:space="preserve"> </w:t>
      </w:r>
      <w:r>
        <w:t xml:space="preserve">Research Council114 found that an ambitious circular economy scenario based on strengthened</w:t>
      </w:r>
      <w:r>
        <w:t xml:space="preserve"> </w:t>
      </w:r>
      <w:r>
        <w:t xml:space="preserve">reduce, reuse and recover levers has a substantial potential for reducing GHG emissions across</w:t>
      </w:r>
      <w:r>
        <w:t xml:space="preserve"> </w:t>
      </w:r>
      <w:r>
        <w:t xml:space="preserve">selected energy-intensive sectors, with up to 75-84 Mt CO2-eq emissions reductions in plastics</w:t>
      </w:r>
      <w:r>
        <w:t xml:space="preserve"> </w:t>
      </w:r>
      <w:r>
        <w:t xml:space="preserve">by 2050 through the reduction of virgin plastics, strengthened eco-design, lifetime extension</w:t>
      </w:r>
      <w:r>
        <w:t xml:space="preserve"> </w:t>
      </w:r>
      <w:r>
        <w:t xml:space="preserve">measures and improved waste management to deviate plastic towards recovery and recycling.</w:t>
      </w:r>
      <w:r>
        <w:t xml:space="preserve"> </w:t>
      </w:r>
      <w:r>
        <w:t xml:space="preserve">Selected complementary measures that can support the carbon price incentive include:</w:t>
      </w:r>
      <w:r>
        <w:t xml:space="preserve"> </w:t>
      </w:r>
      <w:r>
        <w:t xml:space="preserve">Strengthened Extended Producer Responsibility (EPR): Extended Producer Responsibility</w:t>
      </w:r>
      <w:r>
        <w:t xml:space="preserve"> </w:t>
      </w:r>
      <w:r>
        <w:t xml:space="preserve">(EPR) schemes shift the accountability for the environmental impacts of products across their</w:t>
      </w:r>
      <w:r>
        <w:t xml:space="preserve"> </w:t>
      </w:r>
      <w:r>
        <w:t xml:space="preserve">entire lifecycle to producers, who contribute financially to waste collection, treatment, and</w:t>
      </w:r>
    </w:p>
    <w:p>
      <w:pPr>
        <w:pStyle w:val="BodyText"/>
      </w:pPr>
      <w:r>
        <w:t xml:space="preserve">110 Integrity Council for the Voluntary Carbon Market (2025). Landfill Gas Capturing. Available at:</w:t>
      </w:r>
      <w:r>
        <w:t xml:space="preserve"> </w:t>
      </w:r>
      <w:r>
        <w:t xml:space="preserve">https://icvcm.org/landfill-gas-capture/</w:t>
      </w:r>
      <w:r>
        <w:br/>
      </w:r>
      <w:r>
        <w:t xml:space="preserve">111 See for example Giordano, R. (2024). Landfill gas collection efficiency: Categorization of data from existing</w:t>
      </w:r>
      <w:r>
        <w:t xml:space="preserve"> </w:t>
      </w:r>
      <w:r>
        <w:t xml:space="preserve">in-situ</w:t>
      </w:r>
      <w:r>
        <w:t xml:space="preserve"> </w:t>
      </w:r>
      <w:r>
        <w:t xml:space="preserve">measurements.</w:t>
      </w:r>
      <w:r>
        <w:t xml:space="preserve"> </w:t>
      </w:r>
      <w:r>
        <w:t xml:space="preserve">Waste</w:t>
      </w:r>
      <w:r>
        <w:t xml:space="preserve"> </w:t>
      </w:r>
      <w:r>
        <w:t xml:space="preserve">management,</w:t>
      </w:r>
      <w:r>
        <w:t xml:space="preserve"> </w:t>
      </w:r>
      <w:r>
        <w:t xml:space="preserve">volume</w:t>
      </w:r>
      <w:r>
        <w:t xml:space="preserve"> </w:t>
      </w:r>
      <w:r>
        <w:t xml:space="preserve">175,</w:t>
      </w:r>
      <w:r>
        <w:t xml:space="preserve"> </w:t>
      </w:r>
      <w:r>
        <w:t xml:space="preserve">pages</w:t>
      </w:r>
      <w:r>
        <w:t xml:space="preserve"> </w:t>
      </w:r>
      <w:r>
        <w:t xml:space="preserve">83-91.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https://doi.org/10.1016/j.wasman.2023.12.042; and Oonk, H (2012). Efficiency of landfill gas collection for</w:t>
      </w:r>
      <w:r>
        <w:t xml:space="preserve"> </w:t>
      </w:r>
      <w:r>
        <w:t xml:space="preserve">methane emission reduction. Greenhouse gas measurement and management. Volume 2, 2012 - Issue 2-3.</w:t>
      </w:r>
      <w:r>
        <w:t xml:space="preserve"> </w:t>
      </w:r>
      <w:r>
        <w:t xml:space="preserve">Available at: https://doi.org/10.1080/20430779.2012.730798</w:t>
      </w:r>
      <w:r>
        <w:br/>
      </w:r>
      <w:r>
        <w:t xml:space="preserve">112 Motola V., et al. (2022). Clean Energy Technology Observatory: Bioenergy in the European Union – 2022</w:t>
      </w:r>
      <w:r>
        <w:t xml:space="preserve"> </w:t>
      </w:r>
      <w:r>
        <w:t xml:space="preserve">Status Report on Technology Development, Trends, Value Chains and Markets, Publications Office of the</w:t>
      </w:r>
      <w:r>
        <w:t xml:space="preserve"> </w:t>
      </w:r>
      <w:r>
        <w:t xml:space="preserve">European Union, Luxembourg, 2022, doi:10.2760/577104, JRC130730</w:t>
      </w:r>
      <w:r>
        <w:br/>
      </w:r>
      <w:r>
        <w:t xml:space="preserve">113 Unece KIT DFIU-TFTEI Technical Secretariat (2020). Background informal technical document on</w:t>
      </w:r>
      <w:r>
        <w:t xml:space="preserve"> </w:t>
      </w:r>
      <w:r>
        <w:t xml:space="preserve">techniques to reduce methane emissions in Europe from landfill gases, the natural gas supply system and</w:t>
      </w:r>
      <w:r>
        <w:t xml:space="preserve"> </w:t>
      </w:r>
      <w:r>
        <w:t xml:space="preserve">biogas</w:t>
      </w:r>
      <w:r>
        <w:t xml:space="preserve"> </w:t>
      </w:r>
      <w:r>
        <w:t xml:space="preserve">facilities.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https://unece.org/sites/default/files/2022-</w:t>
      </w:r>
      <w:r>
        <w:t xml:space="preserve"> </w:t>
      </w:r>
      <w:r>
        <w:t xml:space="preserve">07/TFTEI_methane_background_document-december_2020.pdf?utm_source=chatgpt.com</w:t>
      </w:r>
      <w:r>
        <w:br/>
      </w:r>
      <w:r>
        <w:t xml:space="preserve">114 WALKER, A., ALBIZZATI, P.F., MILIOS, L., PINERO MIRA, P., BESLER, M. et al., Capturing the</w:t>
      </w:r>
      <w:r>
        <w:t xml:space="preserve"> </w:t>
      </w:r>
      <w:r>
        <w:t xml:space="preserve">Potential of the Circular Economy Transition in Energy-Intensive Industries - Summary Report, Publications</w:t>
      </w:r>
      <w:r>
        <w:t xml:space="preserve"> </w:t>
      </w:r>
      <w:r>
        <w:t xml:space="preserve">Office of the European Union, Luxembourg, 2025, https://data.europa.eu/doi/10.2760/4604362, JRC142938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disposal, encouraging recyclability and reparability of products115. Extending and optimising</w:t>
      </w:r>
      <w:r>
        <w:t xml:space="preserve"> </w:t>
      </w:r>
      <w:r>
        <w:t xml:space="preserve">EPR schemes can improve the recyclability of products, decrease the amount of non-recyclable</w:t>
      </w:r>
      <w:r>
        <w:t xml:space="preserve"> </w:t>
      </w:r>
      <w:r>
        <w:t xml:space="preserve">plastics being sent to disposal, reduce the amount of carbon content in and emissions from</w:t>
      </w:r>
      <w:r>
        <w:t xml:space="preserve"> </w:t>
      </w:r>
      <w:r>
        <w:t xml:space="preserve">waste, ensure that producers share the cost of managing fossil carbon emissions and generate</w:t>
      </w:r>
      <w:r>
        <w:t xml:space="preserve"> </w:t>
      </w:r>
      <w:r>
        <w:t xml:space="preserve">revenue to support recycling capacity. Under the Packaging and Packaging Waste Directive,</w:t>
      </w:r>
      <w:r>
        <w:t xml:space="preserve"> </w:t>
      </w:r>
      <w:r>
        <w:t xml:space="preserve">EU Member States set an EPR scheme for plastics (p-EPR) by 31st December 2024. An</w:t>
      </w:r>
      <w:r>
        <w:t xml:space="preserve"> </w:t>
      </w:r>
      <w:r>
        <w:t xml:space="preserve">overview of Member States’ EPR schemes can be consulted on the sector organisation’s</w:t>
      </w:r>
      <w:r>
        <w:t xml:space="preserve"> </w:t>
      </w:r>
      <w:r>
        <w:t xml:space="preserve">website116. One example is Fost Plus in Belgium, an industry-funded non-profit EPR-scheme</w:t>
      </w:r>
      <w:r>
        <w:t xml:space="preserve"> </w:t>
      </w:r>
      <w:r>
        <w:t xml:space="preserve">to manage packaging waste collection and recycling, including a take-back obligation for</w:t>
      </w:r>
      <w:r>
        <w:t xml:space="preserve"> </w:t>
      </w:r>
      <w:r>
        <w:t xml:space="preserve">industry and eco-modulation with higher rates for difficult or non-recyclable packaging. The</w:t>
      </w:r>
      <w:r>
        <w:t xml:space="preserve"> </w:t>
      </w:r>
      <w:r>
        <w:t xml:space="preserve">system achieved a 71% plastic packaging recycling rate in 2024, above the EU target, while</w:t>
      </w:r>
      <w:r>
        <w:t xml:space="preserve"> </w:t>
      </w:r>
      <w:r>
        <w:t xml:space="preserve">having reduced the volume of non-recyclable packaging on the Belgian market by more than</w:t>
      </w:r>
      <w:r>
        <w:t xml:space="preserve"> </w:t>
      </w:r>
      <w:r>
        <w:t xml:space="preserve">half since 2019. From 2025, textile waste (which in most cases has a fossil component) must</w:t>
      </w:r>
      <w:r>
        <w:t xml:space="preserve"> </w:t>
      </w:r>
      <w:r>
        <w:t xml:space="preserve">also be separately collected and EPR schemes will be set up for textile and footwear products.</w:t>
      </w:r>
      <w:r>
        <w:t xml:space="preserve"> </w:t>
      </w:r>
      <w:r>
        <w:t xml:space="preserve">Some countries have further extended EPR schemes to other fractions (such as toys,</w:t>
      </w:r>
      <w:r>
        <w:t xml:space="preserve"> </w:t>
      </w:r>
      <w:r>
        <w:t xml:space="preserve">electronics, etc). Factors that can further strengthen the impact of EPR schemes are to use (part</w:t>
      </w:r>
      <w:r>
        <w:t xml:space="preserve"> </w:t>
      </w:r>
      <w:r>
        <w:t xml:space="preserve">of) the revenues to support waste management service improvements, making EPR schemes</w:t>
      </w:r>
      <w:r>
        <w:t xml:space="preserve"> </w:t>
      </w:r>
      <w:r>
        <w:t xml:space="preserve">sufficiently responsive to cover the ETS carbon cost, and extending and aligning EPR-schemes</w:t>
      </w:r>
      <w:r>
        <w:t xml:space="preserve"> </w:t>
      </w:r>
      <w:r>
        <w:t xml:space="preserve">at EU-level to the scope of waste streams covered under the EU ETS117.</w:t>
      </w:r>
      <w:r>
        <w:br/>
      </w:r>
      <w:r>
        <w:t xml:space="preserve">Mandatory recycled content policies: Mandatory recycled content policies reduce (virgin)</w:t>
      </w:r>
      <w:r>
        <w:t xml:space="preserve"> </w:t>
      </w:r>
      <w:r>
        <w:t xml:space="preserve">fossil-based waste streams and incentivise recycling. The EU has mandatory recycled content</w:t>
      </w:r>
      <w:r>
        <w:t xml:space="preserve"> </w:t>
      </w:r>
      <w:r>
        <w:t xml:space="preserve">policies, primarily through the Packaging and Packaging Waste Regulation (PPWR) and the</w:t>
      </w:r>
      <w:r>
        <w:t xml:space="preserve"> </w:t>
      </w:r>
      <w:r>
        <w:t xml:space="preserve">Single-Use Plastics Directive (SUPD), requiring minimum recycled content for plastics, like</w:t>
      </w:r>
      <w:r>
        <w:t xml:space="preserve"> </w:t>
      </w:r>
      <w:r>
        <w:t xml:space="preserve">25% in PET bottles by 2025 and 30% by 2030, with broader packaging rules targeting virgin</w:t>
      </w:r>
      <w:r>
        <w:t xml:space="preserve"> </w:t>
      </w:r>
      <w:r>
        <w:t xml:space="preserve">material reduction and recyclability by 2030. Recent developments also set mandatory recycled</w:t>
      </w:r>
      <w:r>
        <w:t xml:space="preserve"> </w:t>
      </w:r>
      <w:r>
        <w:t xml:space="preserve">content for vehicles (25% by 2036) and focus on improving end-of-life vehicle management</w:t>
      </w:r>
      <w:r>
        <w:t xml:space="preserve"> </w:t>
      </w:r>
      <w:r>
        <w:t xml:space="preserve">and producer responsibility to boost circularity.</w:t>
      </w:r>
      <w:r>
        <w:t xml:space="preserve"> </w:t>
      </w:r>
      <w:r>
        <w:t xml:space="preserve">1.4. Monitoring and Reporting</w:t>
      </w:r>
      <w:r>
        <w:br/>
      </w:r>
      <w:r>
        <w:t xml:space="preserve">When expanding the ETS to cover waste sector emissions, the development of an effective</w:t>
      </w:r>
      <w:r>
        <w:t xml:space="preserve"> </w:t>
      </w:r>
      <w:r>
        <w:t xml:space="preserve">MRV framework, balancing the need for robustness with practical feasibility, would be an</w:t>
      </w:r>
      <w:r>
        <w:t xml:space="preserve"> </w:t>
      </w:r>
      <w:r>
        <w:t xml:space="preserve">essential element of a potential inclusion of waste incineration facilities and landfills in the EU</w:t>
      </w:r>
      <w:r>
        <w:t xml:space="preserve"> </w:t>
      </w:r>
      <w:r>
        <w:t xml:space="preserve">ETS. The MRV process should be in line with the rules applied in other ETS sectors. It should</w:t>
      </w:r>
      <w:r>
        <w:t xml:space="preserve"> </w:t>
      </w:r>
      <w:r>
        <w:t xml:space="preserve">also build on the existing MRV obligation for installations for the incineration of municipal</w:t>
      </w:r>
      <w:r>
        <w:t xml:space="preserve"> </w:t>
      </w:r>
      <w:r>
        <w:t xml:space="preserve">waste exceeding 20 MW in place since 2024. In the ETS, the monitoring and reporting of GHG</w:t>
      </w:r>
      <w:r>
        <w:t xml:space="preserve"> </w:t>
      </w:r>
      <w:r>
        <w:t xml:space="preserve">emissions needs to follow the EU MRR. As a first step, operators of installations need to submit</w:t>
      </w:r>
      <w:r>
        <w:t xml:space="preserve"> </w:t>
      </w:r>
      <w:r>
        <w:t xml:space="preserve">a monitoring plan to the Competent Authority for check and approval before the start of</w:t>
      </w:r>
    </w:p>
    <w:p>
      <w:pPr>
        <w:pStyle w:val="BodyText"/>
      </w:pPr>
      <w:r>
        <w:t xml:space="preserve">115 EPR-schemes can be applied through compensation models, where producers are made financially and/or</w:t>
      </w:r>
      <w:r>
        <w:t xml:space="preserve"> </w:t>
      </w:r>
      <w:r>
        <w:t xml:space="preserve">operationally responsible for the management of their products’ waste after consumer use, e.g. through a</w:t>
      </w:r>
      <w:r>
        <w:t xml:space="preserve"> </w:t>
      </w:r>
      <w:r>
        <w:t xml:space="preserve">Producer Responsibility Organization (PRO), or cost application models, where the net carbon cost of waste</w:t>
      </w:r>
      <w:r>
        <w:t xml:space="preserve"> </w:t>
      </w:r>
      <w:r>
        <w:t xml:space="preserve">management is (partially) transferred to producers through fees based on the carbon intensity of their</w:t>
      </w:r>
      <w:r>
        <w:t xml:space="preserve"> </w:t>
      </w:r>
      <w:r>
        <w:t xml:space="preserve">products, potentially linked to the ETS-price.</w:t>
      </w:r>
      <w:r>
        <w:t xml:space="preserve"> </w:t>
      </w:r>
      <w:r>
        <w:t xml:space="preserve">116 European</w:t>
      </w:r>
      <w:r>
        <w:t xml:space="preserve"> </w:t>
      </w:r>
      <w:r>
        <w:t xml:space="preserve">(2025).</w:t>
      </w:r>
      <w:r>
        <w:t xml:space="preserve"> </w:t>
      </w:r>
      <w:r>
        <w:t xml:space="preserve">Overview</w:t>
      </w:r>
      <w:r>
        <w:t xml:space="preserve"> </w:t>
      </w:r>
      <w:r>
        <w:t xml:space="preserve">of</w:t>
      </w:r>
      <w:r>
        <w:t xml:space="preserve"> </w:t>
      </w:r>
      <w:r>
        <w:t xml:space="preserve">Member</w:t>
      </w:r>
      <w:r>
        <w:t xml:space="preserve"> </w:t>
      </w:r>
      <w:r>
        <w:t xml:space="preserve">States’</w:t>
      </w:r>
      <w:r>
        <w:t xml:space="preserve"> </w:t>
      </w:r>
      <w:r>
        <w:t xml:space="preserve">EPR</w:t>
      </w:r>
      <w:r>
        <w:t xml:space="preserve"> </w:t>
      </w:r>
      <w:r>
        <w:t xml:space="preserve">Schemes:</w:t>
      </w:r>
      <w:r>
        <w:t xml:space="preserve"> </w:t>
      </w:r>
      <w:r>
        <w:t xml:space="preserve">https://www.europen-</w:t>
      </w:r>
      <w:r>
        <w:t xml:space="preserve"> </w:t>
      </w:r>
      <w:r>
        <w:t xml:space="preserve">packaging.eu/publication/overview-of-member-states-epr-schemes/</w:t>
      </w:r>
      <w:r>
        <w:br/>
      </w:r>
      <w:r>
        <w:t xml:space="preserve">117 Under the UK ETS consultation on incineration (closed in August 2024), it has been estimated that around</w:t>
      </w:r>
      <w:r>
        <w:t xml:space="preserve"> </w:t>
      </w:r>
      <w:r>
        <w:t xml:space="preserve">20-30% of the fossil waste (wt/wt) is under this plastics-EPR scope, and therefore, Local Authorities could</w:t>
      </w:r>
      <w:r>
        <w:t xml:space="preserve"> </w:t>
      </w:r>
      <w:r>
        <w:t xml:space="preserve">recover those payments. See: Joint consultation (2024). ‘UK Emissions Trading Scheme Scope Expansion:</w:t>
      </w:r>
      <w:r>
        <w:t xml:space="preserve"> </w:t>
      </w:r>
      <w:r>
        <w:t xml:space="preserve">Waste.’ Available at : https://assets.publishing.service.gov.uk/media/6669a60c9d27ae501186db79/ukets-</w:t>
      </w:r>
      <w:r>
        <w:t xml:space="preserve"> </w:t>
      </w:r>
      <w:r>
        <w:t xml:space="preserve">scope-expansion-consultation-waste.pdf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operation. Thereafter, operators carry out monitoring during the calendar year according to the</w:t>
      </w:r>
      <w:r>
        <w:t xml:space="preserve"> </w:t>
      </w:r>
      <w:r>
        <w:t xml:space="preserve">approved monitoring plan. In case of significant changes to the monitoring methodology,</w:t>
      </w:r>
      <w:r>
        <w:t xml:space="preserve"> </w:t>
      </w:r>
      <w:r>
        <w:t xml:space="preserve">operators submit an updated monitoring plan for approval. Operators then submit a verified</w:t>
      </w:r>
      <w:r>
        <w:t xml:space="preserve"> </w:t>
      </w:r>
      <w:r>
        <w:t xml:space="preserve">annual emission report (AER) to the Competent Authority that needs to be verified by an</w:t>
      </w:r>
      <w:r>
        <w:t xml:space="preserve"> </w:t>
      </w:r>
      <w:r>
        <w:t xml:space="preserve">independent accredited verifier. In case of a full integration into the EU ETS, operators then</w:t>
      </w:r>
      <w:r>
        <w:t xml:space="preserve"> </w:t>
      </w:r>
      <w:r>
        <w:t xml:space="preserve">surrender allowances before 30 April and where needed, operators submit a report on</w:t>
      </w:r>
      <w:r>
        <w:t xml:space="preserve"> </w:t>
      </w:r>
      <w:r>
        <w:t xml:space="preserve">improvements to the monitoring methodology before 30 June. Competent Authorities are in</w:t>
      </w:r>
      <w:r>
        <w:t xml:space="preserve"> </w:t>
      </w:r>
      <w:r>
        <w:t xml:space="preserve">charge of enforcing penalties in case of non-compliance.</w:t>
      </w:r>
      <w:r>
        <w:t xml:space="preserve"> </w:t>
      </w:r>
      <w:r>
        <w:t xml:space="preserve">As of the start of 2024, installations for the incineration of municipal waste exceeding 20 MW</w:t>
      </w:r>
      <w:r>
        <w:t xml:space="preserve"> </w:t>
      </w:r>
      <w:r>
        <w:t xml:space="preserve">are included in the EU ETS with an obligation for monitoring, reporting and verification only.</w:t>
      </w:r>
      <w:r>
        <w:t xml:space="preserve"> </w:t>
      </w:r>
      <w:r>
        <w:t xml:space="preserve">Under the current EU ETS MRR, municipal waste incineration (MWI) installations, like any</w:t>
      </w:r>
      <w:r>
        <w:t xml:space="preserve"> </w:t>
      </w:r>
      <w:r>
        <w:t xml:space="preserve">other combustion installation, can monitor emissions either by a calculation-based or a</w:t>
      </w:r>
      <w:r>
        <w:t xml:space="preserve"> </w:t>
      </w:r>
      <w:r>
        <w:t xml:space="preserve">measurement-based approach, and the MRR does not contain special provisions for the</w:t>
      </w:r>
      <w:r>
        <w:t xml:space="preserve"> </w:t>
      </w:r>
      <w:r>
        <w:t xml:space="preserve">monitoring of emissions from MWI. In case of an extension of the EU ETS to MWI, an update</w:t>
      </w:r>
      <w:r>
        <w:t xml:space="preserve"> </w:t>
      </w:r>
      <w:r>
        <w:t xml:space="preserve">of the MRR would be needed to further define MWI-specific implementing rules (i.e. </w:t>
      </w:r>
      <w:r>
        <w:t xml:space="preserve"> </w:t>
      </w:r>
      <w:r>
        <w:t xml:space="preserve">definitions, monitoring and reporting methods to be used, the detailed provisions of each</w:t>
      </w:r>
      <w:r>
        <w:t xml:space="preserve"> </w:t>
      </w:r>
      <w:r>
        <w:t xml:space="preserve">method such as frequency of sampling, etc.). This was also frequently raised as an important</w:t>
      </w:r>
      <w:r>
        <w:t xml:space="preserve"> </w:t>
      </w:r>
      <w:r>
        <w:t xml:space="preserve">condition for inclusion in the EU ETS by different stakeholders, both companies and business</w:t>
      </w:r>
      <w:r>
        <w:t xml:space="preserve"> </w:t>
      </w:r>
      <w:r>
        <w:t xml:space="preserve">associations as well as NGOs, in the OPC.</w:t>
      </w:r>
      <w:r>
        <w:br/>
      </w:r>
      <w:r>
        <w:t xml:space="preserve">Drawing on the feedback from the stakeholder consultation, the experience from the start of</w:t>
      </w:r>
      <w:r>
        <w:t xml:space="preserve"> </w:t>
      </w:r>
      <w:r>
        <w:t xml:space="preserve">monitoring and reporting under the EU ETS as of 2024, and the UK’s approach towards</w:t>
      </w:r>
      <w:r>
        <w:t xml:space="preserve"> </w:t>
      </w:r>
      <w:r>
        <w:t xml:space="preserve">voluntary MRV for waste incineration as of 2026118, a tiered system that incorporates both</w:t>
      </w:r>
      <w:r>
        <w:t xml:space="preserve"> </w:t>
      </w:r>
      <w:r>
        <w:t xml:space="preserve">measurement-based and calculation-based methodologies, along with simplified provisions for</w:t>
      </w:r>
      <w:r>
        <w:t xml:space="preserve"> </w:t>
      </w:r>
      <w:r>
        <w:t xml:space="preserve">smaller emitters, can provide a scalable and proportionate MRV system for the inclusion of the</w:t>
      </w:r>
      <w:r>
        <w:t xml:space="preserve"> </w:t>
      </w:r>
      <w:r>
        <w:t xml:space="preserve">waste incineration sector. A tiered approach allows different levels of methodological rigor</w:t>
      </w:r>
      <w:r>
        <w:t xml:space="preserve"> </w:t>
      </w:r>
      <w:r>
        <w:t xml:space="preserve">depending on plant size and technical capacity, while allowing to consider the different</w:t>
      </w:r>
      <w:r>
        <w:t xml:space="preserve"> </w:t>
      </w:r>
      <w:r>
        <w:t xml:space="preserve">uncertainty levels of each methodology and various technical, operational, and administrative</w:t>
      </w:r>
      <w:r>
        <w:t xml:space="preserve"> </w:t>
      </w:r>
      <w:r>
        <w:t xml:space="preserve">considerations related to the variable nature of waste inputs and the need to differentiate</w:t>
      </w:r>
      <w:r>
        <w:t xml:space="preserve"> </w:t>
      </w:r>
      <w:r>
        <w:t xml:space="preserve">between fossil and biogenic carbon. It will also be important to further align the MRV with</w:t>
      </w:r>
      <w:r>
        <w:t xml:space="preserve"> </w:t>
      </w:r>
      <w:r>
        <w:t xml:space="preserve">existing legislative frameworks such as the Industrial Emissions Directive to avoid duplication</w:t>
      </w:r>
      <w:r>
        <w:t xml:space="preserve"> </w:t>
      </w:r>
      <w:r>
        <w:t xml:space="preserve">(for example, measurement equipment such as stack flow and CO2 volumes) and minimise</w:t>
      </w:r>
      <w:r>
        <w:t xml:space="preserve"> </w:t>
      </w:r>
      <w:r>
        <w:t xml:space="preserve">administrative costs. Standard methodologies and harmonised guidance, flexible tiered</w:t>
      </w:r>
      <w:r>
        <w:t xml:space="preserve"> </w:t>
      </w:r>
      <w:r>
        <w:t xml:space="preserve">methodologies and support mechanisms to ensure an accurate and manageable implementation</w:t>
      </w:r>
      <w:r>
        <w:t xml:space="preserve"> </w:t>
      </w:r>
      <w:r>
        <w:t xml:space="preserve">across the sector, reducing the financial and logistical challenges for operators, for medium and</w:t>
      </w:r>
      <w:r>
        <w:t xml:space="preserve"> </w:t>
      </w:r>
      <w:r>
        <w:t xml:space="preserve">small-size facilities. It must be noted that the inclusion of hazardous and clinical waste facilities</w:t>
      </w:r>
      <w:r>
        <w:t xml:space="preserve"> </w:t>
      </w:r>
      <w:r>
        <w:t xml:space="preserve">may require a tailored approach, given that some measurement-based methods cannot or should</w:t>
      </w:r>
      <w:r>
        <w:t xml:space="preserve"> </w:t>
      </w:r>
      <w:r>
        <w:t xml:space="preserve">not be applied (see section 1.4.1. below).</w:t>
      </w:r>
      <w:r>
        <w:br/>
      </w:r>
      <w:r>
        <w:t xml:space="preserve">Contrary to waste incineration, there are currently no established harmonised (measurement-</w:t>
      </w:r>
      <w:r>
        <w:t xml:space="preserve"> </w:t>
      </w:r>
      <w:r>
        <w:t xml:space="preserve">based) MRV protocols in place or available in literature for methane emissions from landfills,</w:t>
      </w:r>
      <w:r>
        <w:t xml:space="preserve"> </w:t>
      </w:r>
      <w:r>
        <w:t xml:space="preserve">and uncertainty in the quantification of methane emissions from waste remains high.</w:t>
      </w:r>
      <w:r>
        <w:t xml:space="preserve"> </w:t>
      </w:r>
      <w:r>
        <w:t xml:space="preserve">Differently to emissions from incineration, methane generation at landfills is a biological</w:t>
      </w:r>
      <w:r>
        <w:t xml:space="preserve"> </w:t>
      </w:r>
      <w:r>
        <w:t xml:space="preserve">activity, with emissions being diffuse, distributed over longer timeframes and site-specific.</w:t>
      </w:r>
      <w:r>
        <w:t xml:space="preserve"> </w:t>
      </w:r>
      <w:r>
        <w:t xml:space="preserve">These issues should be addressed by advancing MRV robust, harmonised MRV methodologies</w:t>
      </w:r>
      <w:r>
        <w:t xml:space="preserve"> </w:t>
      </w:r>
      <w:r>
        <w:t xml:space="preserve">prior to considering carbon pricing to avoid unintended consequences. This process is expected</w:t>
      </w:r>
    </w:p>
    <w:p>
      <w:pPr>
        <w:pStyle w:val="BodyText"/>
      </w:pPr>
      <w:r>
        <w:t xml:space="preserve">118 Department for Energy Security &amp; Net Zero (2024). MRV Options for Inclusion of Energy from Waste</w:t>
      </w:r>
      <w:r>
        <w:t xml:space="preserve"> </w:t>
      </w:r>
      <w:r>
        <w:t xml:space="preserve">Plants and Waste Incinerators within the UK ETS. Available at:</w:t>
      </w:r>
      <w:r>
        <w:t xml:space="preserve"> </w:t>
      </w:r>
      <w:r>
        <w:t xml:space="preserve">https://assets.publishing.service.gov.uk/media/66a24709a3c2a28abb50d725/uk-ets-waste-MRV-report.pdf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to be complex and would need to take into account the different waste streams received across</w:t>
      </w:r>
      <w:r>
        <w:t xml:space="preserve"> </w:t>
      </w:r>
      <w:r>
        <w:t xml:space="preserve">a large number of disposal sites, the decay period of biogenic waste in landfills and whether to</w:t>
      </w:r>
      <w:r>
        <w:t xml:space="preserve"> </w:t>
      </w:r>
      <w:r>
        <w:t xml:space="preserve">cover only future emissions or also emissions from the decay of past disposal, and the different</w:t>
      </w:r>
      <w:r>
        <w:t xml:space="preserve"> </w:t>
      </w:r>
      <w:r>
        <w:t xml:space="preserve">designs and LFG-capture possibilities of each site. While MRV approaches for landfilling</w:t>
      </w:r>
      <w:r>
        <w:t xml:space="preserve"> </w:t>
      </w:r>
      <w:r>
        <w:t xml:space="preserve">could be based on calculations or measurements, the use of standardised emission factors can</w:t>
      </w:r>
      <w:r>
        <w:t xml:space="preserve"> </w:t>
      </w:r>
      <w:r>
        <w:t xml:space="preserve">substantially over- or underestimate actual emissions and research gaps remain among others</w:t>
      </w:r>
      <w:r>
        <w:t xml:space="preserve"> </w:t>
      </w:r>
      <w:r>
        <w:t xml:space="preserve">on the determination of national Degradable Organic Carbon values, classification of waste</w:t>
      </w:r>
      <w:r>
        <w:t xml:space="preserve"> </w:t>
      </w:r>
      <w:r>
        <w:t xml:space="preserve">fractions and interactions with pre-treatment processes. A measurement-based approach would</w:t>
      </w:r>
      <w:r>
        <w:t xml:space="preserve"> </w:t>
      </w:r>
      <w:r>
        <w:t xml:space="preserve">contribute to increasing the accuracy of emissions data compared to the current data reported</w:t>
      </w:r>
      <w:r>
        <w:t xml:space="preserve"> </w:t>
      </w:r>
      <w:r>
        <w:t xml:space="preserve">under the ESR and UNFCCC EU national inventory reports, which in turn would be important</w:t>
      </w:r>
      <w:r>
        <w:t xml:space="preserve"> </w:t>
      </w:r>
      <w:r>
        <w:t xml:space="preserve">to ensure the environmental integrity of the EU ETS, but is more complex to develop and</w:t>
      </w:r>
      <w:r>
        <w:t xml:space="preserve"> </w:t>
      </w:r>
      <w:r>
        <w:t xml:space="preserve">consistently apply.</w:t>
      </w:r>
      <w:r>
        <w:br/>
      </w:r>
      <w:r>
        <w:t xml:space="preserve">Appendix 3 discusses different measurement- and calculation-based methodologies available</w:t>
      </w:r>
      <w:r>
        <w:t xml:space="preserve"> </w:t>
      </w:r>
      <w:r>
        <w:t xml:space="preserve">for waste incineration and landfill sites. The data on expected costs is sourced from the UK but</w:t>
      </w:r>
      <w:r>
        <w:t xml:space="preserve"> </w:t>
      </w:r>
      <w:r>
        <w:t xml:space="preserve">is expected to be relatively transferable to the EU context.</w:t>
      </w:r>
      <w:r>
        <w:br/>
      </w:r>
      <w:r>
        <w:t xml:space="preserve">1.4.1. Threshold for inclusion</w:t>
      </w:r>
      <w:r>
        <w:br/>
      </w:r>
      <w:r>
        <w:t xml:space="preserve">The current thermal input threshold for inclusion in the EU ETS is 20MW. However, unlike</w:t>
      </w:r>
      <w:r>
        <w:t xml:space="preserve"> </w:t>
      </w:r>
      <w:r>
        <w:t xml:space="preserve">power generation and industrial process installations, the thermal input of a waste incinerator</w:t>
      </w:r>
      <w:r>
        <w:t xml:space="preserve"> </w:t>
      </w:r>
      <w:r>
        <w:t xml:space="preserve">does not consistently correspond to its emissions or its scale of operation due to the varying</w:t>
      </w:r>
      <w:r>
        <w:t xml:space="preserve"> </w:t>
      </w:r>
      <w:r>
        <w:t xml:space="preserve">composition of residual waste, affecting its energy content and fossil-carbon share. Reliance</w:t>
      </w:r>
      <w:r>
        <w:t xml:space="preserve"> </w:t>
      </w:r>
      <w:r>
        <w:t xml:space="preserve">on a 20MW threshold could therefore lead to inconsistencies, where some installations with</w:t>
      </w:r>
      <w:r>
        <w:t xml:space="preserve"> </w:t>
      </w:r>
      <w:r>
        <w:t xml:space="preserve">low throughput but high-calorific waste would be covered, while others with high throughput</w:t>
      </w:r>
      <w:r>
        <w:t xml:space="preserve"> </w:t>
      </w:r>
      <w:r>
        <w:t xml:space="preserve">but lower-calorific waste may fall out of the scope. Similar considerations would apply for</w:t>
      </w:r>
      <w:r>
        <w:t xml:space="preserve"> </w:t>
      </w:r>
      <w:r>
        <w:t xml:space="preserve">landfills. An inclusion of waste sector activities into the EU ETS therefore needs to carefully</w:t>
      </w:r>
      <w:r>
        <w:t xml:space="preserve"> </w:t>
      </w:r>
      <w:r>
        <w:t xml:space="preserve">consider the potential threshold for the sector, considering the nature of waste as a feedstock,</w:t>
      </w:r>
      <w:r>
        <w:t xml:space="preserve"> </w:t>
      </w:r>
      <w:r>
        <w:t xml:space="preserve">environmental integrity ensuring accurate, fair and effective coverage of emissions, avoidance</w:t>
      </w:r>
      <w:r>
        <w:t xml:space="preserve"> </w:t>
      </w:r>
      <w:r>
        <w:t xml:space="preserve">of disproportionate impacts on small operators and minimising threshold effects leading to</w:t>
      </w:r>
      <w:r>
        <w:t xml:space="preserve"> </w:t>
      </w:r>
      <w:r>
        <w:t xml:space="preserve">diversion to installations just below the threshold. These concerns were also consistently</w:t>
      </w:r>
      <w:r>
        <w:t xml:space="preserve"> </w:t>
      </w:r>
      <w:r>
        <w:t xml:space="preserve">highlighted during the stakeholder consultation by both business and NGO stakeholders from</w:t>
      </w:r>
      <w:r>
        <w:t xml:space="preserve"> </w:t>
      </w:r>
      <w:r>
        <w:t xml:space="preserve">the waste sector. Three options for threshold setting for the waste incineration sector are</w:t>
      </w:r>
      <w:r>
        <w:t xml:space="preserve"> </w:t>
      </w:r>
      <w:r>
        <w:t xml:space="preserve">explored below and the estimated impacts on installations and emissions covered are</w:t>
      </w:r>
      <w:r>
        <w:t xml:space="preserve"> </w:t>
      </w:r>
      <w:r>
        <w:t xml:space="preserve">summarised in Table 4:</w:t>
      </w:r>
      <w:r>
        <w:t xml:space="preserve"> </w:t>
      </w:r>
      <w:r>
        <w:t xml:space="preserve">• Thermal input threshold: The EU ETS MRV obligation for MWI since 2024 as</w:t>
      </w:r>
      <w:r>
        <w:t xml:space="preserve"> </w:t>
      </w:r>
      <w:r>
        <w:t xml:space="preserve">well as the German national emissions trading system covering waste incineration</w:t>
      </w:r>
      <w:r>
        <w:t xml:space="preserve"> </w:t>
      </w:r>
      <w:r>
        <w:t xml:space="preserve">currently apply the general threshold of 20 MW. While no exact data is available</w:t>
      </w:r>
      <w:r>
        <w:t xml:space="preserve"> </w:t>
      </w:r>
      <w:r>
        <w:t xml:space="preserve">on the share of installations and emissions falling below this threshold, an</w:t>
      </w:r>
      <w:r>
        <w:t xml:space="preserve"> </w:t>
      </w:r>
      <w:r>
        <w:t xml:space="preserve">approximation can be made on the basis of the municipal waste-to-energy</w:t>
      </w:r>
      <w:r>
        <w:t xml:space="preserve"> </w:t>
      </w:r>
      <w:r>
        <w:t xml:space="preserve">installations in the EEA not reported under the MRV obligation in 2024 (see</w:t>
      </w:r>
      <w:r>
        <w:t xml:space="preserve"> </w:t>
      </w:r>
      <w:r>
        <w:t xml:space="preserve">Appendix 1 for details), on the basis of which 53 installations were identified with</w:t>
      </w:r>
      <w:r>
        <w:t xml:space="preserve"> </w:t>
      </w:r>
      <w:r>
        <w:t xml:space="preserve">total fossil-based emissions of maximum 1.05 MtCO2e119 or an additional 2.7% on</w:t>
      </w:r>
      <w:r>
        <w:t xml:space="preserve"> </w:t>
      </w:r>
      <w:r>
        <w:t xml:space="preserve">top of the total reported emissions under the EU ETS MRV. However, as</w:t>
      </w:r>
    </w:p>
    <w:p>
      <w:pPr>
        <w:pStyle w:val="BodyText"/>
      </w:pPr>
      <w:r>
        <w:t xml:space="preserve">119 Estimate based on the combined nominal capacity of these installations (CEWEP data) and a standardised</w:t>
      </w:r>
      <w:r>
        <w:t xml:space="preserve"> </w:t>
      </w:r>
      <w:r>
        <w:t xml:space="preserve">0.5 fossil emission factor. The result is likely an overestimate as the figure is based on nominal capacity</w:t>
      </w:r>
      <w:r>
        <w:t xml:space="preserve"> </w:t>
      </w:r>
      <w:r>
        <w:t xml:space="preserve">instead of actual volumes incinerated, which is generally lower.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highlighted above, any thermal threshold carries several intrinsic challenges and</w:t>
      </w:r>
      <w:r>
        <w:t xml:space="preserve"> </w:t>
      </w:r>
      <w:r>
        <w:t xml:space="preserve">inconsistencies in terms of coverage in the waste sector.</w:t>
      </w:r>
      <w:r>
        <w:br/>
      </w:r>
      <w:r>
        <w:t xml:space="preserve">• No threshold: Several stakeholders, both businesses and NGOs from across the</w:t>
      </w:r>
      <w:r>
        <w:t xml:space="preserve"> </w:t>
      </w:r>
      <w:r>
        <w:t xml:space="preserve">waste management sector, proposed the 20 MW thermal input threshold to be</w:t>
      </w:r>
      <w:r>
        <w:t xml:space="preserve"> </w:t>
      </w:r>
      <w:r>
        <w:t xml:space="preserve">eliminated, and all incineration and energy from waste activities included in</w:t>
      </w:r>
      <w:r>
        <w:t xml:space="preserve"> </w:t>
      </w:r>
      <w:r>
        <w:t xml:space="preserve">principle. However, smaller incinerators would be expected to fall under the small</w:t>
      </w:r>
      <w:r>
        <w:t xml:space="preserve"> </w:t>
      </w:r>
      <w:r>
        <w:t xml:space="preserve">or ultra small emitters provisions in Articles 27 and 27a in the EU ETS and therefore</w:t>
      </w:r>
      <w:r>
        <w:t xml:space="preserve"> </w:t>
      </w:r>
      <w:r>
        <w:t xml:space="preserve">could opt-out of the inclusion of the scheme and the surrender of allowances,</w:t>
      </w:r>
      <w:r>
        <w:t xml:space="preserve"> </w:t>
      </w:r>
      <w:r>
        <w:t xml:space="preserve">although still subject to a monitoring plan. Out of 411 municipal WtE installations</w:t>
      </w:r>
      <w:r>
        <w:t xml:space="preserve"> </w:t>
      </w:r>
      <w:r>
        <w:t xml:space="preserve">in the EU in 2022120, 58 had a nominal capacity of 50.000 tonnes of waste or less</w:t>
      </w:r>
      <w:r>
        <w:t xml:space="preserve"> </w:t>
      </w:r>
      <w:r>
        <w:t xml:space="preserve">per year, which (assuming a 50% fossil-based fraction) would each be expected to</w:t>
      </w:r>
      <w:r>
        <w:t xml:space="preserve"> </w:t>
      </w:r>
      <w:r>
        <w:t xml:space="preserve">produce 25.000 or less tonnes of CO2e on annual basis. If their thermal threshold</w:t>
      </w:r>
      <w:r>
        <w:t xml:space="preserve"> </w:t>
      </w:r>
      <w:r>
        <w:t xml:space="preserve">is below 35 MW, these would fall under the hospital and small emitter opt-out</w:t>
      </w:r>
      <w:r>
        <w:t xml:space="preserve"> </w:t>
      </w:r>
      <w:r>
        <w:t xml:space="preserve">clause under Article 27. If producing less than 2.500 tonnes of CO2e on annual</w:t>
      </w:r>
      <w:r>
        <w:t xml:space="preserve"> </w:t>
      </w:r>
      <w:r>
        <w:t xml:space="preserve">basis, they would fall under the ultra-small emitter opt-out clause under Article 27a</w:t>
      </w:r>
      <w:r>
        <w:t xml:space="preserve"> </w:t>
      </w:r>
      <w:r>
        <w:t xml:space="preserve">of the EU ETS Directive.</w:t>
      </w:r>
      <w:r>
        <w:br/>
      </w:r>
      <w:r>
        <w:t xml:space="preserve">• Volume-based threshold: An alternative approach could be based on waste</w:t>
      </w:r>
      <w:r>
        <w:t xml:space="preserve"> </w:t>
      </w:r>
      <w:r>
        <w:t xml:space="preserve">capacity or waste throughput (tonnes per year), more closely reflecting the specific</w:t>
      </w:r>
      <w:r>
        <w:t xml:space="preserve"> </w:t>
      </w:r>
      <w:r>
        <w:t xml:space="preserve">characteristics of the sector. This approach was suggested by several stakeholders</w:t>
      </w:r>
      <w:r>
        <w:t xml:space="preserve"> </w:t>
      </w:r>
      <w:r>
        <w:t xml:space="preserve">from the sector in the stakeholder consultation. The design of the UK ETS scheme</w:t>
      </w:r>
      <w:r>
        <w:t xml:space="preserve"> </w:t>
      </w:r>
      <w:r>
        <w:t xml:space="preserve">expansion to waste is also proposing an alignment of entry criteria with the existing</w:t>
      </w:r>
      <w:r>
        <w:t xml:space="preserve"> </w:t>
      </w:r>
      <w:r>
        <w:t xml:space="preserve">environmental permitting framework. As a result, the waste sector would be</w:t>
      </w:r>
      <w:r>
        <w:t xml:space="preserve"> </w:t>
      </w:r>
      <w:r>
        <w:t xml:space="preserve">expected to use tonnage-based thresholds, specifically three tonnes per hour of non-</w:t>
      </w:r>
      <w:r>
        <w:t xml:space="preserve"> </w:t>
      </w:r>
      <w:r>
        <w:t xml:space="preserve">hazardous waste or ten tonnes per day of hazardous waste. A similar approach could</w:t>
      </w:r>
      <w:r>
        <w:t xml:space="preserve"> </w:t>
      </w:r>
      <w:r>
        <w:t xml:space="preserve">be followed under the EU ETS121, which would result in 15 municipal WtE</w:t>
      </w:r>
      <w:r>
        <w:t xml:space="preserve"> </w:t>
      </w:r>
      <w:r>
        <w:t xml:space="preserve">installations falling below this threshold, with maximum fossil-based emissions of</w:t>
      </w:r>
      <w:r>
        <w:br/>
      </w:r>
      <w:r>
        <w:t xml:space="preserve">0.15 MtCO2e122 or an additional 0.5% on top of the total reported emissions under</w:t>
      </w:r>
      <w:r>
        <w:t xml:space="preserve"> </w:t>
      </w:r>
      <w:r>
        <w:t xml:space="preserve">the EU ETS MRV given the limited capacity of these installations (see Appendix</w:t>
      </w:r>
      <w:r>
        <w:t xml:space="preserve"> </w:t>
      </w:r>
      <w:r>
        <w:t xml:space="preserve">1). This is expected to be a slight overestimation due to being based on nominal</w:t>
      </w:r>
      <w:r>
        <w:t xml:space="preserve"> </w:t>
      </w:r>
      <w:r>
        <w:t xml:space="preserve">instead of actual incineration volumes. The disadvantage is that a volume-based</w:t>
      </w:r>
      <w:r>
        <w:t xml:space="preserve"> </w:t>
      </w:r>
      <w:r>
        <w:t xml:space="preserve">threshold is not necessarily associated with the total emissions and their impact, as</w:t>
      </w:r>
      <w:r>
        <w:t xml:space="preserve"> </w:t>
      </w:r>
      <w:r>
        <w:t xml:space="preserve">this will depend on the volume and composition of waste that is combusted in each</w:t>
      </w:r>
      <w:r>
        <w:t xml:space="preserve"> </w:t>
      </w:r>
      <w:r>
        <w:t xml:space="preserve">facility.</w:t>
      </w:r>
    </w:p>
    <w:p>
      <w:pPr>
        <w:pStyle w:val="BodyText"/>
      </w:pPr>
      <w:r>
        <w:t xml:space="preserve">120 CEWEP (2022).</w:t>
      </w:r>
      <w:r>
        <w:t xml:space="preserve"> </w:t>
      </w:r>
      <w:r>
        <w:t xml:space="preserve">121 The Industrial Emissions Directive applies the same thresholds, see Annex I, point 5.2.: “Disposal or</w:t>
      </w:r>
      <w:r>
        <w:t xml:space="preserve"> </w:t>
      </w:r>
      <w:r>
        <w:t xml:space="preserve">recovery of waste in waste incineration plants or in waste co-incineration plants: (a) for non-hazardous waste</w:t>
      </w:r>
      <w:r>
        <w:t xml:space="preserve"> </w:t>
      </w:r>
      <w:r>
        <w:t xml:space="preserve">with a capacity exceeding 3 tonnes per hour;”. This equates to a capacity of 26.280 tonnes per year. In terms</w:t>
      </w:r>
      <w:r>
        <w:t xml:space="preserve"> </w:t>
      </w:r>
      <w:r>
        <w:t xml:space="preserve">of thermal input, assuming a calorific value of respectively 10 GJ/tonne of (unprepared) or 7.5 GJ/tonne of</w:t>
      </w:r>
      <w:r>
        <w:t xml:space="preserve"> </w:t>
      </w:r>
      <w:r>
        <w:t xml:space="preserve">(prepared) leftover MSW, 3 tonnes per hour would imply respectively 30.000 or 22.5000 MJ/hour, or 8.33 or</w:t>
      </w:r>
      <w:r>
        <w:t xml:space="preserve"> </w:t>
      </w:r>
      <w:r>
        <w:t xml:space="preserve">6.25 MW (MJ/sec).</w:t>
      </w:r>
      <w:r>
        <w:t xml:space="preserve"> </w:t>
      </w:r>
      <w:r>
        <w:t xml:space="preserve">122 Estimate based on the combined nominal capacity of these installations (CEWEP data) and a standardised</w:t>
      </w:r>
      <w:r>
        <w:t xml:space="preserve"> </w:t>
      </w:r>
      <w:r>
        <w:t xml:space="preserve">0.5 fossil emission factor. The result is likely an overestimate as the figure is based on nominal capacity</w:t>
      </w:r>
      <w:r>
        <w:t xml:space="preserve"> </w:t>
      </w:r>
      <w:r>
        <w:t xml:space="preserve">instead of actual volumes incinerated, which is generally lower.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Table 4:</w:t>
      </w:r>
      <w:r>
        <w:t xml:space="preserve"> </w:t>
      </w:r>
      <w:r>
        <w:t xml:space="preserve">Options for threshold for inclusion of waste incineration installations in the EU ETS</w:t>
      </w:r>
      <w:r>
        <w:t xml:space="preserve"> </w:t>
      </w:r>
      <w:r>
        <w:t xml:space="preserve">and estimated impact on installations covered and emissions excluded</w:t>
      </w:r>
      <w:r>
        <w:t xml:space="preserve"> </w:t>
      </w:r>
      <w:r>
        <w:t xml:space="preserve">Threshold</w:t>
      </w:r>
      <w:r>
        <w:br/>
      </w:r>
      <w:r>
        <w:t xml:space="preserve">Examples</w:t>
      </w:r>
      <w:r>
        <w:t xml:space="preserve"> </w:t>
      </w:r>
      <w:r>
        <w:t xml:space="preserve">Estimated</w:t>
      </w:r>
      <w:r>
        <w:t xml:space="preserve"> </w:t>
      </w:r>
      <w:r>
        <w:t xml:space="preserve">installations excluded</w:t>
      </w:r>
      <w:r>
        <w:t xml:space="preserve"> </w:t>
      </w:r>
      <w:r>
        <w:t xml:space="preserve">(N)</w:t>
      </w:r>
      <w:r>
        <w:t xml:space="preserve"> </w:t>
      </w:r>
      <w:r>
        <w:t xml:space="preserve">Estimated emissions</w:t>
      </w:r>
      <w:r>
        <w:t xml:space="preserve"> </w:t>
      </w:r>
      <w:r>
        <w:t xml:space="preserve">excluded under the</w:t>
      </w:r>
      <w:r>
        <w:t xml:space="preserve"> </w:t>
      </w:r>
      <w:r>
        <w:t xml:space="preserve">threshold (N and %)</w:t>
      </w:r>
      <w:r>
        <w:t xml:space="preserve"> </w:t>
      </w:r>
      <w:r>
        <w:t xml:space="preserve">20MW (cf. EU ETS,</w:t>
      </w:r>
      <w:r>
        <w:t xml:space="preserve"> </w:t>
      </w:r>
      <w:r>
        <w:t xml:space="preserve">German ETS)</w:t>
      </w:r>
      <w:r>
        <w:br/>
      </w:r>
      <w:r>
        <w:t xml:space="preserve">(~71.500 tpa)</w:t>
      </w:r>
      <w:r>
        <w:br/>
      </w:r>
      <w:r>
        <w:t xml:space="preserve">EU</w:t>
      </w:r>
      <w:r>
        <w:t xml:space="preserve"> </w:t>
      </w:r>
      <w:r>
        <w:t xml:space="preserve">ETS</w:t>
      </w:r>
      <w:r>
        <w:t xml:space="preserve"> </w:t>
      </w:r>
      <w:r>
        <w:t xml:space="preserve">for</w:t>
      </w:r>
      <w:r>
        <w:t xml:space="preserve"> </w:t>
      </w:r>
      <w:r>
        <w:t xml:space="preserve">stationary</w:t>
      </w:r>
      <w:r>
        <w:t xml:space="preserve"> </w:t>
      </w:r>
      <w:r>
        <w:t xml:space="preserve">installations; German ETS for</w:t>
      </w:r>
      <w:r>
        <w:t xml:space="preserve"> </w:t>
      </w:r>
      <w:r>
        <w:t xml:space="preserve">MWI installations</w:t>
      </w:r>
      <w:r>
        <w:t xml:space="preserve"> </w:t>
      </w:r>
      <w:r>
        <w:t xml:space="preserve">≤ 53</w:t>
      </w:r>
      <w:r>
        <w:t xml:space="preserve"> </w:t>
      </w:r>
      <w:r>
        <w:t xml:space="preserve">≤ 1.05 MtCO2e (2.7%)</w:t>
      </w:r>
      <w:r>
        <w:t xml:space="preserve"> </w:t>
      </w:r>
      <w:r>
        <w:t xml:space="preserve">No threshold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Volume-based threshold</w:t>
      </w:r>
      <w:r>
        <w:t xml:space="preserve"> </w:t>
      </w:r>
      <w:r>
        <w:t xml:space="preserve">of 3tph (~ 26.280tpa)</w:t>
      </w:r>
      <w:r>
        <w:br/>
      </w:r>
      <w:r>
        <w:t xml:space="preserve">Industrial</w:t>
      </w:r>
      <w:r>
        <w:t xml:space="preserve"> </w:t>
      </w:r>
      <w:r>
        <w:t xml:space="preserve">Emissions</w:t>
      </w:r>
      <w:r>
        <w:t xml:space="preserve"> </w:t>
      </w:r>
      <w:r>
        <w:t xml:space="preserve">Directive</w:t>
      </w:r>
      <w:r>
        <w:t xml:space="preserve"> </w:t>
      </w:r>
      <w:r>
        <w:t xml:space="preserve">threshold</w:t>
      </w:r>
      <w:r>
        <w:t xml:space="preserve"> </w:t>
      </w:r>
      <w:r>
        <w:t xml:space="preserve">for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permit</w:t>
      </w:r>
      <w:r>
        <w:t xml:space="preserve"> </w:t>
      </w:r>
      <w:r>
        <w:t xml:space="preserve">for</w:t>
      </w:r>
      <w:r>
        <w:t xml:space="preserve"> </w:t>
      </w:r>
      <w:r>
        <w:t xml:space="preserve">MWI; UK ETS threshold for</w:t>
      </w:r>
      <w:r>
        <w:t xml:space="preserve"> </w:t>
      </w:r>
      <w:r>
        <w:t xml:space="preserve">voluntary MRV for MWI</w:t>
      </w:r>
      <w:r>
        <w:t xml:space="preserve"> </w:t>
      </w:r>
      <w:r>
        <w:t xml:space="preserve">≤ 15</w:t>
      </w:r>
      <w:r>
        <w:t xml:space="preserve"> </w:t>
      </w:r>
      <w:r>
        <w:t xml:space="preserve">≤ 0.15 MtCO2e (0.5%)</w:t>
      </w:r>
      <w:r>
        <w:t xml:space="preserve"> </w:t>
      </w:r>
      <w:r>
        <w:t xml:space="preserve">Source: Commission desk research.</w:t>
      </w:r>
      <w:r>
        <w:t xml:space="preserve"> </w:t>
      </w:r>
      <w:r>
        <w:t xml:space="preserve">1.4.2. Simplified MRV for small and ultra-small emitters</w:t>
      </w:r>
      <w:r>
        <w:t xml:space="preserve"> </w:t>
      </w:r>
      <w:r>
        <w:t xml:space="preserve">As indicated above, the current EU ETS Directive provides two opt-out provisions to the</w:t>
      </w:r>
      <w:r>
        <w:t xml:space="preserve"> </w:t>
      </w:r>
      <w:r>
        <w:t xml:space="preserve">allowance surrendering requirements for smaller emitters:</w:t>
      </w:r>
      <w:r>
        <w:t xml:space="preserve"> </w:t>
      </w:r>
      <w:r>
        <w:t xml:space="preserve">• Article 27 EU ETS Directive allows for the exclusion of small installations subject to</w:t>
      </w:r>
      <w:r>
        <w:t xml:space="preserve"> </w:t>
      </w:r>
      <w:r>
        <w:t xml:space="preserve">equivalent measures. Member States may exclude installations which have reported</w:t>
      </w:r>
      <w:r>
        <w:t xml:space="preserve"> </w:t>
      </w:r>
      <w:r>
        <w:t xml:space="preserve">emissions of less than 25.000 tonnes of carbon dioxide equivalent and, where they carry</w:t>
      </w:r>
      <w:r>
        <w:t xml:space="preserve"> </w:t>
      </w:r>
      <w:r>
        <w:t xml:space="preserve">out combustion activities, have a rated thermal input below 35 MW, excluding</w:t>
      </w:r>
      <w:r>
        <w:t xml:space="preserve"> </w:t>
      </w:r>
      <w:r>
        <w:t xml:space="preserve">emissions from biomass. Hospitals may also be excluded if they undertake equivalent</w:t>
      </w:r>
      <w:r>
        <w:t xml:space="preserve"> </w:t>
      </w:r>
      <w:r>
        <w:t xml:space="preserve">measures. These emitters are known as Hospital and Small Emitters (HSE).</w:t>
      </w:r>
      <w:r>
        <w:t xml:space="preserve"> </w:t>
      </w:r>
      <w:r>
        <w:t xml:space="preserve">• Article 27a EU ETS Directive allows for the exclusion of installations emitting less</w:t>
      </w:r>
      <w:r>
        <w:t xml:space="preserve"> </w:t>
      </w:r>
      <w:r>
        <w:t xml:space="preserve">than 2.500 tonnes. Member States may exclude installations that have reported</w:t>
      </w:r>
      <w:r>
        <w:t xml:space="preserve"> </w:t>
      </w:r>
      <w:r>
        <w:t xml:space="preserve">emissions of less than 2.500 tonnes of carbon dioxide equivalent, disregarding</w:t>
      </w:r>
      <w:r>
        <w:t xml:space="preserve"> </w:t>
      </w:r>
      <w:r>
        <w:t xml:space="preserve">emissions from biomass. These emitters are known as Ultra Small Emitters (USEs).</w:t>
      </w:r>
      <w:r>
        <w:t xml:space="preserve"> </w:t>
      </w:r>
      <w:r>
        <w:t xml:space="preserve">1.5. Coherence with other policy frameworks</w:t>
      </w:r>
      <w:r>
        <w:t xml:space="preserve"> </w:t>
      </w:r>
      <w:r>
        <w:t xml:space="preserve">In line with the review clause in Article 30(7) of the EU ETS, the assessment of a potential</w:t>
      </w:r>
      <w:r>
        <w:t xml:space="preserve"> </w:t>
      </w:r>
      <w:r>
        <w:t xml:space="preserve">inclusion of the waste management sector into the EU ETS should consider the alignment with</w:t>
      </w:r>
      <w:r>
        <w:t xml:space="preserve"> </w:t>
      </w:r>
      <w:r>
        <w:t xml:space="preserve">the objectives of Waste Framework Directive. The long-term goal of the EU’s waste</w:t>
      </w:r>
      <w:r>
        <w:t xml:space="preserve"> </w:t>
      </w:r>
      <w:r>
        <w:t xml:space="preserve">framework is to transition to a circular economy, where waste is kept to a minimum, and</w:t>
      </w:r>
      <w:r>
        <w:t xml:space="preserve"> </w:t>
      </w:r>
      <w:r>
        <w:t xml:space="preserve">unavoidable waste is used as a resource as far as possible. It aims to protect the environment</w:t>
      </w:r>
      <w:r>
        <w:t xml:space="preserve"> </w:t>
      </w:r>
      <w:r>
        <w:t xml:space="preserve">and human health by emphasising the importance of proper waste management, recovery and</w:t>
      </w:r>
      <w:r>
        <w:t xml:space="preserve"> </w:t>
      </w:r>
      <w:r>
        <w:t xml:space="preserve">recycling techniques to reduce pressure on resources and improve their use. Effective</w:t>
      </w:r>
      <w:r>
        <w:t xml:space="preserve"> </w:t>
      </w:r>
      <w:r>
        <w:t xml:space="preserve">municipal waste management requires well organised separate collections of various materials,</w:t>
      </w:r>
      <w:r>
        <w:t xml:space="preserve"> </w:t>
      </w:r>
      <w:r>
        <w:t xml:space="preserve">appropriate infrastructure for sorting, treatment, incineration and/or landfill, and a viable</w:t>
      </w:r>
      <w:r>
        <w:t xml:space="preserve"> </w:t>
      </w:r>
      <w:r>
        <w:t xml:space="preserve">market for the recycled output.</w:t>
      </w:r>
      <w:r>
        <w:br/>
      </w:r>
      <w:r>
        <w:t xml:space="preserve">To this end, the EU has established a comprehensive regulatory framework to advance the</w:t>
      </w:r>
      <w:r>
        <w:t xml:space="preserve"> </w:t>
      </w:r>
      <w:r>
        <w:t xml:space="preserve">transition to a more circular economy, increase recycling and reduce landfilling. It has set</w:t>
      </w:r>
      <w:r>
        <w:t xml:space="preserve"> </w:t>
      </w:r>
      <w:r>
        <w:t xml:space="preserve">targets for Member States to ensure that a certain share of municipal waste, of packaging waste</w:t>
      </w:r>
      <w:r>
        <w:t xml:space="preserve"> </w:t>
      </w:r>
      <w:r>
        <w:t xml:space="preserve">and of other specific waste streams is prepared for re-use and recycled. By 2025, 50% of plastic,</w:t>
      </w:r>
      <w:r>
        <w:t xml:space="preserve"> </w:t>
      </w:r>
      <w:r>
        <w:t xml:space="preserve">65% of packaging waste and 55% of municipal waste must be prepared for re-use or recycled,</w:t>
      </w:r>
      <w:r>
        <w:t xml:space="preserve"> </w:t>
      </w:r>
      <w:r>
        <w:t xml:space="preserve">the latter further increasing to 65% by 2035. The EU has also set a target for Member States to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reduce the share of waste sent to landfill to 10% by 2035. The current targets are set by the</w:t>
      </w:r>
      <w:r>
        <w:t xml:space="preserve"> </w:t>
      </w:r>
      <w:r>
        <w:t xml:space="preserve">Waste Framework Directive, the Packaging and Packaging Waste Regulation, and the Landfill</w:t>
      </w:r>
      <w:r>
        <w:t xml:space="preserve"> </w:t>
      </w:r>
      <w:r>
        <w:t xml:space="preserve">Directive. In addition, the Waste Shipment Regulation establishes strict controls over the</w:t>
      </w:r>
      <w:r>
        <w:t xml:space="preserve"> </w:t>
      </w:r>
      <w:r>
        <w:t xml:space="preserve">shipping of waste within the EU and between the EU and non-EU countries, thereby preventing</w:t>
      </w:r>
      <w:r>
        <w:t xml:space="preserve"> </w:t>
      </w:r>
      <w:r>
        <w:t xml:space="preserve">illegal waste trafficking and minimizing the risk of environmental harm123. The Commission</w:t>
      </w:r>
      <w:r>
        <w:t xml:space="preserve"> </w:t>
      </w:r>
      <w:r>
        <w:t xml:space="preserve">has announced a new Circular Economy Act to be adopted in 2026, which will accelerate the</w:t>
      </w:r>
      <w:r>
        <w:t xml:space="preserve"> </w:t>
      </w:r>
      <w:r>
        <w:t xml:space="preserve">circular transition, stimulating the single market and demand for secondary materials and</w:t>
      </w:r>
      <w:r>
        <w:t xml:space="preserve"> </w:t>
      </w:r>
      <w:r>
        <w:t xml:space="preserve">circular products, supporting investment in recycling capacity, reducing the landfilling and</w:t>
      </w:r>
      <w:r>
        <w:t xml:space="preserve"> </w:t>
      </w:r>
      <w:r>
        <w:t xml:space="preserve">incineration of used raw materials, and rolling-out upstream producer-oriented policies such as</w:t>
      </w:r>
      <w:r>
        <w:t xml:space="preserve"> </w:t>
      </w:r>
      <w:r>
        <w:t xml:space="preserve">eco-design requirements.</w:t>
      </w:r>
      <w:r>
        <w:t xml:space="preserve"> </w:t>
      </w:r>
      <w:r>
        <w:t xml:space="preserve">In addition, the Industrial and Livestock Rearing Emissions Directive (Directive 2010/75/EU</w:t>
      </w:r>
      <w:r>
        <w:t xml:space="preserve"> </w:t>
      </w:r>
      <w:r>
        <w:t xml:space="preserve">or ‘IED 2.0’) regulates pollution from large industrial sites, including waste incineration plants</w:t>
      </w:r>
      <w:r>
        <w:t xml:space="preserve"> </w:t>
      </w:r>
      <w:r>
        <w:t xml:space="preserve">and landfill sites, to reduce emissions to air, water, and soil. The IED 2.0 sets conditions and</w:t>
      </w:r>
      <w:r>
        <w:t xml:space="preserve"> </w:t>
      </w:r>
      <w:r>
        <w:t xml:space="preserve">criteria for the granting of environmental permits to the concerned installations by national</w:t>
      </w:r>
      <w:r>
        <w:t xml:space="preserve"> </w:t>
      </w:r>
      <w:r>
        <w:t xml:space="preserve">permitting authorities, including emission limits, operational standards and promoting Best</w:t>
      </w:r>
      <w:r>
        <w:t xml:space="preserve"> </w:t>
      </w:r>
      <w:r>
        <w:t xml:space="preserve">Available Techniques (BATs) as the most environmentally effective and economically and</w:t>
      </w:r>
      <w:r>
        <w:t xml:space="preserve"> </w:t>
      </w:r>
      <w:r>
        <w:t xml:space="preserve">technically viable way for the prevention and control of emissions, encouraging innovation.</w:t>
      </w:r>
      <w:r>
        <w:t xml:space="preserve"> </w:t>
      </w:r>
      <w:r>
        <w:t xml:space="preserve">These regulations have driven improvements in waste prevention, recycling and alternative</w:t>
      </w:r>
      <w:r>
        <w:t xml:space="preserve"> </w:t>
      </w:r>
      <w:r>
        <w:t xml:space="preserve">treatment methods. The overall recycling performance for municipal waste has increased by</w:t>
      </w:r>
      <w:r>
        <w:t xml:space="preserve"> </w:t>
      </w:r>
      <w:r>
        <w:t xml:space="preserve">more than 10 percentage points between 2010 and 2022, from 38% to 48.7% for the EU-27</w:t>
      </w:r>
      <w:r>
        <w:t xml:space="preserve"> </w:t>
      </w:r>
      <w:r>
        <w:t xml:space="preserve">(see figure 4). However, implementation varies significantly across Member States and</w:t>
      </w:r>
      <w:r>
        <w:t xml:space="preserve"> </w:t>
      </w:r>
      <w:r>
        <w:t xml:space="preserve">national regulatory and fiscal measures differ widely in scope, enforcement and impact. Recent</w:t>
      </w:r>
      <w:r>
        <w:t xml:space="preserve"> </w:t>
      </w:r>
      <w:r>
        <w:t xml:space="preserve">reports by the EEA and the European Court of Auditors (ECA)124 show that many EU Member</w:t>
      </w:r>
      <w:r>
        <w:t xml:space="preserve"> </w:t>
      </w:r>
      <w:r>
        <w:t xml:space="preserve">States are not on track to meet the recycling targets for municipal waste and packaging waste,</w:t>
      </w:r>
      <w:r>
        <w:t xml:space="preserve"> </w:t>
      </w:r>
      <w:r>
        <w:t xml:space="preserve">with 10 Member States at risk of missing both targets in 2025 nor to meet the 10% landfilling</w:t>
      </w:r>
      <w:r>
        <w:t xml:space="preserve"> </w:t>
      </w:r>
      <w:r>
        <w:t xml:space="preserve">target, with 13 Member States having recorded landfilling rates of over 50% in 2021 (see figure</w:t>
      </w:r>
      <w:r>
        <w:t xml:space="preserve"> </w:t>
      </w:r>
      <w:r>
        <w:t xml:space="preserve">5). Specifically for plastic waste, a major source of incineration emissions, the EU generated</w:t>
      </w:r>
      <w:r>
        <w:t xml:space="preserve"> </w:t>
      </w:r>
      <w:r>
        <w:t xml:space="preserve">42.5 million tonnes of plastic waste in 2022, of which only around 20% was recycled while the</w:t>
      </w:r>
      <w:r>
        <w:t xml:space="preserve"> </w:t>
      </w:r>
      <w:r>
        <w:t xml:space="preserve">remaining 80% was incinerated or landfilled (45% was not separately collected and 33% –</w:t>
      </w:r>
      <w:r>
        <w:t xml:space="preserve"> </w:t>
      </w:r>
      <w:r>
        <w:t xml:space="preserve">three fifths of the 55% separately collected – was not sent to recycling125). At the same time,</w:t>
      </w:r>
      <w:r>
        <w:t xml:space="preserve"> </w:t>
      </w:r>
      <w:r>
        <w:t xml:space="preserve">separate waste collection mostly remains at a very low level, bio-waste is not yet collected</w:t>
      </w:r>
      <w:r>
        <w:t xml:space="preserve"> </w:t>
      </w:r>
      <w:r>
        <w:t xml:space="preserve">separately in many Member States and fees for the Extended Producer Responsibility are often</w:t>
      </w:r>
      <w:r>
        <w:t xml:space="preserve"> </w:t>
      </w:r>
      <w:r>
        <w:t xml:space="preserve">insufficient to cover the costs. Member States with the highest recycling rates and highest</w:t>
      </w:r>
      <w:r>
        <w:t xml:space="preserve"> </w:t>
      </w:r>
      <w:r>
        <w:t xml:space="preserve">increases in recycling are generally those with the strongest additional regulatory policies</w:t>
      </w:r>
      <w:r>
        <w:t xml:space="preserve"> </w:t>
      </w:r>
      <w:r>
        <w:t xml:space="preserve">discouraging landfilling and prioritising recycling, including (high) volume-based landfill</w:t>
      </w:r>
    </w:p>
    <w:p>
      <w:pPr>
        <w:pStyle w:val="BodyText"/>
      </w:pPr>
      <w:r>
        <w:t xml:space="preserve">123 All exports of plastic waste from the EU to non-OECD countries will be prohibited and subject to strict</w:t>
      </w:r>
      <w:r>
        <w:t xml:space="preserve"> </w:t>
      </w:r>
      <w:r>
        <w:t xml:space="preserve">notification and consent procedures to OECD countries as of November 2026, exports of hazardous and other</w:t>
      </w:r>
      <w:r>
        <w:t xml:space="preserve"> </w:t>
      </w:r>
      <w:r>
        <w:t xml:space="preserve">specific wastes to non-OECD countries will be prohibited as of May 2027, and exports of other non-hazardous</w:t>
      </w:r>
      <w:r>
        <w:t xml:space="preserve"> </w:t>
      </w:r>
      <w:r>
        <w:t xml:space="preserve">waste for recovery to non-OECD countries generally restricted unless explicitly requested by the country and</w:t>
      </w:r>
      <w:r>
        <w:t xml:space="preserve"> </w:t>
      </w:r>
      <w:r>
        <w:t xml:space="preserve">it shows ability to treat it sustainably, and passes audits.</w:t>
      </w:r>
      <w:r>
        <w:t xml:space="preserve"> </w:t>
      </w:r>
      <w:r>
        <w:t xml:space="preserve">124 ECA</w:t>
      </w:r>
      <w:r>
        <w:t xml:space="preserve"> </w:t>
      </w:r>
      <w:r>
        <w:t xml:space="preserve">(2025).</w:t>
      </w:r>
      <w:r>
        <w:t xml:space="preserve"> </w:t>
      </w:r>
      <w:r>
        <w:t xml:space="preserve">Special</w:t>
      </w:r>
      <w:r>
        <w:t xml:space="preserve"> </w:t>
      </w:r>
      <w:r>
        <w:t xml:space="preserve">Report</w:t>
      </w:r>
      <w:r>
        <w:t xml:space="preserve"> </w:t>
      </w:r>
      <w:r>
        <w:t xml:space="preserve">23/2025.</w:t>
      </w:r>
      <w:r>
        <w:t xml:space="preserve"> </w:t>
      </w:r>
      <w:r>
        <w:t xml:space="preserve">Municipal</w:t>
      </w:r>
      <w:r>
        <w:t xml:space="preserve"> </w:t>
      </w:r>
      <w:r>
        <w:t xml:space="preserve">Waste</w:t>
      </w:r>
      <w:r>
        <w:t xml:space="preserve"> </w:t>
      </w:r>
      <w:r>
        <w:t xml:space="preserve">Management.</w:t>
      </w:r>
      <w:r>
        <w:t xml:space="preserve"> </w:t>
      </w:r>
      <w:r>
        <w:t xml:space="preserve">Available</w:t>
      </w:r>
      <w:r>
        <w:t xml:space="preserve"> </w:t>
      </w:r>
      <w:r>
        <w:t xml:space="preserve">at :</w:t>
      </w:r>
      <w:r>
        <w:t xml:space="preserve"> </w:t>
      </w:r>
      <w:r>
        <w:t xml:space="preserve">https://www.eca.europa.eu/ECAPublications/SR-2025-23/SR-2025-23_EN.pdf; EEA (2023). Briefing no.</w:t>
      </w:r>
      <w:r>
        <w:t xml:space="preserve"> </w:t>
      </w:r>
      <w:r>
        <w:t xml:space="preserve">28/2022. Many EU Member States not on track to meet recycling targets for municipal waste and packaging</w:t>
      </w:r>
      <w:r>
        <w:t xml:space="preserve"> </w:t>
      </w:r>
      <w:r>
        <w:t xml:space="preserve">waste. Available at:</w:t>
      </w:r>
      <w:r>
        <w:t xml:space="preserve"> </w:t>
      </w:r>
      <w:r>
        <w:t xml:space="preserve">125 JRC (2025). Plastics materials flows in the EU-27 and their environmental impacts.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and/or incineration taxes126 (e.g. DK, LV, SE, NL), bans or restrictions on biodegradable waste</w:t>
      </w:r>
      <w:r>
        <w:t xml:space="preserve"> </w:t>
      </w:r>
      <w:r>
        <w:t xml:space="preserve">being landfilled (e.g. AT, BE, NL, SI), or some form of carbon pricing (DK, LT, NL, SE)127.</w:t>
      </w:r>
      <w:r>
        <w:t xml:space="preserve"> </w:t>
      </w:r>
      <w:r>
        <w:t xml:space="preserve">Recommendations in the ECA report are to focus, among others, on making recycling practices</w:t>
      </w:r>
      <w:r>
        <w:t xml:space="preserve"> </w:t>
      </w:r>
      <w:r>
        <w:t xml:space="preserve">more viable and on harmonising landfill and incineration taxes. Applying EU-wide carbon</w:t>
      </w:r>
      <w:r>
        <w:t xml:space="preserve"> </w:t>
      </w:r>
      <w:r>
        <w:t xml:space="preserve">pricing to waste management activities can further support action on the EU’s waste policy</w:t>
      </w:r>
      <w:r>
        <w:t xml:space="preserve"> </w:t>
      </w:r>
      <w:r>
        <w:t xml:space="preserve">framework by providing such harmonised economic incentive towards recycling and to reduce</w:t>
      </w:r>
      <w:r>
        <w:t xml:space="preserve"> </w:t>
      </w:r>
      <w:r>
        <w:t xml:space="preserve">waste disposed through processes lower on the waste hierarchy.</w:t>
      </w:r>
      <w:r>
        <w:t xml:space="preserve"> </w:t>
      </w:r>
      <w:r>
        <w:t xml:space="preserve">Figure 4: Municipal waste recycling rates in</w:t>
      </w:r>
      <w:r>
        <w:br/>
      </w:r>
      <w:r>
        <w:t xml:space="preserve">2010 and 2022 (EEA, 2024)128.</w:t>
      </w:r>
    </w:p>
    <w:p>
      <w:pPr>
        <w:pStyle w:val="BodyText"/>
      </w:pPr>
      <w:r>
        <w:t xml:space="preserve">Source: EEA</w:t>
      </w:r>
      <w:r>
        <w:t xml:space="preserve"> </w:t>
      </w:r>
      <w:r>
        <w:t xml:space="preserve">Figure 5: Municipal waste per capita and treatment</w:t>
      </w:r>
      <w:r>
        <w:t xml:space="preserve"> </w:t>
      </w:r>
      <w:r>
        <w:t xml:space="preserve">methods (in kg, 2023)129.</w:t>
      </w:r>
    </w:p>
    <w:p>
      <w:pPr>
        <w:pStyle w:val="BodyText"/>
      </w:pPr>
      <w:r>
        <w:t xml:space="preserve">Source: ECA, based on the Eurostat dataset env_wasmun</w:t>
      </w:r>
      <w:r>
        <w:t xml:space="preserve"> </w:t>
      </w:r>
      <w:r>
        <w:t xml:space="preserve">Outside of the EU, the UK Government has established a voluntary monitoring, reporting, and</w:t>
      </w:r>
      <w:r>
        <w:t xml:space="preserve"> </w:t>
      </w:r>
      <w:r>
        <w:t xml:space="preserve">verification (MRV) period for waste incinerations installations under the UK ETS as of 1</w:t>
      </w:r>
      <w:r>
        <w:t xml:space="preserve"> </w:t>
      </w:r>
      <w:r>
        <w:t xml:space="preserve">January 2026, with a decision on the full inclusion of the sector foreseen in the future. The</w:t>
      </w:r>
      <w:r>
        <w:t xml:space="preserve"> </w:t>
      </w:r>
      <w:r>
        <w:t xml:space="preserve">scope of the MRV for waste incineration would apply to installations processing three tonnes</w:t>
      </w:r>
      <w:r>
        <w:t xml:space="preserve"> </w:t>
      </w:r>
      <w:r>
        <w:t xml:space="preserve">or more per hour of non-hazardous waste or ten tonnes or more per day of hazardous waste,</w:t>
      </w:r>
      <w:r>
        <w:t xml:space="preserve"> </w:t>
      </w:r>
      <w:r>
        <w:t xml:space="preserve">with clinical waste incinerators included and high-temperature hazardous waste incinerators</w:t>
      </w:r>
      <w:r>
        <w:t xml:space="preserve"> </w:t>
      </w:r>
      <w:r>
        <w:t xml:space="preserve">exempted.</w:t>
      </w:r>
    </w:p>
    <w:p>
      <w:pPr>
        <w:pStyle w:val="BodyText"/>
      </w:pPr>
      <w:r>
        <w:t xml:space="preserve">126 Volume-based landfill taxes (present in 22 Member States) ranged from 5 to 110 EUR/tonne of waste</w:t>
      </w:r>
      <w:r>
        <w:t xml:space="preserve"> </w:t>
      </w:r>
      <w:r>
        <w:t xml:space="preserve">landfilled in 2023, while volume-based incineration taxes (present in only 10 Member States) ranged from 5-</w:t>
      </w:r>
      <w:r>
        <w:t xml:space="preserve"> </w:t>
      </w:r>
      <w:r>
        <w:t xml:space="preserve">80 EUR/tonne of municipal waste incinerated. See EEA (2023). Technical note accompanying the EEA</w:t>
      </w:r>
      <w:r>
        <w:t xml:space="preserve"> </w:t>
      </w:r>
      <w:r>
        <w:t xml:space="preserve">briefing ‘Economic instruments and separate collection – key instruments to increase recycling’.</w:t>
      </w:r>
      <w:r>
        <w:t xml:space="preserve"> </w:t>
      </w:r>
      <w:r>
        <w:t xml:space="preserve">https://www.eea.europa.eu/en/analysis/publications/economic-instruments-and-separate-</w:t>
      </w:r>
      <w:r>
        <w:t xml:space="preserve"> </w:t>
      </w:r>
      <w:r>
        <w:t xml:space="preserve">collection/technical-note-accompanying-the-eea-briefing-economic-instruments-and-separate-collection-</w:t>
      </w:r>
      <w:r>
        <w:t xml:space="preserve"> </w:t>
      </w:r>
      <w:r>
        <w:t xml:space="preserve">key-instruments-to-increase-recycling</w:t>
      </w:r>
      <w:r>
        <w:br/>
      </w:r>
      <w:r>
        <w:t xml:space="preserve">127 Only few Member States apply some form of emissions-based pricing on incineration. Denmark and Sweden</w:t>
      </w:r>
      <w:r>
        <w:t xml:space="preserve"> </w:t>
      </w:r>
      <w:r>
        <w:t xml:space="preserve">have included municipal waste incineration (MWI) installations in their national implementation of the EU</w:t>
      </w:r>
      <w:r>
        <w:t xml:space="preserve"> </w:t>
      </w:r>
      <w:r>
        <w:t xml:space="preserve">ETS, while Germany included waste incineration installations in its national emissions trading system and</w:t>
      </w:r>
      <w:r>
        <w:t xml:space="preserve"> </w:t>
      </w:r>
      <w:r>
        <w:t xml:space="preserve">the Netherlands implemented a carbon levy for emissions from MWI.</w:t>
      </w:r>
      <w:r>
        <w:t xml:space="preserve"> </w:t>
      </w:r>
      <w:r>
        <w:t xml:space="preserve">128 EEA (2024). Waste Recycling in Europe. https://www.eea.europa.eu/en/analysis/indicators/waste-recycling-</w:t>
      </w:r>
      <w:r>
        <w:t xml:space="preserve"> </w:t>
      </w:r>
      <w:r>
        <w:t xml:space="preserve">in-europe</w:t>
      </w:r>
      <w:r>
        <w:br/>
      </w:r>
      <w:r>
        <w:t xml:space="preserve">129 ECA</w:t>
      </w:r>
      <w:r>
        <w:t xml:space="preserve"> </w:t>
      </w:r>
      <w:r>
        <w:t xml:space="preserve">(2025).</w:t>
      </w:r>
      <w:r>
        <w:t xml:space="preserve"> </w:t>
      </w:r>
      <w:r>
        <w:t xml:space="preserve">Special</w:t>
      </w:r>
      <w:r>
        <w:t xml:space="preserve"> </w:t>
      </w:r>
      <w:r>
        <w:t xml:space="preserve">Report</w:t>
      </w:r>
      <w:r>
        <w:t xml:space="preserve"> </w:t>
      </w:r>
      <w:r>
        <w:t xml:space="preserve">23/2025.</w:t>
      </w:r>
      <w:r>
        <w:t xml:space="preserve"> </w:t>
      </w:r>
      <w:r>
        <w:t xml:space="preserve">Municipal</w:t>
      </w:r>
      <w:r>
        <w:t xml:space="preserve"> </w:t>
      </w:r>
      <w:r>
        <w:t xml:space="preserve">Waste</w:t>
      </w:r>
      <w:r>
        <w:t xml:space="preserve"> </w:t>
      </w:r>
      <w:r>
        <w:t xml:space="preserve">Management.</w:t>
      </w:r>
      <w:r>
        <w:t xml:space="preserve"> </w:t>
      </w:r>
      <w:r>
        <w:t xml:space="preserve">Available</w:t>
      </w:r>
      <w:r>
        <w:t xml:space="preserve"> </w:t>
      </w:r>
      <w:r>
        <w:t xml:space="preserve">at :</w:t>
      </w:r>
      <w:r>
        <w:t xml:space="preserve"> </w:t>
      </w:r>
      <w:r>
        <w:t xml:space="preserve">https://www.eca.europa.eu/ECAPublications/SR-2025-23/SR-2025-23_EN.pdf;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1.6. Policy measures</w:t>
      </w:r>
      <w:r>
        <w:t xml:space="preserve"> </w:t>
      </w:r>
      <w:r>
        <w:t xml:space="preserve">1.6.1. Description of the policy measures</w:t>
      </w:r>
      <w:r>
        <w:t xml:space="preserve"> </w:t>
      </w:r>
      <w:r>
        <w:t xml:space="preserve">Drawing from the analysis in this annex, this section assesses the concrete policy measures</w:t>
      </w:r>
      <w:r>
        <w:t xml:space="preserve"> </w:t>
      </w:r>
      <w:r>
        <w:t xml:space="preserve">considered for the extension of the EU ETS to waste management activities. The measures are</w:t>
      </w:r>
      <w:r>
        <w:t xml:space="preserve"> </w:t>
      </w:r>
      <w:r>
        <w:t xml:space="preserve">assessed for their environmental, economic and social impacts, specifically the environmental</w:t>
      </w:r>
      <w:r>
        <w:t xml:space="preserve"> </w:t>
      </w:r>
      <w:r>
        <w:t xml:space="preserve">integrity, the alignment with waste hierarchy, the feasibility of robust monitoring and reporting</w:t>
      </w:r>
      <w:r>
        <w:t xml:space="preserve"> </w:t>
      </w:r>
      <w:r>
        <w:t xml:space="preserve">of emissions as well as internal market effects and potential distortions of competition– as</w:t>
      </w:r>
      <w:r>
        <w:t xml:space="preserve"> </w:t>
      </w:r>
      <w:r>
        <w:t xml:space="preserve">prescribed for the review clause. Timewise, the expansion of the EU ETS to waste management</w:t>
      </w:r>
      <w:r>
        <w:t xml:space="preserve"> </w:t>
      </w:r>
      <w:r>
        <w:t xml:space="preserve">regardless of the level has been fixed at ‘from 2030 onward’ to ensure predictability and</w:t>
      </w:r>
      <w:r>
        <w:t xml:space="preserve"> </w:t>
      </w:r>
      <w:r>
        <w:t xml:space="preserve">sufficient preparation time for the waste sector (considering the time for the co-decision process</w:t>
      </w:r>
      <w:r>
        <w:t xml:space="preserve"> </w:t>
      </w:r>
      <w:r>
        <w:t xml:space="preserve">for the review and the time needed to implement its outcomes).</w:t>
      </w:r>
      <w:r>
        <w:t xml:space="preserve"> </w:t>
      </w:r>
      <w:r>
        <w:t xml:space="preserve">The measures under consideration are:</w:t>
      </w:r>
      <w:r>
        <w:t xml:space="preserve"> </w:t>
      </w:r>
      <w:r>
        <w:t xml:space="preserve">• W1: Inclusion of non-hazardous waste incineration installations in the EU ETS.</w:t>
      </w:r>
      <w:r>
        <w:br/>
      </w:r>
      <w:r>
        <w:t xml:space="preserve">• W2: Inclusion of all waste incineration installations in the EU ETS.</w:t>
      </w:r>
      <w:r>
        <w:t xml:space="preserve"> </w:t>
      </w:r>
      <w:r>
        <w:t xml:space="preserve">• W3: Inclusion of all waste incineration installations and landfills of non-hazardous</w:t>
      </w:r>
      <w:r>
        <w:t xml:space="preserve"> </w:t>
      </w:r>
      <w:r>
        <w:t xml:space="preserve">waste in the EU ETS.</w:t>
      </w:r>
      <w:r>
        <w:br/>
      </w:r>
      <w:r>
        <w:t xml:space="preserve">1.7. Assessment of Policy measures</w:t>
      </w:r>
      <w:r>
        <w:br/>
      </w:r>
      <w:r>
        <w:t xml:space="preserve">1.7.1. Environmental impacts</w:t>
      </w:r>
      <w:r>
        <w:t xml:space="preserve"> </w:t>
      </w:r>
      <w:r>
        <w:t xml:space="preserve">1.7.1.1.</w:t>
      </w:r>
      <w:r>
        <w:t xml:space="preserve"> </w:t>
      </w:r>
      <w:r>
        <w:t xml:space="preserve">Climate impact</w:t>
      </w:r>
      <w:r>
        <w:t xml:space="preserve"> </w:t>
      </w:r>
      <w:r>
        <w:t xml:space="preserve">1.7.1.1.1.</w:t>
      </w:r>
      <w:r>
        <w:t xml:space="preserve"> </w:t>
      </w:r>
      <w:r>
        <w:t xml:space="preserve">W1 ‘EU ETS expansion to non-hazardous waste incineration’</w:t>
      </w:r>
      <w:r>
        <w:br/>
      </w:r>
      <w:r>
        <w:t xml:space="preserve">W1 extends the EU ETS carbon price to municipal waste incineration (MWI) compared to the</w:t>
      </w:r>
      <w:r>
        <w:t xml:space="preserve"> </w:t>
      </w:r>
      <w:r>
        <w:t xml:space="preserve">baseline, which would ensure that emissions from the combustion of municipal waste,</w:t>
      </w:r>
      <w:r>
        <w:t xml:space="preserve"> </w:t>
      </w:r>
      <w:r>
        <w:t xml:space="preserve">providing an economic incentive to reduce emissions cost-effectively, while also harmonising</w:t>
      </w:r>
      <w:r>
        <w:t xml:space="preserve"> </w:t>
      </w:r>
      <w:r>
        <w:t xml:space="preserve">the polluter-pays-principle between Member States, between sectors and within the waste</w:t>
      </w:r>
      <w:r>
        <w:t xml:space="preserve"> </w:t>
      </w:r>
      <w:r>
        <w:t xml:space="preserve">management sector.</w:t>
      </w:r>
      <w:r>
        <w:br/>
      </w:r>
      <w:r>
        <w:t xml:space="preserve">First, the inclusion of non-hazardous waste incineration in the EU ETS would be an important</w:t>
      </w:r>
      <w:r>
        <w:t xml:space="preserve"> </w:t>
      </w:r>
      <w:r>
        <w:t xml:space="preserve">step towards increasing accountability for fossil carbon emissions from municipal waste</w:t>
      </w:r>
      <w:r>
        <w:t xml:space="preserve"> </w:t>
      </w:r>
      <w:r>
        <w:t xml:space="preserve">streams, notably plastics. The existing environmental policy framework on waste incineration</w:t>
      </w:r>
      <w:r>
        <w:t xml:space="preserve"> </w:t>
      </w:r>
      <w:r>
        <w:t xml:space="preserve">does not specifically address GHG emissions from waste incineration, with incineration</w:t>
      </w:r>
      <w:r>
        <w:t xml:space="preserve"> </w:t>
      </w:r>
      <w:r>
        <w:t xml:space="preserve">policies and taxes mainly focused on the activity and waste volumes instead of its carbon</w:t>
      </w:r>
      <w:r>
        <w:t xml:space="preserve"> </w:t>
      </w:r>
      <w:r>
        <w:t xml:space="preserve">content, while few Member States have taken national measures under the Effort Sharing</w:t>
      </w:r>
      <w:r>
        <w:t xml:space="preserve"> </w:t>
      </w:r>
      <w:r>
        <w:t xml:space="preserve">Regulation. Reported emissions from MWI above 20 MW under the EU ETS MRV obligation</w:t>
      </w:r>
      <w:r>
        <w:t xml:space="preserve"> </w:t>
      </w:r>
      <w:r>
        <w:t xml:space="preserve">amounted to 85 Mt CO2 in 2024 for the EEA, of which 39.4 MtCO2e (47%) fossil-based</w:t>
      </w:r>
      <w:r>
        <w:t xml:space="preserve"> </w:t>
      </w:r>
      <w:r>
        <w:t xml:space="preserve">emissions, and 45.6 MtCO2e (53%) biogenic-based emissions which would be considered</w:t>
      </w:r>
      <w:r>
        <w:t xml:space="preserve"> </w:t>
      </w:r>
      <w:r>
        <w:t xml:space="preserve">zero-rated under the EU ETS. This is significant and equivalent to total GHG emissions from</w:t>
      </w:r>
      <w:r>
        <w:t xml:space="preserve"> </w:t>
      </w:r>
      <w:r>
        <w:t xml:space="preserve">Finland or to two thirds of all ETS aviation emissions in 2024. If included as a separate sector,</w:t>
      </w:r>
      <w:r>
        <w:t xml:space="preserve"> </w:t>
      </w:r>
      <w:r>
        <w:t xml:space="preserve">the fossil fraction of MWI emissions would be the 7th largest out of 27 sectors under the EU</w:t>
      </w:r>
      <w:r>
        <w:t xml:space="preserve"> </w:t>
      </w:r>
      <w:r>
        <w:t xml:space="preserve">ETS.</w:t>
      </w:r>
      <w:r>
        <w:br/>
      </w:r>
      <w:r>
        <w:t xml:space="preserve">The carbon price is projected to drive both cost-effective emissions reductions and carbon</w:t>
      </w:r>
      <w:r>
        <w:t xml:space="preserve"> </w:t>
      </w:r>
      <w:r>
        <w:t xml:space="preserve">removals or negative emissions from municipal waste incineration through a combination of</w:t>
      </w:r>
      <w:r>
        <w:t xml:space="preserve"> </w:t>
      </w:r>
      <w:r>
        <w:t xml:space="preserve">waste prevention and reduction at source, pre- and post-collection sorting and recycling of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waste, and carbon capture and process optimisation at installation-level (see Section 1.3.).</w:t>
      </w:r>
      <w:r>
        <w:t xml:space="preserve"> </w:t>
      </w:r>
      <w:r>
        <w:t xml:space="preserve">These were also the most frequently raised justifications in the stakeholder consultation by the</w:t>
      </w:r>
      <w:r>
        <w:t xml:space="preserve"> </w:t>
      </w:r>
      <w:r>
        <w:t xml:space="preserve">majority of respondents supporting MWI inclusion, arguing inclusion in the EU ETS will</w:t>
      </w:r>
      <w:r>
        <w:t xml:space="preserve"> </w:t>
      </w:r>
      <w:r>
        <w:t xml:space="preserve">contribute to incentivise recycling higher up the waste hierarchy (over one third of responses),</w:t>
      </w:r>
      <w:r>
        <w:t xml:space="preserve"> </w:t>
      </w:r>
      <w:r>
        <w:t xml:space="preserve">as well as incentivising CCUS uptake (nearly one fifth of responses) and the potential to</w:t>
      </w:r>
      <w:r>
        <w:t xml:space="preserve"> </w:t>
      </w:r>
      <w:r>
        <w:t xml:space="preserve">generate removal credits from biogenic CO2 (nearly one tenth of responses). The price signal</w:t>
      </w:r>
      <w:r>
        <w:t xml:space="preserve"> </w:t>
      </w:r>
      <w:r>
        <w:t xml:space="preserve">of the cost passthrough can incentivise improved pre-collection sorting and residual waste</w:t>
      </w:r>
      <w:r>
        <w:t xml:space="preserve"> </w:t>
      </w:r>
      <w:r>
        <w:t xml:space="preserve">reductions in the range of 10-20% (3.6-7.2 Mt CO2eq) and increased recycling in the range of</w:t>
      </w:r>
      <w:r>
        <w:t xml:space="preserve"> </w:t>
      </w:r>
      <w:r>
        <w:t xml:space="preserve">16-22.5% on the basis of existing price elasticities for the residual waste disposal demand.</w:t>
      </w:r>
      <w:r>
        <w:t xml:space="preserve"> </w:t>
      </w:r>
      <w:r>
        <w:t xml:space="preserve">Increased recycling generates a dual benefit through the reduction of GHG emissions in the</w:t>
      </w:r>
      <w:r>
        <w:t xml:space="preserve"> </w:t>
      </w:r>
      <w:r>
        <w:t xml:space="preserve">waste management sector and by providing recycled materials displacing more carbon</w:t>
      </w:r>
      <w:r>
        <w:t xml:space="preserve"> </w:t>
      </w:r>
      <w:r>
        <w:t xml:space="preserve">intensive virgin materials. Combined with complementary circular economy policies and</w:t>
      </w:r>
      <w:r>
        <w:t xml:space="preserve"> </w:t>
      </w:r>
      <w:r>
        <w:t xml:space="preserve">measures, an ambitious circular economy scenario has a substantial potential for up to 75-84</w:t>
      </w:r>
      <w:r>
        <w:t xml:space="preserve"> </w:t>
      </w:r>
      <w:r>
        <w:t xml:space="preserve">Mt CO2-eq emissions reductions from plastics by 205045. Carbon capture likewise offers a dual</w:t>
      </w:r>
      <w:r>
        <w:t xml:space="preserve"> </w:t>
      </w:r>
      <w:r>
        <w:t xml:space="preserve">benefit of reducing fossil emissions and generating biogenic carbon removals and negative</w:t>
      </w:r>
      <w:r>
        <w:t xml:space="preserve"> </w:t>
      </w:r>
      <w:r>
        <w:t xml:space="preserve">emissions. The risk of emissions leakage due to potential waste diversion to landfilling would</w:t>
      </w:r>
      <w:r>
        <w:t xml:space="preserve"> </w:t>
      </w:r>
      <w:r>
        <w:t xml:space="preserve">be limited by the design of W1 as emissions from organic waste – the main source of methane</w:t>
      </w:r>
      <w:r>
        <w:t xml:space="preserve"> </w:t>
      </w:r>
      <w:r>
        <w:t xml:space="preserve">emissions from landfills – would be zero-rated, substantially restricting incentives to divert</w:t>
      </w:r>
      <w:r>
        <w:t xml:space="preserve"> </w:t>
      </w:r>
      <w:r>
        <w:t xml:space="preserve">organic waste to landfills in avoidance of the carbon cost, where they would be responsible for</w:t>
      </w:r>
      <w:r>
        <w:t xml:space="preserve"> </w:t>
      </w:r>
      <w:r>
        <w:t xml:space="preserve">increased methane emissions. Conversely, the environmental risk of (fossil) waste diversion to</w:t>
      </w:r>
      <w:r>
        <w:t xml:space="preserve"> </w:t>
      </w:r>
      <w:r>
        <w:t xml:space="preserve">landfills is further assessed in section 1.7.1.2.1.</w:t>
      </w:r>
      <w:r>
        <w:t xml:space="preserve"> </w:t>
      </w:r>
      <w:r>
        <w:t xml:space="preserve">Second, extending the EU ETS to non-hazardous waste incineration installations would</w:t>
      </w:r>
      <w:r>
        <w:t xml:space="preserve"> </w:t>
      </w:r>
      <w:r>
        <w:t xml:space="preserve">harmonise the application of the polluter-pays principle within the waste incineration sector,</w:t>
      </w:r>
      <w:r>
        <w:t xml:space="preserve"> </w:t>
      </w:r>
      <w:r>
        <w:t xml:space="preserve">addressing the current heterogeneous coverage of emissions from waste incineration depending</w:t>
      </w:r>
      <w:r>
        <w:t xml:space="preserve"> </w:t>
      </w:r>
      <w:r>
        <w:t xml:space="preserve">on the waste type and Member States’ classification of installations. In addition, an extension</w:t>
      </w:r>
      <w:r>
        <w:t xml:space="preserve"> </w:t>
      </w:r>
      <w:r>
        <w:t xml:space="preserve">would support a level playing field for the application of the polluter-pays between sectors,</w:t>
      </w:r>
      <w:r>
        <w:t xml:space="preserve"> </w:t>
      </w:r>
      <w:r>
        <w:t xml:space="preserve">notably with the co-incineration of waste in industrial installations (e.g. cement kilns) and</w:t>
      </w:r>
      <w:r>
        <w:t xml:space="preserve"> </w:t>
      </w:r>
      <w:r>
        <w:t xml:space="preserve">power generation already in EU ETS. Finally, an extension would also harmonise the</w:t>
      </w:r>
      <w:r>
        <w:t xml:space="preserve"> </w:t>
      </w:r>
      <w:r>
        <w:t xml:space="preserve">application of the polluter-pays principle between Member States, addressing competitive</w:t>
      </w:r>
      <w:r>
        <w:t xml:space="preserve"> </w:t>
      </w:r>
      <w:r>
        <w:t xml:space="preserve">distortions resulting from the current differentiated carbon pricing of waste-to-energy</w:t>
      </w:r>
      <w:r>
        <w:t xml:space="preserve"> </w:t>
      </w:r>
      <w:r>
        <w:t xml:space="preserve">installations in selected Member States (Denmark, Sweden, Lithuania, Germany, the</w:t>
      </w:r>
      <w:r>
        <w:t xml:space="preserve"> </w:t>
      </w:r>
      <w:r>
        <w:t xml:space="preserve">Netherlands). Nearly one third of respondents in the OPC who supported an inclusion of MWI</w:t>
      </w:r>
      <w:r>
        <w:t xml:space="preserve"> </w:t>
      </w:r>
      <w:r>
        <w:t xml:space="preserve">into the EU ETS substantiated their support to ensure a level playing field between sectors and</w:t>
      </w:r>
      <w:r>
        <w:t xml:space="preserve"> </w:t>
      </w:r>
      <w:r>
        <w:t xml:space="preserve">maximise cost-effectiveness of emission reductions, while it was also raised by multiple</w:t>
      </w:r>
      <w:r>
        <w:t xml:space="preserve"> </w:t>
      </w:r>
      <w:r>
        <w:t xml:space="preserve">stakeholders in position papers and during the interviews. On the other hand, W1 carries a risk</w:t>
      </w:r>
      <w:r>
        <w:t xml:space="preserve"> </w:t>
      </w:r>
      <w:r>
        <w:t xml:space="preserve">of uneven distribution of the carbon price incentive across the EU, given the diverse range of</w:t>
      </w:r>
      <w:r>
        <w:t xml:space="preserve"> </w:t>
      </w:r>
      <w:r>
        <w:t xml:space="preserve">incineration shares across Member States. A ‘three-speed Europe’ can be observed in terms of</w:t>
      </w:r>
      <w:r>
        <w:t xml:space="preserve"> </w:t>
      </w:r>
      <w:r>
        <w:t xml:space="preserve">incineration rates, with a share of Member States having high incineration capacity and low to</w:t>
      </w:r>
      <w:r>
        <w:t xml:space="preserve"> </w:t>
      </w:r>
      <w:r>
        <w:t xml:space="preserve">zero landfilling, a share of Member States transitioning from landfilling to incineration, and</w:t>
      </w:r>
      <w:r>
        <w:t xml:space="preserve"> </w:t>
      </w:r>
      <w:r>
        <w:t xml:space="preserve">another share of Member States remaining heavily reliant on landfilling and having no or</w:t>
      </w:r>
      <w:r>
        <w:t xml:space="preserve"> </w:t>
      </w:r>
      <w:r>
        <w:t xml:space="preserve">almost no incineration capacity. Under W1, the carbon price would not directly affect waste</w:t>
      </w:r>
      <w:r>
        <w:t xml:space="preserve"> </w:t>
      </w:r>
      <w:r>
        <w:t xml:space="preserve">management in the latter Member States.</w:t>
      </w:r>
      <w:r>
        <w:br/>
      </w:r>
      <w:r>
        <w:t xml:space="preserve">1.7.1.1.2.</w:t>
      </w:r>
      <w:r>
        <w:t xml:space="preserve"> </w:t>
      </w:r>
      <w:r>
        <w:t xml:space="preserve">W2 - EU ETS expansion to non-hazardous and hazardous waste</w:t>
      </w:r>
      <w:r>
        <w:t xml:space="preserve"> </w:t>
      </w:r>
      <w:r>
        <w:t xml:space="preserve">incineration’</w:t>
      </w:r>
      <w:r>
        <w:br/>
      </w:r>
      <w:r>
        <w:t xml:space="preserve">In addition to W1, under W2, the carbon price signal is also applied to hazardous waste</w:t>
      </w:r>
      <w:r>
        <w:t xml:space="preserve"> </w:t>
      </w:r>
      <w:r>
        <w:t xml:space="preserve">incineration (HWI). A detailed analysis of cost-effective emissions reductions under W2 was</w:t>
      </w:r>
      <w:r>
        <w:t xml:space="preserve"> </w:t>
      </w:r>
      <w:r>
        <w:t xml:space="preserve">not possible due to data limitations on current HWI emissions. HWI emissions were</w:t>
      </w:r>
      <w:r>
        <w:t xml:space="preserve"> </w:t>
      </w:r>
      <w:r>
        <w:t xml:space="preserve">approximated in Section 1.2.2. to amount to around 3.15 MtCO2e (2022). The establishment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of the cap increase and modelling of cost-effective emissions reductions under the LRF would</w:t>
      </w:r>
      <w:r>
        <w:t xml:space="preserve"> </w:t>
      </w:r>
      <w:r>
        <w:t xml:space="preserve">ideally require more accurate MRV data to be collected prior to inclusion. However, the cost-</w:t>
      </w:r>
      <w:r>
        <w:t xml:space="preserve"> </w:t>
      </w:r>
      <w:r>
        <w:t xml:space="preserve">effective emission reduction potential for HWI is expected to be more limited compared to W1</w:t>
      </w:r>
      <w:r>
        <w:t xml:space="preserve"> </w:t>
      </w:r>
      <w:r>
        <w:t xml:space="preserve">in view of these waste streams more regularly originating from products with limited recycling</w:t>
      </w:r>
      <w:r>
        <w:t xml:space="preserve"> </w:t>
      </w:r>
      <w:r>
        <w:t xml:space="preserve">potential and a lack of viable alternatives for the hygienic and environmentally sound disposal</w:t>
      </w:r>
      <w:r>
        <w:t xml:space="preserve"> </w:t>
      </w:r>
      <w:r>
        <w:t xml:space="preserve">of non-recyclable hazardous waste in view of strict regulatory requirements.</w:t>
      </w:r>
      <w:r>
        <w:br/>
      </w:r>
      <w:r>
        <w:t xml:space="preserve">There was no majority for the inclusion of installations for the incineration of hazardous waste</w:t>
      </w:r>
      <w:r>
        <w:t xml:space="preserve"> </w:t>
      </w:r>
      <w:r>
        <w:t xml:space="preserve">in the EU ETS among stakeholders in the OPC, with a relative majority of just over one third</w:t>
      </w:r>
      <w:r>
        <w:t xml:space="preserve"> </w:t>
      </w:r>
      <w:r>
        <w:t xml:space="preserve">against, versus one third in favour and one third uncertain. The main arguments against</w:t>
      </w:r>
      <w:r>
        <w:t xml:space="preserve"> </w:t>
      </w:r>
      <w:r>
        <w:t xml:space="preserve">inclusion of HWI were the stricter regulatory requirements and more limited alternatives in</w:t>
      </w:r>
      <w:r>
        <w:t xml:space="preserve"> </w:t>
      </w:r>
      <w:r>
        <w:t xml:space="preserve">safely handling hazardous waste and potential risks to public health and safety compared to</w:t>
      </w:r>
      <w:r>
        <w:t xml:space="preserve"> </w:t>
      </w:r>
      <w:r>
        <w:t xml:space="preserve">MWI, the public-service role and lack of control over upstream hazardous waste production,</w:t>
      </w:r>
      <w:r>
        <w:t xml:space="preserve"> </w:t>
      </w:r>
      <w:r>
        <w:t xml:space="preserve">and limited fuel-switch options due to the need for destruction at high temperatures. One of the</w:t>
      </w:r>
      <w:r>
        <w:t xml:space="preserve"> </w:t>
      </w:r>
      <w:r>
        <w:t xml:space="preserve">most frequently raised grounds in favour of including HWI installations was to uphold the</w:t>
      </w:r>
      <w:r>
        <w:t xml:space="preserve"> </w:t>
      </w:r>
      <w:r>
        <w:t xml:space="preserve">polluter pays principle by enhancing coherence and a level playing field between incineration</w:t>
      </w:r>
      <w:r>
        <w:t xml:space="preserve"> </w:t>
      </w:r>
      <w:r>
        <w:t xml:space="preserve">activities, and that some MWI installations hold permits also for some hazardous waste</w:t>
      </w:r>
      <w:r>
        <w:t xml:space="preserve"> </w:t>
      </w:r>
      <w:r>
        <w:t xml:space="preserve">fractions (the other main argument being to incentivise cleaner technologies and cleaner</w:t>
      </w:r>
      <w:r>
        <w:t xml:space="preserve"> </w:t>
      </w:r>
      <w:r>
        <w:t xml:space="preserve">consumer choices).</w:t>
      </w:r>
      <w:r>
        <w:br/>
      </w:r>
      <w:r>
        <w:t xml:space="preserve">1.7.1.1.3.</w:t>
      </w:r>
      <w:r>
        <w:t xml:space="preserve"> </w:t>
      </w:r>
      <w:r>
        <w:t xml:space="preserve">W3 ‘EU ETS expansion to non-hazardous and hazardous waste</w:t>
      </w:r>
      <w:r>
        <w:t xml:space="preserve"> </w:t>
      </w:r>
      <w:r>
        <w:t xml:space="preserve">incineration as well as non-hazardous landfills’</w:t>
      </w:r>
      <w:r>
        <w:br/>
      </w:r>
      <w:r>
        <w:t xml:space="preserve">Methane emissions from landfills are responsible for the largest share of emissions from EU</w:t>
      </w:r>
      <w:r>
        <w:t xml:space="preserve"> </w:t>
      </w:r>
      <w:r>
        <w:t xml:space="preserve">waste management, with many Member States still seeing high landfill rates, despite an overall</w:t>
      </w:r>
      <w:r>
        <w:t xml:space="preserve"> </w:t>
      </w:r>
      <w:r>
        <w:t xml:space="preserve">decrease over the past decades. Landfills are a persisting source of methane (CH₄), which is a</w:t>
      </w:r>
      <w:r>
        <w:t xml:space="preserve"> </w:t>
      </w:r>
      <w:r>
        <w:t xml:space="preserve">more potent GHG than CO2130. Contrary to MWI, EU and national regulatory frameworks are</w:t>
      </w:r>
      <w:r>
        <w:t xml:space="preserve"> </w:t>
      </w:r>
      <w:r>
        <w:t xml:space="preserve">currently in place to reduce landfills and landfill emissions (Landfill Directive and national</w:t>
      </w:r>
      <w:r>
        <w:t xml:space="preserve"> </w:t>
      </w:r>
      <w:r>
        <w:t xml:space="preserve">bans on landfilling of organic and combustible waste) which, when implemented effectively,</w:t>
      </w:r>
      <w:r>
        <w:t xml:space="preserve"> </w:t>
      </w:r>
      <w:r>
        <w:t xml:space="preserve">have been successful in several Member States in reducing emissions from non-hazardous</w:t>
      </w:r>
      <w:r>
        <w:t xml:space="preserve"> </w:t>
      </w:r>
      <w:r>
        <w:t xml:space="preserve">landfills.</w:t>
      </w:r>
      <w:r>
        <w:t xml:space="preserve"> </w:t>
      </w:r>
      <w:r>
        <w:t xml:space="preserve">The uncertainty in the quantification of methane emissions from landfills remains high.</w:t>
      </w:r>
      <w:r>
        <w:t xml:space="preserve"> </w:t>
      </w:r>
      <w:r>
        <w:t xml:space="preserve">Reported emissions based on reference values range from 74 MtCO2eq (based on ‘historical</w:t>
      </w:r>
      <w:r>
        <w:t xml:space="preserve"> </w:t>
      </w:r>
      <w:r>
        <w:t xml:space="preserve">emissions’, i.e. emissions in a given year resulting from historical and current waste disposed</w:t>
      </w:r>
      <w:r>
        <w:t xml:space="preserve"> </w:t>
      </w:r>
      <w:r>
        <w:t xml:space="preserve">in landfills) to 82 MtCO2eq (based on ‘future emissions’, i.e. all emissions expected over the</w:t>
      </w:r>
      <w:r>
        <w:t xml:space="preserve"> </w:t>
      </w:r>
      <w:r>
        <w:t xml:space="preserve">lifetime of the waste disposed in a given year), depending on the methodology used (see Section</w:t>
      </w:r>
      <w:r>
        <w:t xml:space="preserve"> </w:t>
      </w:r>
      <w:r>
        <w:t xml:space="preserve">1.2.3.). Under both approaches, emissions exceed those from aviation currently under the EU</w:t>
      </w:r>
      <w:r>
        <w:t xml:space="preserve"> </w:t>
      </w:r>
      <w:r>
        <w:t xml:space="preserve">ETS. The assessment of abatement options for landfills suggests a relatively high potential for</w:t>
      </w:r>
      <w:r>
        <w:t xml:space="preserve"> </w:t>
      </w:r>
      <w:r>
        <w:t xml:space="preserve">cost-effective emissions reductions, for which the carbon price could be an important incentive</w:t>
      </w:r>
      <w:r>
        <w:t xml:space="preserve"> </w:t>
      </w:r>
      <w:r>
        <w:t xml:space="preserve">(see Section 1.3.). The establishment of the cap increase and modelling of cost-effective</w:t>
      </w:r>
      <w:r>
        <w:t xml:space="preserve"> </w:t>
      </w:r>
      <w:r>
        <w:t xml:space="preserve">emissions reductions under the LRF would ideally require more accurate and harmonised MRV</w:t>
      </w:r>
      <w:r>
        <w:t xml:space="preserve"> </w:t>
      </w:r>
      <w:r>
        <w:t xml:space="preserve">data to be collected prior to inclusion. Emissions from non-hazardous landfilling are projected</w:t>
      </w:r>
      <w:r>
        <w:t xml:space="preserve"> </w:t>
      </w:r>
      <w:r>
        <w:t xml:space="preserve">to continue to gradually decrease by 2040 if the existing regulatory framework is fully enforced</w:t>
      </w:r>
      <w:r>
        <w:t xml:space="preserve"> </w:t>
      </w:r>
      <w:r>
        <w:t xml:space="preserve">and implemented, in line with the trend over the previous decades (albeit at a below-potential</w:t>
      </w:r>
      <w:r>
        <w:t xml:space="preserve"> </w:t>
      </w:r>
      <w:r>
        <w:t xml:space="preserve">rate so far due to slow progress towards the landfill target in some Member States), with the</w:t>
      </w:r>
      <w:r>
        <w:t xml:space="preserve"> </w:t>
      </w:r>
      <w:r>
        <w:t xml:space="preserve">benefit of ETS inclusion being to increase certainty and provide complementary incentives to</w:t>
      </w:r>
    </w:p>
    <w:p>
      <w:pPr>
        <w:pStyle w:val="BodyText"/>
      </w:pPr>
      <w:r>
        <w:t xml:space="preserve">130 European Commission (2025). Methane emissions. Available at: https://energy.ec.europa.eu/topics/carbon-</w:t>
      </w:r>
      <w:r>
        <w:t xml:space="preserve"> </w:t>
      </w:r>
      <w:r>
        <w:t xml:space="preserve">management-and-fossil-fuels/methane-</w:t>
      </w:r>
      <w:r>
        <w:t xml:space="preserve"> </w:t>
      </w:r>
      <w:r>
        <w:t xml:space="preserve">emissions_en#:~:text=On%20a%20100%2Dyear%20timescale,on%20a%2020%2Dyear%20timescale.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achieve these reductions in view of the current slow progress towards the landfill target in some</w:t>
      </w:r>
      <w:r>
        <w:t xml:space="preserve"> </w:t>
      </w:r>
      <w:r>
        <w:t xml:space="preserve">Member States.</w:t>
      </w:r>
      <w:r>
        <w:br/>
      </w:r>
      <w:r>
        <w:t xml:space="preserve">An extension of the carbon price to emissions from landfills would have to consider whether</w:t>
      </w:r>
      <w:r>
        <w:t xml:space="preserve"> </w:t>
      </w:r>
      <w:r>
        <w:t xml:space="preserve">to include only emissions from future waste disposal or also emissions from waste disposed</w:t>
      </w:r>
      <w:r>
        <w:t xml:space="preserve"> </w:t>
      </w:r>
      <w:r>
        <w:t xml:space="preserve">prior to the application of the carbon price. A significant proportion of landfill emissions are</w:t>
      </w:r>
      <w:r>
        <w:t xml:space="preserve"> </w:t>
      </w:r>
      <w:r>
        <w:t xml:space="preserve">expected to be a result of waste disposed of in the past as the emissions are produced by the</w:t>
      </w:r>
      <w:r>
        <w:t xml:space="preserve"> </w:t>
      </w:r>
      <w:r>
        <w:t xml:space="preserve">ongoing anaerobic decay of organic material deposited years or decades earlier. The scope of</w:t>
      </w:r>
      <w:r>
        <w:t xml:space="preserve"> </w:t>
      </w:r>
      <w:r>
        <w:t xml:space="preserve">coverage needs to consider not only the environmental impact of the scope, but also the</w:t>
      </w:r>
      <w:r>
        <w:t xml:space="preserve"> </w:t>
      </w:r>
      <w:r>
        <w:t xml:space="preserve">feasibility of establishing a robust MRV, economic costs and abatement options. Extending the</w:t>
      </w:r>
      <w:r>
        <w:t xml:space="preserve"> </w:t>
      </w:r>
      <w:r>
        <w:t xml:space="preserve">carbon price to historical emissions from landfills would provide a more extensive coverage of</w:t>
      </w:r>
      <w:r>
        <w:t xml:space="preserve"> </w:t>
      </w:r>
      <w:r>
        <w:t xml:space="preserve">the polluter-pays-principle compared to applying the carbon price only to future emissions</w:t>
      </w:r>
      <w:r>
        <w:t xml:space="preserve"> </w:t>
      </w:r>
      <w:r>
        <w:t xml:space="preserve">from landfills. The MRV and economic considerations are assessed in the subsequent sections.</w:t>
      </w:r>
      <w:r>
        <w:t xml:space="preserve"> </w:t>
      </w:r>
      <w:r>
        <w:t xml:space="preserve">1.7.1.2.</w:t>
      </w:r>
      <w:r>
        <w:t xml:space="preserve"> </w:t>
      </w:r>
      <w:r>
        <w:t xml:space="preserve">Other environmental impacts</w:t>
      </w:r>
      <w:r>
        <w:t xml:space="preserve"> </w:t>
      </w:r>
      <w:r>
        <w:t xml:space="preserve">1.7.1.2.1.</w:t>
      </w:r>
      <w:r>
        <w:t xml:space="preserve"> </w:t>
      </w:r>
      <w:r>
        <w:t xml:space="preserve">W1 ‘EU ETS expansion to non-hazardous waste incineration’</w:t>
      </w:r>
      <w:r>
        <w:br/>
      </w:r>
      <w:r>
        <w:t xml:space="preserve">By incentivising waste reduction and increased recycling, the extension of the carbon price</w:t>
      </w:r>
      <w:r>
        <w:t xml:space="preserve"> </w:t>
      </w:r>
      <w:r>
        <w:t xml:space="preserve">signal to MWI will contribute to the environmental policy framework objectives to reduce</w:t>
      </w:r>
      <w:r>
        <w:t xml:space="preserve"> </w:t>
      </w:r>
      <w:r>
        <w:t xml:space="preserve">environmental (non-GHG) pollution (e.g. Industrial Emissions Directive, Landfill Directive)</w:t>
      </w:r>
      <w:r>
        <w:t xml:space="preserve"> </w:t>
      </w:r>
      <w:r>
        <w:t xml:space="preserve">and to move waste higher up the waste hierarchy (e.g. Waste Framework Directive, Packaging</w:t>
      </w:r>
      <w:r>
        <w:t xml:space="preserve"> </w:t>
      </w:r>
      <w:r>
        <w:t xml:space="preserve">and Packaging Waste Regulation).</w:t>
      </w:r>
      <w:r>
        <w:br/>
      </w:r>
      <w:r>
        <w:t xml:space="preserve">First, action is needed at different levels to move waste up the waste hierarchy, from upstream</w:t>
      </w:r>
      <w:r>
        <w:t xml:space="preserve"> </w:t>
      </w:r>
      <w:r>
        <w:t xml:space="preserve">improvements in product design to facilitate recyclability and increase recycled content, to</w:t>
      </w:r>
      <w:r>
        <w:t xml:space="preserve"> </w:t>
      </w:r>
      <w:r>
        <w:t xml:space="preserve">waste prevention and effective sorting at consumption level, and separate waste collection and</w:t>
      </w:r>
      <w:r>
        <w:t xml:space="preserve"> </w:t>
      </w:r>
      <w:r>
        <w:t xml:space="preserve">expanding recycling capacity. Extending carbon pricing to GHG emissions from waste</w:t>
      </w:r>
      <w:r>
        <w:t xml:space="preserve"> </w:t>
      </w:r>
      <w:r>
        <w:t xml:space="preserve">incineration can provide an important complementary financial incentive supporting the</w:t>
      </w:r>
      <w:r>
        <w:t xml:space="preserve"> </w:t>
      </w:r>
      <w:r>
        <w:t xml:space="preserve">circular economy by making waste prevention, recycling and reuse more financially</w:t>
      </w:r>
      <w:r>
        <w:t xml:space="preserve"> </w:t>
      </w:r>
      <w:r>
        <w:t xml:space="preserve">competitive through the application of a carbon price on waste management processes further</w:t>
      </w:r>
      <w:r>
        <w:t xml:space="preserve"> </w:t>
      </w:r>
      <w:r>
        <w:t xml:space="preserve">down the waste hierarchy. By internalising the carbon footprint of non-hazardous waste</w:t>
      </w:r>
      <w:r>
        <w:t xml:space="preserve"> </w:t>
      </w:r>
      <w:r>
        <w:t xml:space="preserve">incineration, W1 would incentivise more efficient material flows through improved separate</w:t>
      </w:r>
      <w:r>
        <w:t xml:space="preserve"> </w:t>
      </w:r>
      <w:r>
        <w:t xml:space="preserve">waste collection, sorting and material recovery. The most frequently cited argument among</w:t>
      </w:r>
      <w:r>
        <w:t xml:space="preserve"> </w:t>
      </w:r>
      <w:r>
        <w:t xml:space="preserve">OPC respondents in support of MWI inclusion was to incentivise recycling higher up the waste</w:t>
      </w:r>
      <w:r>
        <w:t xml:space="preserve"> </w:t>
      </w:r>
      <w:r>
        <w:t xml:space="preserve">hierarchy. On the other hand, W1 carries a risk of waste diversion to landfills, especially for</w:t>
      </w:r>
      <w:r>
        <w:t xml:space="preserve"> </w:t>
      </w:r>
      <w:r>
        <w:t xml:space="preserve">fossil waste streams, which would contradict the waste hierarchy. The risk would not be</w:t>
      </w:r>
      <w:r>
        <w:t xml:space="preserve"> </w:t>
      </w:r>
      <w:r>
        <w:t xml:space="preserve">uniform across the EU and is crucially dependent on the effective enforcement and</w:t>
      </w:r>
      <w:r>
        <w:t xml:space="preserve"> </w:t>
      </w:r>
      <w:r>
        <w:t xml:space="preserve">implementation of the existing regulatory framework. Landfilling is currently the cheapest</w:t>
      </w:r>
      <w:r>
        <w:t xml:space="preserve"> </w:t>
      </w:r>
      <w:r>
        <w:t xml:space="preserve">disposal route in Member States where bans or high taxation are not in place. Higher</w:t>
      </w:r>
      <w:r>
        <w:t xml:space="preserve"> </w:t>
      </w:r>
      <w:r>
        <w:t xml:space="preserve">compliance and operational costs for municipal waste incineration may further incentivise</w:t>
      </w:r>
      <w:r>
        <w:t xml:space="preserve"> </w:t>
      </w:r>
      <w:r>
        <w:t xml:space="preserve">some operators or waste producers to look for cheaper treatment or disposal routes, chiefly</w:t>
      </w:r>
      <w:r>
        <w:t xml:space="preserve"> </w:t>
      </w:r>
      <w:r>
        <w:t xml:space="preserve">landfilling, where strict regulatory of fiscal policies closing the gap are not in place. This</w:t>
      </w:r>
      <w:r>
        <w:t xml:space="preserve"> </w:t>
      </w:r>
      <w:r>
        <w:t xml:space="preserve">concern was also consistently raised in the public consultation by almost half of the respondents</w:t>
      </w:r>
      <w:r>
        <w:t xml:space="preserve"> </w:t>
      </w:r>
      <w:r>
        <w:t xml:space="preserve">who oppose MWI inclusion, while several respondents supporting MWI inclusion also linked</w:t>
      </w:r>
      <w:r>
        <w:t xml:space="preserve"> </w:t>
      </w:r>
      <w:r>
        <w:t xml:space="preserve">their support to addressing potential unintended consequences in terms of landfill diversion.</w:t>
      </w:r>
      <w:r>
        <w:t xml:space="preserve"> </w:t>
      </w:r>
      <w:r>
        <w:t xml:space="preserve">Their views were divided, however, on the appropriate approach to achieve this, whether</w:t>
      </w:r>
      <w:r>
        <w:t xml:space="preserve"> </w:t>
      </w:r>
      <w:r>
        <w:t xml:space="preserve">regulatory (e.g. stronger enforcement or advancing implementation of targets under the</w:t>
      </w:r>
      <w:r>
        <w:t xml:space="preserve"> </w:t>
      </w:r>
      <w:r>
        <w:t xml:space="preserve">Landfill Directive), fiscal (taxation or levies) or carbon pricing (inclusion in the EU ETS).</w:t>
      </w:r>
      <w:r>
        <w:t xml:space="preserve"> </w:t>
      </w:r>
      <w:r>
        <w:t xml:space="preserve">Experience of landfill development across the EU also confirms that mitigating the risk of</w:t>
      </w:r>
      <w:r>
        <w:t xml:space="preserve"> </w:t>
      </w:r>
      <w:r>
        <w:t xml:space="preserve">landfill diversion is crucially dependent on effective implementation and enforcement of the</w:t>
      </w:r>
      <w:r>
        <w:t xml:space="preserve"> </w:t>
      </w:r>
      <w:r>
        <w:t xml:space="preserve">waste policy framework to discourage landfilling. Member States effectively banning or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(heavily) taxing landfilling of waste have generally achieved low landfilling levels, effectively</w:t>
      </w:r>
      <w:r>
        <w:t xml:space="preserve"> </w:t>
      </w:r>
      <w:r>
        <w:t xml:space="preserve">deterring diversion and directing waste up the waste hierarchy. This evidence also holds for</w:t>
      </w:r>
      <w:r>
        <w:t xml:space="preserve"> </w:t>
      </w:r>
      <w:r>
        <w:t xml:space="preserve">Member States currently already applying carbon pricing to municipal waste incineration, with</w:t>
      </w:r>
      <w:r>
        <w:t xml:space="preserve"> </w:t>
      </w:r>
      <w:r>
        <w:t xml:space="preserve">landfill rates having continued to decrease in Denmark, Germany, Lithuania and Sweden since</w:t>
      </w:r>
      <w:r>
        <w:t xml:space="preserve"> </w:t>
      </w:r>
      <w:r>
        <w:t xml:space="preserve">inclusion of the incineration sector in the ETS.</w:t>
      </w:r>
      <w:r>
        <w:t xml:space="preserve"> </w:t>
      </w:r>
      <w:r>
        <w:t xml:space="preserve">Second, by incentivising waste reduction, extending carbon pricing under W1 will further</w:t>
      </w:r>
      <w:r>
        <w:t xml:space="preserve"> </w:t>
      </w:r>
      <w:r>
        <w:t xml:space="preserve">contribute to reduce non-GHG air pollutant emissions from MWI. The average net (non-GHG)</w:t>
      </w:r>
      <w:r>
        <w:t xml:space="preserve"> </w:t>
      </w:r>
      <w:r>
        <w:t xml:space="preserve">environmental life cycle costs of overall waste management in the EU-27 have recently been</w:t>
      </w:r>
      <w:r>
        <w:t xml:space="preserve"> </w:t>
      </w:r>
      <w:r>
        <w:t xml:space="preserve">estimated at 162 EUR/tonne of waste, with incineration and landfilling one of the main cost</w:t>
      </w:r>
      <w:r>
        <w:t xml:space="preserve"> </w:t>
      </w:r>
      <w:r>
        <w:t xml:space="preserve">drivers131, with Member States with high recycling rates having lower environmental life cycle</w:t>
      </w:r>
      <w:r>
        <w:t xml:space="preserve"> </w:t>
      </w:r>
      <w:r>
        <w:t xml:space="preserve">costs than those with high disposal rates. MWI is a substantial source of particulate matter</w:t>
      </w:r>
      <w:r>
        <w:t xml:space="preserve"> </w:t>
      </w:r>
      <w:r>
        <w:t xml:space="preserve">(PM2.5 and PM10) and polycyclic aromatic hydrocarbons (PAHs), which contribute to</w:t>
      </w:r>
      <w:r>
        <w:t xml:space="preserve"> </w:t>
      </w:r>
      <w:r>
        <w:t xml:space="preserve">respiratory and heart problems, and sulphur dioxide (SO2) and nitrogen oxides (NOx), which</w:t>
      </w:r>
      <w:r>
        <w:t xml:space="preserve"> </w:t>
      </w:r>
      <w:r>
        <w:t xml:space="preserve">contribute to acid rain and local smog. Typical emission factors for modern EU plants are</w:t>
      </w:r>
      <w:r>
        <w:t xml:space="preserve"> </w:t>
      </w:r>
      <w:r>
        <w:t xml:space="preserve">roughly 1.07 kg NOₓ per tonne of waste, 0.087 kg SO2 per tonne, and 0.03 kg PM per tonne,</w:t>
      </w:r>
      <w:r>
        <w:t xml:space="preserve"> </w:t>
      </w:r>
      <w:r>
        <w:t xml:space="preserve">alongside trace emissions of heavy metals (lead, mercury) and highly toxic persistent organic</w:t>
      </w:r>
      <w:r>
        <w:t xml:space="preserve"> </w:t>
      </w:r>
      <w:r>
        <w:t xml:space="preserve">pollutants (dioxins, furans) measured in nanograms per tonne of waste. These pollutants are</w:t>
      </w:r>
      <w:r>
        <w:t xml:space="preserve"> </w:t>
      </w:r>
      <w:r>
        <w:t xml:space="preserve">regulated by the IED and adopted BREF conclusions. However, pollutants can concentrate in</w:t>
      </w:r>
      <w:r>
        <w:t xml:space="preserve"> </w:t>
      </w:r>
      <w:r>
        <w:t xml:space="preserve">the resulting ash and residues, and total emissions remain notable due to the scale of</w:t>
      </w:r>
      <w:r>
        <w:t xml:space="preserve"> </w:t>
      </w:r>
      <w:r>
        <w:t xml:space="preserve">incineration capacity. Changes in the emission to air of different pollutants (see Figure) by EU</w:t>
      </w:r>
      <w:r>
        <w:t xml:space="preserve"> </w:t>
      </w:r>
      <w:r>
        <w:t xml:space="preserve">incineration facilities varied between 2010 and 2022, showing either increasing or decreasing</w:t>
      </w:r>
      <w:r>
        <w:t xml:space="preserve"> </w:t>
      </w:r>
      <w:r>
        <w:t xml:space="preserve">trends, with a more stable path since 2017132. The potential for additional environmental costs</w:t>
      </w:r>
      <w:r>
        <w:t xml:space="preserve"> </w:t>
      </w:r>
      <w:r>
        <w:t xml:space="preserve">reduction at EU27 level through increased recycling and reduced disposal has been estimated</w:t>
      </w:r>
      <w:r>
        <w:t xml:space="preserve"> </w:t>
      </w:r>
      <w:r>
        <w:t xml:space="preserve">at EUR 8.4 billion annually133.</w:t>
      </w:r>
      <w:r>
        <w:t xml:space="preserve"> </w:t>
      </w:r>
      <w:r>
        <w:t xml:space="preserve">The risk of waste diversion to HWI is limited given the technical and operational differences,</w:t>
      </w:r>
      <w:r>
        <w:t xml:space="preserve"> </w:t>
      </w:r>
      <w:r>
        <w:t xml:space="preserve">smaller capacity and higher incineration cost due to higher temperatures and 2-3 times higher</w:t>
      </w:r>
      <w:r>
        <w:t xml:space="preserve"> </w:t>
      </w:r>
      <w:r>
        <w:t xml:space="preserve">gate fees, and strict regulatory requirements. Still, there are MWI installations with permits to</w:t>
      </w:r>
      <w:r>
        <w:t xml:space="preserve"> </w:t>
      </w:r>
      <w:r>
        <w:t xml:space="preserve">also incinerate hazardous waste fractions (generally low-hazardous fractions that can be</w:t>
      </w:r>
      <w:r>
        <w:t xml:space="preserve"> </w:t>
      </w:r>
      <w:r>
        <w:t xml:space="preserve">incinerated at ‘standard’ temperature), for which a risk of waste misclassification under W1</w:t>
      </w:r>
      <w:r>
        <w:t xml:space="preserve"> </w:t>
      </w:r>
      <w:r>
        <w:t xml:space="preserve">cannot be fully ruled out but can be limited through careful boundary setting under the scope</w:t>
      </w:r>
      <w:r>
        <w:t xml:space="preserve"> </w:t>
      </w:r>
      <w:r>
        <w:t xml:space="preserve">and MRR framework.</w:t>
      </w:r>
      <w:r>
        <w:br/>
      </w:r>
      <w:r>
        <w:t xml:space="preserve">The risk of waste diversion to exports to third countries is considered to be limited. Member</w:t>
      </w:r>
      <w:r>
        <w:t xml:space="preserve"> </w:t>
      </w:r>
      <w:r>
        <w:t xml:space="preserve">States exported 11.4 million tonnes of waste outside of the EU in 2024 (excluding mineral and</w:t>
      </w:r>
      <w:r>
        <w:t xml:space="preserve"> </w:t>
      </w:r>
      <w:r>
        <w:t xml:space="preserve">metal waste)134. From November 2026 and May 2027, the EU will enforce stricter rules on</w:t>
      </w:r>
      <w:r>
        <w:t xml:space="preserve"> </w:t>
      </w:r>
      <w:r>
        <w:t xml:space="preserve">plastic and hazardous waste exports under the Waste Shipment Regulation; waste export to</w:t>
      </w:r>
      <w:r>
        <w:t xml:space="preserve"> </w:t>
      </w:r>
      <w:r>
        <w:t xml:space="preserve">non-OECD countries would be generally prohibited (with some exceptions) (see also Section</w:t>
      </w:r>
      <w:r>
        <w:t xml:space="preserve"> </w:t>
      </w:r>
      <w:r>
        <w:t xml:space="preserve">1.5.).</w:t>
      </w:r>
    </w:p>
    <w:p>
      <w:pPr>
        <w:pStyle w:val="BodyText"/>
      </w:pPr>
      <w:r>
        <w:t xml:space="preserve">131 Albizzati, P.F. (2024). A model to assess the environmental and economic impacts of municipal waste</w:t>
      </w:r>
      <w:r>
        <w:t xml:space="preserve"> </w:t>
      </w:r>
      <w:r>
        <w:t xml:space="preserve">management in Europe. Waste Management 174, p. 605-617.</w:t>
      </w:r>
      <w:r>
        <w:t xml:space="preserve"> </w:t>
      </w:r>
      <w:r>
        <w:t xml:space="preserve">132 EEA</w:t>
      </w:r>
      <w:r>
        <w:t xml:space="preserve"> </w:t>
      </w:r>
      <w:r>
        <w:t xml:space="preserve">(2025).</w:t>
      </w:r>
      <w:r>
        <w:t xml:space="preserve"> </w:t>
      </w:r>
      <w:r>
        <w:t xml:space="preserve">Pollutant</w:t>
      </w:r>
      <w:r>
        <w:t xml:space="preserve"> </w:t>
      </w:r>
      <w:r>
        <w:t xml:space="preserve">emissions</w:t>
      </w:r>
      <w:r>
        <w:t xml:space="preserve"> </w:t>
      </w:r>
      <w:r>
        <w:t xml:space="preserve">from</w:t>
      </w:r>
      <w:r>
        <w:t xml:space="preserve"> </w:t>
      </w:r>
      <w:r>
        <w:t xml:space="preserve">waste</w:t>
      </w:r>
      <w:r>
        <w:t xml:space="preserve"> </w:t>
      </w:r>
      <w:r>
        <w:t xml:space="preserve">incineration</w:t>
      </w:r>
      <w:r>
        <w:t xml:space="preserve"> </w:t>
      </w:r>
      <w:r>
        <w:t xml:space="preserve">(Indicator).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https://www.eea.europa.eu/en/european-zero-pollution-dashboards/indicators/pollutant-emissions-from-</w:t>
      </w:r>
      <w:r>
        <w:t xml:space="preserve"> </w:t>
      </w:r>
      <w:r>
        <w:t xml:space="preserve">waste-incineration-indicator</w:t>
      </w:r>
      <w:r>
        <w:br/>
      </w:r>
      <w:r>
        <w:t xml:space="preserve">133 Albizzati, P.F. (2024). A model to assess the environmental and economic impacts of municipal waste</w:t>
      </w:r>
      <w:r>
        <w:t xml:space="preserve"> </w:t>
      </w:r>
      <w:r>
        <w:t xml:space="preserve">management in Europe. Waste Management 174, p. 605-617.</w:t>
      </w:r>
      <w:r>
        <w:t xml:space="preserve"> </w:t>
      </w:r>
      <w:r>
        <w:t xml:space="preserve">134 Eurostat</w:t>
      </w:r>
      <w:r>
        <w:t xml:space="preserve"> </w:t>
      </w:r>
      <w:r>
        <w:t xml:space="preserve">(2025).</w:t>
      </w:r>
      <w:r>
        <w:t xml:space="preserve"> </w:t>
      </w:r>
      <w:r>
        <w:t xml:space="preserve">Trade</w:t>
      </w:r>
      <w:r>
        <w:t xml:space="preserve"> </w:t>
      </w:r>
      <w:r>
        <w:t xml:space="preserve">in</w:t>
      </w:r>
      <w:r>
        <w:t xml:space="preserve"> </w:t>
      </w:r>
      <w:r>
        <w:t xml:space="preserve">waste</w:t>
      </w:r>
      <w:r>
        <w:t xml:space="preserve"> </w:t>
      </w:r>
      <w:r>
        <w:t xml:space="preserve">by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material</w:t>
      </w:r>
      <w:r>
        <w:t xml:space="preserve"> </w:t>
      </w:r>
      <w:r>
        <w:t xml:space="preserve">and</w:t>
      </w:r>
      <w:r>
        <w:t xml:space="preserve"> </w:t>
      </w:r>
      <w:r>
        <w:t xml:space="preserve">partner.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https://ec.europa.eu/eurostat/databrowser/view/env_wastrdmp__custom_19587397/default/table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1.7.1.2.2.</w:t>
      </w:r>
      <w:r>
        <w:t xml:space="preserve"> </w:t>
      </w:r>
      <w:r>
        <w:t xml:space="preserve">W2 - EU ETS expansion to non-hazardous and hazardous waste</w:t>
      </w:r>
      <w:r>
        <w:t xml:space="preserve"> </w:t>
      </w:r>
      <w:r>
        <w:t xml:space="preserve">incineration’</w:t>
      </w:r>
      <w:r>
        <w:br/>
      </w:r>
      <w:r>
        <w:t xml:space="preserve">In addition to the assessment of the impacts under measure W1, W2 addresses any residual risk</w:t>
      </w:r>
      <w:r>
        <w:t xml:space="preserve"> </w:t>
      </w:r>
      <w:r>
        <w:t xml:space="preserve">of waste diversion and waste misclassification to HWI under W1. The risk of diversion to</w:t>
      </w:r>
      <w:r>
        <w:t xml:space="preserve"> </w:t>
      </w:r>
      <w:r>
        <w:t xml:space="preserve">landfills is considered overall smaller than for W1, as landfilling or improper treatment of</w:t>
      </w:r>
      <w:r>
        <w:t xml:space="preserve"> </w:t>
      </w:r>
      <w:r>
        <w:t xml:space="preserve">hazardous waste is either prohibited or strictly controlled under EU and national legislation.</w:t>
      </w:r>
      <w:r>
        <w:t xml:space="preserve"> </w:t>
      </w:r>
      <w:r>
        <w:t xml:space="preserve">Hazardous waste export to facilities outside the EU ETS is likewise considered unlikely for the</w:t>
      </w:r>
      <w:r>
        <w:t xml:space="preserve"> </w:t>
      </w:r>
      <w:r>
        <w:t xml:space="preserve">same reasons.</w:t>
      </w:r>
      <w:r>
        <w:br/>
      </w:r>
      <w:r>
        <w:t xml:space="preserve">In terms of reducing environmental pollutant emissions and incentivising waste management</w:t>
      </w:r>
      <w:r>
        <w:t xml:space="preserve"> </w:t>
      </w:r>
      <w:r>
        <w:t xml:space="preserve">higher up the waste hierarchy, the additional impact of W2 is expected to be more limited</w:t>
      </w:r>
      <w:r>
        <w:t xml:space="preserve"> </w:t>
      </w:r>
      <w:r>
        <w:t xml:space="preserve">compared to the impact of W1 as there is generally lower flexibility in treatment options for</w:t>
      </w:r>
      <w:r>
        <w:t xml:space="preserve"> </w:t>
      </w:r>
      <w:r>
        <w:t xml:space="preserve">materials that cannot be safely recycled, recovered, or treated by other means compared to</w:t>
      </w:r>
      <w:r>
        <w:t xml:space="preserve"> </w:t>
      </w:r>
      <w:r>
        <w:t xml:space="preserve">municipal waste due to stricter regulatory requirements. However, data on treatment on</w:t>
      </w:r>
      <w:r>
        <w:t xml:space="preserve"> </w:t>
      </w:r>
      <w:r>
        <w:t xml:space="preserve">hazardous waste in the EU indicates that while the amount of hazardous waste disposed through</w:t>
      </w:r>
      <w:r>
        <w:t xml:space="preserve"> </w:t>
      </w:r>
      <w:r>
        <w:t xml:space="preserve">landfills and incineration (without energy recovery) has substantially increased between 2004</w:t>
      </w:r>
      <w:r>
        <w:t xml:space="preserve"> </w:t>
      </w:r>
      <w:r>
        <w:t xml:space="preserve">and 2022, the amount of hazardous waste recycled and recovered has remained constant135,</w:t>
      </w:r>
      <w:r>
        <w:t xml:space="preserve"> </w:t>
      </w:r>
      <w:r>
        <w:t xml:space="preserve">suggesting room for improvement.</w:t>
      </w:r>
      <w:r>
        <w:t xml:space="preserve"> </w:t>
      </w:r>
      <w:r>
        <w:t xml:space="preserve">1.7.1.2.3.</w:t>
      </w:r>
      <w:r>
        <w:t xml:space="preserve"> </w:t>
      </w:r>
      <w:r>
        <w:t xml:space="preserve">W3 ‘EU ETS expansion to non-hazardous and hazardous waste</w:t>
      </w:r>
      <w:r>
        <w:t xml:space="preserve"> </w:t>
      </w:r>
      <w:r>
        <w:t xml:space="preserve">incineration as well as non-hazardous landfills’</w:t>
      </w:r>
      <w:r>
        <w:br/>
      </w:r>
      <w:r>
        <w:t xml:space="preserve">Compared to W1 and W2, the additional extension of the carbon price signal to landfilling</w:t>
      </w:r>
      <w:r>
        <w:t xml:space="preserve"> </w:t>
      </w:r>
      <w:r>
        <w:t xml:space="preserve">under W3 would further contribute to incentivising waste management higher up the waste</w:t>
      </w:r>
      <w:r>
        <w:t xml:space="preserve"> </w:t>
      </w:r>
      <w:r>
        <w:t xml:space="preserve">hierarchy and to reducing environmental pollutant emissions.</w:t>
      </w:r>
      <w:r>
        <w:t xml:space="preserve"> </w:t>
      </w:r>
      <w:r>
        <w:t xml:space="preserve">First, W3 would further support waste diversion up the waste hierarchy and contribute to</w:t>
      </w:r>
      <w:r>
        <w:t xml:space="preserve"> </w:t>
      </w:r>
      <w:r>
        <w:t xml:space="preserve">address the risk of diversion to landfills down the waste hierarchy under W1, by providing a</w:t>
      </w:r>
      <w:r>
        <w:t xml:space="preserve"> </w:t>
      </w:r>
      <w:r>
        <w:t xml:space="preserve">level playing field, but continues to carry a risk of possible waste diversion albeit more</w:t>
      </w:r>
      <w:r>
        <w:t xml:space="preserve"> </w:t>
      </w:r>
      <w:r>
        <w:t xml:space="preserve">nuanced:</w:t>
      </w:r>
      <w:r>
        <w:t xml:space="preserve"> </w:t>
      </w:r>
      <w:r>
        <w:t xml:space="preserve">-</w:t>
      </w:r>
      <w:r>
        <w:t xml:space="preserve"> </w:t>
      </w:r>
      <w:r>
        <w:t xml:space="preserve">to illegal landfilling, which is considered to be a significant problem in the EU.</w:t>
      </w:r>
      <w:r>
        <w:t xml:space="preserve"> </w:t>
      </w:r>
      <w:r>
        <w:t xml:space="preserve">-</w:t>
      </w:r>
      <w:r>
        <w:t xml:space="preserve"> </w:t>
      </w:r>
      <w:r>
        <w:t xml:space="preserve">shifts of plastic waste away from incineration to landfilling, and of biogenic waste from</w:t>
      </w:r>
      <w:r>
        <w:t xml:space="preserve"> </w:t>
      </w:r>
      <w:r>
        <w:t xml:space="preserve">landfilling to incineration, to avoid the carbon cost.</w:t>
      </w:r>
      <w:r>
        <w:br/>
      </w:r>
      <w:r>
        <w:t xml:space="preserve">While overall relatively few stakeholders provided their view in the OPC on whether additional</w:t>
      </w:r>
      <w:r>
        <w:t xml:space="preserve"> </w:t>
      </w:r>
      <w:r>
        <w:t xml:space="preserve">waste management activities should be included in the EU ETS if waste incineration is to be</w:t>
      </w:r>
      <w:r>
        <w:t xml:space="preserve"> </w:t>
      </w:r>
      <w:r>
        <w:t xml:space="preserve">covered, more than one third of those called for appropriate measures to address landfill</w:t>
      </w:r>
      <w:r>
        <w:t xml:space="preserve"> </w:t>
      </w:r>
      <w:r>
        <w:t xml:space="preserve">emissions, both to ensure a level playing field with incineration (if covered) and to address the</w:t>
      </w:r>
      <w:r>
        <w:t xml:space="preserve"> </w:t>
      </w:r>
      <w:r>
        <w:t xml:space="preserve">climate impact of methane emissions. However, views were divided on the concrete approach,</w:t>
      </w:r>
      <w:r>
        <w:t xml:space="preserve"> </w:t>
      </w:r>
      <w:r>
        <w:t xml:space="preserve">with diverse suggestions ranging from strengthening the Landfilling Directive to advance the</w:t>
      </w:r>
      <w:r>
        <w:t xml:space="preserve"> </w:t>
      </w:r>
      <w:r>
        <w:t xml:space="preserve">ban on landfilling, introducing a carbon tax on landfilling, or the inclusion of landfilling in the</w:t>
      </w:r>
      <w:r>
        <w:t xml:space="preserve"> </w:t>
      </w:r>
      <w:r>
        <w:t xml:space="preserve">EU ETS.</w:t>
      </w:r>
      <w:r>
        <w:t xml:space="preserve"> </w:t>
      </w:r>
      <w:r>
        <w:t xml:space="preserve">Second, W3 would support the reduction of air and groundwater contamination from landfills</w:t>
      </w:r>
      <w:r>
        <w:t xml:space="preserve"> </w:t>
      </w:r>
      <w:r>
        <w:t xml:space="preserve">by disincentivising landfilling in favour of waste reduction and alternative waste management</w:t>
      </w:r>
      <w:r>
        <w:t xml:space="preserve"> </w:t>
      </w:r>
      <w:r>
        <w:t xml:space="preserve">processes. Landfills that are covered by the Industrial Emissions Directive are subject to rules</w:t>
      </w:r>
      <w:r>
        <w:t xml:space="preserve"> </w:t>
      </w:r>
      <w:r>
        <w:t xml:space="preserve">that aim to prevent soil pollution. Landfilling impacts local air quality through other landfill</w:t>
      </w:r>
    </w:p>
    <w:p>
      <w:pPr>
        <w:pStyle w:val="BodyText"/>
      </w:pPr>
      <w:r>
        <w:t xml:space="preserve">135 Eurostat (2025). Treatment of waste by waste category, hazardousness and waste management operations.</w:t>
      </w:r>
      <w:r>
        <w:t xml:space="preserve"> </w:t>
      </w:r>
      <w:r>
        <w:t xml:space="preserve">Available at: https://ec.europa.eu/eurostat/databrowser/view/env_wastrt__custom_18786621/default/table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gas constituents (e.g., non-methane VOCs and ammonia) and soil/groundwater quality through</w:t>
      </w:r>
      <w:r>
        <w:t xml:space="preserve"> </w:t>
      </w:r>
      <w:r>
        <w:t xml:space="preserve">leachate formation136. As biodegradable waste decomposes, leachate containing nutrients,</w:t>
      </w:r>
      <w:r>
        <w:t xml:space="preserve"> </w:t>
      </w:r>
      <w:r>
        <w:t xml:space="preserve">heavy metals, and organic contaminants can percolate into surrounding soil and, if not managed</w:t>
      </w:r>
      <w:r>
        <w:t xml:space="preserve"> </w:t>
      </w:r>
      <w:r>
        <w:t xml:space="preserve">with engineered liners and collection systems, contaminate groundwater and local ecosystems.</w:t>
      </w:r>
      <w:r>
        <w:t xml:space="preserve"> </w:t>
      </w:r>
      <w:r>
        <w:t xml:space="preserve">One study estimated that 0.2 m3 of leachate can be generated by one tonne of landfilled solid</w:t>
      </w:r>
      <w:r>
        <w:t xml:space="preserve"> </w:t>
      </w:r>
      <w:r>
        <w:t xml:space="preserve">waste, depending on the type of waste and seasonal climate.137</w:t>
      </w:r>
      <w:r>
        <w:t xml:space="preserve"> </w:t>
      </w:r>
      <w:r>
        <w:t xml:space="preserve">1.7.2. Economic impacts</w:t>
      </w:r>
      <w:r>
        <w:t xml:space="preserve"> </w:t>
      </w:r>
      <w:r>
        <w:t xml:space="preserve">1.7.2.1.</w:t>
      </w:r>
      <w:r>
        <w:t xml:space="preserve"> </w:t>
      </w:r>
      <w:r>
        <w:t xml:space="preserve">Cost of compliance</w:t>
      </w:r>
      <w:r>
        <w:br/>
      </w:r>
      <w:r>
        <w:t xml:space="preserve">1.7.2.1.1.</w:t>
      </w:r>
      <w:r>
        <w:t xml:space="preserve"> </w:t>
      </w:r>
      <w:r>
        <w:t xml:space="preserve">W1 ‘ EU ETS expansion to non-hazardous waste incineration’</w:t>
      </w:r>
      <w:r>
        <w:br/>
      </w:r>
      <w:r>
        <w:t xml:space="preserve">Under W1, the overall carbon cost to operators depends on multiple factors including total</w:t>
      </w:r>
      <w:r>
        <w:t xml:space="preserve"> </w:t>
      </w:r>
      <w:r>
        <w:t xml:space="preserve">volume of waste treated, the share of fossil-based emissions, the carbon price, actions to reduce</w:t>
      </w:r>
      <w:r>
        <w:t xml:space="preserve"> </w:t>
      </w:r>
      <w:r>
        <w:t xml:space="preserve">emissions at installation level and cost passthrough and actions to reduce emissions in the waste</w:t>
      </w:r>
      <w:r>
        <w:t xml:space="preserve"> </w:t>
      </w:r>
      <w:r>
        <w:t xml:space="preserve">value chain. The cost is expected to vary between countries or even regions in the same country.</w:t>
      </w:r>
      <w:r>
        <w:t xml:space="preserve"> </w:t>
      </w:r>
      <w:r>
        <w:t xml:space="preserve">The effective carbon cost for the fossil fraction per tonne of municipal waste has been estimated</w:t>
      </w:r>
      <w:r>
        <w:t xml:space="preserve"> </w:t>
      </w:r>
      <w:r>
        <w:t xml:space="preserve">in section 1.3.1. to range from EUR 38.5 to 66 in 2030 at a carbon price of EUR 110 per tonne</w:t>
      </w:r>
      <w:r>
        <w:t xml:space="preserve"> </w:t>
      </w:r>
      <w:r>
        <w:t xml:space="preserve">CO2e. The cost is expected to increase over time with the increasing ETS price until 2040.</w:t>
      </w:r>
      <w:r>
        <w:t xml:space="preserve"> </w:t>
      </w:r>
      <w:r>
        <w:t xml:space="preserve">While operating costs vary considerably depending on installation type, size and location,</w:t>
      </w:r>
      <w:r>
        <w:t xml:space="preserve"> </w:t>
      </w:r>
      <w:r>
        <w:t xml:space="preserve">evidence from the application of the EU ETS price to municipal waste incinerators with energy</w:t>
      </w:r>
      <w:r>
        <w:t xml:space="preserve"> </w:t>
      </w:r>
      <w:r>
        <w:t xml:space="preserve">recovery in Sweden and Denmark indicates the carbon cost (in 2025) represented 10-20% of</w:t>
      </w:r>
      <w:r>
        <w:t xml:space="preserve"> </w:t>
      </w:r>
      <w:r>
        <w:t xml:space="preserve">total operating costs.</w:t>
      </w:r>
      <w:r>
        <w:t xml:space="preserve"> </w:t>
      </w:r>
      <w:r>
        <w:t xml:space="preserve">One of the most effective cost abatement pathways is source reduction and diversion to</w:t>
      </w:r>
      <w:r>
        <w:t xml:space="preserve"> </w:t>
      </w:r>
      <w:r>
        <w:t xml:space="preserve">recycling. The carbon cost passthrough from operators to waste suppliers and waste collection</w:t>
      </w:r>
      <w:r>
        <w:t xml:space="preserve"> </w:t>
      </w:r>
      <w:r>
        <w:t xml:space="preserve">authorities can incentivise improved pre-collection sorting and residual waste reductions in the</w:t>
      </w:r>
      <w:r>
        <w:t xml:space="preserve"> </w:t>
      </w:r>
      <w:r>
        <w:t xml:space="preserve">range of 10-20% and increased recycling in the range of 16-22.5% on the basis of existing price</w:t>
      </w:r>
      <w:r>
        <w:t xml:space="preserve"> </w:t>
      </w:r>
      <w:r>
        <w:t xml:space="preserve">elasticities for the residual waste disposal demand (see Section 1.3.1.), supporting the circular</w:t>
      </w:r>
      <w:r>
        <w:t xml:space="preserve"> </w:t>
      </w:r>
      <w:r>
        <w:t xml:space="preserve">economy. Circular economy activities already represent around 1-2% of EU GDP138. In 2021,</w:t>
      </w:r>
      <w:r>
        <w:t xml:space="preserve"> </w:t>
      </w:r>
      <w:r>
        <w:t xml:space="preserve">recycling, reuse and related circular economy activities accounted for 4.3 million jobs across</w:t>
      </w:r>
      <w:r>
        <w:t xml:space="preserve"> </w:t>
      </w:r>
      <w:r>
        <w:t xml:space="preserve">the EU (an 11% increase since 2015) and generated approximately 299 billion EUR in gross</w:t>
      </w:r>
      <w:r>
        <w:t xml:space="preserve"> </w:t>
      </w:r>
      <w:r>
        <w:t xml:space="preserve">value added, alongside the 121.6 billion EUR in private investment139. Evidence shows that the</w:t>
      </w:r>
      <w:r>
        <w:t xml:space="preserve"> </w:t>
      </w:r>
      <w:r>
        <w:t xml:space="preserve">higher the separate collection of recyclables and, consequently, of recycling, the higher the</w:t>
      </w:r>
      <w:r>
        <w:t xml:space="preserve"> </w:t>
      </w:r>
      <w:r>
        <w:t xml:space="preserve">amounts of jobs created within the waste management system, with an overall potential for</w:t>
      </w:r>
      <w:r>
        <w:t xml:space="preserve"> </w:t>
      </w:r>
      <w:r>
        <w:t xml:space="preserve">(additional) job creation in collection, transport and recycling estimated at 206.100 FTE</w:t>
      </w:r>
    </w:p>
    <w:p>
      <w:pPr>
        <w:pStyle w:val="BodyText"/>
      </w:pPr>
      <w:r>
        <w:t xml:space="preserve">136 EEA</w:t>
      </w:r>
      <w:r>
        <w:t xml:space="preserve"> </w:t>
      </w:r>
      <w:r>
        <w:t xml:space="preserve">(2024).</w:t>
      </w:r>
      <w:r>
        <w:t xml:space="preserve"> </w:t>
      </w:r>
      <w:r>
        <w:t xml:space="preserve">Leachate</w:t>
      </w:r>
      <w:r>
        <w:t xml:space="preserve"> </w:t>
      </w:r>
      <w:r>
        <w:t xml:space="preserve">pollution</w:t>
      </w:r>
      <w:r>
        <w:t xml:space="preserve"> </w:t>
      </w:r>
      <w:r>
        <w:t xml:space="preserve">from</w:t>
      </w:r>
      <w:r>
        <w:t xml:space="preserve"> </w:t>
      </w:r>
      <w:r>
        <w:t xml:space="preserve">landfills</w:t>
      </w:r>
      <w:r>
        <w:t xml:space="preserve"> </w:t>
      </w:r>
      <w:r>
        <w:t xml:space="preserve">(Signal).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https://www.eea.europa.eu/en/european-zero-pollution-dashboards/indicators/emission-from-waste-</w:t>
      </w:r>
      <w:r>
        <w:t xml:space="preserve"> </w:t>
      </w:r>
      <w:r>
        <w:t xml:space="preserve">management-</w:t>
      </w:r>
      <w:r>
        <w:t xml:space="preserve"> </w:t>
      </w:r>
      <w:r>
        <w:t xml:space="preserve">facilities#:~:text=Key%20messages:%20EU%20legislation%20has,of%20waste%20generation%20is%20e</w:t>
      </w:r>
      <w:r>
        <w:t xml:space="preserve"> </w:t>
      </w:r>
      <w:r>
        <w:t xml:space="preserve">ssential.</w:t>
      </w:r>
      <w:r>
        <w:t xml:space="preserve"> </w:t>
      </w:r>
      <w:r>
        <w:t xml:space="preserve">137 CleanLeachate (2010). Combined anode and cathode process to treat landfill leachate. Available at:</w:t>
      </w:r>
      <w:r>
        <w:t xml:space="preserve"> </w:t>
      </w:r>
      <w:r>
        <w:t xml:space="preserve">https://cordis.europa.eu/project/id/262335</w:t>
      </w:r>
      <w:r>
        <w:br/>
      </w:r>
      <w:r>
        <w:t xml:space="preserve">138 OECD (2025). The Circular Economy in Cities and Regions of the European Union. Available at:</w:t>
      </w:r>
      <w:r>
        <w:t xml:space="preserve"> </w:t>
      </w:r>
      <w:r>
        <w:t xml:space="preserve">https://www.oecd.org/en/publications/the-circular-economy-in-cities-and-regions-of-the-european-</w:t>
      </w:r>
      <w:r>
        <w:t xml:space="preserve"> </w:t>
      </w:r>
      <w:r>
        <w:t xml:space="preserve">union_e09c21e2-en.html</w:t>
      </w:r>
      <w:r>
        <w:t xml:space="preserve"> </w:t>
      </w:r>
      <w:r>
        <w:t xml:space="preserve">139 European Commission (2023) 306 final. Communication on a revised monitoring framework for the circular</w:t>
      </w:r>
      <w:r>
        <w:t xml:space="preserve"> </w:t>
      </w:r>
      <w:r>
        <w:t xml:space="preserve">economy.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https://www.europarl.europa.eu/RegData/docs_autres_institutions/commission_europeenne/com/2023/0306</w:t>
      </w:r>
      <w:r>
        <w:t xml:space="preserve"> </w:t>
      </w:r>
      <w:r>
        <w:t xml:space="preserve">/COM_COM%282023%290306_EN.pdf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annually in the EU27 in one study140, and a potential to create up to 2.5 million additional jobs</w:t>
      </w:r>
      <w:r>
        <w:t xml:space="preserve"> </w:t>
      </w:r>
      <w:r>
        <w:t xml:space="preserve">by 2030 in another study141. The recycling sector delivers economic security, added value,</w:t>
      </w:r>
      <w:r>
        <w:t xml:space="preserve"> </w:t>
      </w:r>
      <w:r>
        <w:t xml:space="preserve">employments, and a potential for long-term competitiveness for the EU economy by reducing</w:t>
      </w:r>
      <w:r>
        <w:t xml:space="preserve"> </w:t>
      </w:r>
      <w:r>
        <w:t xml:space="preserve">reliance on imported virgin materials, reducing volatility of input costs, improving resource</w:t>
      </w:r>
      <w:r>
        <w:t xml:space="preserve"> </w:t>
      </w:r>
      <w:r>
        <w:t xml:space="preserve">productivity, and strengthening innovation. At installation level, cost-effective abatement</w:t>
      </w:r>
      <w:r>
        <w:t xml:space="preserve"> </w:t>
      </w:r>
      <w:r>
        <w:t xml:space="preserve">options include improved Mixed Waste Sorting in the short-term and CCUS in the medium- to</w:t>
      </w:r>
      <w:r>
        <w:t xml:space="preserve"> </w:t>
      </w:r>
      <w:r>
        <w:t xml:space="preserve">longer term by the mid-2030s, with the integration of carbon removals under the EU ETS</w:t>
      </w:r>
      <w:r>
        <w:t xml:space="preserve"> </w:t>
      </w:r>
      <w:r>
        <w:t xml:space="preserve">further providing the MWI sector with a potential for compensating allowance costs through</w:t>
      </w:r>
      <w:r>
        <w:t xml:space="preserve"> </w:t>
      </w:r>
      <w:r>
        <w:t xml:space="preserve">removals from the biogenic fraction of waste, representing around 50% of all waste incinerated,</w:t>
      </w:r>
      <w:r>
        <w:t xml:space="preserve"> </w:t>
      </w:r>
      <w:r>
        <w:t xml:space="preserve">supporting the business case for cost-effective emissions abatement (see Section 1.3.2.).</w:t>
      </w:r>
      <w:r>
        <w:t xml:space="preserve"> </w:t>
      </w:r>
      <w:r>
        <w:t xml:space="preserve">Complementary policies and measures and the targeted investment of EU ETS revenues to</w:t>
      </w:r>
      <w:r>
        <w:t xml:space="preserve"> </w:t>
      </w:r>
      <w:r>
        <w:t xml:space="preserve">support the rollout of CCUS and complementary measures in the waste value chain play an</w:t>
      </w:r>
      <w:r>
        <w:t xml:space="preserve"> </w:t>
      </w:r>
      <w:r>
        <w:t xml:space="preserve">important role to contribute manage operational costs for operators and local authorities (see</w:t>
      </w:r>
      <w:r>
        <w:t xml:space="preserve"> </w:t>
      </w:r>
      <w:r>
        <w:t xml:space="preserve">Section 1.3.3.). Annual EU ETS revenues from the inclusion of MWI are expected to be</w:t>
      </w:r>
      <w:r>
        <w:t xml:space="preserve"> </w:t>
      </w:r>
      <w:r>
        <w:t xml:space="preserve">significant and average around 4.75 billion EUR over 2031-2040, assuming an average carbon</w:t>
      </w:r>
      <w:r>
        <w:t xml:space="preserve"> </w:t>
      </w:r>
      <w:r>
        <w:t xml:space="preserve">price of EUR 150.</w:t>
      </w:r>
      <w:r>
        <w:br/>
      </w:r>
      <w:r>
        <w:t xml:space="preserve">Almost a quarter of stakeholders in the OPC, from across different stakeholder groups,</w:t>
      </w:r>
      <w:r>
        <w:t xml:space="preserve"> </w:t>
      </w:r>
      <w:r>
        <w:t xml:space="preserve">signalled that the EU ETS expansion to non-hazardous waste incineration can contribute to</w:t>
      </w:r>
      <w:r>
        <w:t xml:space="preserve"> </w:t>
      </w:r>
      <w:r>
        <w:t xml:space="preserve">significant reductions in GHG emissions if complementary circular economy policies are</w:t>
      </w:r>
      <w:r>
        <w:t xml:space="preserve"> </w:t>
      </w:r>
      <w:r>
        <w:t xml:space="preserve">effectively implemented. Some stakeholders across OPC responses, position papers and</w:t>
      </w:r>
      <w:r>
        <w:t xml:space="preserve"> </w:t>
      </w:r>
      <w:r>
        <w:t xml:space="preserve">interviews also highlighted the importance of passing through the carbon costs to waste</w:t>
      </w:r>
      <w:r>
        <w:t xml:space="preserve"> </w:t>
      </w:r>
      <w:r>
        <w:t xml:space="preserve">producers, following the Polluter Pays Principle (PPP), including through the extension of the</w:t>
      </w:r>
      <w:r>
        <w:t xml:space="preserve"> </w:t>
      </w:r>
      <w:r>
        <w:t xml:space="preserve">EPR schemes to those producers which manufacture non-recyclable products, for example</w:t>
      </w:r>
      <w:r>
        <w:t xml:space="preserve"> </w:t>
      </w:r>
      <w:r>
        <w:t xml:space="preserve">textiles.</w:t>
      </w:r>
      <w:r>
        <w:t xml:space="preserve"> </w:t>
      </w:r>
      <w:r>
        <w:t xml:space="preserve">1.7.2.1.2.</w:t>
      </w:r>
      <w:r>
        <w:t xml:space="preserve"> </w:t>
      </w:r>
      <w:r>
        <w:t xml:space="preserve">W2 - EU ETS expansion to non-hazardous and hazardous waste</w:t>
      </w:r>
      <w:r>
        <w:t xml:space="preserve"> </w:t>
      </w:r>
      <w:r>
        <w:t xml:space="preserve">incineration’</w:t>
      </w:r>
      <w:r>
        <w:br/>
      </w:r>
      <w:r>
        <w:t xml:space="preserve">Under W2, the carbon price would be further extended to hazardous waste incineration (HWI)</w:t>
      </w:r>
      <w:r>
        <w:t xml:space="preserve"> </w:t>
      </w:r>
      <w:r>
        <w:t xml:space="preserve">installations. Similar to W1, the overall carbon cost to the remaining installations would depend</w:t>
      </w:r>
      <w:r>
        <w:t xml:space="preserve"> </w:t>
      </w:r>
      <w:r>
        <w:t xml:space="preserve">on the total volume and composition of hazardous waste incinerated, the carbon price, action</w:t>
      </w:r>
      <w:r>
        <w:t xml:space="preserve"> </w:t>
      </w:r>
      <w:r>
        <w:t xml:space="preserve">taken to reduce emissions at operator level, and the cost passthrough and actions to reduce</w:t>
      </w:r>
      <w:r>
        <w:t xml:space="preserve"> </w:t>
      </w:r>
      <w:r>
        <w:t xml:space="preserve">emissions throughout the waste value chain. Overall, operational cost increases due to the</w:t>
      </w:r>
      <w:r>
        <w:t xml:space="preserve"> </w:t>
      </w:r>
      <w:r>
        <w:t xml:space="preserve">carbon price are expected to be comparatively higher to that of non-hazardous waste</w:t>
      </w:r>
      <w:r>
        <w:t xml:space="preserve"> </w:t>
      </w:r>
      <w:r>
        <w:t xml:space="preserve">incineration installations given the higher fossil content of hazardous waste (90% compared to</w:t>
      </w:r>
      <w:r>
        <w:t xml:space="preserve"> </w:t>
      </w:r>
      <w:r>
        <w:t xml:space="preserve">50% for municipal waste) and more restricted alternatives due to regulatory constraints.</w:t>
      </w:r>
      <w:r>
        <w:t xml:space="preserve"> </w:t>
      </w:r>
      <w:r>
        <w:t xml:space="preserve">The treatment and sorting of hazardous waste are strictly regulated by health and safety</w:t>
      </w:r>
      <w:r>
        <w:t xml:space="preserve"> </w:t>
      </w:r>
      <w:r>
        <w:t xml:space="preserve">regulations, implying more limited abatement options compared to W1 in terms of</w:t>
      </w:r>
      <w:r>
        <w:t xml:space="preserve"> </w:t>
      </w:r>
      <w:r>
        <w:t xml:space="preserve">incentivising increased recycling, while incentives to reduce hazardous waste at source are</w:t>
      </w:r>
      <w:r>
        <w:t xml:space="preserve"> </w:t>
      </w:r>
      <w:r>
        <w:t xml:space="preserve">expected to be heterogeneous depending on the specific product/waste stream and applicable</w:t>
      </w:r>
      <w:r>
        <w:t xml:space="preserve"> </w:t>
      </w:r>
      <w:r>
        <w:t xml:space="preserve">regulatory requirements. Abatement options at installation-level are equally expected to be less</w:t>
      </w:r>
      <w:r>
        <w:t xml:space="preserve"> </w:t>
      </w:r>
      <w:r>
        <w:t xml:space="preserve">cost-effective compared to W1, with Mixed Waste Sorting less technically, economically and</w:t>
      </w:r>
      <w:r>
        <w:t xml:space="preserve"> </w:t>
      </w:r>
      <w:r>
        <w:t xml:space="preserve">regulatorily viable and CCUS application showing a more limited potential for biogenic carbon</w:t>
      </w:r>
      <w:r>
        <w:t xml:space="preserve"> </w:t>
      </w:r>
      <w:r>
        <w:t xml:space="preserve">removal generation due to the higher fossil emission fraction.</w:t>
      </w:r>
    </w:p>
    <w:p>
      <w:pPr>
        <w:pStyle w:val="BodyText"/>
      </w:pPr>
      <w:r>
        <w:t xml:space="preserve">140 Albizzati, P.F., et al. (2024). A model to assess the environmental and economic impacts of municipal waste</w:t>
      </w:r>
      <w:r>
        <w:t xml:space="preserve"> </w:t>
      </w:r>
      <w:r>
        <w:t xml:space="preserve">management in Europe. Waste Management 174, p. 605-617.</w:t>
      </w:r>
      <w:r>
        <w:t xml:space="preserve"> </w:t>
      </w:r>
      <w:r>
        <w:t xml:space="preserve">141 OECD (2025), “The Circular Economy in Cities and Regions of the European Union”,</w:t>
      </w:r>
      <w:r>
        <w:t xml:space="preserve"> </w:t>
      </w:r>
      <w:r>
        <w:t xml:space="preserve">https://doi.org/10.1787/e09c21e2-en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A relative majority of stakeholders opposed the expansion of the EU ETS to HWI, mainly</w:t>
      </w:r>
      <w:r>
        <w:t xml:space="preserve"> </w:t>
      </w:r>
      <w:r>
        <w:t xml:space="preserve">questioning the extent to which carbon pricing could be effective in reducing emissions from</w:t>
      </w:r>
      <w:r>
        <w:t xml:space="preserve"> </w:t>
      </w:r>
      <w:r>
        <w:t xml:space="preserve">a process that has very few alternatives. They argued that fuel-switch options are limited due</w:t>
      </w:r>
      <w:r>
        <w:t xml:space="preserve"> </w:t>
      </w:r>
      <w:r>
        <w:t xml:space="preserve">to the need for destruction at high temperatures, while applying the added cost pressure would</w:t>
      </w:r>
      <w:r>
        <w:t xml:space="preserve"> </w:t>
      </w:r>
      <w:r>
        <w:t xml:space="preserve">not remove the need for the removal of hazardous waste as the production of such waste is not</w:t>
      </w:r>
      <w:r>
        <w:t xml:space="preserve"> </w:t>
      </w:r>
      <w:r>
        <w:t xml:space="preserve">within their control and those installations have a public-service requirement in safely handling</w:t>
      </w:r>
      <w:r>
        <w:t xml:space="preserve"> </w:t>
      </w:r>
      <w:r>
        <w:t xml:space="preserve">hazardous waste and potential risks to public health and safety.</w:t>
      </w:r>
      <w:r>
        <w:br/>
      </w:r>
      <w:r>
        <w:t xml:space="preserve">1.7.2.1.3.</w:t>
      </w:r>
      <w:r>
        <w:t xml:space="preserve"> </w:t>
      </w:r>
      <w:r>
        <w:t xml:space="preserve">W3 ‘EU ETS expansion to non-hazardous and hazardous waste</w:t>
      </w:r>
      <w:r>
        <w:t xml:space="preserve"> </w:t>
      </w:r>
      <w:r>
        <w:t xml:space="preserve">incineration as well as non-hazardous landfills’</w:t>
      </w:r>
      <w:r>
        <w:br/>
      </w:r>
      <w:r>
        <w:t xml:space="preserve">Under W3, like W1, the overall carbon cost to installations would depend on the emissions, the</w:t>
      </w:r>
      <w:r>
        <w:t xml:space="preserve"> </w:t>
      </w:r>
      <w:r>
        <w:t xml:space="preserve">carbon price, action taken to reduce emissions at operator level, and the cost passthrough and</w:t>
      </w:r>
      <w:r>
        <w:t xml:space="preserve"> </w:t>
      </w:r>
      <w:r>
        <w:t xml:space="preserve">actions to reduce emissions throughout the waste value chain. With total emissions from</w:t>
      </w:r>
      <w:r>
        <w:t xml:space="preserve"> </w:t>
      </w:r>
      <w:r>
        <w:t xml:space="preserve">landfills being substantially larger than those from MWI, the economy-wide carbon cost will</w:t>
      </w:r>
      <w:r>
        <w:t xml:space="preserve"> </w:t>
      </w:r>
      <w:r>
        <w:t xml:space="preserve">be higher, but will also be distributed among a larger number of installations compared to W1</w:t>
      </w:r>
      <w:r>
        <w:t xml:space="preserve"> </w:t>
      </w:r>
      <w:r>
        <w:t xml:space="preserve">or W2. The average carbon cost per tonne of non-hazardous waste landfilled has been estimated</w:t>
      </w:r>
      <w:r>
        <w:t xml:space="preserve"> </w:t>
      </w:r>
      <w:r>
        <w:t xml:space="preserve">in Section 1.3.1. to amount to EUR 66 in 2030, assuming a carbon price of EUR 110 per tonne</w:t>
      </w:r>
      <w:r>
        <w:t xml:space="preserve"> </w:t>
      </w:r>
      <w:r>
        <w:t xml:space="preserve">CO2e and 1 tonne of municipal waste being associated with 0.6 tonnes of fossil CO2 emissions.</w:t>
      </w:r>
      <w:r>
        <w:t xml:space="preserve"> </w:t>
      </w:r>
      <w:r>
        <w:t xml:space="preserve">This cost is expected to increase over time with the increasing ETS price until 2040. From an</w:t>
      </w:r>
      <w:r>
        <w:t xml:space="preserve"> </w:t>
      </w:r>
      <w:r>
        <w:t xml:space="preserve">economic perspective, the associated costs would also depend on whether only future emissions</w:t>
      </w:r>
      <w:r>
        <w:t xml:space="preserve"> </w:t>
      </w:r>
      <w:r>
        <w:t xml:space="preserve">would be covered under the scope of extension, or also historical emissions. Overall costs</w:t>
      </w:r>
      <w:r>
        <w:t xml:space="preserve"> </w:t>
      </w:r>
      <w:r>
        <w:t xml:space="preserve">would be higher over time in the latter case, as operators would also be liable for historical</w:t>
      </w:r>
      <w:r>
        <w:t xml:space="preserve"> </w:t>
      </w:r>
      <w:r>
        <w:t xml:space="preserve">emissions resulting from disposal before the start of application of carbon pricing. While</w:t>
      </w:r>
      <w:r>
        <w:t xml:space="preserve"> </w:t>
      </w:r>
      <w:r>
        <w:t xml:space="preserve">evidence on price elasticities for non-hazardous landfilling is limited, the combination of the</w:t>
      </w:r>
      <w:r>
        <w:t xml:space="preserve"> </w:t>
      </w:r>
      <w:r>
        <w:t xml:space="preserve">existing regulatory framework with the increase in the cost of landfilling would be expected to</w:t>
      </w:r>
      <w:r>
        <w:t xml:space="preserve"> </w:t>
      </w:r>
      <w:r>
        <w:t xml:space="preserve">further drive a reduction of organic residual waste streams disposed in landfills. In addition,</w:t>
      </w:r>
      <w:r>
        <w:t xml:space="preserve"> </w:t>
      </w:r>
      <w:r>
        <w:t xml:space="preserve">the assessment of abatement options for landfills in Section 1.3.2. indicates a high cost-</w:t>
      </w:r>
      <w:r>
        <w:t xml:space="preserve"> </w:t>
      </w:r>
      <w:r>
        <w:t xml:space="preserve">effective abatement potential compared to W1 and W2, with biogas production from landfill</w:t>
      </w:r>
      <w:r>
        <w:t xml:space="preserve"> </w:t>
      </w:r>
      <w:r>
        <w:t xml:space="preserve">gas capture providing additional economic opportunities for operators.</w:t>
      </w:r>
      <w:r>
        <w:t xml:space="preserve"> </w:t>
      </w:r>
      <w:r>
        <w:t xml:space="preserve">Similarly to W1 and W2, complementary upstream measures and policies to prevent and reduce</w:t>
      </w:r>
      <w:r>
        <w:t xml:space="preserve"> </w:t>
      </w:r>
      <w:r>
        <w:t xml:space="preserve">the amount of biodegradable waste that is landfilled play an important role to increase waste</w:t>
      </w:r>
      <w:r>
        <w:t xml:space="preserve"> </w:t>
      </w:r>
      <w:r>
        <w:t xml:space="preserve">prevention, diversion to recycling or composting. However, upstream interventions mainly</w:t>
      </w:r>
      <w:r>
        <w:t xml:space="preserve"> </w:t>
      </w:r>
      <w:r>
        <w:t xml:space="preserve">affect future emissions, while abatement at installation level is needed to address historical</w:t>
      </w:r>
      <w:r>
        <w:t xml:space="preserve"> </w:t>
      </w:r>
      <w:r>
        <w:t xml:space="preserve">emissions from waste that has been landfilled in the past.</w:t>
      </w:r>
      <w:r>
        <w:t xml:space="preserve"> </w:t>
      </w:r>
      <w:r>
        <w:t xml:space="preserve">1.7.2.1.</w:t>
      </w:r>
      <w:r>
        <w:t xml:space="preserve"> </w:t>
      </w:r>
      <w:r>
        <w:t xml:space="preserve">Administrative efforts</w:t>
      </w:r>
      <w:r>
        <w:t xml:space="preserve"> </w:t>
      </w:r>
      <w:r>
        <w:t xml:space="preserve">1.7.2.1.1.</w:t>
      </w:r>
      <w:r>
        <w:t xml:space="preserve"> </w:t>
      </w:r>
      <w:r>
        <w:t xml:space="preserve">W1 ‘EU ETS expansion to non-hazardous waste incineration’</w:t>
      </w:r>
      <w:r>
        <w:br/>
      </w:r>
      <w:r>
        <w:t xml:space="preserve">Extending the scope of the EU ETS to waste incineration relies on the existing system under</w:t>
      </w:r>
      <w:r>
        <w:t xml:space="preserve"> </w:t>
      </w:r>
      <w:r>
        <w:t xml:space="preserve">the EU ETS. For both options W1 and W2, one-time administrative costs, regularly occurring</w:t>
      </w:r>
      <w:r>
        <w:t xml:space="preserve"> </w:t>
      </w:r>
      <w:r>
        <w:t xml:space="preserve">administrative costs and costs for disclosure and sanctioning can be identified for competent</w:t>
      </w:r>
      <w:r>
        <w:t xml:space="preserve"> </w:t>
      </w:r>
      <w:r>
        <w:t xml:space="preserve">authorities and for the operators. However, the existing system, processes and infrastructure</w:t>
      </w:r>
      <w:r>
        <w:t xml:space="preserve"> </w:t>
      </w:r>
      <w:r>
        <w:t xml:space="preserve">(such as the Registry) can be used, limiting costs.</w:t>
      </w:r>
      <w:r>
        <w:br/>
      </w:r>
      <w:r>
        <w:t xml:space="preserve">W1 builds on the already implemented MRV requirements for MWI, including the developed</w:t>
      </w:r>
      <w:r>
        <w:t xml:space="preserve"> </w:t>
      </w:r>
      <w:r>
        <w:t xml:space="preserve">monitoring plans, data collection and reporting infrastructure. Additional monitoring and</w:t>
      </w:r>
      <w:r>
        <w:t xml:space="preserve"> </w:t>
      </w:r>
      <w:r>
        <w:t xml:space="preserve">reporting costs under W1 may result from a review of the MRV rules to further specify the</w:t>
      </w:r>
      <w:r>
        <w:t xml:space="preserve"> </w:t>
      </w:r>
      <w:r>
        <w:t xml:space="preserve">harmonised monitoring and reporting standards and protocols for the sector. As with the</w:t>
      </w:r>
      <w:r>
        <w:t xml:space="preserve"> </w:t>
      </w:r>
      <w:r>
        <w:t xml:space="preserve">inclusion of any sector, being subject to the ETS entails third-party verification of emissions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reports. Depending on the MRV protocol followed, other third-party cost may arise from</w:t>
      </w:r>
      <w:r>
        <w:t xml:space="preserve"> </w:t>
      </w:r>
      <w:r>
        <w:t xml:space="preserve">periodic sampling if required, laboratory analysis (e.g., radiocarbon testing or waste</w:t>
      </w:r>
      <w:r>
        <w:t xml:space="preserve"> </w:t>
      </w:r>
      <w:r>
        <w:t xml:space="preserve">composition studies), and the integration of IT systems for emissions tracking and record-</w:t>
      </w:r>
      <w:r>
        <w:t xml:space="preserve"> </w:t>
      </w:r>
      <w:r>
        <w:t xml:space="preserve">keeping. For many facilities, particularly those without existing carbon accounting systems,</w:t>
      </w:r>
      <w:r>
        <w:t xml:space="preserve"> </w:t>
      </w:r>
      <w:r>
        <w:t xml:space="preserve">these obligations necessitate specialist staff training and potentially, engagement of external</w:t>
      </w:r>
      <w:r>
        <w:t xml:space="preserve"> </w:t>
      </w:r>
      <w:r>
        <w:t xml:space="preserve">consultants. The administrative burden for a specific operator will vary according to plant size,</w:t>
      </w:r>
      <w:r>
        <w:t xml:space="preserve"> </w:t>
      </w:r>
      <w:r>
        <w:t xml:space="preserve">complexity and the MRV methodology adopted.</w:t>
      </w:r>
      <w:r>
        <w:br/>
      </w:r>
      <w:r>
        <w:t xml:space="preserve">There are a range of methods available for monitoring emissions from waste incinerators,</w:t>
      </w:r>
      <w:r>
        <w:t xml:space="preserve"> </w:t>
      </w:r>
      <w:r>
        <w:t xml:space="preserve">which have different associated costs. The estimated costs associated with these methods have</w:t>
      </w:r>
      <w:r>
        <w:t xml:space="preserve"> </w:t>
      </w:r>
      <w:r>
        <w:t xml:space="preserve">been assessed in Section 1.4 and Appendix 3. Overall, the technical implementation and cost</w:t>
      </w:r>
      <w:r>
        <w:t xml:space="preserve"> </w:t>
      </w:r>
      <w:r>
        <w:t xml:space="preserve">related to MRV, while additional, are expected to be manageable under W1 in light of the</w:t>
      </w:r>
      <w:r>
        <w:t xml:space="preserve"> </w:t>
      </w:r>
      <w:r>
        <w:t xml:space="preserve">already applicable MRV obligation and other reporting obligations and experience already in</w:t>
      </w:r>
      <w:r>
        <w:t xml:space="preserve"> </w:t>
      </w:r>
      <w:r>
        <w:t xml:space="preserve">place, for example under the Industrial Emissions Directive (IED), and the possibility to</w:t>
      </w:r>
      <w:r>
        <w:t xml:space="preserve"> </w:t>
      </w:r>
      <w:r>
        <w:t xml:space="preserve">establish a tiered system that incorporates both measurement-based and calculation-based</w:t>
      </w:r>
      <w:r>
        <w:t xml:space="preserve"> </w:t>
      </w:r>
      <w:r>
        <w:t xml:space="preserve">methodologies, along with simplified provisions for smaller emitters, providing scalable and</w:t>
      </w:r>
      <w:r>
        <w:t xml:space="preserve"> </w:t>
      </w:r>
      <w:r>
        <w:t xml:space="preserve">proportionate MRV system minimising administrative costs. The threshold for inclusion may</w:t>
      </w:r>
      <w:r>
        <w:t xml:space="preserve"> </w:t>
      </w:r>
      <w:r>
        <w:t xml:space="preserve">need to be modulated to alternative mechanisms based e.g. on tonnage instead of thermal</w:t>
      </w:r>
      <w:r>
        <w:t xml:space="preserve"> </w:t>
      </w:r>
      <w:r>
        <w:t xml:space="preserve">capacity, to adjust to the specificities of the waste sector, as indicated by multiple sector</w:t>
      </w:r>
      <w:r>
        <w:t xml:space="preserve"> </w:t>
      </w:r>
      <w:r>
        <w:t xml:space="preserve">stakeholders during the consultation.</w:t>
      </w:r>
      <w:r>
        <w:t xml:space="preserve"> </w:t>
      </w:r>
      <w:r>
        <w:t xml:space="preserve">1.7.2.1.2.</w:t>
      </w:r>
      <w:r>
        <w:t xml:space="preserve"> </w:t>
      </w:r>
      <w:r>
        <w:t xml:space="preserve">W2 - EU ETS expansion to non-hazardous and hazardous waste</w:t>
      </w:r>
      <w:r>
        <w:t xml:space="preserve"> </w:t>
      </w:r>
      <w:r>
        <w:t xml:space="preserve">incineration’</w:t>
      </w:r>
      <w:r>
        <w:br/>
      </w:r>
      <w:r>
        <w:t xml:space="preserve">While largely building on W1, W2 may may require a tailored approach since some analytical</w:t>
      </w:r>
      <w:r>
        <w:t xml:space="preserve"> </w:t>
      </w:r>
      <w:r>
        <w:t xml:space="preserve">methods cannot or should not be applied for hazardous waste given the regulatory and practical</w:t>
      </w:r>
      <w:r>
        <w:t xml:space="preserve"> </w:t>
      </w:r>
      <w:r>
        <w:t xml:space="preserve">restrictions on the application of some measurement-based methods for these waste streams</w:t>
      </w:r>
      <w:r>
        <w:t xml:space="preserve"> </w:t>
      </w:r>
      <w:r>
        <w:t xml:space="preserve">(e.g. radiocarbon and the waste analysis might not be possible due to the health and safety</w:t>
      </w:r>
      <w:r>
        <w:t xml:space="preserve"> </w:t>
      </w:r>
      <w:r>
        <w:t xml:space="preserve">implications of these waste inputs). Calculation-based methodologies and simplified</w:t>
      </w:r>
      <w:r>
        <w:t xml:space="preserve"> </w:t>
      </w:r>
      <w:r>
        <w:t xml:space="preserve">requirements could be developed for these installations to limit administrative efforts,</w:t>
      </w:r>
      <w:r>
        <w:t xml:space="preserve"> </w:t>
      </w:r>
      <w:r>
        <w:t xml:space="preserve">especially when small.</w:t>
      </w:r>
      <w:r>
        <w:t xml:space="preserve"> </w:t>
      </w:r>
      <w:r>
        <w:t xml:space="preserve">1.7.2.1.3.</w:t>
      </w:r>
      <w:r>
        <w:t xml:space="preserve"> </w:t>
      </w:r>
      <w:r>
        <w:t xml:space="preserve">W3 ‘EU ETS expansion to non-hazardous and hazardous waste</w:t>
      </w:r>
      <w:r>
        <w:t xml:space="preserve"> </w:t>
      </w:r>
      <w:r>
        <w:t xml:space="preserve">incineration as well as non-hazardous landfills’</w:t>
      </w:r>
      <w:r>
        <w:br/>
      </w:r>
      <w:r>
        <w:t xml:space="preserve">W3 would require dedicated monitoring and reporting rules to be developed in addition to W1</w:t>
      </w:r>
      <w:r>
        <w:t xml:space="preserve"> </w:t>
      </w:r>
      <w:r>
        <w:t xml:space="preserve">and W2 and tested prior to inclusion of landfilling in the EU ETS. The detailed administrative</w:t>
      </w:r>
      <w:r>
        <w:t xml:space="preserve"> </w:t>
      </w:r>
      <w:r>
        <w:t xml:space="preserve">effort could not be estimated as dedicated rules would need to be developed under the ETS</w:t>
      </w:r>
      <w:r>
        <w:t xml:space="preserve"> </w:t>
      </w:r>
      <w:r>
        <w:t xml:space="preserve">framework given the current absence of established MRV measurement protocols providing</w:t>
      </w:r>
      <w:r>
        <w:t xml:space="preserve"> </w:t>
      </w:r>
      <w:r>
        <w:t xml:space="preserve">standardised and harmonised methodologies for methane emissions from landfills. The</w:t>
      </w:r>
      <w:r>
        <w:t xml:space="preserve"> </w:t>
      </w:r>
      <w:r>
        <w:t xml:space="preserve">administrative and operational cost of MRV would be dependent on several factors, including</w:t>
      </w:r>
      <w:r>
        <w:t xml:space="preserve"> </w:t>
      </w:r>
      <w:r>
        <w:t xml:space="preserve">the approach selected (calculation-, i.e. reference value, or measurement-based, i.e. ground-</w:t>
      </w:r>
      <w:r>
        <w:t xml:space="preserve"> </w:t>
      </w:r>
      <w:r>
        <w:t xml:space="preserve">based and/or satellite monitoring), the scope of emissions covered (future emissions only or</w:t>
      </w:r>
      <w:r>
        <w:t xml:space="preserve"> </w:t>
      </w:r>
      <w:r>
        <w:t xml:space="preserve">also historical emissions) and the characteristics of each landfill site (size, waste composition,</w:t>
      </w:r>
      <w:r>
        <w:t xml:space="preserve"> </w:t>
      </w:r>
      <w:r>
        <w:t xml:space="preserve">weather conditions, gas capture efficiency, etc.) (see sections 1.4. and Appendix 3 for further</w:t>
      </w:r>
      <w:r>
        <w:t xml:space="preserve"> </w:t>
      </w:r>
      <w:r>
        <w:t xml:space="preserve">details).In view of the above, the choice of monitoring methods needs to consider both the</w:t>
      </w:r>
      <w:r>
        <w:t xml:space="preserve"> </w:t>
      </w:r>
      <w:r>
        <w:t xml:space="preserve">balance between accuracy, technical complexity and economic costs, as well as the suitability</w:t>
      </w:r>
      <w:r>
        <w:t xml:space="preserve"> </w:t>
      </w:r>
      <w:r>
        <w:t xml:space="preserve">of each method to the different possible scope of emissions covered for landfills.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1.7.2.2.</w:t>
      </w:r>
      <w:r>
        <w:t xml:space="preserve"> </w:t>
      </w:r>
      <w:r>
        <w:t xml:space="preserve">SMEs</w:t>
      </w:r>
      <w:r>
        <w:t xml:space="preserve"> </w:t>
      </w:r>
      <w:r>
        <w:t xml:space="preserve">1.7.2.2.1.</w:t>
      </w:r>
      <w:r>
        <w:t xml:space="preserve"> </w:t>
      </w:r>
      <w:r>
        <w:t xml:space="preserve">W1 ‘ EU ETS expansion to non-hazardous waste incineration’</w:t>
      </w:r>
      <w:r>
        <w:br/>
      </w:r>
      <w:r>
        <w:t xml:space="preserve">Stakeholder consultations and an internal study by the Commission indicate that the waste</w:t>
      </w:r>
      <w:r>
        <w:t xml:space="preserve"> </w:t>
      </w:r>
      <w:r>
        <w:t xml:space="preserve">management sector has a comparatively higher share of medium-sized enterprises compared to</w:t>
      </w:r>
      <w:r>
        <w:t xml:space="preserve"> </w:t>
      </w:r>
      <w:r>
        <w:t xml:space="preserve">other sectors under the EU ETS. The administrative and financial burden resulting from MRV</w:t>
      </w:r>
      <w:r>
        <w:t xml:space="preserve"> </w:t>
      </w:r>
      <w:r>
        <w:t xml:space="preserve">compliance requirements for SMEs can be addressed through simplified MRV provisions for</w:t>
      </w:r>
      <w:r>
        <w:t xml:space="preserve"> </w:t>
      </w:r>
      <w:r>
        <w:t xml:space="preserve">smaller installations to provide a scalable and proportionate system to keep compliance</w:t>
      </w:r>
      <w:r>
        <w:t xml:space="preserve"> </w:t>
      </w:r>
      <w:r>
        <w:t xml:space="preserve">proportionate to emissions, avoiding placing an excessive burden on low-emitting sites while</w:t>
      </w:r>
      <w:r>
        <w:t xml:space="preserve"> </w:t>
      </w:r>
      <w:r>
        <w:t xml:space="preserve">still ensuring a basic level of emissions accountability. In addition, W1 is modulated by the</w:t>
      </w:r>
      <w:r>
        <w:t xml:space="preserve"> </w:t>
      </w:r>
      <w:r>
        <w:t xml:space="preserve">applied activity threshold. Under the EU ETS Directive, combustion installations are included</w:t>
      </w:r>
      <w:r>
        <w:t xml:space="preserve"> </w:t>
      </w:r>
      <w:r>
        <w:t xml:space="preserve">in the scope of the system if they are above the threshold of 20 MW rated thermal input. Even</w:t>
      </w:r>
      <w:r>
        <w:t xml:space="preserve"> </w:t>
      </w:r>
      <w:r>
        <w:t xml:space="preserve">if another threshold is set, e.g. based on waste management volume, or if no threshold would</w:t>
      </w:r>
      <w:r>
        <w:t xml:space="preserve"> </w:t>
      </w:r>
      <w:r>
        <w:t xml:space="preserve">be set, smaller installations could still opt-out under the existing small- and ultra-small emitter</w:t>
      </w:r>
      <w:r>
        <w:t xml:space="preserve"> </w:t>
      </w:r>
      <w:r>
        <w:t xml:space="preserve">provisions in the Directive. Several interviewed stakeholders, both business associations and</w:t>
      </w:r>
      <w:r>
        <w:t xml:space="preserve"> </w:t>
      </w:r>
      <w:r>
        <w:t xml:space="preserve">NGOs, emphasised the importance of maintaining a level playing field across all MWI</w:t>
      </w:r>
      <w:r>
        <w:t xml:space="preserve"> </w:t>
      </w:r>
      <w:r>
        <w:t xml:space="preserve">operators regardless of size by reducing the threshold. They argued that retaining the 20 MW</w:t>
      </w:r>
      <w:r>
        <w:t xml:space="preserve"> </w:t>
      </w:r>
      <w:r>
        <w:t xml:space="preserve">threshold could create unintended incentives for operators to divert waste to smaller facilities</w:t>
      </w:r>
      <w:r>
        <w:t xml:space="preserve"> </w:t>
      </w:r>
      <w:r>
        <w:t xml:space="preserve">under the threshold, thereby avoiding carbon pricing obligations.</w:t>
      </w:r>
      <w:r>
        <w:t xml:space="preserve"> </w:t>
      </w:r>
      <w:r>
        <w:t xml:space="preserve">1.7.2.2.1.</w:t>
      </w:r>
      <w:r>
        <w:t xml:space="preserve"> </w:t>
      </w:r>
      <w:r>
        <w:t xml:space="preserve">W2 - EU ETS expansion to non-hazardous and hazardous waste</w:t>
      </w:r>
      <w:r>
        <w:t xml:space="preserve"> </w:t>
      </w:r>
      <w:r>
        <w:t xml:space="preserve">incineration’</w:t>
      </w:r>
      <w:r>
        <w:br/>
      </w:r>
      <w:r>
        <w:t xml:space="preserve">Due to data limitations no detailed assessment could be conducted for HWI in addition to W1.</w:t>
      </w:r>
      <w:r>
        <w:br/>
      </w:r>
      <w:r>
        <w:t xml:space="preserve">1.7.2.2.2.</w:t>
      </w:r>
      <w:r>
        <w:t xml:space="preserve"> </w:t>
      </w:r>
      <w:r>
        <w:t xml:space="preserve">W3 ‘EU ETS expansion to non-hazardous and hazardous waste</w:t>
      </w:r>
      <w:r>
        <w:t xml:space="preserve"> </w:t>
      </w:r>
      <w:r>
        <w:t xml:space="preserve">incineration as well as non-hazardous landfills’</w:t>
      </w:r>
      <w:r>
        <w:br/>
      </w:r>
      <w:r>
        <w:t xml:space="preserve">No detailed assessment on the additional impact of W3 could be conducted due to the limited</w:t>
      </w:r>
      <w:r>
        <w:t xml:space="preserve"> </w:t>
      </w:r>
      <w:r>
        <w:t xml:space="preserve">information on landfill operations available. The assessment in section 1.2.2. indicates that</w:t>
      </w:r>
      <w:r>
        <w:t xml:space="preserve"> </w:t>
      </w:r>
      <w:r>
        <w:t xml:space="preserve">there is a substantial share of smaller and substandard landfills in the EU, however the impact</w:t>
      </w:r>
      <w:r>
        <w:t xml:space="preserve"> </w:t>
      </w:r>
      <w:r>
        <w:t xml:space="preserve">would depend on the scope of coverage and thresholds applied for inclusion of landfills under</w:t>
      </w:r>
      <w:r>
        <w:t xml:space="preserve"> </w:t>
      </w:r>
      <w:r>
        <w:t xml:space="preserve">the EU ETS.</w:t>
      </w:r>
      <w:r>
        <w:t xml:space="preserve"> </w:t>
      </w:r>
      <w:r>
        <w:t xml:space="preserve">1.7.3. Social impacts</w:t>
      </w:r>
      <w:r>
        <w:br/>
      </w:r>
      <w:r>
        <w:t xml:space="preserve">1.7.3.1.</w:t>
      </w:r>
      <w:r>
        <w:t xml:space="preserve"> </w:t>
      </w:r>
      <w:r>
        <w:t xml:space="preserve">Employment</w:t>
      </w:r>
      <w:r>
        <w:t xml:space="preserve"> </w:t>
      </w:r>
      <w:r>
        <w:t xml:space="preserve">A quantitative assessment of the impact of employment is undertaken at the policy option level.</w:t>
      </w:r>
      <w:r>
        <w:br/>
      </w:r>
      <w:r>
        <w:t xml:space="preserve">1.7.3.2.</w:t>
      </w:r>
      <w:r>
        <w:t xml:space="preserve"> </w:t>
      </w:r>
      <w:r>
        <w:t xml:space="preserve">Income distribution, social protection, and social inclusion (of particular</w:t>
      </w:r>
      <w:r>
        <w:t xml:space="preserve"> </w:t>
      </w:r>
      <w:r>
        <w:t xml:space="preserve">groups)</w:t>
      </w:r>
      <w:r>
        <w:br/>
      </w:r>
      <w:r>
        <w:t xml:space="preserve">A quantitative assessment of the impact on income distribution, social protection and social</w:t>
      </w:r>
      <w:r>
        <w:t xml:space="preserve"> </w:t>
      </w:r>
      <w:r>
        <w:t xml:space="preserve">inclusion is undertaken quantitatively only at the policy option level.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1.7.3.3.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All options assessed are aligned with Article 37 of the Charter of Fundamental Rights of the</w:t>
      </w:r>
      <w:r>
        <w:t xml:space="preserve"> </w:t>
      </w:r>
      <w:r>
        <w:t xml:space="preserve">European Union142 (the Charter)143 (environmental protection). They are designed to</w:t>
      </w:r>
      <w:r>
        <w:t xml:space="preserve"> </w:t>
      </w:r>
      <w:r>
        <w:t xml:space="preserve">incentivise decarbonisation in the waste sector as well as encourage a transition to a circular</w:t>
      </w:r>
      <w:r>
        <w:t xml:space="preserve"> </w:t>
      </w:r>
      <w:r>
        <w:t xml:space="preserve">economy model. Although the measures differ in scope (broadening progressively), they all</w:t>
      </w:r>
      <w:r>
        <w:t xml:space="preserve"> </w:t>
      </w:r>
      <w:r>
        <w:t xml:space="preserve">involve the inclusion of certain Waste sector emissions in the ETS. This inclusion increases</w:t>
      </w:r>
      <w:r>
        <w:t xml:space="preserve"> </w:t>
      </w:r>
      <w:r>
        <w:t xml:space="preserve">the cost of emitting these emissions, thereby strengthening the carbon price signal and</w:t>
      </w:r>
      <w:r>
        <w:t xml:space="preserve"> </w:t>
      </w:r>
      <w:r>
        <w:t xml:space="preserve">encouraging emissions reductions. As a result, these measures are expected to contribute to</w:t>
      </w:r>
      <w:r>
        <w:t xml:space="preserve"> </w:t>
      </w:r>
      <w:r>
        <w:t xml:space="preserve">more effective environmental protection.</w:t>
      </w:r>
      <w:r>
        <w:t xml:space="preserve"> </w:t>
      </w:r>
      <w:r>
        <w:t xml:space="preserve">The design of these measures must also ensure full compliance with Article 36 of the Charter</w:t>
      </w:r>
      <w:r>
        <w:t xml:space="preserve"> </w:t>
      </w:r>
      <w:r>
        <w:t xml:space="preserve">of Fundamental Rights, which recognises access to services of general economic interest.</w:t>
      </w:r>
      <w:r>
        <w:t xml:space="preserve"> </w:t>
      </w:r>
      <w:r>
        <w:t xml:space="preserve">Waste management is widely regarded as an essential public service, fundamental to</w:t>
      </w:r>
      <w:r>
        <w:t xml:space="preserve"> </w:t>
      </w:r>
      <w:r>
        <w:t xml:space="preserve">safeguarding public health, environmental protection, and the functioning of the circular</w:t>
      </w:r>
      <w:r>
        <w:t xml:space="preserve"> </w:t>
      </w:r>
      <w:r>
        <w:t xml:space="preserve">economy across the EU.</w:t>
      </w:r>
      <w:r>
        <w:t xml:space="preserve"> </w:t>
      </w:r>
      <w:r>
        <w:t xml:space="preserve">1.7.3.4.</w:t>
      </w:r>
      <w:r>
        <w:t xml:space="preserve"> </w:t>
      </w:r>
      <w:r>
        <w:t xml:space="preserve">Implications for municipalities</w:t>
      </w:r>
      <w:r>
        <w:t xml:space="preserve"> </w:t>
      </w:r>
      <w:r>
        <w:t xml:space="preserve">The carbon price is expected to be (at least partially) passed through by operators to waste</w:t>
      </w:r>
      <w:r>
        <w:t xml:space="preserve"> </w:t>
      </w:r>
      <w:r>
        <w:t xml:space="preserve">disposal authorities, often local authorities, through the gate fees. The subsequent cost</w:t>
      </w:r>
      <w:r>
        <w:t xml:space="preserve"> </w:t>
      </w:r>
      <w:r>
        <w:t xml:space="preserve">passthrough to citizens i.e. in the form of increased taxes or levies, will crucially depend on</w:t>
      </w:r>
      <w:r>
        <w:t xml:space="preserve"> </w:t>
      </w:r>
      <w:r>
        <w:t xml:space="preserve">how the initial cost passthrough incentivises municipalities, other waste generators, and third</w:t>
      </w:r>
      <w:r>
        <w:t xml:space="preserve"> </w:t>
      </w:r>
      <w:r>
        <w:t xml:space="preserve">parties to reduce waste streams and/or the carbon content in waste streams, e.g. through</w:t>
      </w:r>
      <w:r>
        <w:t xml:space="preserve"> </w:t>
      </w:r>
      <w:r>
        <w:t xml:space="preserve">improved separate waste collection, waste collection fees or taxation modulated for the carbon</w:t>
      </w:r>
      <w:r>
        <w:t xml:space="preserve"> </w:t>
      </w:r>
      <w:r>
        <w:t xml:space="preserve">content of waste streams, or higher penalties for illegal waste disposal, as assessed in sections</w:t>
      </w:r>
      <w:r>
        <w:t xml:space="preserve"> </w:t>
      </w:r>
      <w:r>
        <w:t xml:space="preserve">1.3.1. Nearly one fifth of stakeholders opposing MWI inclusion in the OPC expressed concerns</w:t>
      </w:r>
      <w:r>
        <w:t xml:space="preserve"> </w:t>
      </w:r>
      <w:r>
        <w:t xml:space="preserve">over the expected impact and perceived lack of alternatives for customers, notably local</w:t>
      </w:r>
      <w:r>
        <w:t xml:space="preserve"> </w:t>
      </w:r>
      <w:r>
        <w:t xml:space="preserve">authorities. Stakeholders interviewed further specified their concerns that bringing the waste</w:t>
      </w:r>
      <w:r>
        <w:t xml:space="preserve"> </w:t>
      </w:r>
      <w:r>
        <w:t xml:space="preserve">sector under the EU ETS could create operational and financial challenges for the continued</w:t>
      </w:r>
      <w:r>
        <w:t xml:space="preserve"> </w:t>
      </w:r>
      <w:r>
        <w:t xml:space="preserve">delivery of these services as the additional costs associated with participation in the EU ETS</w:t>
      </w:r>
      <w:r>
        <w:t xml:space="preserve"> </w:t>
      </w:r>
      <w:r>
        <w:t xml:space="preserve">(allowance purchases, MRV obligations, and administrative requirements) may place pressure</w:t>
      </w:r>
      <w:r>
        <w:t xml:space="preserve"> </w:t>
      </w:r>
      <w:r>
        <w:t xml:space="preserve">on municipal budgets and waste operators. This could, in turn, affect the affordability and</w:t>
      </w:r>
      <w:r>
        <w:t xml:space="preserve"> </w:t>
      </w:r>
      <w:r>
        <w:t xml:space="preserve">accessibility of waste management services for households and businesses. Evidence from</w:t>
      </w:r>
      <w:r>
        <w:t xml:space="preserve"> </w:t>
      </w:r>
      <w:r>
        <w:t xml:space="preserve">Member States already applying a carbon price for municipal waste incineration (DE, SE)</w:t>
      </w:r>
      <w:r>
        <w:t xml:space="preserve"> </w:t>
      </w:r>
      <w:r>
        <w:t xml:space="preserve">indicates that current pricing144 corresponds to limited, manageable increases in average annual</w:t>
      </w:r>
      <w:r>
        <w:t xml:space="preserve"> </w:t>
      </w:r>
      <w:r>
        <w:t xml:space="preserve">household waste management fees in the order of EUR 10 (DE) to EUR 13 (SE), of which a</w:t>
      </w:r>
      <w:r>
        <w:t xml:space="preserve"> </w:t>
      </w:r>
      <w:r>
        <w:t xml:space="preserve">substantial share can furthermore be avoided through improved prevention, separation and</w:t>
      </w:r>
      <w:r>
        <w:t xml:space="preserve"> </w:t>
      </w:r>
      <w:r>
        <w:t xml:space="preserve">recycling of waste, alongside complementary measures and financial support through ETS</w:t>
      </w:r>
      <w:r>
        <w:t xml:space="preserve"> </w:t>
      </w:r>
      <w:r>
        <w:t xml:space="preserve">revenues to support local authorities and/or households in implementing these measures and</w:t>
      </w:r>
      <w:r>
        <w:t xml:space="preserve"> </w:t>
      </w:r>
      <w:r>
        <w:t xml:space="preserve">lower or avoid fees passed through to households. The extension of the EU ETS cap with the</w:t>
      </w:r>
      <w:r>
        <w:t xml:space="preserve"> </w:t>
      </w:r>
      <w:r>
        <w:t xml:space="preserve">waste sector is expected to generate significant EU ETS revenues averaging EUR 4.75 billion</w:t>
      </w:r>
      <w:r>
        <w:t xml:space="preserve"> </w:t>
      </w:r>
      <w:r>
        <w:t xml:space="preserve">annually for municipal waste incineration, or double to triple this amount in case of an</w:t>
      </w:r>
    </w:p>
    <w:p>
      <w:pPr>
        <w:pStyle w:val="BodyText"/>
      </w:pPr>
      <w:r>
        <w:t xml:space="preserve">142 CHARTER OF FUNDAMENTAL RIGHTS OF THE EUROPEAN UNION (2000/C 364/01)</w:t>
      </w:r>
      <w:r>
        <w:t xml:space="preserve"> </w:t>
      </w:r>
      <w:r>
        <w:t xml:space="preserve">143 “A high level of environmental protection and the improvement of the quality of the environment must be</w:t>
      </w:r>
      <w:r>
        <w:t xml:space="preserve"> </w:t>
      </w:r>
      <w:r>
        <w:t xml:space="preserve">integrated into the policies of the Union and ensured in accordance with the principle of sustainable</w:t>
      </w:r>
      <w:r>
        <w:t xml:space="preserve"> </w:t>
      </w:r>
      <w:r>
        <w:t xml:space="preserve">development”.</w:t>
      </w:r>
      <w:r>
        <w:t xml:space="preserve"> </w:t>
      </w:r>
      <w:r>
        <w:t xml:space="preserve">144 At EU ETS carbon price of EUR 75/tonne of CO2 (Sweden, 2025) and national ETS carbon price of 62/tonne</w:t>
      </w:r>
      <w:r>
        <w:t xml:space="preserve"> </w:t>
      </w:r>
      <w:r>
        <w:t xml:space="preserve">of CO2 (Germany, 2026).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extension to all waste incineration and non-hazardous landfills, which could be reinvested to</w:t>
      </w:r>
      <w:r>
        <w:t xml:space="preserve"> </w:t>
      </w:r>
      <w:r>
        <w:t xml:space="preserve">support complementary circularity policies and measures in waste reduction and recycling.</w:t>
      </w:r>
      <w:r>
        <w:t xml:space="preserve"> </w:t>
      </w:r>
      <w:r>
        <w:t xml:space="preserve">At the same time, including the waste management sector in the EU ETS offers significant</w:t>
      </w:r>
      <w:r>
        <w:t xml:space="preserve"> </w:t>
      </w:r>
      <w:r>
        <w:t xml:space="preserve">opportunities to further incentivise circularity and recycling, both minimising environmental</w:t>
      </w:r>
      <w:r>
        <w:t xml:space="preserve"> </w:t>
      </w:r>
      <w:r>
        <w:t xml:space="preserve">impacts from natural resource use and financial costs for waste management for local</w:t>
      </w:r>
      <w:r>
        <w:t xml:space="preserve"> </w:t>
      </w:r>
      <w:r>
        <w:t xml:space="preserve">authorities. While the waste recycling rate in Europe has steadily increased due to EU binding</w:t>
      </w:r>
      <w:r>
        <w:t xml:space="preserve"> </w:t>
      </w:r>
      <w:r>
        <w:t xml:space="preserve">recycling targets, separate collection of waste was progressing slower than required and most</w:t>
      </w:r>
      <w:r>
        <w:t xml:space="preserve"> </w:t>
      </w:r>
      <w:r>
        <w:t xml:space="preserve">waste was still disposed of through incineration or landfill operations in 2022, carrying</w:t>
      </w:r>
      <w:r>
        <w:t xml:space="preserve"> </w:t>
      </w:r>
      <w:r>
        <w:t xml:space="preserve">substantial financial burdens on local authorities in the form of gate fees and additional</w:t>
      </w:r>
      <w:r>
        <w:t xml:space="preserve"> </w:t>
      </w:r>
      <w:r>
        <w:t xml:space="preserve">taxation, and consequently on taxpayers. Including waste management into the EU ETS would</w:t>
      </w:r>
      <w:r>
        <w:t xml:space="preserve"> </w:t>
      </w:r>
      <w:r>
        <w:t xml:space="preserve">contribute to incentivise ambitious waste management policies to increase recycling and</w:t>
      </w:r>
      <w:r>
        <w:t xml:space="preserve"> </w:t>
      </w:r>
      <w:r>
        <w:t xml:space="preserve">discourage landfills and incineration.</w:t>
      </w:r>
      <w:r>
        <w:br/>
      </w:r>
      <w:r>
        <w:t xml:space="preserve">Overall, an extension of the carbon price to waste management activities needs to balance the</w:t>
      </w:r>
      <w:r>
        <w:t xml:space="preserve"> </w:t>
      </w:r>
      <w:r>
        <w:t xml:space="preserve">environmental integrity and the costs associated to waste management as a public service. This</w:t>
      </w:r>
      <w:r>
        <w:t xml:space="preserve"> </w:t>
      </w:r>
      <w:r>
        <w:t xml:space="preserve">may warrant targeted safeguards, transitional measures, or financial support mechanisms to</w:t>
      </w:r>
      <w:r>
        <w:t xml:space="preserve"> </w:t>
      </w:r>
      <w:r>
        <w:t xml:space="preserve">prevent unintended social or economic impacts while still achieving the overarching climate</w:t>
      </w:r>
      <w:r>
        <w:t xml:space="preserve"> </w:t>
      </w:r>
      <w:r>
        <w:t xml:space="preserve">objectives of the EU ETS.</w:t>
      </w:r>
      <w:r>
        <w:t xml:space="preserve"> </w:t>
      </w:r>
      <w:r>
        <w:t xml:space="preserve">1.7.4. Summary</w:t>
      </w:r>
      <w:r>
        <w:t xml:space="preserve"> </w:t>
      </w:r>
      <w:r>
        <w:t xml:space="preserve">A summary comparison of the measures is provided in the table below. Measure W1 is rated</w:t>
      </w:r>
      <w:r>
        <w:t xml:space="preserve"> </w:t>
      </w:r>
      <w:r>
        <w:t xml:space="preserve">as compared to the baseline of no inclusion of waste management activities, with each</w:t>
      </w:r>
      <w:r>
        <w:t xml:space="preserve"> </w:t>
      </w:r>
      <w:r>
        <w:t xml:space="preserve">subsequent measure designed and rated as an extension to the preceding measure. In addition,</w:t>
      </w:r>
      <w:r>
        <w:t xml:space="preserve"> </w:t>
      </w:r>
      <w:r>
        <w:t xml:space="preserve">a summary of the key costs and benefits of the measures under the preferred policy option is</w:t>
      </w:r>
      <w:r>
        <w:t xml:space="preserve"> </w:t>
      </w:r>
      <w:r>
        <w:t xml:space="preserve">included in Annex 3, Section 2.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Criterion</w:t>
      </w:r>
      <w:r>
        <w:t xml:space="preserve"> </w:t>
      </w:r>
      <w:r>
        <w:t xml:space="preserve">W1: Inclusion of non-hazardous</w:t>
      </w:r>
      <w:r>
        <w:t xml:space="preserve"> </w:t>
      </w:r>
      <w:r>
        <w:t xml:space="preserve">waste incineration</w:t>
      </w:r>
      <w:r>
        <w:t xml:space="preserve"> </w:t>
      </w:r>
      <w:r>
        <w:t xml:space="preserve">W2: Inclusion of all waste</w:t>
      </w:r>
      <w:r>
        <w:t xml:space="preserve"> </w:t>
      </w:r>
      <w:r>
        <w:t xml:space="preserve">incineration</w:t>
      </w:r>
      <w:r>
        <w:t xml:space="preserve"> </w:t>
      </w:r>
      <w:r>
        <w:t xml:space="preserve">W3: Inclusion of all waste</w:t>
      </w:r>
      <w:r>
        <w:t xml:space="preserve"> </w:t>
      </w:r>
      <w:r>
        <w:t xml:space="preserve">incineration plus non-hazardous</w:t>
      </w:r>
      <w:r>
        <w:t xml:space="preserve"> </w:t>
      </w:r>
      <w:r>
        <w:t xml:space="preserve">landfill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(Climate)</w:t>
      </w:r>
      <w:r>
        <w:br/>
      </w:r>
      <w:r>
        <w:t xml:space="preserve">+</w:t>
      </w:r>
      <w:r>
        <w:t xml:space="preserve"> </w:t>
      </w:r>
      <w:r>
        <w:t xml:space="preserve">Substantial increase of scope of</w:t>
      </w:r>
      <w:r>
        <w:t xml:space="preserve"> </w:t>
      </w:r>
      <w:r>
        <w:t xml:space="preserve">economy-wide GHG emissions</w:t>
      </w:r>
      <w:r>
        <w:t xml:space="preserve"> </w:t>
      </w:r>
      <w:r>
        <w:t xml:space="preserve">accounted for and priced. Incentive and</w:t>
      </w:r>
      <w:r>
        <w:t xml:space="preserve"> </w:t>
      </w:r>
      <w:r>
        <w:t xml:space="preserve">resources to support sectoral</w:t>
      </w:r>
      <w:r>
        <w:t xml:space="preserve"> </w:t>
      </w:r>
      <w:r>
        <w:t xml:space="preserve">decarbonisation through improved</w:t>
      </w:r>
      <w:r>
        <w:t xml:space="preserve"> </w:t>
      </w:r>
      <w:r>
        <w:t xml:space="preserve">circular economy incentives and carbon</w:t>
      </w:r>
      <w:r>
        <w:t xml:space="preserve"> </w:t>
      </w:r>
      <w:r>
        <w:t xml:space="preserve">capture for residual emissions (mid-</w:t>
      </w:r>
      <w:r>
        <w:t xml:space="preserve"> </w:t>
      </w:r>
      <w:r>
        <w:t xml:space="preserve">decade).</w:t>
      </w:r>
    </w:p>
    <w:p>
      <w:pPr>
        <w:pStyle w:val="BodyText"/>
      </w:pPr>
      <w:r>
        <w:t xml:space="preserve">Secondary decarbonisation benefit from</w:t>
      </w:r>
      <w:r>
        <w:t xml:space="preserve"> </w:t>
      </w:r>
      <w:r>
        <w:t xml:space="preserve">improved circularity reducing GHG</w:t>
      </w:r>
      <w:r>
        <w:t xml:space="preserve"> </w:t>
      </w:r>
      <w:r>
        <w:t xml:space="preserve">emissions from waste disposal and</w:t>
      </w:r>
      <w:r>
        <w:t xml:space="preserve"> </w:t>
      </w:r>
      <w:r>
        <w:t xml:space="preserve">generating recycled materials</w:t>
      </w:r>
      <w:r>
        <w:t xml:space="preserve"> </w:t>
      </w:r>
      <w:r>
        <w:t xml:space="preserve">displacing more carbon-intensive virgin</w:t>
      </w:r>
      <w:r>
        <w:t xml:space="preserve"> </w:t>
      </w:r>
      <w:r>
        <w:t xml:space="preserve">materials.</w:t>
      </w:r>
    </w:p>
    <w:p>
      <w:pPr>
        <w:pStyle w:val="BodyText"/>
      </w:pPr>
      <w:r>
        <w:t xml:space="preserve">Significant potential for permanent</w:t>
      </w:r>
      <w:r>
        <w:t xml:space="preserve"> </w:t>
      </w:r>
      <w:r>
        <w:t xml:space="preserve">carbon removal generation from</w:t>
      </w:r>
      <w:r>
        <w:t xml:space="preserve"> </w:t>
      </w:r>
      <w:r>
        <w:t xml:space="preserve">biogenic emissions, supporting</w:t>
      </w:r>
      <w:r>
        <w:t xml:space="preserve"> </w:t>
      </w:r>
      <w:r>
        <w:t xml:space="preserve">economy-wide decarbonisation</w:t>
      </w:r>
      <w:r>
        <w:t xml:space="preserve"> </w:t>
      </w:r>
      <w:r>
        <w:t xml:space="preserve">(synergy with integration of removals in</w:t>
      </w:r>
      <w:r>
        <w:t xml:space="preserve"> </w:t>
      </w:r>
      <w:r>
        <w:t xml:space="preserve">ETS).</w:t>
      </w:r>
    </w:p>
    <w:p>
      <w:pPr>
        <w:pStyle w:val="BodyText"/>
      </w:pPr>
      <w:r>
        <w:t xml:space="preserve">Enabling condition for promoting the</w:t>
      </w:r>
      <w:r>
        <w:t xml:space="preserve"> </w:t>
      </w:r>
      <w:r>
        <w:t xml:space="preserve">use of captured CO2 as feedstock for</w:t>
      </w:r>
      <w:r>
        <w:t xml:space="preserve"> </w:t>
      </w:r>
      <w:r>
        <w:t xml:space="preserve">non-permanent CCU products (synergy</w:t>
      </w:r>
      <w:r>
        <w:t xml:space="preserve"> </w:t>
      </w:r>
      <w:r>
        <w:t xml:space="preserve">with CCU product incentives in ETS</w:t>
      </w:r>
      <w:r>
        <w:t xml:space="preserve"> </w:t>
      </w:r>
      <w:r>
        <w:t xml:space="preserve">review).</w:t>
      </w:r>
      <w:r>
        <w:t xml:space="preserve"> </w:t>
      </w:r>
      <w:r>
        <w:t xml:space="preserve">0</w:t>
      </w:r>
      <w:r>
        <w:t xml:space="preserve"> </w:t>
      </w:r>
      <w:r>
        <w:t xml:space="preserve">Limited additional environmental</w:t>
      </w:r>
      <w:r>
        <w:t xml:space="preserve"> </w:t>
      </w:r>
      <w:r>
        <w:t xml:space="preserve">benefit from further extension to HWI</w:t>
      </w:r>
      <w:r>
        <w:t xml:space="preserve"> </w:t>
      </w:r>
      <w:r>
        <w:t xml:space="preserve">(small scope and limited abatement</w:t>
      </w:r>
      <w:r>
        <w:t xml:space="preserve"> </w:t>
      </w:r>
      <w:r>
        <w:t xml:space="preserve">incentive).</w:t>
      </w:r>
    </w:p>
    <w:p>
      <w:pPr>
        <w:pStyle w:val="Compact"/>
        <w:numPr>
          <w:ilvl w:val="0"/>
          <w:numId w:val="1003"/>
        </w:numPr>
      </w:pPr>
      <w:r>
        <w:t xml:space="preserve">Substantial increase of scope of</w:t>
      </w:r>
      <w:r>
        <w:t xml:space="preserve"> </w:t>
      </w:r>
      <w:r>
        <w:t xml:space="preserve">economy-wide GHG emissions</w:t>
      </w:r>
      <w:r>
        <w:t xml:space="preserve"> </w:t>
      </w:r>
      <w:r>
        <w:t xml:space="preserve">accounted for and priced, complements</w:t>
      </w:r>
      <w:r>
        <w:t xml:space="preserve"> </w:t>
      </w:r>
      <w:r>
        <w:t xml:space="preserve">existing emission reduction trajectory</w:t>
      </w:r>
      <w:r>
        <w:t xml:space="preserve"> </w:t>
      </w:r>
      <w:r>
        <w:t xml:space="preserve">already in place under regulatory policy</w:t>
      </w:r>
      <w:r>
        <w:t xml:space="preserve"> </w:t>
      </w:r>
      <w:r>
        <w:t xml:space="preserve">framework for landfilling.</w:t>
      </w:r>
    </w:p>
    <w:p>
      <w:pPr>
        <w:pStyle w:val="FirstParagraph"/>
      </w:pPr>
      <w:r>
        <w:t xml:space="preserve">Higher overall GHG emissions</w:t>
      </w:r>
      <w:r>
        <w:t xml:space="preserve"> </w:t>
      </w:r>
      <w:r>
        <w:t xml:space="preserve">reductions mainly driven by landfills,</w:t>
      </w:r>
      <w:r>
        <w:t xml:space="preserve"> </w:t>
      </w:r>
      <w:r>
        <w:t xml:space="preserve">compared to lower incineration</w:t>
      </w:r>
      <w:r>
        <w:t xml:space="preserve"> </w:t>
      </w:r>
      <w:r>
        <w:t xml:space="preserve">emissions reductions than W1/W2.</w:t>
      </w:r>
      <w:r>
        <w:t xml:space="preserve"> </w:t>
      </w:r>
      <w:r>
        <w:t xml:space="preserve">Environment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(Other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impacts)</w:t>
      </w:r>
      <w:r>
        <w:t xml:space="preserve"> </w:t>
      </w:r>
      <w:r>
        <w:t xml:space="preserve">Additional contribution to air pollutants</w:t>
      </w:r>
      <w:r>
        <w:t xml:space="preserve"> </w:t>
      </w:r>
      <w:r>
        <w:t xml:space="preserve">reduction.</w:t>
      </w:r>
    </w:p>
    <w:p>
      <w:pPr>
        <w:pStyle w:val="BodyText"/>
      </w:pPr>
      <w:r>
        <w:t xml:space="preserve">Additional incentive for circular</w:t>
      </w:r>
      <w:r>
        <w:t xml:space="preserve"> </w:t>
      </w:r>
      <w:r>
        <w:t xml:space="preserve">economy for materials, supporting the</w:t>
      </w:r>
      <w:r>
        <w:t xml:space="preserve"> </w:t>
      </w:r>
      <w:r>
        <w:t xml:space="preserve">business case for waste prevention,</w:t>
      </w:r>
      <w:r>
        <w:t xml:space="preserve"> </w:t>
      </w:r>
      <w:r>
        <w:t xml:space="preserve">separate collection, sorting and</w:t>
      </w:r>
      <w:r>
        <w:t xml:space="preserve"> </w:t>
      </w:r>
      <w:r>
        <w:t xml:space="preserve">recycling.</w:t>
      </w:r>
    </w:p>
    <w:p>
      <w:pPr>
        <w:pStyle w:val="BodyText"/>
      </w:pPr>
      <w:r>
        <w:t xml:space="preserve">Risk of landfill diversion for organic</w:t>
      </w:r>
      <w:r>
        <w:t xml:space="preserve"> </w:t>
      </w:r>
      <w:r>
        <w:t xml:space="preserve">waste streams limited due to zero-rating</w:t>
      </w:r>
      <w:r>
        <w:t xml:space="preserve"> </w:t>
      </w:r>
      <w:r>
        <w:t xml:space="preserve">in incineration. For fossil waste streams</w:t>
      </w:r>
      <w:r>
        <w:t xml:space="preserve"> </w:t>
      </w:r>
      <w:r>
        <w:t xml:space="preserve">depending on effective regulatory or</w:t>
      </w:r>
      <w:r>
        <w:t xml:space="preserve"> </w:t>
      </w:r>
      <w:r>
        <w:t xml:space="preserve">fiscal policy framework in place.</w:t>
      </w:r>
      <w:r>
        <w:t xml:space="preserve"> </w:t>
      </w:r>
      <w:r>
        <w:t xml:space="preserve">Limited additional benefit for waste</w:t>
      </w:r>
      <w:r>
        <w:t xml:space="preserve"> </w:t>
      </w:r>
      <w:r>
        <w:t xml:space="preserve">hierarchy from further extension to</w:t>
      </w:r>
      <w:r>
        <w:t xml:space="preserve"> </w:t>
      </w:r>
      <w:r>
        <w:t xml:space="preserve">HWI in view of strict regulatory</w:t>
      </w:r>
      <w:r>
        <w:t xml:space="preserve"> </w:t>
      </w:r>
      <w:r>
        <w:t xml:space="preserve">requirements in place.</w:t>
      </w:r>
      <w:r>
        <w:br/>
      </w:r>
      <w:r>
        <w:t xml:space="preserve">Additional contribution to ground</w:t>
      </w:r>
      <w:r>
        <w:t xml:space="preserve"> </w:t>
      </w:r>
      <w:r>
        <w:t xml:space="preserve">pollution reduction.</w:t>
      </w:r>
    </w:p>
    <w:p>
      <w:pPr>
        <w:pStyle w:val="BodyText"/>
      </w:pPr>
      <w:r>
        <w:t xml:space="preserve">Additional incentive supporting</w:t>
      </w:r>
      <w:r>
        <w:t xml:space="preserve"> </w:t>
      </w:r>
      <w:r>
        <w:t xml:space="preserve">increased separate collection and</w:t>
      </w:r>
      <w:r>
        <w:t xml:space="preserve"> </w:t>
      </w:r>
      <w:r>
        <w:t xml:space="preserve">alternative treatment of organic waste</w:t>
      </w:r>
      <w:r>
        <w:t xml:space="preserve"> </w:t>
      </w:r>
      <w:r>
        <w:t xml:space="preserve">streams.</w:t>
      </w:r>
    </w:p>
    <w:p>
      <w:pPr>
        <w:pStyle w:val="BodyText"/>
      </w:pPr>
      <w:r>
        <w:t xml:space="preserve">Contributes to address risk of landfill</w:t>
      </w:r>
      <w:r>
        <w:t xml:space="preserve"> </w:t>
      </w:r>
      <w:r>
        <w:t xml:space="preserve">diversion for organic waste streams</w:t>
      </w:r>
      <w:r>
        <w:t xml:space="preserve"> </w:t>
      </w:r>
      <w:r>
        <w:t xml:space="preserve">through carbon pricing of methane. For</w:t>
      </w:r>
      <w:r>
        <w:t xml:space="preserve"> </w:t>
      </w:r>
      <w:r>
        <w:t xml:space="preserve">fossil waste streams depending on</w:t>
      </w:r>
      <w:r>
        <w:t xml:space="preserve"> </w:t>
      </w:r>
      <w:r>
        <w:t xml:space="preserve">effective regulatory or fiscal policy</w:t>
      </w:r>
      <w:r>
        <w:t xml:space="preserve"> </w:t>
      </w:r>
      <w:r>
        <w:t xml:space="preserve">framework in place.</w:t>
      </w:r>
      <w:r>
        <w:t xml:space="preserve"> </w:t>
      </w:r>
      <w:r>
        <w:t xml:space="preserve">Economic (Cost</w:t>
      </w:r>
      <w:r>
        <w:t xml:space="preserve"> </w:t>
      </w:r>
      <w:r>
        <w:t xml:space="preserve">of compliance)</w:t>
      </w:r>
      <w:r>
        <w:t xml:space="preserve"> </w:t>
      </w:r>
      <w:r>
        <w:t xml:space="preserve">+</w:t>
      </w:r>
      <w:r>
        <w:t xml:space="preserve"> </w:t>
      </w:r>
      <w:r>
        <w:t xml:space="preserve">Effective carbon cost reduced due to</w:t>
      </w:r>
      <w:r>
        <w:t xml:space="preserve"> </w:t>
      </w:r>
      <w:r>
        <w:t xml:space="preserve">biogenic share plus opportunities for</w:t>
      </w:r>
      <w:r>
        <w:t xml:space="preserve"> </w:t>
      </w:r>
      <w:r>
        <w:t xml:space="preserve">permanent carbon removals from</w:t>
      </w:r>
      <w:r>
        <w:t xml:space="preserve"> </w:t>
      </w:r>
      <w:r>
        <w:t xml:space="preserve">biogenic emissions.</w:t>
      </w:r>
    </w:p>
    <w:p>
      <w:pPr>
        <w:pStyle w:val="BodyText"/>
      </w:pPr>
      <w:r>
        <w:t xml:space="preserve">Cost-effective abatement options</w:t>
      </w:r>
      <w:r>
        <w:t xml:space="preserve"> </w:t>
      </w:r>
      <w:r>
        <w:t xml:space="preserve">available at installation level and value</w:t>
      </w:r>
      <w:r>
        <w:t xml:space="preserve"> </w:t>
      </w:r>
      <w:r>
        <w:t xml:space="preserve">chain, complementary policies and</w:t>
      </w:r>
      <w:r>
        <w:t xml:space="preserve"> </w:t>
      </w:r>
      <w:r>
        <w:t xml:space="preserve">targeted support mechanisms are key</w:t>
      </w:r>
      <w:r>
        <w:t xml:space="preserve"> </w:t>
      </w:r>
      <w:r>
        <w:t xml:space="preserve">enabling conditions for investment and</w:t>
      </w:r>
      <w:r>
        <w:t xml:space="preserve"> </w:t>
      </w:r>
      <w:r>
        <w:t xml:space="preserve">planning predictability, decarbonisation</w:t>
      </w:r>
      <w:r>
        <w:t xml:space="preserve"> </w:t>
      </w:r>
      <w:r>
        <w:t xml:space="preserve">support, and reinforced circular</w:t>
      </w:r>
      <w:r>
        <w:t xml:space="preserve"> </w:t>
      </w:r>
      <w:r>
        <w:t xml:space="preserve">economy policies.</w:t>
      </w:r>
    </w:p>
    <w:p>
      <w:pPr>
        <w:pStyle w:val="BodyText"/>
      </w:pPr>
      <w:r>
        <w:t xml:space="preserve">Contribution to circular economy</w:t>
      </w:r>
      <w:r>
        <w:t xml:space="preserve"> </w:t>
      </w:r>
      <w:r>
        <w:t xml:space="preserve">growth.</w:t>
      </w:r>
    </w:p>
    <w:p>
      <w:pPr>
        <w:pStyle w:val="BodyText"/>
      </w:pPr>
      <w:r>
        <w:t xml:space="preserve">Supporting level playing field for</w:t>
      </w:r>
      <w:r>
        <w:t xml:space="preserve"> </w:t>
      </w:r>
      <w:r>
        <w:t xml:space="preserve">industrial installations and power plants</w:t>
      </w:r>
      <w:r>
        <w:t xml:space="preserve"> </w:t>
      </w:r>
      <w:r>
        <w:t xml:space="preserve">by harmonising carbon price signal</w:t>
      </w:r>
      <w:r>
        <w:t xml:space="preserve"> </w:t>
      </w:r>
      <w:r>
        <w:t xml:space="preserve">-</w:t>
      </w:r>
      <w:r>
        <w:t xml:space="preserve"> </w:t>
      </w:r>
      <w:r>
        <w:t xml:space="preserve">High additional carbon cost for further</w:t>
      </w:r>
      <w:r>
        <w:t xml:space="preserve"> </w:t>
      </w:r>
      <w:r>
        <w:t xml:space="preserve">extension to HWI due to higher</w:t>
      </w:r>
      <w:r>
        <w:t xml:space="preserve"> </w:t>
      </w:r>
      <w:r>
        <w:t xml:space="preserve">emission intensity, limited carbon</w:t>
      </w:r>
      <w:r>
        <w:t xml:space="preserve"> </w:t>
      </w:r>
      <w:r>
        <w:t xml:space="preserve">removal potential and restricted</w:t>
      </w:r>
      <w:r>
        <w:t xml:space="preserve"> </w:t>
      </w:r>
      <w:r>
        <w:t xml:space="preserve">alternatives.</w:t>
      </w:r>
    </w:p>
    <w:p>
      <w:pPr>
        <w:pStyle w:val="BodyText"/>
      </w:pPr>
      <w:r>
        <w:t xml:space="preserve">+/-</w:t>
      </w:r>
      <w:r>
        <w:t xml:space="preserve"> </w:t>
      </w:r>
      <w:r>
        <w:t xml:space="preserve">Higher cost of compliance compared to</w:t>
      </w:r>
      <w:r>
        <w:t xml:space="preserve"> </w:t>
      </w:r>
      <w:r>
        <w:t xml:space="preserve">W1 and higher cost-effective abatement</w:t>
      </w:r>
      <w:r>
        <w:t xml:space="preserve"> </w:t>
      </w:r>
      <w:r>
        <w:t xml:space="preserve">potential for landfills, in particular for</w:t>
      </w:r>
      <w:r>
        <w:t xml:space="preserve"> </w:t>
      </w:r>
      <w:r>
        <w:t xml:space="preserve">emissions from historical disposal.</w:t>
      </w:r>
    </w:p>
    <w:p>
      <w:pPr>
        <w:pStyle w:val="BodyText"/>
      </w:pPr>
      <w:r>
        <w:t xml:space="preserve">Overall cost of compliance dependent</w:t>
      </w:r>
      <w:r>
        <w:t xml:space="preserve"> </w:t>
      </w:r>
      <w:r>
        <w:t xml:space="preserve">on scope of inclusion, with higher cost</w:t>
      </w:r>
      <w:r>
        <w:t xml:space="preserve"> </w:t>
      </w:r>
      <w:r>
        <w:t xml:space="preserve">and operational constraints if emissions</w:t>
      </w:r>
      <w:r>
        <w:t xml:space="preserve"> </w:t>
      </w:r>
      <w:r>
        <w:t xml:space="preserve">from historical disposal also covered.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with co-incineration and electricity and</w:t>
      </w:r>
      <w:r>
        <w:t xml:space="preserve"> </w:t>
      </w:r>
      <w:r>
        <w:t xml:space="preserve">district heating production.</w:t>
      </w:r>
      <w:r>
        <w:t xml:space="preserve"> </w:t>
      </w:r>
      <w:r>
        <w:t xml:space="preserve">Economic</w:t>
      </w:r>
      <w:r>
        <w:t xml:space="preserve"> </w:t>
      </w:r>
      <w:r>
        <w:t xml:space="preserve">(Administrative</w:t>
      </w:r>
      <w:r>
        <w:t xml:space="preserve"> </w:t>
      </w:r>
      <w:r>
        <w:t xml:space="preserve">effort)</w:t>
      </w:r>
      <w:r>
        <w:br/>
      </w:r>
      <w:r>
        <w:t xml:space="preserve">+</w:t>
      </w:r>
      <w:r>
        <w:t xml:space="preserve"> </w:t>
      </w:r>
      <w:r>
        <w:t xml:space="preserve">Limited additional costs compared to</w:t>
      </w:r>
      <w:r>
        <w:t xml:space="preserve"> </w:t>
      </w:r>
      <w:r>
        <w:t xml:space="preserve">baseline (already applicable), building</w:t>
      </w:r>
      <w:r>
        <w:t xml:space="preserve"> </w:t>
      </w:r>
      <w:r>
        <w:t xml:space="preserve">on already established MRV process</w:t>
      </w:r>
      <w:r>
        <w:t xml:space="preserve"> </w:t>
      </w:r>
      <w:r>
        <w:t xml:space="preserve">and infrastructure, and tiered system</w:t>
      </w:r>
      <w:r>
        <w:t xml:space="preserve"> </w:t>
      </w:r>
      <w:r>
        <w:t xml:space="preserve">with simplified provisions for smaller</w:t>
      </w:r>
      <w:r>
        <w:t xml:space="preserve"> </w:t>
      </w:r>
      <w:r>
        <w:t xml:space="preserve">operators balancing robustness and</w:t>
      </w:r>
      <w:r>
        <w:t xml:space="preserve"> </w:t>
      </w:r>
      <w:r>
        <w:t xml:space="preserve">administrative burden and costs.</w:t>
      </w:r>
      <w:r>
        <w:t xml:space="preserve"> </w:t>
      </w:r>
      <w:r>
        <w:t xml:space="preserve">-</w:t>
      </w:r>
      <w:r>
        <w:t xml:space="preserve"> </w:t>
      </w:r>
      <w:r>
        <w:t xml:space="preserve">Possible additional HWI-specific MRV</w:t>
      </w:r>
      <w:r>
        <w:t xml:space="preserve"> </w:t>
      </w:r>
      <w:r>
        <w:t xml:space="preserve">cost due to regulatory restrictions.</w:t>
      </w:r>
      <w:r>
        <w:t xml:space="preserve"> </w:t>
      </w:r>
      <w:r>
        <w:t xml:space="preserve">Possibility for simplified MRV or</w:t>
      </w:r>
      <w:r>
        <w:t xml:space="preserve"> </w:t>
      </w:r>
      <w:r>
        <w:t xml:space="preserve">exclusions and opt-outs of the system.</w:t>
      </w:r>
      <w:r>
        <w:br/>
      </w:r>
      <w:r>
        <w:t xml:space="preserve">-</w:t>
      </w:r>
      <w:r>
        <w:t xml:space="preserve"> </w:t>
      </w:r>
      <w:r>
        <w:t xml:space="preserve">MRV methodology to be developed and</w:t>
      </w:r>
      <w:r>
        <w:t xml:space="preserve"> </w:t>
      </w:r>
      <w:r>
        <w:t xml:space="preserve">implemented for landfills from scratch.</w:t>
      </w:r>
    </w:p>
    <w:p>
      <w:pPr>
        <w:pStyle w:val="BodyText"/>
      </w:pPr>
      <w:r>
        <w:t xml:space="preserve">No cost estimate: depending on method</w:t>
      </w:r>
      <w:r>
        <w:t xml:space="preserve"> </w:t>
      </w:r>
      <w:r>
        <w:t xml:space="preserve">and scope (historical emissions).</w:t>
      </w:r>
      <w:r>
        <w:t xml:space="preserve"> </w:t>
      </w:r>
      <w:r>
        <w:t xml:space="preserve">Complex and lengthy development</w:t>
      </w:r>
      <w:r>
        <w:t xml:space="preserve"> </w:t>
      </w:r>
      <w:r>
        <w:t xml:space="preserve">process (especially if based on</w:t>
      </w:r>
      <w:r>
        <w:t xml:space="preserve"> </w:t>
      </w:r>
      <w:r>
        <w:t xml:space="preserve">comprehensive measurement-based</w:t>
      </w:r>
      <w:r>
        <w:t xml:space="preserve"> </w:t>
      </w:r>
      <w:r>
        <w:t xml:space="preserve">approach). Simplified approach based</w:t>
      </w:r>
      <w:r>
        <w:t xml:space="preserve"> </w:t>
      </w:r>
      <w:r>
        <w:t xml:space="preserve">on reference values possible.</w:t>
      </w:r>
    </w:p>
    <w:p>
      <w:pPr>
        <w:pStyle w:val="BodyText"/>
      </w:pPr>
      <w:r>
        <w:t xml:space="preserve">Development needs to balance</w:t>
      </w:r>
      <w:r>
        <w:t xml:space="preserve"> </w:t>
      </w:r>
      <w:r>
        <w:t xml:space="preserve">robustness with administrative burden</w:t>
      </w:r>
      <w:r>
        <w:t xml:space="preserve"> </w:t>
      </w:r>
      <w:r>
        <w:t xml:space="preserve">and costs.</w:t>
      </w:r>
      <w:r>
        <w:br/>
      </w:r>
      <w:r>
        <w:t xml:space="preserve">Economic</w:t>
      </w:r>
      <w:r>
        <w:t xml:space="preserve"> </w:t>
      </w:r>
      <w:r>
        <w:t xml:space="preserve">(SMEs)</w:t>
      </w:r>
      <w:r>
        <w:t xml:space="preserve"> </w:t>
      </w:r>
      <w:r>
        <w:t xml:space="preserve">0</w:t>
      </w:r>
      <w:r>
        <w:t xml:space="preserve"> </w:t>
      </w:r>
      <w:r>
        <w:t xml:space="preserve">Comparatively high share of medium-</w:t>
      </w:r>
      <w:r>
        <w:t xml:space="preserve"> </w:t>
      </w:r>
      <w:r>
        <w:t xml:space="preserve">sized enterprises.</w:t>
      </w:r>
    </w:p>
    <w:p>
      <w:pPr>
        <w:pStyle w:val="BodyText"/>
      </w:pPr>
      <w:r>
        <w:t xml:space="preserve">Simplified MRV, opt-out provisions and</w:t>
      </w:r>
      <w:r>
        <w:t xml:space="preserve"> </w:t>
      </w:r>
      <w:r>
        <w:t xml:space="preserve">potential exclusions under threshold for</w:t>
      </w:r>
      <w:r>
        <w:t xml:space="preserve"> </w:t>
      </w:r>
      <w:r>
        <w:t xml:space="preserve">small emitters reduce impact on SMEs.</w:t>
      </w:r>
      <w:r>
        <w:br/>
      </w:r>
      <w:r>
        <w:t xml:space="preserve">0</w:t>
      </w:r>
      <w:r>
        <w:t xml:space="preserve"> </w:t>
      </w:r>
      <w:r>
        <w:t xml:space="preserve">Same as for W1.</w:t>
      </w:r>
    </w:p>
    <w:p>
      <w:pPr>
        <w:pStyle w:val="BodyText"/>
      </w:pPr>
      <w:r>
        <w:t xml:space="preserve">Comparatively high share of medium-</w:t>
      </w:r>
      <w:r>
        <w:t xml:space="preserve"> </w:t>
      </w:r>
      <w:r>
        <w:t xml:space="preserve">sized enterprises but impact dependent</w:t>
      </w:r>
      <w:r>
        <w:t xml:space="preserve"> </w:t>
      </w:r>
      <w:r>
        <w:t xml:space="preserve">on scope of GHG emissions included,</w:t>
      </w:r>
      <w:r>
        <w:t xml:space="preserve"> </w:t>
      </w:r>
      <w:r>
        <w:t xml:space="preserve">threshold applied and other factors.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Appendix 1: Data on emissions from waste incineration and landfilling in the EU</w:t>
      </w:r>
      <w:r>
        <w:t xml:space="preserve"> </w:t>
      </w:r>
      <w:r>
        <w:t xml:space="preserve">A. Data on emissions from municipal waste incineration</w:t>
      </w:r>
      <w:r>
        <w:br/>
      </w:r>
      <w:r>
        <w:t xml:space="preserve">Data prior to 2024 (UNFCCC GHG Inventory, internal Commission estimates) do not provide disaggregated data per type of waste</w:t>
      </w:r>
      <w:r>
        <w:t xml:space="preserve"> </w:t>
      </w:r>
      <w:r>
        <w:t xml:space="preserve">(municipal, hazardous, industrial) or per type of incineration (with or without energy recovery). Since 2024, accurate MRV data have</w:t>
      </w:r>
      <w:r>
        <w:t xml:space="preserve"> </w:t>
      </w:r>
      <w:r>
        <w:t xml:space="preserve">been collected specifically for municipal waste incineration (with and without energy recovery) above the EU ETS threshold.</w:t>
      </w:r>
    </w:p>
    <w:p>
      <w:pPr>
        <w:pStyle w:val="BodyText"/>
      </w:pPr>
      <w:r>
        <w:t xml:space="preserve">EU ETS monitoring, reporting and verification data</w:t>
      </w:r>
      <w:r>
        <w:t xml:space="preserve"> </w:t>
      </w:r>
      <w:r>
        <w:t xml:space="preserve">From 1 January 2024, installations for the incineration of municipal waste above the EU ETS threshold are required to monitor and</w:t>
      </w:r>
      <w:r>
        <w:t xml:space="preserve"> </w:t>
      </w:r>
      <w:r>
        <w:t xml:space="preserve">report emissions under the EU ETS145. In 2025, emissions data from the first year (2024) of the monitoring and reporting of emissions</w:t>
      </w:r>
      <w:r>
        <w:t xml:space="preserve"> </w:t>
      </w:r>
      <w:r>
        <w:t xml:space="preserve">by municipal waste incineration (MWI) installations under the EU ETS became available. The total 2024 emissions from MWI</w:t>
      </w:r>
      <w:r>
        <w:t xml:space="preserve"> </w:t>
      </w:r>
      <w:r>
        <w:t xml:space="preserve">(excluding hazardous waste incineration) from the reporting data provided by 19 countries (18 Member States146 and Norway) for 395</w:t>
      </w:r>
      <w:r>
        <w:t xml:space="preserve"> </w:t>
      </w:r>
      <w:r>
        <w:t xml:space="preserve">installations amounted to 85.0 MtCO2eq (Figure 6)147. Of this total, approximately 47% or 39.4 MtCO2eq were fossil-based emissions</w:t>
      </w:r>
      <w:r>
        <w:t xml:space="preserve"> </w:t>
      </w:r>
      <w:r>
        <w:t xml:space="preserve">and 53% or 45.6 MtCO2eq biogenic emissions148. In case of an extension of the EU ETS to waste incineration, only the former would</w:t>
      </w:r>
      <w:r>
        <w:t xml:space="preserve"> </w:t>
      </w:r>
      <w:r>
        <w:t xml:space="preserve">be expected to fall under the scope of the EU ETS as biogenic emissions are zero-rated under the EU ETS. The 2024 MRV data provides</w:t>
      </w:r>
      <w:r>
        <w:t xml:space="preserve"> </w:t>
      </w:r>
      <w:r>
        <w:t xml:space="preserve">the most recent and accurate report of emissions from MWI in the EU.</w:t>
      </w:r>
    </w:p>
    <w:p>
      <w:pPr>
        <w:pStyle w:val="BodyText"/>
      </w:pPr>
      <w:r>
        <w:t xml:space="preserve">145 Installations carrying out combustion activities and having a total rated thermal input exceeding 20MW (as well as incinerating predominantly municipal</w:t>
      </w:r>
      <w:r>
        <w:t xml:space="preserve"> </w:t>
      </w:r>
      <w:r>
        <w:t xml:space="preserve">waste).</w:t>
      </w:r>
      <w:r>
        <w:br/>
      </w:r>
      <w:r>
        <w:t xml:space="preserve">146 AT, BE, CZ, DE, DK, EE, ES, FI, FR, IE, IT, NL, LT, LU, PL, PT, SE and SK.</w:t>
      </w:r>
      <w:r>
        <w:br/>
      </w:r>
      <w:r>
        <w:t xml:space="preserve">147 Reporting data from 4 installations in 3 Member States (BE, DE, HU) was missing at the time of writing, Based on desk research, this are projected to add</w:t>
      </w:r>
      <w:r>
        <w:t xml:space="preserve"> </w:t>
      </w:r>
      <w:r>
        <w:t xml:space="preserve">approximately a further 0.40 MtCO2e, based on nominal capacity and assuming a standardised 50% fossil emissions factor and bring the total number of MWI</w:t>
      </w:r>
      <w:r>
        <w:t xml:space="preserve"> </w:t>
      </w:r>
      <w:r>
        <w:t xml:space="preserve">installations above the 20MW threshold in the EU to 400. In addition, 2 installations in LT were reported under the fuel combustion activity, representing 0.20</w:t>
      </w:r>
      <w:r>
        <w:t xml:space="preserve"> </w:t>
      </w:r>
      <w:r>
        <w:t xml:space="preserve">MtCO2e fossil emissions. The remaining 8 Member States had no significant MWI incineration capacity in 2024 (CY, BG, EL, HR, LV, MT, RO, SI).</w:t>
      </w:r>
      <w:r>
        <w:t xml:space="preserve"> </w:t>
      </w:r>
      <w:r>
        <w:t xml:space="preserve">148 38.6 MtCO2eq and 44.8 MtCO2eq for the EU-27.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Figure 6:</w:t>
      </w:r>
      <w:r>
        <w:t xml:space="preserve"> </w:t>
      </w:r>
      <w:r>
        <w:t xml:space="preserve">Emissions and number of installations reported under the scope of the EU ETS MRV obligation for combustion of fuels in</w:t>
      </w:r>
      <w:r>
        <w:t xml:space="preserve"> </w:t>
      </w:r>
      <w:r>
        <w:t xml:space="preserve">installations for the incineration of municipal waste (2024).</w:t>
      </w:r>
    </w:p>
    <w:p>
      <w:pPr>
        <w:pStyle w:val="BodyText"/>
      </w:pPr>
      <w:r>
        <w:t xml:space="preserve">Source: European Commission</w:t>
      </w:r>
      <w:r>
        <w:t xml:space="preserve"> </w:t>
      </w:r>
      <w:r>
        <w:t xml:space="preserve">Data limitations: No data on emissions from hazardous waste incineration; no data on emissions from MWI installations below 20MW</w:t>
      </w:r>
      <w:r>
        <w:t xml:space="preserve"> </w:t>
      </w:r>
      <w:r>
        <w:t xml:space="preserve">(not covered under the MRV obligation). Reported data may not be exhaustive and require further finetuning as results cover only the</w:t>
      </w:r>
      <w:r>
        <w:t xml:space="preserve"> </w:t>
      </w:r>
      <w:r>
        <w:t xml:space="preserve">initial year of reporting.</w:t>
      </w:r>
      <w:r>
        <w:br/>
      </w:r>
      <w:r>
        <w:t xml:space="preserve">UNFCCC Inventory Data</w:t>
      </w:r>
      <w:r>
        <w:t xml:space="preserve"> </w:t>
      </w:r>
      <w:r>
        <w:t xml:space="preserve">Emissions from waste incineration (all types) without energy recovery are reported separately in the UNFCCC National Inventory</w:t>
      </w:r>
      <w:r>
        <w:t xml:space="preserve"> </w:t>
      </w:r>
      <w:r>
        <w:t xml:space="preserve">Report under category 5C1 and amounted to 2.07 MtCO2e in 2023. Emissions from waste incineration with energy recovery are not</w:t>
      </w:r>
      <w:r>
        <w:t xml:space="preserve"> </w:t>
      </w:r>
      <w:r>
        <w:t xml:space="preserve">separately reported but are reported as part of emissions from fuel combustion. Category 1A1a (Electricity and Heat Production - Other</w:t>
      </w:r>
      <w:r>
        <w:t xml:space="preserve"> </w:t>
      </w:r>
      <w:r>
        <w:t xml:space="preserve">Fuels (CO2)), which amounted to 36.1 MtCO2e in 2023, mainly covers the fossil part of municipal solid waste incineration with energy</w:t>
      </w:r>
      <w:r>
        <w:t xml:space="preserve"> </w:t>
      </w:r>
      <w:r>
        <w:t xml:space="preserve">recovery whose main economic activity is power and heat production. Biogenic CO2 generated by the combustion of organic waste is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not accounted for in the national total. Combined the reported fossil part of emissions from MWI in the UNFCCC inventory would</w:t>
      </w:r>
      <w:r>
        <w:t xml:space="preserve"> </w:t>
      </w:r>
      <w:r>
        <w:t xml:space="preserve">amount to 38.2 MtCO2e in 2023, within the same range as the EU ETS MRV reported emissions.</w:t>
      </w:r>
      <w:r>
        <w:br/>
      </w:r>
      <w:r>
        <w:t xml:space="preserve">Data limitations: No disaggregated data on municipal waste incineration without energy recovery; no data on emissions from hazardous</w:t>
      </w:r>
      <w:r>
        <w:t xml:space="preserve"> </w:t>
      </w:r>
      <w:r>
        <w:t xml:space="preserve">waste incineration; no data on biogenic fraction of emissions.</w:t>
      </w:r>
      <w:r>
        <w:br/>
      </w:r>
      <w:r>
        <w:t xml:space="preserve">Internal Commission Estimates</w:t>
      </w:r>
      <w:r>
        <w:t xml:space="preserve"> </w:t>
      </w:r>
      <w:r>
        <w:t xml:space="preserve">In 2022, during the legislative process on the 2023 revision of the EU ETS, the European Commission internally estimated the scope of</w:t>
      </w:r>
      <w:r>
        <w:t xml:space="preserve"> </w:t>
      </w:r>
      <w:r>
        <w:t xml:space="preserve">the fossil part of emissions from all waste incineration in the EU using data reported by Member States under the Governance Regulation</w:t>
      </w:r>
      <w:r>
        <w:t xml:space="preserve"> </w:t>
      </w:r>
      <w:r>
        <w:t xml:space="preserve">(2016-2018) (for overall waste combustion in the relevant sectors), EU ETS emissions reporting under Article 21 of the ETS Directive</w:t>
      </w:r>
      <w:r>
        <w:t xml:space="preserve"> </w:t>
      </w:r>
      <w:r>
        <w:t xml:space="preserve">and the average share of municipal waste in the total waste combusted (67%), which were further validated through technical discussions</w:t>
      </w:r>
      <w:r>
        <w:t xml:space="preserve"> </w:t>
      </w:r>
      <w:r>
        <w:t xml:space="preserve">with Member States and cross-checks with other available data sources. The data are presented in Table 5. The resulting estimates of</w:t>
      </w:r>
      <w:r>
        <w:t xml:space="preserve"> </w:t>
      </w:r>
      <w:r>
        <w:t xml:space="preserve">the emissions from the combustion of the fossil fraction of municipal and hazardous waste combined are in the range of 44.2 MtCO2eq.</w:t>
      </w:r>
      <w:r>
        <w:t xml:space="preserve"> </w:t>
      </w:r>
      <w:r>
        <w:t xml:space="preserve">Taking into account the difference in scope (these estimates also include installations below the 20MW threshold (see Section 2 below),</w:t>
      </w:r>
      <w:r>
        <w:t xml:space="preserve"> </w:t>
      </w:r>
      <w:r>
        <w:t xml:space="preserve">hazardous waste incineration with energy recovery (see Section 3 below), and co-incineration installations already covered under the</w:t>
      </w:r>
      <w:r>
        <w:t xml:space="preserve"> </w:t>
      </w:r>
      <w:r>
        <w:t xml:space="preserve">EU ETS), these estimates indicate a similar order of magnitude as the reported 2024 MRV data for MWI installations above 20MW</w:t>
      </w:r>
      <w:r>
        <w:t xml:space="preserve"> </w:t>
      </w:r>
      <w:r>
        <w:t xml:space="preserve">only.</w:t>
      </w:r>
      <w:r>
        <w:t xml:space="preserve"> </w:t>
      </w:r>
      <w:r>
        <w:t xml:space="preserve">Table 5:</w:t>
      </w:r>
      <w:r>
        <w:t xml:space="preserve"> </w:t>
      </w:r>
      <w:r>
        <w:t xml:space="preserve">Internal Commission estimates (2022) for fossil emissions from all types of waste incineration (municipal, hazardous and industrial)</w:t>
      </w:r>
      <w:r>
        <w:t xml:space="preserve"> </w:t>
      </w:r>
      <w:r>
        <w:t xml:space="preserve">in the EU27.</w:t>
      </w:r>
      <w:r>
        <w:t xml:space="preserve"> </w:t>
      </w:r>
      <w:r>
        <w:t xml:space="preserve">CO2 emissions (ktCO2e)</w:t>
      </w:r>
      <w:r>
        <w:br/>
      </w:r>
      <w:r>
        <w:t xml:space="preserve">EU ETS</w:t>
      </w:r>
      <w:r>
        <w:t xml:space="preserve"> </w:t>
      </w:r>
      <w:r>
        <w:t xml:space="preserve">Non-EU ETS Total</w:t>
      </w:r>
      <w:r>
        <w:t xml:space="preserve"> </w:t>
      </w:r>
      <w:r>
        <w:t xml:space="preserve">Total fossil emissions from all waste incineration (municipal, industrial, hazardous) 22,369</w:t>
      </w:r>
      <w:r>
        <w:t xml:space="preserve"> </w:t>
      </w:r>
      <w:r>
        <w:t xml:space="preserve">40,636</w:t>
      </w:r>
      <w:r>
        <w:t xml:space="preserve"> </w:t>
      </w:r>
      <w:r>
        <w:t xml:space="preserve">63,005</w:t>
      </w:r>
      <w:r>
        <w:t xml:space="preserve"> </w:t>
      </w:r>
      <w:r>
        <w:t xml:space="preserve">Fossil emissions from incineration of municipal and hazardous waste</w:t>
      </w:r>
      <w:r>
        <w:t xml:space="preserve"> </w:t>
      </w:r>
      <w:r>
        <w:t xml:space="preserve">12,928149 31,332</w:t>
      </w:r>
      <w:r>
        <w:t xml:space="preserve"> </w:t>
      </w:r>
      <w:r>
        <w:t xml:space="preserve">44,260</w:t>
      </w:r>
      <w:r>
        <w:t xml:space="preserve"> </w:t>
      </w:r>
      <w:r>
        <w:t xml:space="preserve">Fossil emissions from incineration of industrial waste</w:t>
      </w:r>
      <w:r>
        <w:t xml:space="preserve"> </w:t>
      </w:r>
      <w:r>
        <w:t xml:space="preserve">9,441</w:t>
      </w:r>
      <w:r>
        <w:t xml:space="preserve"> </w:t>
      </w:r>
      <w:r>
        <w:t xml:space="preserve">9,304</w:t>
      </w:r>
      <w:r>
        <w:t xml:space="preserve"> </w:t>
      </w:r>
      <w:r>
        <w:t xml:space="preserve">18,746</w:t>
      </w:r>
    </w:p>
    <w:p>
      <w:pPr>
        <w:pStyle w:val="BodyText"/>
      </w:pPr>
      <w:r>
        <w:t xml:space="preserve">Data limitations: No disaggregated emissions from municipal and hazardous waste incineration installations, from installations above</w:t>
      </w:r>
      <w:r>
        <w:t xml:space="preserve"> </w:t>
      </w:r>
      <w:r>
        <w:t xml:space="preserve">and below the 20MW threshold, and from incineration and co-incineration installations.</w:t>
      </w:r>
      <w:r>
        <w:t xml:space="preserve"> </w:t>
      </w:r>
      <w:r>
        <w:t xml:space="preserve">B. Estimates of emissions from municipal waste incineration installations below the 20MW threshold</w:t>
      </w:r>
    </w:p>
    <w:p>
      <w:pPr>
        <w:pStyle w:val="BodyText"/>
      </w:pPr>
      <w:r>
        <w:t xml:space="preserve">149 Installations for the incineration of municipal waste already covered by the EU ETS (waste-to-energy installations included as part of national implementation</w:t>
      </w:r>
      <w:r>
        <w:t xml:space="preserve"> </w:t>
      </w:r>
      <w:r>
        <w:t xml:space="preserve">of the EU ETS in certain Member States (DK, SE) reported at 4.8 MtCO2e in 2024 MRV data and co-incineration in industrial installation such as cement</w:t>
      </w:r>
      <w:r>
        <w:t xml:space="preserve"> </w:t>
      </w:r>
      <w:r>
        <w:t xml:space="preserve">kilns)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Data on the share of installations below the 20 MW threshold are not readily available, as these were not subject to the monitoring and</w:t>
      </w:r>
      <w:r>
        <w:t xml:space="preserve"> </w:t>
      </w:r>
      <w:r>
        <w:t xml:space="preserve">reporting obligation under the EU ETS as of 2024. Emissions from municipal waste installations below the 20MW threshold can be</w:t>
      </w:r>
      <w:r>
        <w:t xml:space="preserve"> </w:t>
      </w:r>
      <w:r>
        <w:t xml:space="preserve">approximated based on the nominal capacity of municipal waste-to-energy installations not reported under the MRV obligation150,151.</w:t>
      </w:r>
      <w:r>
        <w:t xml:space="preserve"> </w:t>
      </w:r>
      <w:r>
        <w:t xml:space="preserve">On this basis, 53 installations (EEA) were identified with total fossil-based emissions of maximum 1.05 MtCO2e152, or an additional</w:t>
      </w:r>
      <w:r>
        <w:t xml:space="preserve"> </w:t>
      </w:r>
      <w:r>
        <w:t xml:space="preserve">2.7% on top of the total reported emissions under the EU ETS MRV, given the limited capacity of these installations.153 Moreover, this</w:t>
      </w:r>
      <w:r>
        <w:t xml:space="preserve"> </w:t>
      </w:r>
      <w:r>
        <w:t xml:space="preserve">figure is an overestimate as approximated emissions are based on nominal instead of actual incineration volumes, which are generally</w:t>
      </w:r>
      <w:r>
        <w:t xml:space="preserve"> </w:t>
      </w:r>
      <w:r>
        <w:t xml:space="preserve">lower. On the other hand, this figure does not cover any MWI installations without energy recovery, although no evidence was found</w:t>
      </w:r>
      <w:r>
        <w:t xml:space="preserve"> </w:t>
      </w:r>
      <w:r>
        <w:t xml:space="preserve">on such installations and these would be expected to represent only a minor share of emissions given the limited total emissions of this</w:t>
      </w:r>
      <w:r>
        <w:t xml:space="preserve"> </w:t>
      </w:r>
      <w:r>
        <w:t xml:space="preserve">subsector (2.07 MtCO2e in 2023 for all types of waste incineration without energy recovery combined).</w:t>
      </w:r>
      <w:r>
        <w:br/>
      </w:r>
      <w:r>
        <w:t xml:space="preserve">C. Estimates on emissions from hazardous waste incineration</w:t>
      </w:r>
      <w:r>
        <w:t xml:space="preserve"> </w:t>
      </w:r>
      <w:r>
        <w:t xml:space="preserve">As identified in Section A, detailed data on emissions from hazardous waste incineration in the EU are currently not available. Emissions</w:t>
      </w:r>
      <w:r>
        <w:t xml:space="preserve"> </w:t>
      </w:r>
      <w:r>
        <w:t xml:space="preserve">from hazardous waste incineration can however be estimated based on the volume of hazardous waste treated and the default emission</w:t>
      </w:r>
      <w:r>
        <w:t xml:space="preserve"> </w:t>
      </w:r>
      <w:r>
        <w:t xml:space="preserve">factor of hazardous waste incineration on the one hand, and by cross analysing the data sources on total waste incineration in Section</w:t>
      </w:r>
      <w:r>
        <w:t xml:space="preserve"> </w:t>
      </w:r>
      <w:r>
        <w:t xml:space="preserve">A.</w:t>
      </w:r>
      <w:r>
        <w:t xml:space="preserve"> </w:t>
      </w:r>
      <w:r>
        <w:t xml:space="preserve">The volume of hazardous waste incinerated amounted to 10.5 million tonnes of waste in 2022 according to Eurostat, of which 6.3 million</w:t>
      </w:r>
      <w:r>
        <w:t xml:space="preserve"> </w:t>
      </w:r>
      <w:r>
        <w:t xml:space="preserve">tonnes with energy recovery and 4.1 million tonnes without energy recovery154. However, these data cover both incineration in dedicated</w:t>
      </w:r>
      <w:r>
        <w:t xml:space="preserve"> </w:t>
      </w:r>
      <w:r>
        <w:t xml:space="preserve">hazardous waste incineration installations, as well as co-incineration in industrial installations (e.g. cement or lime kilns) and fractions</w:t>
      </w:r>
      <w:r>
        <w:t xml:space="preserve"> </w:t>
      </w:r>
      <w:r>
        <w:t xml:space="preserve">of low-hazardous waste incinerated in municipal waste incinerators. The former is currently already covered by the EU ETS, while the</w:t>
      </w:r>
      <w:r>
        <w:t xml:space="preserve"> </w:t>
      </w:r>
      <w:r>
        <w:t xml:space="preserve">latter would be covered under the inclusion of MWI under the EU ETS in line with the existing scope of the MRV obligation for MWI155.</w:t>
      </w:r>
      <w:r>
        <w:t xml:space="preserve"> </w:t>
      </w:r>
      <w:r>
        <w:t xml:space="preserve">Considering only hazardous waste incinerated in dedicated hazardous waste incineration installations, the volume amounted to only 3.5</w:t>
      </w:r>
      <w:r>
        <w:t xml:space="preserve"> </w:t>
      </w:r>
      <w:r>
        <w:t xml:space="preserve">million tonnes of waste (Industrial Emissions Portal).</w:t>
      </w:r>
    </w:p>
    <w:p>
      <w:pPr>
        <w:pStyle w:val="BodyText"/>
      </w:pPr>
      <w:r>
        <w:t xml:space="preserve">150 Source: desk research based on the EU E-PRTR database and installations listed by the sector organisation CEWEP (2017, Interactive Map of Waste-to-Energy</w:t>
      </w:r>
      <w:r>
        <w:t xml:space="preserve"> </w:t>
      </w:r>
      <w:r>
        <w:t xml:space="preserve">Plants. Available at: https://www.cewep.eu/interactive-map/).</w:t>
      </w:r>
      <w:r>
        <w:t xml:space="preserve"> </w:t>
      </w:r>
      <w:r>
        <w:t xml:space="preserve">151 The thermal input is determined by the calorific value of the waste and the mass throughput being fed into the furnace at any given moment. Approximating a</w:t>
      </w:r>
      <w:r>
        <w:t xml:space="preserve"> </w:t>
      </w:r>
      <w:r>
        <w:t xml:space="preserve">throughput (capacity) value for waste incineration installations equivalent to the 20 MW thermal input threshold, assuming a net calorific value of 7.5 MJ/kg</w:t>
      </w:r>
      <w:r>
        <w:t xml:space="preserve"> </w:t>
      </w:r>
      <w:r>
        <w:t xml:space="preserve">and 85% annual availability, results in a 20 MW thermal input corresponding to approximately a throughout of 71.500 tonnes per year (upper threshold).</w:t>
      </w:r>
      <w:r>
        <w:t xml:space="preserve"> </w:t>
      </w:r>
      <w:r>
        <w:t xml:space="preserve">152 Based on the combined nominal capacity of these installations (CEWEP data) and a standardised 0.5 fossil emission factor.</w:t>
      </w:r>
      <w:r>
        <w:t xml:space="preserve"> </w:t>
      </w:r>
      <w:r>
        <w:t xml:space="preserve">153 No data are available on the number and capacity of hazardous waste incineration installations below 20 MW.</w:t>
      </w:r>
      <w:r>
        <w:t xml:space="preserve"> </w:t>
      </w:r>
      <w:r>
        <w:t xml:space="preserve">154 Eurostat</w:t>
      </w:r>
      <w:r>
        <w:t xml:space="preserve"> </w:t>
      </w:r>
      <w:r>
        <w:t xml:space="preserve">155 Guidance on interpretation of Annex I of the EU ETS Directive from December 2024: https://climate.ec.europa.eu/document/download/edc93136-82a0-482c-</w:t>
      </w:r>
      <w:r>
        <w:t xml:space="preserve"> </w:t>
      </w:r>
      <w:r>
        <w:t xml:space="preserve">bf47-39ecaf13b318_en?filename=policy_ets_gd0_annex_i_euets_directive_en.pdf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HWI generally has a higher fossil emission intensity (90%) compared to MWI. Combining the volume of HWI with the 0.9 fossil-based</w:t>
      </w:r>
      <w:r>
        <w:t xml:space="preserve"> </w:t>
      </w:r>
      <w:r>
        <w:t xml:space="preserve">emission factor results in an estimated total fossil fraction of emissions from HWI ranging from ~3.15 MtCO2e (dedicated HWI only)</w:t>
      </w:r>
      <w:r>
        <w:t xml:space="preserve"> </w:t>
      </w:r>
      <w:r>
        <w:t xml:space="preserve">to ~9.5 MtCO2e (all hazardous waste incinerated through various types of incinerators) of which ~5.7 MtCO2e fossil emissions from</w:t>
      </w:r>
      <w:r>
        <w:t xml:space="preserve"> </w:t>
      </w:r>
      <w:r>
        <w:t xml:space="preserve">HWI with energy recovery and ~3.8 MtCO2e fossil emissions from HWI without energy recovery, with the additional coverage in case</w:t>
      </w:r>
      <w:r>
        <w:t xml:space="preserve"> </w:t>
      </w:r>
      <w:r>
        <w:t xml:space="preserve">of an extension of the EU ETS to HWI in addition to MWI expected to be closer to the first (3.15 MtCO2e).</w:t>
      </w:r>
      <w:r>
        <w:br/>
      </w:r>
      <w:r>
        <w:t xml:space="preserve">D. Data on emissions from landfilling</w:t>
      </w:r>
      <w:r>
        <w:t xml:space="preserve"> </w:t>
      </w:r>
      <w:r>
        <w:t xml:space="preserve">UNFCCC Inventory Data</w:t>
      </w:r>
      <w:r>
        <w:t xml:space="preserve"> </w:t>
      </w:r>
      <w:r>
        <w:t xml:space="preserve">Member States collectively reported 65.3 Mt CO2e emissions in 2023 from all solid waste disposed in ‘managed waste disposal sites’</w:t>
      </w:r>
      <w:r>
        <w:t xml:space="preserve"> </w:t>
      </w:r>
      <w:r>
        <w:t xml:space="preserve">and a further 8.6 Mt CO2e from ‘unmanaged’ waste disposal sites or illegal activities. Municipal waste represented around two fifths of</w:t>
      </w:r>
      <w:r>
        <w:t xml:space="preserve"> </w:t>
      </w:r>
      <w:r>
        <w:t xml:space="preserve">all solid waste landfilled in the EU27 (52 out of 137 million tonnes of solid waste landfilled in 2023), but no detailed information is</w:t>
      </w:r>
      <w:r>
        <w:t xml:space="preserve"> </w:t>
      </w:r>
      <w:r>
        <w:t xml:space="preserve">reported on the corresponding share of emissions. Landfill emissions have decreased by 55% from 132.3 Mt CO2e since 1990 and 25%</w:t>
      </w:r>
      <w:r>
        <w:t xml:space="preserve"> </w:t>
      </w:r>
      <w:r>
        <w:t xml:space="preserve">from 99.4 Mt CO2e since 2010, primarily due to a reduction in biodegradable waste being landfilled and a significant increase in landfill</w:t>
      </w:r>
      <w:r>
        <w:t xml:space="preserve"> </w:t>
      </w:r>
      <w:r>
        <w:t xml:space="preserve">methane recovery and flaring. A smaller number of emissions are also emitted from sectors such as ‘uncategorised waste disposal sites’</w:t>
      </w:r>
      <w:r>
        <w:t xml:space="preserve"> </w:t>
      </w:r>
      <w:r>
        <w:t xml:space="preserve">and ‘open burning of waste’. The data reported in the UNFCCC GHG inventory cover historical emissions resulting from the decay of</w:t>
      </w:r>
      <w:r>
        <w:t xml:space="preserve"> </w:t>
      </w:r>
      <w:r>
        <w:t xml:space="preserve">waste disposed in the past156.</w:t>
      </w:r>
      <w:r>
        <w:br/>
      </w:r>
      <w:r>
        <w:t xml:space="preserve">Estimates using emissions factors</w:t>
      </w:r>
      <w:r>
        <w:t xml:space="preserve"> </w:t>
      </w:r>
      <w:r>
        <w:t xml:space="preserve">Emissions from landfilling can also be estimated using data on the tonnes of waste landfilled in the EU, combined with an emission</w:t>
      </w:r>
      <w:r>
        <w:t xml:space="preserve"> </w:t>
      </w:r>
      <w:r>
        <w:t xml:space="preserve">intensity factor. In 2022, 137 million tonnes of solid waste was disposed in landfills in the EU. Using an indicative value of 0.6 tonne</w:t>
      </w:r>
      <w:r>
        <w:t xml:space="preserve"> </w:t>
      </w:r>
      <w:r>
        <w:t xml:space="preserve">CO2eq/tonne of residual waste treated in conventional landfill with flaring157, which can be considered the technological level in the</w:t>
      </w:r>
      <w:r>
        <w:t xml:space="preserve"> </w:t>
      </w:r>
      <w:r>
        <w:t xml:space="preserve">middle between landfills without flaring and any type of energy recovery at all on one end and highly engineered landfills with methane</w:t>
      </w:r>
      <w:r>
        <w:t xml:space="preserve"> </w:t>
      </w:r>
      <w:r>
        <w:t xml:space="preserve">capture and energy recovery on the other, the resulting estimate of landfill emissions for solid waste in 2022 would be 82.2Mt CO2 eq.</w:t>
      </w:r>
    </w:p>
    <w:p>
      <w:pPr>
        <w:pStyle w:val="BodyText"/>
      </w:pPr>
      <w:r>
        <w:t xml:space="preserve">156 The First Order of Decay method used by Member States to calculate the emissions in the national inventory reports in accordance with the 2006 IPCC</w:t>
      </w:r>
      <w:r>
        <w:t xml:space="preserve"> </w:t>
      </w:r>
      <w:r>
        <w:t xml:space="preserve">Guidelines is considered to account relatively accurately for the fact that the degradable organic components decay slowly over decades (see section 1.4.3 on</w:t>
      </w:r>
      <w:r>
        <w:t xml:space="preserve"> </w:t>
      </w:r>
      <w:r>
        <w:t xml:space="preserve">methodologies). While the methodology can be considered to be relatively accurate, the calculation relies on the quality of activity data, emission factors and</w:t>
      </w:r>
      <w:r>
        <w:t xml:space="preserve"> </w:t>
      </w:r>
      <w:r>
        <w:t xml:space="preserve">other parameters used by each Member State for their inventories, which results in inconsistencies and carries a risk of imprecise estimation.</w:t>
      </w:r>
      <w:r>
        <w:t xml:space="preserve"> </w:t>
      </w:r>
      <w:r>
        <w:t xml:space="preserve">157 Based on a study by Prognos and CE Delft which was assessed against a range of emissions factors for the flaring technique. Prognos and CE Delft (2022).</w:t>
      </w:r>
      <w:r>
        <w:t xml:space="preserve"> </w:t>
      </w:r>
      <w:r>
        <w:t xml:space="preserve">CO2 reduction potential in European waste management. Emission factors used in national inventory reports and assessed in literature display a wide range of</w:t>
      </w:r>
      <w:r>
        <w:t xml:space="preserve"> </w:t>
      </w:r>
      <w:r>
        <w:t xml:space="preserve">variation. For example, emission factors used in national inventory reports vary widely between countries, ranging from 0.8 to 2.0 tonne CO2/tonne of mixed</w:t>
      </w:r>
      <w:r>
        <w:t xml:space="preserve"> </w:t>
      </w:r>
      <w:r>
        <w:t xml:space="preserve">solid waste landfilled depending on the presence and type of methane capture, local conditions and waste composition, among others, while emission factors</w:t>
      </w:r>
      <w:r>
        <w:t xml:space="preserve"> </w:t>
      </w:r>
      <w:r>
        <w:t xml:space="preserve">in literature display an even wider range from less than 0.2 to more than 2.6 depending on the methodology used.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52 million tonnes of the 137 million tonnes of solid waste were municipal solid waste, which translates into an estimated 31.2Mt CO2</w:t>
      </w:r>
      <w:r>
        <w:t xml:space="preserve"> </w:t>
      </w:r>
      <w:r>
        <w:t xml:space="preserve">eq for municipal waste landfill emissions in 2022. This estimate covers a different scope of emissions compared to the UNFCCC</w:t>
      </w:r>
      <w:r>
        <w:t xml:space="preserve"> </w:t>
      </w:r>
      <w:r>
        <w:t xml:space="preserve">inventory data, providing an estimate of ‘future’ emissions from the waste disposed in a landfill in a given year (assuming all</w:t>
      </w:r>
      <w:r>
        <w:t xml:space="preserve"> </w:t>
      </w:r>
      <w:r>
        <w:t xml:space="preserve">incorporated emissions are released in one year) but not considering emissions resulting from past disposal in landfills.</w:t>
      </w:r>
      <w:r>
        <w:t xml:space="preserve"> </w:t>
      </w:r>
      <w:r>
        <w:t xml:space="preserve">Appendix 2: Selected case studies on emissions abatement options for waste incineration and landfilling</w:t>
      </w:r>
      <w:r>
        <w:t xml:space="preserve"> </w:t>
      </w:r>
      <w:r>
        <w:t xml:space="preserve">Mixed Waste Sorting (MWS)</w:t>
      </w:r>
      <w:r>
        <w:t xml:space="preserve"> </w:t>
      </w:r>
      <w:r>
        <w:t xml:space="preserve">• Case Study 1 – The IVAR IKS facility in Forus, Norway158, has operated a fully automated sorting plant (equipped with near-</w:t>
      </w:r>
      <w:r>
        <w:t xml:space="preserve"> </w:t>
      </w:r>
      <w:r>
        <w:t xml:space="preserve">infrared (NIR) and visual spectrometer (VIS) technologies, differentiating between various polymers and material types) since</w:t>
      </w:r>
      <w:r>
        <w:t xml:space="preserve"> </w:t>
      </w:r>
      <w:r>
        <w:t xml:space="preserve">2019, designed to process residual household waste of approximately 325.000 citizens. The recovery of recyclables increased</w:t>
      </w:r>
      <w:r>
        <w:t xml:space="preserve"> </w:t>
      </w:r>
      <w:r>
        <w:t xml:space="preserve">from 28% to 82% following the implementation of MWS. The facility reduces annual CO2 emissions by approximately 33.000</w:t>
      </w:r>
      <w:r>
        <w:t xml:space="preserve"> </w:t>
      </w:r>
      <w:r>
        <w:t xml:space="preserve">metric tons.</w:t>
      </w:r>
      <w:r>
        <w:t xml:space="preserve"> </w:t>
      </w:r>
      <w:r>
        <w:t xml:space="preserve">• Case Study 2 – Omrin’s Ecopark De Wierde in Heerenveen, the Netherlands159, is a public waste management company</w:t>
      </w:r>
      <w:r>
        <w:t xml:space="preserve"> </w:t>
      </w:r>
      <w:r>
        <w:t xml:space="preserve">with an advanced AI-driven separation plant processing over 311.000 tonnes of household waste annually, achieving a 78%</w:t>
      </w:r>
      <w:r>
        <w:t xml:space="preserve"> </w:t>
      </w:r>
      <w:r>
        <w:t xml:space="preserve">waste separation rate, which significantly outperforms the EU average of 49%.</w:t>
      </w:r>
      <w:r>
        <w:br/>
      </w:r>
      <w:r>
        <w:t xml:space="preserve">• Case Study 3 – The Site Zero facility in Motala, Sweden, is currently the world’s largest and most advanced plastic sorting</w:t>
      </w:r>
      <w:r>
        <w:t xml:space="preserve"> </w:t>
      </w:r>
      <w:r>
        <w:t xml:space="preserve">plant, using near-infrared (NIR) sensors to separate 12 different types of plastic, compared to only four types previously. In its</w:t>
      </w:r>
      <w:r>
        <w:t xml:space="preserve"> </w:t>
      </w:r>
      <w:r>
        <w:t xml:space="preserve">first full year of operation (2024), the facility doubled the sorting efficiency to 95% compared to 47% previously, and</w:t>
      </w:r>
      <w:r>
        <w:t xml:space="preserve"> </w:t>
      </w:r>
      <w:r>
        <w:t xml:space="preserve">approximately 42.4% of all plastic packaging received at the facility was successfully converted into recycled raw material.</w:t>
      </w:r>
      <w:r>
        <w:t xml:space="preserve"> </w:t>
      </w:r>
      <w:r>
        <w:t xml:space="preserve">Pay-As-You-Throw (PAYT) schemes</w:t>
      </w:r>
      <w:r>
        <w:t xml:space="preserve"> </w:t>
      </w:r>
      <w:r>
        <w:t xml:space="preserve">• Case Study 1 - The County of Aschaffenburg, Germany, has implemented a weight-based PAYT system, resulting in one of the</w:t>
      </w:r>
      <w:r>
        <w:t xml:space="preserve"> </w:t>
      </w:r>
      <w:r>
        <w:t xml:space="preserve">highest recorded rates of recyclables collection (86%) and one of the lowest recorded rates of residual waste generation (55 kg</w:t>
      </w:r>
      <w:r>
        <w:t xml:space="preserve"> </w:t>
      </w:r>
      <w:r>
        <w:t xml:space="preserve">per capita per year) in the EU. The Aschaffenburg model has been replicated in other Germany counties, in Italy and in Belgium.</w:t>
      </w:r>
    </w:p>
    <w:p>
      <w:pPr>
        <w:pStyle w:val="BodyText"/>
      </w:pPr>
      <w:r>
        <w:t xml:space="preserve">158 Circular Economy Knowledge Hub (2022). Waste sorting plant to advance mixed municipal waste management. Available at: https://knowledge-hub.circle-</w:t>
      </w:r>
      <w:r>
        <w:t xml:space="preserve"> </w:t>
      </w:r>
      <w:r>
        <w:t xml:space="preserve">economy.com/article/12719?n=Waste-sorting-plant-to-advance-mixed-municipal-waste-management</w:t>
      </w:r>
      <w:r>
        <w:br/>
      </w:r>
      <w:r>
        <w:t xml:space="preserve">159 Grayparrot AI (2025). How Omrin uses Greyparrot Analyzer to maximise yield. Available at: https://www.greyparrot.ai/resources/case-studies/omrin-</w:t>
      </w:r>
      <w:r>
        <w:t xml:space="preserve"> </w:t>
      </w:r>
      <w:r>
        <w:t xml:space="preserve">greyparrot-analyzer-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• Case Study 2 – Bergen, Norway: by changing their model of waste collection from curbside collection to underground collection</w:t>
      </w:r>
      <w:r>
        <w:t xml:space="preserve"> </w:t>
      </w:r>
      <w:r>
        <w:t xml:space="preserve">hatches with a PAYT element, residual waste collected reduced by 9% and plastic recycling collected increased by 28% 6 years</w:t>
      </w:r>
      <w:r>
        <w:t xml:space="preserve"> </w:t>
      </w:r>
      <w:r>
        <w:t xml:space="preserve">into the scheme.</w:t>
      </w:r>
      <w:r>
        <w:br/>
      </w:r>
      <w:r>
        <w:t xml:space="preserve">• Case Study 3 – Bassano del Grappa, Veneto, Italy: a PAYT was piloted as part of the EU-funded LIFE-REthinkWASTE project.</w:t>
      </w:r>
      <w:r>
        <w:t xml:space="preserve"> </w:t>
      </w:r>
      <w:r>
        <w:t xml:space="preserve">Residents receive a personalised bill based on the amount of unsorted waste they generate and was combined with a KAYT</w:t>
      </w:r>
      <w:r>
        <w:t xml:space="preserve"> </w:t>
      </w:r>
      <w:r>
        <w:t xml:space="preserve">(know-as-you-throw) information campaign to encourage proper sorting. The scheme resulted in a 27.8 % reduction in residual</w:t>
      </w:r>
      <w:r>
        <w:t xml:space="preserve"> </w:t>
      </w:r>
      <w:r>
        <w:t xml:space="preserve">waste between 2018-2022.</w:t>
      </w:r>
      <w:r>
        <w:t xml:space="preserve"> </w:t>
      </w:r>
      <w:r>
        <w:t xml:space="preserve">• Case Study 4 – Chastre, Belgium: the first municipality to introduce smart bins equipped with microchips in Belgium, in 2016,</w:t>
      </w:r>
      <w:r>
        <w:t xml:space="preserve"> </w:t>
      </w:r>
      <w:r>
        <w:t xml:space="preserve">whereby any household producing waste above a certain quota got a surplus tax of up to EUR 600 added to their basic local tax.</w:t>
      </w:r>
      <w:r>
        <w:t xml:space="preserve"> </w:t>
      </w:r>
      <w:r>
        <w:t xml:space="preserve">This amounted to residual waste per person dropping from 135kg to 74kg.</w:t>
      </w:r>
      <w:r>
        <w:t xml:space="preserve"> </w:t>
      </w:r>
      <w:r>
        <w:t xml:space="preserve">Carbon Capture</w:t>
      </w:r>
      <w:r>
        <w:t xml:space="preserve"> </w:t>
      </w:r>
      <w:r>
        <w:t xml:space="preserve">Case Study 1 – In Norway, the world’s first commercial incineration plant equipped with full-scale CCS technology is set to become</w:t>
      </w:r>
      <w:r>
        <w:t xml:space="preserve"> </w:t>
      </w:r>
      <w:r>
        <w:t xml:space="preserve">operational in 2026. The Oslo Klemetsrud plant aims to capture and store approximately 400,000 tonnes of CO₂ annually, of</w:t>
      </w:r>
      <w:r>
        <w:t xml:space="preserve"> </w:t>
      </w:r>
      <w:r>
        <w:t xml:space="preserve">which around 60% is expected to be biogenic.160</w:t>
      </w:r>
      <w:r>
        <w:br/>
      </w:r>
      <w:r>
        <w:t xml:space="preserve">• Case Study 2 – In Sweden, the Filbornaverket waste-to-energy-plant aims to capture and store its emissions by 2030. The</w:t>
      </w:r>
      <w:r>
        <w:t xml:space="preserve"> </w:t>
      </w:r>
      <w:r>
        <w:t xml:space="preserve">project has been awarded support from the Innovation Fund.</w:t>
      </w:r>
      <w:r>
        <w:t xml:space="preserve"> </w:t>
      </w:r>
      <w:r>
        <w:t xml:space="preserve">Case Study 3 – In the Netherlands, the Twence plant introduced a first pilot for carbon capture in 2014, with a subsequent</w:t>
      </w:r>
      <w:r>
        <w:t xml:space="preserve"> </w:t>
      </w:r>
      <w:r>
        <w:t xml:space="preserve">development to upscale the solution. It targets a CCU concept, converting the captured carbon into sodium bicarbonate which</w:t>
      </w:r>
      <w:r>
        <w:t xml:space="preserve"> </w:t>
      </w:r>
      <w:r>
        <w:t xml:space="preserve">could be used to abate the acid gases in the flue gas, and since 2020, the plant has been supplying some nearby greenhouse</w:t>
      </w:r>
      <w:r>
        <w:t xml:space="preserve"> </w:t>
      </w:r>
      <w:r>
        <w:t xml:space="preserve">infrastructure161. The AVR-Duiven plant has been successfully capturing CO2 via an MEA chemical absorption process and</w:t>
      </w:r>
      <w:r>
        <w:t xml:space="preserve"> </w:t>
      </w:r>
      <w:r>
        <w:t xml:space="preserve">supplying to nearby greenhouses in the form of liquid CO2 since summer 2019 in the range of 60kton of CO2 every year 162.</w:t>
      </w:r>
      <w:r>
        <w:br/>
      </w:r>
      <w:r>
        <w:t xml:space="preserve">• Case Study 4 – In the UK, waste management company Viridor has announced plans to invest up to GBP 1 billion in CCS</w:t>
      </w:r>
      <w:r>
        <w:t xml:space="preserve"> </w:t>
      </w:r>
      <w:r>
        <w:t xml:space="preserve">technologies across seven sites, aiming to capture approximately 0.9 million tonnes of CO2 annually at its Runcorn WtE facility.</w:t>
      </w:r>
    </w:p>
    <w:p>
      <w:pPr>
        <w:pStyle w:val="BodyText"/>
      </w:pPr>
      <w:r>
        <w:t xml:space="preserve">160 SLB Capturi (2025). Oslo CCS. Available at: https://capturi.slb.com/projects/oslo-ccs</w:t>
      </w:r>
      <w:r>
        <w:br/>
      </w:r>
      <w:r>
        <w:t xml:space="preserve">161 SLB Capturi (2025). Twence CCU. Available at : https://capturi.slb.com/projects/twence-ccu</w:t>
      </w:r>
      <w:r>
        <w:br/>
      </w:r>
      <w:r>
        <w:t xml:space="preserve">162 AVR (2025). CO2 – capture plant. Available at: https://www.avr.nl/en/optimal-process/co2-capture-plant/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Landfill gas capture and utilisation (LFG)</w:t>
      </w:r>
      <w:r>
        <w:t xml:space="preserve"> </w:t>
      </w:r>
      <w:r>
        <w:t xml:space="preserve">• Case Study 1 - Granges landfill: renewable gas production from landfill biogas (France): In June 2025, Veolia and Waga</w:t>
      </w:r>
      <w:r>
        <w:t xml:space="preserve"> </w:t>
      </w:r>
      <w:r>
        <w:t xml:space="preserve">Energy inaugurated a renewable natural gas facility at the Granges landfill in Burgundy, eastern France. The project’s primary</w:t>
      </w:r>
      <w:r>
        <w:t xml:space="preserve"> </w:t>
      </w:r>
      <w:r>
        <w:t xml:space="preserve">objective is to capture methane generated by decomposing waste and upgrade it into quality biomethane, thus reducing GHG</w:t>
      </w:r>
      <w:r>
        <w:t xml:space="preserve"> </w:t>
      </w:r>
      <w:r>
        <w:t xml:space="preserve">emissions while displacing fossil natural gas. The facility can treat up to 600 m3 of raw biogas per hour and inject the upgraded</w:t>
      </w:r>
      <w:r>
        <w:t xml:space="preserve"> </w:t>
      </w:r>
      <w:r>
        <w:t xml:space="preserve">gas into the local distribution network operated by GRDF (France gas distributor) via a dedicated pipeline. Since it began</w:t>
      </w:r>
      <w:r>
        <w:t xml:space="preserve"> </w:t>
      </w:r>
      <w:r>
        <w:t xml:space="preserve">operating in early 2025, the plant has produced enough renewable gas to supply more than 3000 households annually and is</w:t>
      </w:r>
      <w:r>
        <w:t xml:space="preserve"> </w:t>
      </w:r>
      <w:r>
        <w:t xml:space="preserve">expected to avoid around 3.300 tonnes of CO2 equivalent emissions each year. The project has significantly improved the site’s</w:t>
      </w:r>
      <w:r>
        <w:t xml:space="preserve"> </w:t>
      </w:r>
      <w:r>
        <w:t xml:space="preserve">overall energy efficiency and environmental performance by replacing a combined heat and power unit with direct biomethane</w:t>
      </w:r>
      <w:r>
        <w:t xml:space="preserve"> </w:t>
      </w:r>
      <w:r>
        <w:t xml:space="preserve">injection.</w:t>
      </w:r>
      <w:r>
        <w:t xml:space="preserve"> </w:t>
      </w:r>
      <w:r>
        <w:t xml:space="preserve">• Case Study 2 – Can Mata controlled landfill: large-scale biomethane injection from landfill biogas (Spain): In June 2023,</w:t>
      </w:r>
      <w:r>
        <w:t xml:space="preserve"> </w:t>
      </w:r>
      <w:r>
        <w:t xml:space="preserve">PreZero, Waga Energy, and Nedgia commissioned Spain’s largest landfill biomethane injection project at the Can Mata</w:t>
      </w:r>
      <w:r>
        <w:t xml:space="preserve"> </w:t>
      </w:r>
      <w:r>
        <w:t xml:space="preserve">controlled landfill near Barcelona. The project is designed to fully upgrade landfill biogas into grid-quality renewable gas,</w:t>
      </w:r>
      <w:r>
        <w:t xml:space="preserve"> </w:t>
      </w:r>
      <w:r>
        <w:t xml:space="preserve">thereby maximising methane recovery while reducing GHG emissions. The facility produces around 70 GWh of biomethane per</w:t>
      </w:r>
      <w:r>
        <w:t xml:space="preserve"> </w:t>
      </w:r>
      <w:r>
        <w:t xml:space="preserve">year, sufficient to supply approximately 14000 households, or fuel around 200 municipal buses, avoiding more than 17.000</w:t>
      </w:r>
      <w:r>
        <w:t xml:space="preserve"> </w:t>
      </w:r>
      <w:r>
        <w:t xml:space="preserve">tonnes of CO2 equivalent annually. The project pioneered an innovating financing model, based on a long-term biomethane</w:t>
      </w:r>
      <w:r>
        <w:t xml:space="preserve"> </w:t>
      </w:r>
      <w:r>
        <w:t xml:space="preserve">purchase agreement support by 2.4 million EUR from the EU Innovation Fund.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Appendix 3: MRV methodologies for waste incineration and landfilling</w:t>
      </w:r>
      <w:r>
        <w:t xml:space="preserve"> </w:t>
      </w:r>
      <w:r>
        <w:t xml:space="preserve">A. Measurement-based methodologies</w:t>
      </w:r>
      <w:r>
        <w:t xml:space="preserve"> </w:t>
      </w:r>
      <w:r>
        <w:t xml:space="preserve">Waste incineration installations: Most (if not all) MWI installations already apply a measurement-based approach (continuous</w:t>
      </w:r>
      <w:r>
        <w:t xml:space="preserve"> </w:t>
      </w:r>
      <w:r>
        <w:t xml:space="preserve">emission monitoring system (CEMS)) for the monitoring obligations under the Industrial Emissions Directive (IED) on the concentration</w:t>
      </w:r>
      <w:r>
        <w:t xml:space="preserve"> </w:t>
      </w:r>
      <w:r>
        <w:t xml:space="preserve">of air pollutants (NOx, SOx, etc.), providing experience in the application of measurement-based approaches for the monitoring of GHG</w:t>
      </w:r>
      <w:r>
        <w:t xml:space="preserve"> </w:t>
      </w:r>
      <w:r>
        <w:t xml:space="preserve">emissions. The specific requirements for measurement-based monitoring of GHG emissions would depend on the tier levels applicable</w:t>
      </w:r>
      <w:r>
        <w:t xml:space="preserve"> </w:t>
      </w:r>
      <w:r>
        <w:t xml:space="preserve">in accordance with Annexes II and VIII of the MRR. Category A installations are expected to achieve at least Tier 2, while Categories</w:t>
      </w:r>
      <w:r>
        <w:t xml:space="preserve"> </w:t>
      </w:r>
      <w:r>
        <w:t xml:space="preserve">B and C are expected to meet Tier 4163. Most waste incinerators (64%), especially WtE installations, would be expected to fall within</w:t>
      </w:r>
      <w:r>
        <w:t xml:space="preserve"> </w:t>
      </w:r>
      <w:r>
        <w:t xml:space="preserve">Category B, with an estimated 35% of installations falling within Category A164. However, among the latter, some installations, such as</w:t>
      </w:r>
      <w:r>
        <w:t xml:space="preserve"> </w:t>
      </w:r>
      <w:r>
        <w:t xml:space="preserve">hazardous waste incinerators or smaller installations, may fall below the threshold for opt-outs of small installations (see section 1.4.3.</w:t>
      </w:r>
      <w:r>
        <w:t xml:space="preserve"> </w:t>
      </w:r>
      <w:r>
        <w:t xml:space="preserve">below for details). Table 6 outlines the requirements by category.</w:t>
      </w:r>
      <w:r>
        <w:t xml:space="preserve"> </w:t>
      </w:r>
      <w:r>
        <w:t xml:space="preserve">Table 6:</w:t>
      </w:r>
      <w:r>
        <w:t xml:space="preserve"> </w:t>
      </w:r>
      <w:r>
        <w:t xml:space="preserve">Summary of the Tier Requirements (maximum permissible uncertainty) by category (for a measurement-based methodology).</w:t>
      </w:r>
      <w:r>
        <w:br/>
      </w:r>
      <w:r>
        <w:t xml:space="preserve">CO2 emission</w:t>
      </w:r>
      <w:r>
        <w:t xml:space="preserve"> </w:t>
      </w:r>
      <w:r>
        <w:t xml:space="preserve">uncertainty</w:t>
      </w:r>
      <w:r>
        <w:t xml:space="preserve"> </w:t>
      </w:r>
      <w:r>
        <w:t xml:space="preserve">Tier 1 ±10%</w:t>
      </w:r>
      <w:r>
        <w:t xml:space="preserve"> </w:t>
      </w:r>
      <w:r>
        <w:t xml:space="preserve">Tier 2 ±7.5%</w:t>
      </w:r>
      <w:r>
        <w:t xml:space="preserve"> </w:t>
      </w:r>
      <w:r>
        <w:t xml:space="preserve">Tier 3 ±5%</w:t>
      </w:r>
      <w:r>
        <w:t xml:space="preserve"> </w:t>
      </w:r>
      <w:r>
        <w:t xml:space="preserve">Tier 4 ±2.5%</w:t>
      </w:r>
      <w:r>
        <w:t xml:space="preserve"> </w:t>
      </w:r>
      <w:r>
        <w:t xml:space="preserve">Category A</w:t>
      </w:r>
    </w:p>
    <w:p>
      <w:pPr>
        <w:pStyle w:val="BodyText"/>
      </w:pPr>
      <w:r>
        <w:t xml:space="preserve">Category B</w:t>
      </w:r>
    </w:p>
    <w:p>
      <w:pPr>
        <w:pStyle w:val="BodyText"/>
      </w:pPr>
      <w:r>
        <w:t xml:space="preserve">Category C</w:t>
      </w:r>
    </w:p>
    <w:p>
      <w:pPr>
        <w:pStyle w:val="BodyText"/>
      </w:pPr>
      <w:r>
        <w:t xml:space="preserve">• Radiocarbon analysis (C14 method): For large WTE plants treating MSW, the most reliable MRV method is radiocarbon</w:t>
      </w:r>
      <w:r>
        <w:t xml:space="preserve"> </w:t>
      </w:r>
      <w:r>
        <w:t xml:space="preserve">(C14) analysis. Radiocarbon analysis, also known as the C14 method, measures the ratio of carbon isotopes in flue gas to</w:t>
      </w:r>
      <w:r>
        <w:t xml:space="preserve"> </w:t>
      </w:r>
      <w:r>
        <w:t xml:space="preserve">differentiate between fossil and biogenic carbon. Fossil-derived CO2 contains no C14, whereas biogenic sources do. The</w:t>
      </w:r>
      <w:r>
        <w:t xml:space="preserve"> </w:t>
      </w:r>
      <w:r>
        <w:t xml:space="preserve">costs associated with C14 implementation depend on installation costs, annual operating costs and sampling and analysis</w:t>
      </w:r>
    </w:p>
    <w:p>
      <w:pPr>
        <w:pStyle w:val="BodyText"/>
      </w:pPr>
      <w:r>
        <w:t xml:space="preserve">163 However, if an operator can demonstrate to the competent authority that meeting the required tier is technically infeasible or would result in unreasonable</w:t>
      </w:r>
      <w:r>
        <w:t xml:space="preserve"> </w:t>
      </w:r>
      <w:r>
        <w:t xml:space="preserve">costs, they may apply a lower tier, specifically, one tier lower for Category C installations and up to two tiers lower for Categories A and B if Tier 1 is the</w:t>
      </w:r>
      <w:r>
        <w:t xml:space="preserve"> </w:t>
      </w:r>
      <w:r>
        <w:t xml:space="preserve">minimum applied.</w:t>
      </w:r>
      <w:r>
        <w:t xml:space="preserve"> </w:t>
      </w:r>
      <w:r>
        <w:t xml:space="preserve">164 Article 19 of the EU ETS MRR establishes the categories of installations. Category A installations have annual emissions ≤ 50,000 tonnes of CO2e, Category</w:t>
      </w:r>
      <w:r>
        <w:t xml:space="preserve"> </w:t>
      </w:r>
      <w:r>
        <w:t xml:space="preserve">B installations have annual emissions between 50,000 and ≤ 500,000 tonnes of CO2e, and Category C installations have annual emissions &gt; 500,000 tonnes</w:t>
      </w:r>
      <w:r>
        <w:t xml:space="preserve"> </w:t>
      </w:r>
      <w:r>
        <w:t xml:space="preserve">of CO2e. Based on publicly available data by sector organisation CEWEP on the number and capacity of WtE installations in the EU and assuming that 1</w:t>
      </w:r>
      <w:r>
        <w:t xml:space="preserve"> </w:t>
      </w:r>
      <w:r>
        <w:t xml:space="preserve">tonne of waste would produce around 1 tonne of CO2 of which 50% fossil-based, 270 out of 423 (64%) installations have a capacity between 100.000 and</w:t>
      </w:r>
      <w:r>
        <w:t xml:space="preserve"> </w:t>
      </w:r>
      <w:r>
        <w:t xml:space="preserve">1.000.000 tpa, i.e. between 50.000 and 500.000 tonnes of CO2 (Category B); 150 (35%) have a capacity below 100.000 tpa, i.e. below 50.000 tonnes of CO2</w:t>
      </w:r>
      <w:r>
        <w:t xml:space="preserve"> </w:t>
      </w:r>
      <w:r>
        <w:t xml:space="preserve">(Category A); and 3 (1%) have a capacity above 1.000.000 tpa, i.e. above 500.000 tonnes of CO2 (Category C).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costs. An analysis done in the UK for the future inclusion of waste incineration in the UK ETS estimated cost ranges at EUR</w:t>
      </w:r>
      <w:r>
        <w:t xml:space="preserve"> </w:t>
      </w:r>
      <w:r>
        <w:t xml:space="preserve">34.900 – 93.000 for installation, EUR 11.600-23.300 for annual operating costs and EUR 465-755 per sample lab analysis165.</w:t>
      </w:r>
      <w:r>
        <w:t xml:space="preserve"> </w:t>
      </w:r>
      <w:r>
        <w:t xml:space="preserve">However, smaller operators may find this method difficult to implement due to the infrastructure, costs and expertise</w:t>
      </w:r>
      <w:r>
        <w:t xml:space="preserve"> </w:t>
      </w:r>
      <w:r>
        <w:t xml:space="preserve">required, as the method requires regular sampling of flue gases and laboratory analysis, which can be costly and technically</w:t>
      </w:r>
      <w:r>
        <w:t xml:space="preserve"> </w:t>
      </w:r>
      <w:r>
        <w:t xml:space="preserve">demanding. C14 testing is generally also unsuitable for use in clinical or hazardous waste incineration facilities due to the</w:t>
      </w:r>
      <w:r>
        <w:t xml:space="preserve"> </w:t>
      </w:r>
      <w:r>
        <w:t xml:space="preserve">small sample volumes and hazardous/radioactive materials handled.</w:t>
      </w:r>
      <w:r>
        <w:t xml:space="preserve"> </w:t>
      </w:r>
      <w:r>
        <w:t xml:space="preserve">• Manual sorting and sampling method: Manual sorting can serve as a supporting or indicative tool, although not typically</w:t>
      </w:r>
      <w:r>
        <w:t xml:space="preserve"> </w:t>
      </w:r>
      <w:r>
        <w:t xml:space="preserve">used as a primary MRV method166. Incineration facilities would likely be subject to more frequent reporting, either quarterly</w:t>
      </w:r>
      <w:r>
        <w:t xml:space="preserve"> </w:t>
      </w:r>
      <w:r>
        <w:t xml:space="preserve">or annually, depending on the volume of emissions. Stakeholders in the UK preparatory report have suggested that each</w:t>
      </w:r>
      <w:r>
        <w:t xml:space="preserve"> </w:t>
      </w:r>
      <w:r>
        <w:t xml:space="preserve">sample uses approximately one week’s worth of work to physically sort the waste, costing around EUR 700 - EUR 1,400 per</w:t>
      </w:r>
      <w:r>
        <w:t xml:space="preserve"> </w:t>
      </w:r>
      <w:r>
        <w:t xml:space="preserve">sample. Manual sorting and sampling is labour-intensive and susceptible to subjectivity and sampling error. Due to these</w:t>
      </w:r>
      <w:r>
        <w:t xml:space="preserve"> </w:t>
      </w:r>
      <w:r>
        <w:t xml:space="preserve">limitations, it is not recommended as a standalone method for regulatory MRV purposes but can serve as a supportive tool.</w:t>
      </w:r>
      <w:r>
        <w:t xml:space="preserve"> </w:t>
      </w:r>
      <w:r>
        <w:t xml:space="preserve">• Selective Dissolution Method: The selective dissolution method is a laboratory-based approach that uses chemical processes</w:t>
      </w:r>
      <w:r>
        <w:t xml:space="preserve"> </w:t>
      </w:r>
      <w:r>
        <w:t xml:space="preserve">to dissolve specific components of waste, helping to distinguish between fossil and biogenic content. This technique remains</w:t>
      </w:r>
      <w:r>
        <w:t xml:space="preserve"> </w:t>
      </w:r>
      <w:r>
        <w:t xml:space="preserve">largely experimental and is not yet widely adopted in operational or regulatory settings. It may apply to certain waste types</w:t>
      </w:r>
      <w:r>
        <w:t xml:space="preserve"> </w:t>
      </w:r>
      <w:r>
        <w:t xml:space="preserve">where more established methods, such as radiocarbon analysis or balance calculations are unsuitable.</w:t>
      </w:r>
      <w:r>
        <w:t xml:space="preserve"> </w:t>
      </w:r>
      <w:r>
        <w:t xml:space="preserve">Landfills: Satellite-based monitoring and ground-based monitoring provide two measurement-based methods available for landfilling.</w:t>
      </w:r>
      <w:r>
        <w:t xml:space="preserve"> </w:t>
      </w:r>
      <w:r>
        <w:t xml:space="preserve">• Satellite-based monitoring: Satellite-based monitoring is an emerging monitoring approach for methane emissions from</w:t>
      </w:r>
      <w:r>
        <w:t xml:space="preserve"> </w:t>
      </w:r>
      <w:r>
        <w:t xml:space="preserve">landfills. Since 2017, the TROPOMI instrument, capable to detect (among others) methane emissions, has been in orbit by</w:t>
      </w:r>
      <w:r>
        <w:t xml:space="preserve"> </w:t>
      </w:r>
      <w:r>
        <w:t xml:space="preserve">the European Space Agency and the Netherlands Space Office. The data generated have been used to develop detection,</w:t>
      </w:r>
      <w:r>
        <w:t xml:space="preserve"> </w:t>
      </w:r>
      <w:r>
        <w:t xml:space="preserve">identification, and monitoring systems of methane emissions from landfill sites167. Recent satellite-based analyses of</w:t>
      </w:r>
      <w:r>
        <w:t xml:space="preserve"> </w:t>
      </w:r>
      <w:r>
        <w:t xml:space="preserve">methane emissions from landfill sites have found little correlation with reported or modelled emission estimates at landfill</w:t>
      </w:r>
    </w:p>
    <w:p>
      <w:pPr>
        <w:pStyle w:val="BodyText"/>
      </w:pPr>
      <w:r>
        <w:t xml:space="preserve">165 Exchange rate used: GBP 1 = EUR 1.16</w:t>
      </w:r>
      <w:r>
        <w:t xml:space="preserve"> </w:t>
      </w:r>
      <w:r>
        <w:t xml:space="preserve">166 The manual sorting and sampling method approach involves physically sampling the incoming waste stream and manually separating it into fossil and biogenic</w:t>
      </w:r>
      <w:r>
        <w:t xml:space="preserve"> </w:t>
      </w:r>
      <w:r>
        <w:t xml:space="preserve">fractions based on visual or material characteristics.</w:t>
      </w:r>
      <w:r>
        <w:t xml:space="preserve"> </w:t>
      </w:r>
      <w:r>
        <w:t xml:space="preserve">167 Schuit, B. J., et al. (2023) Automated detection and monitoring of methane super-emitters using satellite data, Atmos. Chem. Phys., 23, 9071–9098,</w:t>
      </w:r>
      <w:r>
        <w:t xml:space="preserve"> </w:t>
      </w:r>
      <w:r>
        <w:t xml:space="preserve">https://doi.org/10.5194/acp-23-9071-2023, 2023.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sites168, highlighting the potential of satellite observations to accurately detect and monitor methane emissions from the waste</w:t>
      </w:r>
      <w:r>
        <w:t xml:space="preserve"> </w:t>
      </w:r>
      <w:r>
        <w:t xml:space="preserve">sector. For example, in 2022, a study published by SRON Netherlands Institute for Space Research, Harvard University, and</w:t>
      </w:r>
      <w:r>
        <w:t xml:space="preserve"> </w:t>
      </w:r>
      <w:r>
        <w:t xml:space="preserve">GHGSat Inc169 found high emission rates in the studied landfills, with emissions above the reported in the national inventories</w:t>
      </w:r>
      <w:r>
        <w:t xml:space="preserve"> </w:t>
      </w:r>
      <w:r>
        <w:t xml:space="preserve">(1.4 to 2.6 times higher). Since 2025, the European Space Agency has also been conducting a real-world case study of the</w:t>
      </w:r>
      <w:r>
        <w:t xml:space="preserve"> </w:t>
      </w:r>
      <w:r>
        <w:t xml:space="preserve">Las Dehesas landfill (Spain) combining ground surveys, sensor-equipped aircraft and satellites to assess methane leaks and</w:t>
      </w:r>
      <w:r>
        <w:t xml:space="preserve"> </w:t>
      </w:r>
      <w:r>
        <w:t xml:space="preserve">the impacts of repairs and changed management practices with the aim to inform satellite-guided pathways to reduce or avoid</w:t>
      </w:r>
      <w:r>
        <w:t xml:space="preserve"> </w:t>
      </w:r>
      <w:r>
        <w:t xml:space="preserve">emissions, mirroring successes targeting oil and gas facilities. Satellite measurements would be accurate, could be regularly</w:t>
      </w:r>
      <w:r>
        <w:t xml:space="preserve"> </w:t>
      </w:r>
      <w:r>
        <w:t xml:space="preserve">conducted to monitor trends, and would be suited to monitor historical emissions from landfills. However, while an accurate</w:t>
      </w:r>
      <w:r>
        <w:t xml:space="preserve"> </w:t>
      </w:r>
      <w:r>
        <w:t xml:space="preserve">measurement method, it would in the current phase of development still be technically and economically challenging to</w:t>
      </w:r>
      <w:r>
        <w:t xml:space="preserve"> </w:t>
      </w:r>
      <w:r>
        <w:t xml:space="preserve">consistently implement across the EU given the number of landfill facilities but subject to further development could be</w:t>
      </w:r>
      <w:r>
        <w:t xml:space="preserve"> </w:t>
      </w:r>
      <w:r>
        <w:t xml:space="preserve">considered when establishing or updating future MRV protocols for landfill.</w:t>
      </w:r>
      <w:r>
        <w:br/>
      </w:r>
      <w:r>
        <w:t xml:space="preserve">• Ground-based monitoring: Ground-based measurement based on a tracer gas dispersion method (TDM) can provide high</w:t>
      </w:r>
      <w:r>
        <w:t xml:space="preserve"> </w:t>
      </w:r>
      <w:r>
        <w:t xml:space="preserve">accuracy and high sensitivity. It involves releasing an inert tracer gas from the landfill and measuring its concentration</w:t>
      </w:r>
      <w:r>
        <w:t xml:space="preserve"> </w:t>
      </w:r>
      <w:r>
        <w:t xml:space="preserve">downwind alongside the target gas, usually methane. By comparing the ratio of methane to the tracer gas and using a</w:t>
      </w:r>
      <w:r>
        <w:t xml:space="preserve"> </w:t>
      </w:r>
      <w:r>
        <w:t xml:space="preserve">dispersion model, the total emission rate of the target gas from the entire landfill can be calculated. This method is effective</w:t>
      </w:r>
      <w:r>
        <w:t xml:space="preserve"> </w:t>
      </w:r>
      <w:r>
        <w:t xml:space="preserve">for quantifying whole-site emissions, including fugitive ones. However, it is very labour- and time-intensive and scaling this</w:t>
      </w:r>
      <w:r>
        <w:t xml:space="preserve"> </w:t>
      </w:r>
      <w:r>
        <w:t xml:space="preserve">methodology up to an entire landfill, let alone hundreds of landfill sites across the EU, is challenging.</w:t>
      </w:r>
      <w:r>
        <w:t xml:space="preserve"> </w:t>
      </w:r>
      <w:r>
        <w:t xml:space="preserve">B. Calculation-based methodologies</w:t>
      </w:r>
      <w:r>
        <w:t xml:space="preserve"> </w:t>
      </w:r>
      <w:r>
        <w:t xml:space="preserve">Waste incineration installations: A calculation-based methodology could be used as an alternative to direct measurement for</w:t>
      </w:r>
      <w:r>
        <w:t xml:space="preserve"> </w:t>
      </w:r>
      <w:r>
        <w:t xml:space="preserve">monitoring emissions in some circumstances. This approach estimates emissions by combining activity data (such as the quantity and</w:t>
      </w:r>
      <w:r>
        <w:t xml:space="preserve"> </w:t>
      </w:r>
      <w:r>
        <w:t xml:space="preserve">type of waste incinerated) with emission factors derived from laboratory analysis or established default values. These emission factors</w:t>
      </w:r>
      <w:r>
        <w:t xml:space="preserve"> </w:t>
      </w:r>
      <w:r>
        <w:t xml:space="preserve">could also be updated with analytical methods, where possible and applicable. Whilst a measurement-based method is preferable, the</w:t>
      </w:r>
      <w:r>
        <w:t xml:space="preserve"> </w:t>
      </w:r>
      <w:r>
        <w:t xml:space="preserve">calculation-based approach is acknowledged as potentially more practical for smaller or resource-limited sites, especially where direct</w:t>
      </w:r>
      <w:r>
        <w:t xml:space="preserve"> </w:t>
      </w:r>
      <w:r>
        <w:t xml:space="preserve">measurement is technically challenging or prohibitively expensive. It may be relevant for hospital and small emitters (HSEs) or for</w:t>
      </w:r>
      <w:r>
        <w:t xml:space="preserve"> </w:t>
      </w:r>
      <w:r>
        <w:t xml:space="preserve">waste types such as clinical and hazardous waste, where physical sampling is restricted. In the UK, a simplified MRV framework is</w:t>
      </w:r>
    </w:p>
    <w:p>
      <w:pPr>
        <w:pStyle w:val="BodyText"/>
      </w:pPr>
      <w:r>
        <w:t xml:space="preserve">168 Dogniaux, M., Maasakkers, J.D., Girard, M. et al. Global satellite survey reveals uncertainty in landfill methane emissions. Nature 647, 397–402 (2025).</w:t>
      </w:r>
      <w:r>
        <w:t xml:space="preserve"> </w:t>
      </w:r>
      <w:r>
        <w:t xml:space="preserve">https://doi.org/10.1038/s41586-025-09683-8</w:t>
      </w:r>
      <w:r>
        <w:t xml:space="preserve"> </w:t>
      </w:r>
      <w:r>
        <w:t xml:space="preserve">169 Maasakkers J. et al. (2022). ‘Using satellites to uncover large methane emissions from landfills’, ScienceAdvances (8; 32). Available at:</w:t>
      </w:r>
      <w:r>
        <w:t xml:space="preserve"> </w:t>
      </w:r>
      <w:r>
        <w:t xml:space="preserve">https://doi.org/10.1126/sciadv.abn9683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proposed for small, known as hospital and small emitters (HSE), and ultra-small emitters (USE). These are allowed to utilise emission</w:t>
      </w:r>
      <w:r>
        <w:t xml:space="preserve"> </w:t>
      </w:r>
      <w:r>
        <w:t xml:space="preserve">factors provided by the Competent Authority, with HSE sites further exempt from needing to justify why higher MRV tiers cannot be</w:t>
      </w:r>
      <w:r>
        <w:t xml:space="preserve"> </w:t>
      </w:r>
      <w:r>
        <w:t xml:space="preserve">applied and automatically allowed to use Tier 1, which has a maximum uncertainty of ±10%. This tiered flexibility is intended to keep</w:t>
      </w:r>
      <w:r>
        <w:t xml:space="preserve"> </w:t>
      </w:r>
      <w:r>
        <w:t xml:space="preserve">compliance proportionate to emissions. The calculation-based methodology could be implemented according to the standard</w:t>
      </w:r>
      <w:r>
        <w:t xml:space="preserve"> </w:t>
      </w:r>
      <w:r>
        <w:t xml:space="preserve">methodology set out in Article 24 of the mass-balance methodology set out in Article 25 of the EU ETS MRR:</w:t>
      </w:r>
      <w:r>
        <w:t xml:space="preserve"> </w:t>
      </w:r>
      <w:r>
        <w:t xml:space="preserve">• (Mass-) Balance Method: The balance method calculates fossil CO2 emissions by assessing the known composition of incoming</w:t>
      </w:r>
      <w:r>
        <w:t xml:space="preserve"> </w:t>
      </w:r>
      <w:r>
        <w:t xml:space="preserve">waste and applying emission factors based on the types and quantities of materials incinerated. It relies on accurate input data</w:t>
      </w:r>
      <w:r>
        <w:t xml:space="preserve"> </w:t>
      </w:r>
      <w:r>
        <w:t xml:space="preserve">and is often supported by operational records, sampling, or modelling. This method is particularly suitable for medium to large</w:t>
      </w:r>
      <w:r>
        <w:t xml:space="preserve"> </w:t>
      </w:r>
      <w:r>
        <w:t xml:space="preserve">facilities that have access to reliable waste composition data or can estimate it with a reasonable degree of certainty. While less</w:t>
      </w:r>
      <w:r>
        <w:t xml:space="preserve"> </w:t>
      </w:r>
      <w:r>
        <w:t xml:space="preserve">precise than C14 testing, it offers a more cost-effective and scalable solution. Similarly, a customised balance method based on</w:t>
      </w:r>
      <w:r>
        <w:t xml:space="preserve"> </w:t>
      </w:r>
      <w:r>
        <w:t xml:space="preserve">detailed waste characterisation could serve as a tailored MRV method for clinical and hazardous waste incinerators given the</w:t>
      </w:r>
      <w:r>
        <w:t xml:space="preserve"> </w:t>
      </w:r>
      <w:r>
        <w:t xml:space="preserve">variability of waste types and their higher fossil content. It works using continuous real time data from the distributed control</w:t>
      </w:r>
      <w:r>
        <w:t xml:space="preserve"> </w:t>
      </w:r>
      <w:r>
        <w:t xml:space="preserve">system (DCS), emissions data from the CEMS complemented with pre-established values from literature or the software supplier.</w:t>
      </w:r>
      <w:r>
        <w:t xml:space="preserve"> </w:t>
      </w:r>
      <w:r>
        <w:t xml:space="preserve">Installation of this system is estimated to cost around EUR 58,200 per line, with annual operating costs of about EUR 17,400.</w:t>
      </w:r>
      <w:r>
        <w:t xml:space="preserve"> </w:t>
      </w:r>
      <w:r>
        <w:t xml:space="preserve">One example of the use of emission factors is Germany, where emissions factors are applied estimated for the biogenic content</w:t>
      </w:r>
      <w:r>
        <w:t xml:space="preserve"> </w:t>
      </w:r>
      <w:r>
        <w:t xml:space="preserve">of each waste code and/or the energy content. However, this is unlikely to be consistently accurate for all waste inputs received</w:t>
      </w:r>
      <w:r>
        <w:t xml:space="preserve"> </w:t>
      </w:r>
      <w:r>
        <w:t xml:space="preserve">at the different MSWI due to the heterogeneous nature of the waste processed at incinerators. Given the variable nature of MWS,</w:t>
      </w:r>
      <w:r>
        <w:t xml:space="preserve"> </w:t>
      </w:r>
      <w:r>
        <w:t xml:space="preserve">an individual or country-based approach would be recommended rather than a generic EU-wide waste code value.</w:t>
      </w:r>
      <w:r>
        <w:t xml:space="preserve"> </w:t>
      </w:r>
      <w:r>
        <w:t xml:space="preserve">• Default emission factors: Using default emission factors involves applying standardised values based on typical waste</w:t>
      </w:r>
      <w:r>
        <w:t xml:space="preserve"> </w:t>
      </w:r>
      <w:r>
        <w:t xml:space="preserve">compositions and combustion technologies, often aligned with international methodologies such as those from the IPCC. This</w:t>
      </w:r>
      <w:r>
        <w:t xml:space="preserve"> </w:t>
      </w:r>
      <w:r>
        <w:t xml:space="preserve">tiered approach is particularly useful for smaller facilities or those with relatively low emissions, where the cost and complexity</w:t>
      </w:r>
      <w:r>
        <w:t xml:space="preserve"> </w:t>
      </w:r>
      <w:r>
        <w:t xml:space="preserve">of higher-tier methods may not be justified. It offers a simplified, consistent reporting pathway with minimal administrative</w:t>
      </w:r>
      <w:r>
        <w:t xml:space="preserve"> </w:t>
      </w:r>
      <w:r>
        <w:t xml:space="preserve">burden. However, its accuracy is lower than other methods, and periodic and local validation may be required to ensure continued</w:t>
      </w:r>
      <w:r>
        <w:t xml:space="preserve"> </w:t>
      </w:r>
      <w:r>
        <w:t xml:space="preserve">reliability. Waste incinerators without energy recovery, often smaller in scale, could follow simplified MRV approaches such as</w:t>
      </w:r>
      <w:r>
        <w:t xml:space="preserve"> </w:t>
      </w:r>
      <w:r>
        <w:t xml:space="preserve">default emissions factors or a lower-tier balance method.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Landfills: The IPCC Guidelines170 establish two methods to calculate methane emissions from landfills. Method A is based on</w:t>
      </w:r>
      <w:r>
        <w:t xml:space="preserve"> </w:t>
      </w:r>
      <w:r>
        <w:t xml:space="preserve">theoretical gas yield and assumes that all the methane is released in the same year the solid waste is disposed of. Method B, which is the</w:t>
      </w:r>
      <w:r>
        <w:t xml:space="preserve"> </w:t>
      </w:r>
      <w:r>
        <w:t xml:space="preserve">first order decay model based on kinetics, provides a more accurate estimate for the actual annual emissions. However, method B is</w:t>
      </w:r>
      <w:r>
        <w:t xml:space="preserve"> </w:t>
      </w:r>
      <w:r>
        <w:t xml:space="preserve">more difficult to apply given the amount of necessary data that is required (waste disposal, rate of decay, etc). The methods provide</w:t>
      </w:r>
      <w:r>
        <w:t xml:space="preserve"> </w:t>
      </w:r>
      <w:r>
        <w:t xml:space="preserve">substantially different estimates for methane emissions from landfills:</w:t>
      </w:r>
      <w:r>
        <w:t xml:space="preserve"> </w:t>
      </w:r>
      <w:r>
        <w:t xml:space="preserve">• Default emission factors: This calculation-based method deploys default emissions factors with the assumption that all methane</w:t>
      </w:r>
      <w:r>
        <w:t xml:space="preserve"> </w:t>
      </w:r>
      <w:r>
        <w:t xml:space="preserve">is released within the same year of disposal of the waste, thus including expected future decay emissions into one emissions</w:t>
      </w:r>
      <w:r>
        <w:t xml:space="preserve"> </w:t>
      </w:r>
      <w:r>
        <w:t xml:space="preserve">estimate. It is a simpler method which requires limited inputs with default values and country-based quantities and data (to be</w:t>
      </w:r>
      <w:r>
        <w:t xml:space="preserve"> </w:t>
      </w:r>
      <w:r>
        <w:t xml:space="preserve">provided by each MS or operator). This method could be the simplest approach. However, available emission factors vary widely</w:t>
      </w:r>
      <w:r>
        <w:t xml:space="preserve"> </w:t>
      </w:r>
      <w:r>
        <w:t xml:space="preserve">depending among others on the presence and type of methane capture, local conditions and waste composition, ranging from</w:t>
      </w:r>
      <w:r>
        <w:t xml:space="preserve"> </w:t>
      </w:r>
      <w:r>
        <w:t xml:space="preserve">less than 0.2 (with capture, low estimates) to more than 2.6 (without capture, high estimate based on satellite-based</w:t>
      </w:r>
      <w:r>
        <w:t xml:space="preserve"> </w:t>
      </w:r>
      <w:r>
        <w:t xml:space="preserve">measurements) and the methodology used171.</w:t>
      </w:r>
      <w:r>
        <w:t xml:space="preserve"> </w:t>
      </w:r>
      <w:r>
        <w:t xml:space="preserve">• First-Order of Decay (FOD) method: The FOD method estimates landfill emissions by using a mathematical model that treats</w:t>
      </w:r>
      <w:r>
        <w:t xml:space="preserve"> </w:t>
      </w:r>
      <w:r>
        <w:t xml:space="preserve">the decomposition of waste as a first-order reaction, based on two main parameters: the ultimate methane generation potential</w:t>
      </w:r>
      <w:r>
        <w:t xml:space="preserve"> </w:t>
      </w:r>
      <w:r>
        <w:t xml:space="preserve">and the methane generation rate constant, summing the emissions from each year’s waste input using a separate equation for each</w:t>
      </w:r>
      <w:r>
        <w:t xml:space="preserve"> </w:t>
      </w:r>
      <w:r>
        <w:t xml:space="preserve">year’s waste. Consequently, this method covers historical emissions, reflecting the gradual decay and emissions of waste in</w:t>
      </w:r>
      <w:r>
        <w:t xml:space="preserve"> </w:t>
      </w:r>
      <w:r>
        <w:t xml:space="preserve">landfills. It offers a more robust emissions profile but is more complex to implement consistently, as it requires country-specific</w:t>
      </w:r>
      <w:r>
        <w:t xml:space="preserve"> </w:t>
      </w:r>
      <w:r>
        <w:t xml:space="preserve">data which may not be readily or accurately available. It is a standard method for estimating LFG emissions and is used in various</w:t>
      </w:r>
      <w:r>
        <w:t xml:space="preserve"> </w:t>
      </w:r>
      <w:r>
        <w:t xml:space="preserve">models, such as the IPCC Guidelines and the U.S. EPA’s LandGEM model.</w:t>
      </w:r>
    </w:p>
    <w:p>
      <w:pPr>
        <w:pStyle w:val="BodyText"/>
      </w:pPr>
      <w:r>
        <w:t xml:space="preserve">170 IPCC (2000). ‘CH4 emissions from solid waste disposal’, in IPCC Good Practice Guidance and Uncertainty Management in National Greenhouse Gas</w:t>
      </w:r>
      <w:r>
        <w:t xml:space="preserve"> </w:t>
      </w:r>
      <w:r>
        <w:t xml:space="preserve">Inventories. Published for the IPCC by the Institute for Global Environmental Strategies, Japan. Available at: https://www.ipcc-</w:t>
      </w:r>
      <w:r>
        <w:t xml:space="preserve"> </w:t>
      </w:r>
      <w:r>
        <w:t xml:space="preserve">nggip.iges.or.jp/public/gp/bgp/5_1_CH4_Solid_Waste.pdf</w:t>
      </w:r>
      <w:r>
        <w:br/>
      </w:r>
      <w:r>
        <w:t xml:space="preserve">171 See for example the factors provided in Department for Energy Security and Net Zero (2023). Greenhouse gas reporting: conversion factors 2023. Available</w:t>
      </w:r>
      <w:r>
        <w:t xml:space="preserve"> </w:t>
      </w:r>
      <w:r>
        <w:t xml:space="preserve">at : https://www.gov.uk/government/publications/greenhouse-gas-reporting-conversion-factors-2023 or CEWEP (2022). Waste-to-Energy Climate Roadmap.</w:t>
      </w:r>
      <w:r>
        <w:t xml:space="preserve"> </w:t>
      </w:r>
      <w:r>
        <w:t xml:space="preserve">Available at : https://www.cewep.eu/wp-content/uploads/2022/06/CEWEP-WtE-Climate-Roadmap-2022.pdf.pdf</w:t>
      </w:r>
    </w:p>
    <w:p>
      <w:pPr>
        <w:pStyle w:val="BodyText"/>
      </w:pPr>
      <w:r>
        <w:t xml:space="preserve">126</w:t>
      </w:r>
    </w:p>
    <w:p>
      <w:pPr>
        <w:pStyle w:val="Compact"/>
        <w:numPr>
          <w:ilvl w:val="0"/>
          <w:numId w:val="1004"/>
        </w:numPr>
      </w:pPr>
      <w:r>
        <w:t xml:space="preserve">NON-PERMANENT CARBON CAPTURE AND UTILISATION (CCU)</w:t>
      </w:r>
      <w:r>
        <w:t xml:space="preserve"> </w:t>
      </w:r>
      <w:r>
        <w:t xml:space="preserve">2.1. Overview</w:t>
      </w:r>
      <w:r>
        <w:t xml:space="preserve"> </w:t>
      </w:r>
      <w:r>
        <w:t xml:space="preserve">Carbon capture and utilisation (CCU) refers to technological processes or practices that make</w:t>
      </w:r>
      <w:r>
        <w:t xml:space="preserve"> </w:t>
      </w:r>
      <w:r>
        <w:t xml:space="preserve">use of captured carbon dioxide (CO2) as a feedstock for the manufacture of products in various</w:t>
      </w:r>
      <w:r>
        <w:t xml:space="preserve"> </w:t>
      </w:r>
      <w:r>
        <w:t xml:space="preserve">applications, such as (but not limited to) organic chemicals and plastics, synthetic fuels or</w:t>
      </w:r>
      <w:r>
        <w:t xml:space="preserve"> </w:t>
      </w:r>
      <w:r>
        <w:t xml:space="preserve">building materials. As part of the CCU process, the CO2 molecule is chemically converted in</w:t>
      </w:r>
      <w:r>
        <w:t xml:space="preserve"> </w:t>
      </w:r>
      <w:r>
        <w:t xml:space="preserve">complex organic (i.e. carbon based) molecules or in mineral carbonates. CO2 may also be used</w:t>
      </w:r>
      <w:r>
        <w:t xml:space="preserve"> </w:t>
      </w:r>
      <w:r>
        <w:t xml:space="preserve">as is (without chemical conversion) in the food and drinks sector (i.e. for greenhouses,</w:t>
      </w:r>
      <w:r>
        <w:t xml:space="preserve"> </w:t>
      </w:r>
      <w:r>
        <w:t xml:space="preserve">beverages) or other applications, such as a refrigerant or for fire extinguishers.</w:t>
      </w:r>
      <w:r>
        <w:br/>
      </w:r>
      <w:r>
        <w:t xml:space="preserve">In contrast, carbon capture and storage (CCS) refers to the capture of CO2 and its transfer for</w:t>
      </w:r>
      <w:r>
        <w:t xml:space="preserve"> </w:t>
      </w:r>
      <w:r>
        <w:t xml:space="preserve">permanent storage in dedicated geological storage sites, permitted under Directive 2009/31/EC</w:t>
      </w:r>
      <w:r>
        <w:t xml:space="preserve"> </w:t>
      </w:r>
      <w:r>
        <w:t xml:space="preserve">(CCS Directive)172. Some CCU applications also have the potential to permanently store</w:t>
      </w:r>
      <w:r>
        <w:t xml:space="preserve"> </w:t>
      </w:r>
      <w:r>
        <w:t xml:space="preserve">captured CO2 in products, also known as permanent CCU. Commission Delegated Regulation</w:t>
      </w:r>
      <w:r>
        <w:t xml:space="preserve"> </w:t>
      </w:r>
      <w:r>
        <w:t xml:space="preserve">2024/2620173 supplements the ETS Directive regarding the requirements necessary for</w:t>
      </w:r>
      <w:r>
        <w:t xml:space="preserve"> </w:t>
      </w:r>
      <w:r>
        <w:t xml:space="preserve">considering that emissions are permanently chemically bound in products, i.e. constituting a</w:t>
      </w:r>
      <w:r>
        <w:t xml:space="preserve"> </w:t>
      </w:r>
      <w:r>
        <w:t xml:space="preserve">permanent CCU. In addition, this Regulation also lists several products that are considered to</w:t>
      </w:r>
      <w:r>
        <w:t xml:space="preserve"> </w:t>
      </w:r>
      <w:r>
        <w:t xml:space="preserve">meet these requirements, namely mineral carbonates in construction products, such as</w:t>
      </w:r>
      <w:r>
        <w:t xml:space="preserve"> </w:t>
      </w:r>
      <w:r>
        <w:t xml:space="preserve">aggregates, cement and other binders, concrete, tiles, bricks or other masonry products. The</w:t>
      </w:r>
      <w:r>
        <w:t xml:space="preserve"> </w:t>
      </w:r>
      <w:r>
        <w:t xml:space="preserve">safeguards provided by this regulatory framework regarding CCS and permanent CCU ensure</w:t>
      </w:r>
      <w:r>
        <w:t xml:space="preserve"> </w:t>
      </w:r>
      <w:r>
        <w:t xml:space="preserve">that emissions that are captured and permanently stored can effectively be considered as not</w:t>
      </w:r>
      <w:r>
        <w:t xml:space="preserve"> </w:t>
      </w:r>
      <w:r>
        <w:t xml:space="preserve">emitted without endangering the integrity of the EU ETS. Therefore, ETS operators receive a</w:t>
      </w:r>
      <w:r>
        <w:t xml:space="preserve"> </w:t>
      </w:r>
      <w:r>
        <w:t xml:space="preserve">derogation from the obligation to surrender emission allowances for those reported emissions</w:t>
      </w:r>
      <w:r>
        <w:t xml:space="preserve"> </w:t>
      </w:r>
      <w:r>
        <w:t xml:space="preserve">that are captured and permanently stored, either through CCS or permanent CCU.</w:t>
      </w:r>
      <w:r>
        <w:br/>
      </w:r>
      <w:r>
        <w:t xml:space="preserve">As noted in recital (97) to Directive (EU) 2023/959174, until all stages of the life of a product</w:t>
      </w:r>
      <w:r>
        <w:t xml:space="preserve"> </w:t>
      </w:r>
      <w:r>
        <w:t xml:space="preserve">in which captured carbon is used are subject to carbon pricing, in particular at the stage of</w:t>
      </w:r>
      <w:r>
        <w:t xml:space="preserve"> </w:t>
      </w:r>
      <w:r>
        <w:t xml:space="preserve">waste incineration, reliance on accounting for emissions at the point of their release from</w:t>
      </w:r>
      <w:r>
        <w:t xml:space="preserve"> </w:t>
      </w:r>
      <w:r>
        <w:t xml:space="preserve">products into the atmosphere would result in emissions being undercounted. Therefore, unless</w:t>
      </w:r>
      <w:r>
        <w:t xml:space="preserve"> </w:t>
      </w:r>
      <w:r>
        <w:t xml:space="preserve">permanently stored, all other captured emissions are priced in the EU ETS, which ensures the</w:t>
      </w:r>
      <w:r>
        <w:t xml:space="preserve"> </w:t>
      </w:r>
      <w:r>
        <w:t xml:space="preserve">integrity of the EU ETS. However, this approach creates the potential that some emissions may</w:t>
      </w:r>
      <w:r>
        <w:t xml:space="preserve"> </w:t>
      </w:r>
      <w:r>
        <w:t xml:space="preserve">be double counted in the EU ETS in case products produced with captured emissions end up</w:t>
      </w:r>
      <w:r>
        <w:t xml:space="preserve"> </w:t>
      </w:r>
      <w:r>
        <w:t xml:space="preserve">being combusted in another ETS installation. The potential integration of waste incineration in</w:t>
      </w:r>
      <w:r>
        <w:t xml:space="preserve"> </w:t>
      </w:r>
      <w:r>
        <w:t xml:space="preserve">ETS 1, assessed in the previous section, would increase the risk of this double counting of</w:t>
      </w:r>
      <w:r>
        <w:t xml:space="preserve"> </w:t>
      </w:r>
      <w:r>
        <w:t xml:space="preserve">emissions.</w:t>
      </w:r>
    </w:p>
    <w:p>
      <w:pPr>
        <w:pStyle w:val="FirstParagraph"/>
      </w:pPr>
      <w:r>
        <w:t xml:space="preserve">172 Directive 2009/31/EC of the European Parliament and of the Council of 23 April 2009 on the geological</w:t>
      </w:r>
      <w:r>
        <w:t xml:space="preserve"> </w:t>
      </w:r>
      <w:r>
        <w:t xml:space="preserve">storage of carbon dioxide, http://data.europa.eu/eli/dir/2009/31/oj</w:t>
      </w:r>
      <w:r>
        <w:t xml:space="preserve"> </w:t>
      </w:r>
      <w:r>
        <w:t xml:space="preserve">173 Commission Delegated Regulation (EU) 2024/2620 of 30 July 2024 supplementing Directive 2003/87/EC of</w:t>
      </w:r>
      <w:r>
        <w:t xml:space="preserve"> </w:t>
      </w:r>
      <w:r>
        <w:t xml:space="preserve">the European Parliament and of the Council as regards the requirements for considering that greenhouse gases</w:t>
      </w:r>
      <w:r>
        <w:t xml:space="preserve"> </w:t>
      </w:r>
      <w:r>
        <w:t xml:space="preserve">have become permanently chemically bound in a product. Official Journal of the European Union, L 2620, 4</w:t>
      </w:r>
      <w:r>
        <w:t xml:space="preserve"> </w:t>
      </w:r>
      <w:r>
        <w:t xml:space="preserve">October 2024. Retrieved from https://eur-lex.europa.eu/eli/reg_del/2024/2620/oj/eng</w:t>
      </w:r>
      <w:r>
        <w:br/>
      </w:r>
      <w:r>
        <w:t xml:space="preserve">174 Directive (EU) 2023/959 of the European Parliament and of the Council of 10 May 2023 amending Directive</w:t>
      </w:r>
      <w:r>
        <w:t xml:space="preserve"> </w:t>
      </w:r>
      <w:r>
        <w:t xml:space="preserve">2003/87/EC establishing a system for greenhouse gas emission allowance trading within the Union and</w:t>
      </w:r>
      <w:r>
        <w:t xml:space="preserve"> </w:t>
      </w:r>
      <w:r>
        <w:t xml:space="preserve">Decision (EU) 2015/1814 concerning the establishment and operation of a market stability reserve for the</w:t>
      </w:r>
      <w:r>
        <w:t xml:space="preserve"> </w:t>
      </w:r>
      <w:r>
        <w:t xml:space="preserve">Union</w:t>
      </w:r>
      <w:r>
        <w:t xml:space="preserve"> </w:t>
      </w:r>
      <w:r>
        <w:t xml:space="preserve">greenhouse</w:t>
      </w:r>
      <w:r>
        <w:t xml:space="preserve"> </w:t>
      </w:r>
      <w:r>
        <w:t xml:space="preserve">gas</w:t>
      </w:r>
      <w:r>
        <w:t xml:space="preserve"> </w:t>
      </w:r>
      <w:r>
        <w:t xml:space="preserve">emission</w:t>
      </w:r>
      <w:r>
        <w:t xml:space="preserve"> </w:t>
      </w:r>
      <w:r>
        <w:t xml:space="preserve">trading</w:t>
      </w:r>
      <w:r>
        <w:t xml:space="preserve"> </w:t>
      </w:r>
      <w:r>
        <w:t xml:space="preserve">system</w:t>
      </w:r>
      <w:r>
        <w:t xml:space="preserve"> </w:t>
      </w:r>
      <w:r>
        <w:t xml:space="preserve">(Text</w:t>
      </w:r>
      <w:r>
        <w:t xml:space="preserve"> </w:t>
      </w:r>
      <w:r>
        <w:t xml:space="preserve">with</w:t>
      </w:r>
      <w:r>
        <w:t xml:space="preserve"> </w:t>
      </w:r>
      <w:r>
        <w:t xml:space="preserve">EEA</w:t>
      </w:r>
      <w:r>
        <w:t xml:space="preserve"> </w:t>
      </w:r>
      <w:r>
        <w:t xml:space="preserve">relevance),</w:t>
      </w:r>
      <w:r>
        <w:t xml:space="preserve"> </w:t>
      </w:r>
      <w:r>
        <w:t xml:space="preserve">http://data.europa.eu/eli/dir/2023/959/oj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The European Commission published in February 2024 a Communication on Industrial Carbon</w:t>
      </w:r>
      <w:r>
        <w:t xml:space="preserve"> </w:t>
      </w:r>
      <w:r>
        <w:t xml:space="preserve">Management (ICM) in the EU175. This strategy acknowledges the importance the CCU can</w:t>
      </w:r>
      <w:r>
        <w:t xml:space="preserve"> </w:t>
      </w:r>
      <w:r>
        <w:t xml:space="preserve">play in the production of advanced synthetic fuels, chemicals or polymers and its contribution</w:t>
      </w:r>
      <w:r>
        <w:t xml:space="preserve"> </w:t>
      </w:r>
      <w:r>
        <w:t xml:space="preserve">to the circular economy model. As the production of chemicals and materials still relies heavily</w:t>
      </w:r>
      <w:r>
        <w:t xml:space="preserve"> </w:t>
      </w:r>
      <w:r>
        <w:t xml:space="preserve">on fossil-based feedstocks, CCU can contribute to emission reductions, energy security and</w:t>
      </w:r>
      <w:r>
        <w:t xml:space="preserve"> </w:t>
      </w:r>
      <w:r>
        <w:t xml:space="preserve">the autonomy of the EU by replacing the fossil feedstock with captured CO2, (and renewable</w:t>
      </w:r>
      <w:r>
        <w:t xml:space="preserve"> </w:t>
      </w:r>
      <w:r>
        <w:t xml:space="preserve">or low carbon H2). This is further emphasised in the European Chemicals Industry Action</w:t>
      </w:r>
      <w:r>
        <w:t xml:space="preserve"> </w:t>
      </w:r>
      <w:r>
        <w:t xml:space="preserve">Plan176, which emphasises that the use of alternative, clean carbon sources like biomass,</w:t>
      </w:r>
      <w:r>
        <w:t xml:space="preserve"> </w:t>
      </w:r>
      <w:r>
        <w:t xml:space="preserve">recycled waste and CCU are essential for achieving net zero and ensuring the clean transition</w:t>
      </w:r>
      <w:r>
        <w:t xml:space="preserve"> </w:t>
      </w:r>
      <w:r>
        <w:t xml:space="preserve">of the EU chemicals industry.</w:t>
      </w:r>
      <w:r>
        <w:t xml:space="preserve"> </w:t>
      </w:r>
      <w:r>
        <w:t xml:space="preserve">Non-permanent CCU is an important technology for addressing emissions from hard-to-abate</w:t>
      </w:r>
      <w:r>
        <w:t xml:space="preserve"> </w:t>
      </w:r>
      <w:r>
        <w:t xml:space="preserve">sections, providing an alternative carbon feedstock for economic sectors that require CO2.</w:t>
      </w:r>
      <w:r>
        <w:t xml:space="preserve"> </w:t>
      </w:r>
      <w:r>
        <w:t xml:space="preserve">However, the current EU ETS framework, in particular EU ETS covering stationary</w:t>
      </w:r>
      <w:r>
        <w:t xml:space="preserve"> </w:t>
      </w:r>
      <w:r>
        <w:t xml:space="preserve">installations, maritime and aviation, does not fully address the unique characteristics of non-</w:t>
      </w:r>
      <w:r>
        <w:t xml:space="preserve"> </w:t>
      </w:r>
      <w:r>
        <w:t xml:space="preserve">permanent CCU products, such as different carbon sources and variable storage durations for</w:t>
      </w:r>
      <w:r>
        <w:t xml:space="preserve"> </w:t>
      </w:r>
      <w:r>
        <w:t xml:space="preserve">the captured carbon and the captured emissions being re-emitted at various points in the value</w:t>
      </w:r>
      <w:r>
        <w:t xml:space="preserve"> </w:t>
      </w:r>
      <w:r>
        <w:t xml:space="preserve">chain. Therefore, in accordance with Article 30(5)(c) of the ETS Directive, this assessment</w:t>
      </w:r>
      <w:r>
        <w:t xml:space="preserve"> </w:t>
      </w:r>
      <w:r>
        <w:t xml:space="preserve">analyses how to best recognise in the EU ETS CO2 in captured non-permanent products,</w:t>
      </w:r>
      <w:r>
        <w:t xml:space="preserve"> </w:t>
      </w:r>
      <w:r>
        <w:t xml:space="preserve">ensuring that all emissions under the scope of the ETS Directive are effectively accounted for</w:t>
      </w:r>
      <w:r>
        <w:t xml:space="preserve"> </w:t>
      </w:r>
      <w:r>
        <w:t xml:space="preserve">and double counting is avoided.</w:t>
      </w:r>
      <w:r>
        <w:br/>
      </w:r>
      <w:r>
        <w:t xml:space="preserve">The potential inclusion of waste incineration as part of this review of EU ETS, assessed in</w:t>
      </w:r>
      <w:r>
        <w:t xml:space="preserve"> </w:t>
      </w:r>
      <w:r>
        <w:t xml:space="preserve">section 1 of this Annex, allows re-assessing the current accounting approach, i.e. considering</w:t>
      </w:r>
      <w:r>
        <w:t xml:space="preserve"> </w:t>
      </w:r>
      <w:r>
        <w:t xml:space="preserve">all captured CO2 as emitted unless proven that it is permanently stored, and assess alternative</w:t>
      </w:r>
      <w:r>
        <w:t xml:space="preserve"> </w:t>
      </w:r>
      <w:r>
        <w:t xml:space="preserve">accounting options that recognise the environmental and economic benefits of non-permanent</w:t>
      </w:r>
      <w:r>
        <w:t xml:space="preserve"> </w:t>
      </w:r>
      <w:r>
        <w:t xml:space="preserve">CCU products, while maintaining the integrity of the EU ETS.</w:t>
      </w:r>
      <w:r>
        <w:br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open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consultation,</w:t>
      </w:r>
      <w:r>
        <w:t xml:space="preserve"> </w:t>
      </w:r>
      <w:r>
        <w:t xml:space="preserve">most</w:t>
      </w:r>
      <w:r>
        <w:t xml:space="preserve"> </w:t>
      </w:r>
      <w:r>
        <w:t xml:space="preserve">respondents,</w:t>
      </w:r>
      <w:r>
        <w:t xml:space="preserve"> </w:t>
      </w:r>
      <w:r>
        <w:t xml:space="preserve">including</w:t>
      </w:r>
      <w:r>
        <w:t xml:space="preserve"> </w:t>
      </w:r>
      <w:r>
        <w:t xml:space="preserve">a</w:t>
      </w:r>
      <w:r>
        <w:t xml:space="preserve"> </w:t>
      </w:r>
      <w:r>
        <w:t xml:space="preserve">majority</w:t>
      </w:r>
      <w:r>
        <w:t xml:space="preserve"> </w:t>
      </w:r>
      <w:r>
        <w:t xml:space="preserve">of</w:t>
      </w:r>
      <w:r>
        <w:t xml:space="preserve"> </w:t>
      </w:r>
      <w:r>
        <w:t xml:space="preserve">companies/businesses and business associations (mainly from the energy sector and</w:t>
      </w:r>
      <w:r>
        <w:t xml:space="preserve"> </w:t>
      </w:r>
      <w:r>
        <w:t xml:space="preserve">manufacturing industry), agreed that surrender obligations should be adjusted where emissions</w:t>
      </w:r>
      <w:r>
        <w:t xml:space="preserve"> </w:t>
      </w:r>
      <w:r>
        <w:t xml:space="preserve">are captured and used in products without permanent storage, in order to recognize the potential</w:t>
      </w:r>
      <w:r>
        <w:t xml:space="preserve"> </w:t>
      </w:r>
      <w:r>
        <w:t xml:space="preserve">climate benefits of capture and use (84 respondents, i.e. 34% strongly agreed and 55</w:t>
      </w:r>
      <w:r>
        <w:t xml:space="preserve"> </w:t>
      </w:r>
      <w:r>
        <w:t xml:space="preserve">respondents, i.e. 23% somewhat agreed). However, most NGOs and environmental</w:t>
      </w:r>
      <w:r>
        <w:t xml:space="preserve"> </w:t>
      </w:r>
      <w:r>
        <w:t xml:space="preserve">organizations (strongly) disagreed with this option due to the higher integrity offered by the</w:t>
      </w:r>
      <w:r>
        <w:t xml:space="preserve"> </w:t>
      </w:r>
      <w:r>
        <w:t xml:space="preserve">current system, despite its potential for double counting of emissions. Nonetheless, there was</w:t>
      </w:r>
      <w:r>
        <w:t xml:space="preserve"> </w:t>
      </w:r>
      <w:r>
        <w:t xml:space="preserve">broad support across all stakeholder groups (including from both companies/businesses and</w:t>
      </w:r>
      <w:r>
        <w:t xml:space="preserve"> </w:t>
      </w:r>
      <w:r>
        <w:t xml:space="preserve">business associations and NGOs) for introducing restrictions or conditions when adjusting</w:t>
      </w:r>
      <w:r>
        <w:t xml:space="preserve"> </w:t>
      </w:r>
      <w:r>
        <w:t xml:space="preserve">surrender obligations for the capture and use of non-permanent carbon (e.g.: minimum</w:t>
      </w:r>
      <w:r>
        <w:t xml:space="preserve"> </w:t>
      </w:r>
      <w:r>
        <w:t xml:space="preserve">emission savings, displacement of fossil carbon, avoiding double counting/pricing of the same</w:t>
      </w:r>
      <w:r>
        <w:t xml:space="preserve"> </w:t>
      </w:r>
      <w:r>
        <w:t xml:space="preserve">emissions), where 47 respondents (19%) and 83 (34%) somewhat agreed.</w:t>
      </w:r>
      <w:r>
        <w:br/>
      </w:r>
      <w:r>
        <w:t xml:space="preserve">The EU ETS framework covering stationary installations, maritime and aviation, does not fully</w:t>
      </w:r>
      <w:r>
        <w:t xml:space="preserve"> </w:t>
      </w:r>
      <w:r>
        <w:t xml:space="preserve">address the unique characteristics of non-permanent CCU products, such as different carbon</w:t>
      </w:r>
      <w:r>
        <w:t xml:space="preserve"> </w:t>
      </w:r>
      <w:r>
        <w:t xml:space="preserve">sources and variable storage durations for the captured carbon and embedded in a production.</w:t>
      </w:r>
    </w:p>
    <w:p>
      <w:pPr>
        <w:pStyle w:val="BodyText"/>
      </w:pPr>
      <w:r>
        <w:t xml:space="preserve">175 Communication from the Commission to the European Parliament, the Council, the European Economic and</w:t>
      </w:r>
      <w:r>
        <w:t xml:space="preserve"> </w:t>
      </w:r>
      <w:r>
        <w:t xml:space="preserve">Social Committee snd the Committee of the Regions Towards an ambitious Industrial Carbon Management</w:t>
      </w:r>
      <w:r>
        <w:t xml:space="preserve"> </w:t>
      </w:r>
      <w:r>
        <w:t xml:space="preserve">for the EU</w:t>
      </w:r>
      <w:r>
        <w:t xml:space="preserve"> </w:t>
      </w:r>
      <w:r>
        <w:t xml:space="preserve">176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 - A European Chemicals Industry Action Plan, Eur-Lex</w:t>
      </w:r>
      <w:r>
        <w:t xml:space="preserve"> </w:t>
      </w:r>
      <w:r>
        <w:t xml:space="preserve">- 52025dc0530 - En - Eur-Lex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Non-permanent CCU applications represent a form of carbon re-use, where emissions resulting</w:t>
      </w:r>
      <w:r>
        <w:t xml:space="preserve"> </w:t>
      </w:r>
      <w:r>
        <w:t xml:space="preserve">from some economic activities that would have otherwise been released directly into the</w:t>
      </w:r>
      <w:r>
        <w:t xml:space="preserve"> </w:t>
      </w:r>
      <w:r>
        <w:t xml:space="preserve">atmosphere are captured and permanently used or stored or captured and utilised as a useful</w:t>
      </w:r>
      <w:r>
        <w:t xml:space="preserve"> </w:t>
      </w:r>
      <w:r>
        <w:t xml:space="preserve">input for the manufacturing of other products. However, the carbon embedded in non-</w:t>
      </w:r>
      <w:r>
        <w:t xml:space="preserve"> </w:t>
      </w:r>
      <w:r>
        <w:t xml:space="preserve">permanent CCU products (by definition) will be released into the atmosphere either during use</w:t>
      </w:r>
      <w:r>
        <w:t xml:space="preserve"> </w:t>
      </w:r>
      <w:r>
        <w:t xml:space="preserve">or at the end-of-life of the respective product. As highlighted in Article 30(5)(c) of the ETS</w:t>
      </w:r>
      <w:r>
        <w:t xml:space="preserve"> </w:t>
      </w:r>
      <w:r>
        <w:t xml:space="preserve">Directive, addressing non-permanent CCU is fundamentally a carbon accounting challenge, by</w:t>
      </w:r>
      <w:r>
        <w:t xml:space="preserve"> </w:t>
      </w:r>
      <w:r>
        <w:t xml:space="preserve">which it is meant measuring and reporting emissions and surrendering the corresponding</w:t>
      </w:r>
      <w:r>
        <w:t xml:space="preserve"> </w:t>
      </w:r>
      <w:r>
        <w:t xml:space="preserve">quantity of ETS emission allowances. This assessment is focused on several options for</w:t>
      </w:r>
      <w:r>
        <w:t xml:space="preserve"> </w:t>
      </w:r>
      <w:r>
        <w:t xml:space="preserve">accounting for non-permanent CCU in the EU ETS, assessing the most effective approach for</w:t>
      </w:r>
      <w:r>
        <w:t xml:space="preserve"> </w:t>
      </w:r>
      <w:r>
        <w:t xml:space="preserve">regulating and accounting for the capture and use of carbon in a manner that maintains the</w:t>
      </w:r>
      <w:r>
        <w:t xml:space="preserve"> </w:t>
      </w:r>
      <w:r>
        <w:t xml:space="preserve">integrity of the EU ETS i.e. reduces net emissions and ensures emissions are accounted for in</w:t>
      </w:r>
      <w:r>
        <w:t xml:space="preserve"> </w:t>
      </w:r>
      <w:r>
        <w:t xml:space="preserve">a fair and equal manner. However, in additional to a pure accounting exercise, recognising non-</w:t>
      </w:r>
      <w:r>
        <w:t xml:space="preserve"> </w:t>
      </w:r>
      <w:r>
        <w:t xml:space="preserve">permanent CCU also has economic impacts for ETS operators, providing additional pathways</w:t>
      </w:r>
      <w:r>
        <w:t xml:space="preserve"> </w:t>
      </w:r>
      <w:r>
        <w:t xml:space="preserve">for abating their emissions and contributing to achieving the objectives of the ETS Directive</w:t>
      </w:r>
      <w:r>
        <w:t xml:space="preserve"> </w:t>
      </w:r>
      <w:r>
        <w:t xml:space="preserve">in a more efficient and effective manner.</w:t>
      </w:r>
      <w:r>
        <w:br/>
      </w:r>
      <w:r>
        <w:t xml:space="preserve">The measures addressing non-permanent CCU in the EU ETS are described and assessed in</w:t>
      </w:r>
      <w:r>
        <w:t xml:space="preserve"> </w:t>
      </w:r>
      <w:r>
        <w:t xml:space="preserve">section 2.3. The assessment of the environmental and economic impacts has been done based</w:t>
      </w:r>
      <w:r>
        <w:t xml:space="preserve"> </w:t>
      </w:r>
      <w:r>
        <w:t xml:space="preserve">on the following criteria:</w:t>
      </w:r>
      <w:r>
        <w:br/>
      </w:r>
      <w:r>
        <w:t xml:space="preserve">Whether they provide a level playing field for non-permanent CCU. To produce CCU fuels or</w:t>
      </w:r>
      <w:r>
        <w:t xml:space="preserve"> </w:t>
      </w:r>
      <w:r>
        <w:t xml:space="preserve">chemicals, the current EU ETS rules require payment for the emissions captured and embedded</w:t>
      </w:r>
      <w:r>
        <w:t xml:space="preserve"> </w:t>
      </w:r>
      <w:r>
        <w:t xml:space="preserve">in any product that does not meet the permanence criteria. This situation leads to a lack of level</w:t>
      </w:r>
      <w:r>
        <w:t xml:space="preserve"> </w:t>
      </w:r>
      <w:r>
        <w:t xml:space="preserve">playing field between the traditional petrochemicals, for which no payment is required in the</w:t>
      </w:r>
      <w:r>
        <w:t xml:space="preserve"> </w:t>
      </w:r>
      <w:r>
        <w:t xml:space="preserve">ETS when using virgin fossil carbon, and alternatives based on CCU.</w:t>
      </w:r>
      <w:r>
        <w:br/>
      </w:r>
      <w:r>
        <w:t xml:space="preserve">Whether they ensure accounting effectiveness and a cost-efficient reduction of emissions. With</w:t>
      </w:r>
      <w:r>
        <w:t xml:space="preserve"> </w:t>
      </w:r>
      <w:r>
        <w:t xml:space="preserve">the integration of waste incineration into the ETS, virgin fossil feedstock would be subject to</w:t>
      </w:r>
      <w:r>
        <w:t xml:space="preserve"> </w:t>
      </w:r>
      <w:r>
        <w:t xml:space="preserve">carbon pricing at the point where the carbon is released from the product, potentially levelling</w:t>
      </w:r>
      <w:r>
        <w:t xml:space="preserve"> </w:t>
      </w:r>
      <w:r>
        <w:t xml:space="preserve">the playing field. However, without a change in the CCU rules, the emissions embedded in</w:t>
      </w:r>
      <w:r>
        <w:t xml:space="preserve"> </w:t>
      </w:r>
      <w:r>
        <w:t xml:space="preserve">non-permanent products would be paid twice: once when captured (unless they meet the</w:t>
      </w:r>
      <w:r>
        <w:t xml:space="preserve"> </w:t>
      </w:r>
      <w:r>
        <w:t xml:space="preserve">permanence requirement) and a second time at the end of life when incinerated. This leads to</w:t>
      </w:r>
      <w:r>
        <w:t xml:space="preserve"> </w:t>
      </w:r>
      <w:r>
        <w:t xml:space="preserve">a double counting/pricing of emissions, which results an inefficient reduction of emissions.</w:t>
      </w:r>
      <w:r>
        <w:br/>
      </w:r>
      <w:r>
        <w:t xml:space="preserve">Whether the changes of the ETS accounting of emissions in non-permanent CCU products</w:t>
      </w:r>
      <w:r>
        <w:t xml:space="preserve"> </w:t>
      </w:r>
      <w:r>
        <w:t xml:space="preserve">leads to excessive administrative burden.</w:t>
      </w:r>
      <w:r>
        <w:br/>
      </w:r>
      <w:r>
        <w:t xml:space="preserve">Ensuring a level playing field between non-permanent CCU products and CCS and permanent</w:t>
      </w:r>
      <w:r>
        <w:t xml:space="preserve"> </w:t>
      </w:r>
      <w:r>
        <w:t xml:space="preserve">CCU products will be assessed in the impact section.</w:t>
      </w:r>
      <w:r>
        <w:br/>
      </w:r>
      <w:r>
        <w:t xml:space="preserve">2.2. Scoping</w:t>
      </w:r>
      <w:r>
        <w:br/>
      </w:r>
      <w:r>
        <w:t xml:space="preserve">Non-permanent CCU is a broad concept and covers a wide range of products that could be</w:t>
      </w:r>
      <w:r>
        <w:t xml:space="preserve"> </w:t>
      </w:r>
      <w:r>
        <w:t xml:space="preserve">potentially manufactured via the CCU process. Assessing the impact of the different potential</w:t>
      </w:r>
      <w:r>
        <w:t xml:space="preserve"> </w:t>
      </w:r>
      <w:r>
        <w:t xml:space="preserve">accounting approaches for non-permanent CCU cannot be done in abstract, and such</w:t>
      </w:r>
      <w:r>
        <w:t xml:space="preserve"> </w:t>
      </w:r>
      <w:r>
        <w:t xml:space="preserve">assessment needs to consider the characteristics of the respective products, in particular their</w:t>
      </w:r>
      <w:r>
        <w:t xml:space="preserve"> </w:t>
      </w:r>
      <w:r>
        <w:t xml:space="preserve">use and end-of-life treatment. This can ultimately allow to ascertain if the final release of the</w:t>
      </w:r>
      <w:r>
        <w:t xml:space="preserve"> </w:t>
      </w:r>
      <w:r>
        <w:t xml:space="preserve">emissions from the non-permanent CCU products will be covered by the EU ETS and thus if</w:t>
      </w:r>
      <w:r>
        <w:t xml:space="preserve"> </w:t>
      </w:r>
      <w:r>
        <w:t xml:space="preserve">accounting further downstream, instead of at point of capture, would lead to accounting</w:t>
      </w:r>
      <w:r>
        <w:t xml:space="preserve"> </w:t>
      </w:r>
      <w:r>
        <w:t xml:space="preserve">loopholes. Therefore, this section focuses on identifying the potential non-permanent CCU</w:t>
      </w:r>
      <w:r>
        <w:t xml:space="preserve"> </w:t>
      </w:r>
      <w:r>
        <w:t xml:space="preserve">products that need to be kept in mind when considering how CCU could be reflected in the</w:t>
      </w:r>
      <w:r>
        <w:t xml:space="preserve"> </w:t>
      </w:r>
      <w:r>
        <w:t xml:space="preserve">ETS, and the associated accounting approach.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It is important to underline that the EU ETS is a system that sets an overall cap and requires</w:t>
      </w:r>
      <w:r>
        <w:t xml:space="preserve"> </w:t>
      </w:r>
      <w:r>
        <w:t xml:space="preserve">the surrendering of allowances for “fossil” resulting from activities within the scope of the EU</w:t>
      </w:r>
      <w:r>
        <w:t xml:space="preserve"> </w:t>
      </w:r>
      <w:r>
        <w:t xml:space="preserve">ETS Directive. “Fossil” emissions effectively means the emissions resulting from source</w:t>
      </w:r>
      <w:r>
        <w:t xml:space="preserve"> </w:t>
      </w:r>
      <w:r>
        <w:t xml:space="preserve">streams that are not considered to be zero-rated under specific provisions of the ETS Directive</w:t>
      </w:r>
      <w:r>
        <w:t xml:space="preserve"> </w:t>
      </w:r>
      <w:r>
        <w:t xml:space="preserve">or its secondary legislation. Zero-rated source streams include biomass that is certified as</w:t>
      </w:r>
      <w:r>
        <w:t xml:space="preserve"> </w:t>
      </w:r>
      <w:r>
        <w:t xml:space="preserve">meeting the sustainability criteria or of the Renewable Energy Directive177 (RED) emissions,</w:t>
      </w:r>
      <w:r>
        <w:t xml:space="preserve"> </w:t>
      </w:r>
      <w:r>
        <w:t xml:space="preserve">or e-fuels that are certified as meeting the 70% emissions savings. The emissions resulting from</w:t>
      </w:r>
      <w:r>
        <w:t xml:space="preserve"> </w:t>
      </w:r>
      <w:r>
        <w:t xml:space="preserve">zero-rated source streams are also considered to be zero-rated, which means that they do not</w:t>
      </w:r>
      <w:r>
        <w:t xml:space="preserve"> </w:t>
      </w:r>
      <w:r>
        <w:t xml:space="preserve">require the surrender of emission allowances. Emissions resulting from the combustion of non-</w:t>
      </w:r>
      <w:r>
        <w:t xml:space="preserve"> </w:t>
      </w:r>
      <w:r>
        <w:t xml:space="preserve">sustainable biomass would not be zero-rated and treated the same way as fossil emissions.</w:t>
      </w:r>
      <w:r>
        <w:t xml:space="preserve"> </w:t>
      </w:r>
      <w:r>
        <w:t xml:space="preserve">For this assessment, carbon capture and utilisation and the accounting of emissions in the ETS</w:t>
      </w:r>
      <w:r>
        <w:t xml:space="preserve"> </w:t>
      </w:r>
      <w:r>
        <w:t xml:space="preserve">refers exclusively to the treatment of fossil emissions that are captured and stored or utilised.</w:t>
      </w:r>
      <w:r>
        <w:t xml:space="preserve"> </w:t>
      </w:r>
      <w:r>
        <w:t xml:space="preserve">Emissions that are zero-rated receive the same treatment in the ETS regardless of whether they</w:t>
      </w:r>
      <w:r>
        <w:t xml:space="preserve"> </w:t>
      </w:r>
      <w:r>
        <w:t xml:space="preserve">are released directly in the atmosphere or captured, stored or utilised in non-permanent</w:t>
      </w:r>
      <w:r>
        <w:t xml:space="preserve"> </w:t>
      </w:r>
      <w:r>
        <w:t xml:space="preserve">products, i.e. they do not require the surrender of emission allowances. The EU ETS does not</w:t>
      </w:r>
      <w:r>
        <w:t xml:space="preserve"> </w:t>
      </w:r>
      <w:r>
        <w:t xml:space="preserve">give credits for the capture of emissions that are already zero-rated, and the certification of</w:t>
      </w:r>
      <w:r>
        <w:t xml:space="preserve"> </w:t>
      </w:r>
      <w:r>
        <w:t xml:space="preserve">carbon removals (permanent or temporary) is done under a different legal framework, namely</w:t>
      </w:r>
      <w:r>
        <w:t xml:space="preserve"> </w:t>
      </w:r>
      <w:r>
        <w:t xml:space="preserve">under the Carbon Removals and Carbon Farming Regulation (CRCF).178The options for</w:t>
      </w:r>
      <w:r>
        <w:t xml:space="preserve"> </w:t>
      </w:r>
      <w:r>
        <w:t xml:space="preserve">integration of carbon removals in the EU ETS are analysed separately in Annex 8.</w:t>
      </w:r>
      <w:r>
        <w:t xml:space="preserve"> </w:t>
      </w:r>
      <w:r>
        <w:t xml:space="preserve">2.2.1. Description of importance and potential for CCU market, products</w:t>
      </w:r>
      <w:r>
        <w:t xml:space="preserve"> </w:t>
      </w:r>
      <w:r>
        <w:t xml:space="preserve">As mentioned in the overview, CCU is recognised as a potential solution for reducing emissions</w:t>
      </w:r>
      <w:r>
        <w:t xml:space="preserve"> </w:t>
      </w:r>
      <w:r>
        <w:t xml:space="preserve">for sectors where there are very few other decarbonisation options, such as the chemicals or</w:t>
      </w:r>
      <w:r>
        <w:t xml:space="preserve"> </w:t>
      </w:r>
      <w:r>
        <w:t xml:space="preserve">the cement sectors, but also some transport modes such as aviation and maritime. In this</w:t>
      </w:r>
      <w:r>
        <w:t xml:space="preserve"> </w:t>
      </w:r>
      <w:r>
        <w:t xml:space="preserve">context, some stakeholders argue that CCU provides the opportunity to provide a source of</w:t>
      </w:r>
      <w:r>
        <w:t xml:space="preserve"> </w:t>
      </w:r>
      <w:r>
        <w:t xml:space="preserve">“renewable carbon”, which when matched with an adequate supply of renewable energy can</w:t>
      </w:r>
      <w:r>
        <w:t xml:space="preserve"> </w:t>
      </w:r>
      <w:r>
        <w:t xml:space="preserve">significantly reduce the emissions of hard to abate sectors.</w:t>
      </w:r>
    </w:p>
    <w:p>
      <w:pPr>
        <w:pStyle w:val="BodyText"/>
      </w:pPr>
      <w:r>
        <w:t xml:space="preserve">177 Directive (EU) 2018/2001 of the European Parliament and of the Council of 11 December 2018 on the</w:t>
      </w:r>
      <w:r>
        <w:t xml:space="preserve"> </w:t>
      </w:r>
      <w:r>
        <w:t xml:space="preserve">promotion of the use of energy from renewable sources (recast), http://data.europa.eu/eli/dir/2018/2001/oj</w:t>
      </w:r>
      <w:r>
        <w:t xml:space="preserve"> </w:t>
      </w:r>
      <w:r>
        <w:t xml:space="preserve">178 Regulation (EU) 2024/3012 of the European Parliament and of the Council of 27 November 2024 establishing</w:t>
      </w:r>
      <w:r>
        <w:t xml:space="preserve"> </w:t>
      </w:r>
      <w:r>
        <w:t xml:space="preserve">a Union certification framework for permanent carbon removals, carbon farming and carbon storage in</w:t>
      </w:r>
      <w:r>
        <w:t xml:space="preserve"> </w:t>
      </w:r>
      <w:r>
        <w:t xml:space="preserve">products, http://data.europa.eu/eli/reg/2024/3012/oj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Figure 7:</w:t>
      </w:r>
      <w:r>
        <w:t xml:space="preserve"> </w:t>
      </w:r>
      <w:r>
        <w:t xml:space="preserve">Concept of Renewable Carbon</w:t>
      </w:r>
      <w:r>
        <w:t xml:space="preserve"> </w:t>
      </w:r>
      <w:r>
        <w:t xml:space="preserve">Source: Nova Institute</w:t>
      </w:r>
      <w:r>
        <w:t xml:space="preserve"> </w:t>
      </w:r>
      <w:r>
        <w:t xml:space="preserve">As emphasised in the European Chemicals Industry Action Plan, this is particularly important</w:t>
      </w:r>
      <w:r>
        <w:t xml:space="preserve"> </w:t>
      </w:r>
      <w:r>
        <w:t xml:space="preserve">for the chemicals sectors, which requires significant amount of carbon feedstock (estimated at</w:t>
      </w:r>
      <w:r>
        <w:t xml:space="preserve"> </w:t>
      </w:r>
      <w:r>
        <w:t xml:space="preserve">over 120 Mt/C/year for the EU-27) and more than 90% of it is derived from fossil sources179 .</w:t>
      </w:r>
      <w:r>
        <w:t xml:space="preserve"> </w:t>
      </w:r>
      <w:r>
        <w:t xml:space="preserve">Therefore, the chemical conversion of CO2 presents an important potential to produce a wide</w:t>
      </w:r>
      <w:r>
        <w:t xml:space="preserve"> </w:t>
      </w:r>
      <w:r>
        <w:t xml:space="preserve">variety of chemicals without relying on fossil feedstocks. Figure xx provides an overview of</w:t>
      </w:r>
      <w:r>
        <w:t xml:space="preserve"> </w:t>
      </w:r>
      <w:r>
        <w:t xml:space="preserve">the different CO2 conversion technologies and the range of resulting CCU products, as well as</w:t>
      </w:r>
      <w:r>
        <w:t xml:space="preserve"> </w:t>
      </w:r>
      <w:r>
        <w:t xml:space="preserve">their technology readiness levels.</w:t>
      </w:r>
    </w:p>
    <w:p>
      <w:pPr>
        <w:pStyle w:val="BodyText"/>
      </w:pPr>
      <w:r>
        <w:t xml:space="preserve">179 Nova Institute, The fossil fuel trap: Why defossilising chemistry is essential – and feasible!, https://renewable-</w:t>
      </w:r>
      <w:r>
        <w:t xml:space="preserve"> </w:t>
      </w:r>
      <w:r>
        <w:t xml:space="preserve">carbon.eu/news/the-fossil-fuel-trap-why-defossilising-chemistry-is-essential-and-feasible/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Figure 8:</w:t>
      </w:r>
      <w:r>
        <w:t xml:space="preserve"> </w:t>
      </w:r>
      <w:r>
        <w:t xml:space="preserve">Overview CCU technology pathways for chemicals and polymers</w:t>
      </w:r>
    </w:p>
    <w:p>
      <w:pPr>
        <w:pStyle w:val="BodyText"/>
      </w:pPr>
      <w:r>
        <w:t xml:space="preserve">Source: Nova Institute</w:t>
      </w:r>
      <w:r>
        <w:t xml:space="preserve"> </w:t>
      </w:r>
      <w:r>
        <w:t xml:space="preserve">A 2023 report180 identified that in 2022, the total production capacity of novel CO2-based</w:t>
      </w:r>
      <w:r>
        <w:t xml:space="preserve"> </w:t>
      </w:r>
      <w:r>
        <w:t xml:space="preserve">products of about 1.3 Mt/a with an outlook by 2030 expected to exceed 6 Mt/a of CO2-based</w:t>
      </w:r>
      <w:r>
        <w:t xml:space="preserve"> </w:t>
      </w:r>
      <w:r>
        <w:t xml:space="preserve">products. A 2024 evaluation of a number industry studies and reports on the future of the</w:t>
      </w:r>
      <w:r>
        <w:t xml:space="preserve"> </w:t>
      </w:r>
      <w:r>
        <w:t xml:space="preserve">plastics or chemicals sectors181 identified that the use of CO2 as feedstock in CCU applications</w:t>
      </w:r>
      <w:r>
        <w:t xml:space="preserve"> </w:t>
      </w:r>
      <w:r>
        <w:t xml:space="preserve">amounted by 2050 to an average 17% of the share of feedstock for plastics and 33% for</w:t>
      </w:r>
      <w:r>
        <w:t xml:space="preserve"> </w:t>
      </w:r>
      <w:r>
        <w:t xml:space="preserve">chemicals in general (exceeding the predicated share of biomass for materials).</w:t>
      </w:r>
      <w:r>
        <w:br/>
      </w:r>
      <w:r>
        <w:t xml:space="preserve">This makes it clear that CCU plays currently a small role as an industrial technology, but it</w:t>
      </w:r>
      <w:r>
        <w:t xml:space="preserve"> </w:t>
      </w:r>
      <w:r>
        <w:t xml:space="preserve">presents an important potential for the development of new production methods that are</w:t>
      </w:r>
      <w:r>
        <w:t xml:space="preserve"> </w:t>
      </w:r>
      <w:r>
        <w:t xml:space="preserve">inherently better suited to a low carbon, net-zero economy. Against this background, this</w:t>
      </w:r>
      <w:r>
        <w:t xml:space="preserve"> </w:t>
      </w:r>
      <w:r>
        <w:t xml:space="preserve">assessment considers the role the EU ETS can play in providing a level playing field for CCU</w:t>
      </w:r>
      <w:r>
        <w:t xml:space="preserve"> </w:t>
      </w:r>
      <w:r>
        <w:t xml:space="preserve">applications to develop and compete with traditional fossil-based production methods</w:t>
      </w:r>
      <w:r>
        <w:t xml:space="preserve"> </w:t>
      </w:r>
      <w:r>
        <w:t xml:space="preserve">2.2.2. Identification and description of accounting approaches</w:t>
      </w:r>
      <w:r>
        <w:br/>
      </w:r>
      <w:r>
        <w:t xml:space="preserve">‘Upstream’ ‘downstream’, and ‘midstream’ in the context of this assessment refer to the</w:t>
      </w:r>
      <w:r>
        <w:t xml:space="preserve"> </w:t>
      </w:r>
      <w:r>
        <w:t xml:space="preserve">different stages in the CCU value chain, i.e., ‘upstream’ representing the initial carbon capture</w:t>
      </w:r>
      <w:r>
        <w:t xml:space="preserve"> </w:t>
      </w:r>
      <w:r>
        <w:t xml:space="preserve">stage and ‘downstream’ is the stage where the emission eventually occurs, such as at the point</w:t>
      </w:r>
      <w:r>
        <w:t xml:space="preserve"> </w:t>
      </w:r>
      <w:r>
        <w:t xml:space="preserve">of combustion of a fuel or other end of life treatment of a product. ‘Midstream’ represents an</w:t>
      </w:r>
      <w:r>
        <w:t xml:space="preserve"> </w:t>
      </w:r>
      <w:r>
        <w:t xml:space="preserve">accounting point somewhere in the middle of the value chain. In the illustrations below, a +1,</w:t>
      </w:r>
      <w:r>
        <w:t xml:space="preserve"> </w:t>
      </w:r>
      <w:r>
        <w:t xml:space="preserve">0 or -1 indicate where emissions or removals reported across the different steps of the CCUS</w:t>
      </w:r>
      <w:r>
        <w:t xml:space="preserve"> </w:t>
      </w:r>
      <w:r>
        <w:t xml:space="preserve">chain. In the case of permanent storage, the sum of the emissions at each stage should add up</w:t>
      </w:r>
      <w:r>
        <w:t xml:space="preserve"> </w:t>
      </w:r>
      <w:r>
        <w:t xml:space="preserve">to 0, while in the case of non-permanent CCU, the sum of the emissions at each stage should</w:t>
      </w:r>
    </w:p>
    <w:p>
      <w:pPr>
        <w:pStyle w:val="BodyText"/>
      </w:pPr>
      <w:r>
        <w:t xml:space="preserve">180 Pauline Ruiz, Pia Skoczinski, Achim Raschka, Nicolas Hark, Michael Carus, Carbon Dioxide (CO₂) as</w:t>
      </w:r>
      <w:r>
        <w:t xml:space="preserve"> </w:t>
      </w:r>
      <w:r>
        <w:t xml:space="preserve">Feedstock for Chemicals, Advanced Fuels, Polymers, Proteins and Minerals</w:t>
      </w:r>
      <w:r>
        <w:t xml:space="preserve"> </w:t>
      </w:r>
      <w:r>
        <w:t xml:space="preserve">181 Harrandt, J., Carus, M., vom Berg, C., 2024: Evaluation of Recent Reports on the Future of a Net-Zero</w:t>
      </w:r>
      <w:r>
        <w:t xml:space="preserve"> </w:t>
      </w:r>
      <w:r>
        <w:t xml:space="preserve">Chemical Industry in 2050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add up to +1. A lower value would represent under-counting of emissions, and a higher one</w:t>
      </w:r>
      <w:r>
        <w:t xml:space="preserve"> </w:t>
      </w:r>
      <w:r>
        <w:t xml:space="preserve">would represent double counting of emissions.</w:t>
      </w:r>
      <w:r>
        <w:br/>
      </w:r>
      <w:r>
        <w:t xml:space="preserve">‘Upstream accounting’, in the context of the EU ETS, refers to accounting for emissions at</w:t>
      </w:r>
      <w:r>
        <w:t xml:space="preserve"> </w:t>
      </w:r>
      <w:r>
        <w:t xml:space="preserve">the point of capture of emissions that result from activities within the scope of the ETS</w:t>
      </w:r>
      <w:r>
        <w:t xml:space="preserve"> </w:t>
      </w:r>
      <w:r>
        <w:t xml:space="preserve">Directive. Captured CO2 that is not designated for CCS or subject to the exemption for</w:t>
      </w:r>
      <w:r>
        <w:t xml:space="preserve"> </w:t>
      </w:r>
      <w:r>
        <w:t xml:space="preserve">permanent CCU products, still requires the surrender of emission allowances, i.e. it is priced at</w:t>
      </w:r>
      <w:r>
        <w:t xml:space="preserve"> </w:t>
      </w:r>
      <w:r>
        <w:t xml:space="preserve">the point of capture. Captured carbon would then be utilised in the value chains of non-</w:t>
      </w:r>
      <w:r>
        <w:t xml:space="preserve"> </w:t>
      </w:r>
      <w:r>
        <w:t xml:space="preserve">permanent CCU products, such as for the production and use of plastics or e-fuels. Upon</w:t>
      </w:r>
      <w:r>
        <w:t xml:space="preserve"> </w:t>
      </w:r>
      <w:r>
        <w:t xml:space="preserve">combustion of e-fuels, the priced carbon is emitted into the atmosphere.</w:t>
      </w:r>
      <w:r>
        <w:br/>
      </w:r>
      <w:r>
        <w:t xml:space="preserve">Figure 9:</w:t>
      </w:r>
      <w:r>
        <w:t xml:space="preserve"> </w:t>
      </w:r>
      <w:r>
        <w:t xml:space="preserve">Simplified illustration of upstream accounting in ETS context</w:t>
      </w:r>
      <w:r>
        <w:t xml:space="preserve"> </w:t>
      </w:r>
      <w:r>
        <w:t xml:space="preserve">Source: Own illustration</w:t>
      </w:r>
      <w:r>
        <w:t xml:space="preserve"> </w:t>
      </w:r>
      <w:r>
        <w:t xml:space="preserve">‘Downstream accounting’ refers to reporting of emissions at the point where the captured</w:t>
      </w:r>
      <w:r>
        <w:t xml:space="preserve"> </w:t>
      </w:r>
      <w:r>
        <w:t xml:space="preserve">carbon is released back into the atmosphere, such as during product use or disposal. In this</w:t>
      </w:r>
      <w:r>
        <w:t xml:space="preserve"> </w:t>
      </w:r>
      <w:r>
        <w:t xml:space="preserve">approach, the ‘final emitter’ pays, meaning the point of surrender obligation is shifted</w:t>
      </w:r>
      <w:r>
        <w:t xml:space="preserve"> </w:t>
      </w:r>
      <w:r>
        <w:t xml:space="preserve">downstream in the CCU value chain. The EU ETS installation capturing its emissions and</w:t>
      </w:r>
      <w:r>
        <w:t xml:space="preserve"> </w:t>
      </w:r>
      <w:r>
        <w:t xml:space="preserve">transferring the resulting CO2 to another EU ETS installation will not be required to surrender</w:t>
      </w:r>
      <w:r>
        <w:t xml:space="preserve"> </w:t>
      </w:r>
      <w:r>
        <w:t xml:space="preserve">emission allowances for that CO2, regardless of if it intended for non-permanent CCU</w:t>
      </w:r>
      <w:r>
        <w:t xml:space="preserve"> </w:t>
      </w:r>
      <w:r>
        <w:t xml:space="preserve">applications or permanent geological storage or any type of CCU application storage site. The</w:t>
      </w:r>
      <w:r>
        <w:t xml:space="preserve"> </w:t>
      </w:r>
      <w:r>
        <w:t xml:space="preserve">emissions embedded in non-permanent CCU products are accounted and priced downstream</w:t>
      </w:r>
      <w:r>
        <w:t xml:space="preserve"> </w:t>
      </w:r>
      <w:r>
        <w:t xml:space="preserve">at the end of life when combusted and the CO2 is released.</w:t>
      </w:r>
    </w:p>
    <w:p>
      <w:pPr>
        <w:pStyle w:val="BodyText"/>
      </w:pPr>
      <w:r>
        <w:t xml:space="preserve">ETS Upstream accounting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Figure 10: Simplified illustration of downstream accounting in ETS context</w:t>
      </w:r>
      <w:r>
        <w:t xml:space="preserve"> </w:t>
      </w:r>
      <w:r>
        <w:t xml:space="preserve">Source: Own illustration</w:t>
      </w:r>
      <w:r>
        <w:t xml:space="preserve"> </w:t>
      </w:r>
      <w:r>
        <w:t xml:space="preserve">‘Hybrid downstream and midstream accounting’ represents a version of the downstream</w:t>
      </w:r>
      <w:r>
        <w:t xml:space="preserve"> </w:t>
      </w:r>
      <w:r>
        <w:t xml:space="preserve">accounting, where the point of accounting can be enacted somewhere in the middle of the value</w:t>
      </w:r>
      <w:r>
        <w:t xml:space="preserve"> </w:t>
      </w:r>
      <w:r>
        <w:t xml:space="preserve">chain for a particular CCU product. The hybrid midstream is particularly relevant for e-fuels,</w:t>
      </w:r>
      <w:r>
        <w:t xml:space="preserve"> </w:t>
      </w:r>
      <w:r>
        <w:t xml:space="preserve">where the zero-rating for qualifying e-fuels can be maintained by moving the point of</w:t>
      </w:r>
      <w:r>
        <w:t xml:space="preserve"> </w:t>
      </w:r>
      <w:r>
        <w:t xml:space="preserve">accounting and pricing midstream. In the case of e-fuels, the midstream accounting point as</w:t>
      </w:r>
      <w:r>
        <w:t xml:space="preserve"> </w:t>
      </w:r>
      <w:r>
        <w:t xml:space="preserve">either the producer of e-fuel, similar to a refinery or organic chemicals producers, or as a</w:t>
      </w:r>
      <w:r>
        <w:t xml:space="preserve"> </w:t>
      </w:r>
      <w:r>
        <w:t xml:space="preserve">distributor placing e-fuels on the EU market for final consumption. For the other CCU</w:t>
      </w:r>
      <w:r>
        <w:t xml:space="preserve"> </w:t>
      </w:r>
      <w:r>
        <w:t xml:space="preserve">products, the downstream accounting is applied as described in the ‘downstream accounting’</w:t>
      </w:r>
      <w:r>
        <w:t xml:space="preserve"> </w:t>
      </w:r>
      <w:r>
        <w:t xml:space="preserve">measure, hence the ‘hybrid’ designation.</w:t>
      </w:r>
      <w:r>
        <w:t xml:space="preserve"> </w:t>
      </w:r>
      <w:r>
        <w:t xml:space="preserve">Figure 11: Simplified illustration of hybrid downstream and midstream accounting in ETS context</w:t>
      </w:r>
      <w:r>
        <w:t xml:space="preserve"> </w:t>
      </w:r>
      <w:r>
        <w:t xml:space="preserve">Source: Own illustration</w:t>
      </w:r>
    </w:p>
    <w:p>
      <w:pPr>
        <w:pStyle w:val="BodyText"/>
      </w:pPr>
      <w:r>
        <w:t xml:space="preserve">ETS Downstream and midstream accounting</w:t>
      </w:r>
    </w:p>
    <w:p>
      <w:pPr>
        <w:pStyle w:val="BodyText"/>
      </w:pPr>
      <w:r>
        <w:t xml:space="preserve">ETS Downstream accounting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These concepts underpin the suggested policy measures articulated for the treatment of non-</w:t>
      </w:r>
      <w:r>
        <w:t xml:space="preserve"> </w:t>
      </w:r>
      <w:r>
        <w:t xml:space="preserve">permanent CCU in the EU ETS in the below chapter.</w:t>
      </w:r>
      <w:r>
        <w:br/>
      </w:r>
      <w:r>
        <w:t xml:space="preserve">2.2.3. Identification of potential non-permanent CCU products and their normal use</w:t>
      </w:r>
      <w:r>
        <w:t xml:space="preserve"> </w:t>
      </w:r>
      <w:r>
        <w:t xml:space="preserve">or end-of-life treatment</w:t>
      </w:r>
      <w:r>
        <w:t xml:space="preserve"> </w:t>
      </w:r>
      <w:r>
        <w:t xml:space="preserve">The main CCU products or applications outlined below, as well as their normal use or end-of-</w:t>
      </w:r>
      <w:r>
        <w:t xml:space="preserve"> </w:t>
      </w:r>
      <w:r>
        <w:t xml:space="preserve">life treatment.</w:t>
      </w:r>
      <w:r>
        <w:t xml:space="preserve"> </w:t>
      </w:r>
      <w:r>
        <w:t xml:space="preserve">Table 7:</w:t>
      </w:r>
      <w:r>
        <w:t xml:space="preserve"> </w:t>
      </w:r>
      <w:r>
        <w:t xml:space="preserve">Overview of product lists by normal use or end-of-life treatment</w:t>
      </w:r>
      <w:r>
        <w:br/>
      </w:r>
      <w:r>
        <w:t xml:space="preserve">Direct Utilization</w:t>
      </w:r>
      <w:r>
        <w:t xml:space="preserve"> </w:t>
      </w:r>
      <w:r>
        <w:t xml:space="preserve">of CO2</w:t>
      </w:r>
      <w:r>
        <w:t xml:space="preserve"> </w:t>
      </w:r>
      <w:r>
        <w:t xml:space="preserve">Incineration during normal use or</w:t>
      </w:r>
      <w:r>
        <w:t xml:space="preserve"> </w:t>
      </w:r>
      <w:r>
        <w:t xml:space="preserve">at the end-of-life</w:t>
      </w:r>
      <w:r>
        <w:t xml:space="preserve"> </w:t>
      </w:r>
      <w:r>
        <w:t xml:space="preserve">Recycling or</w:t>
      </w:r>
      <w:r>
        <w:t xml:space="preserve"> </w:t>
      </w:r>
      <w:r>
        <w:t xml:space="preserve">landfilling</w:t>
      </w:r>
      <w:r>
        <w:t xml:space="preserve"> </w:t>
      </w:r>
      <w:r>
        <w:t xml:space="preserve">Other</w:t>
      </w:r>
      <w:r>
        <w:t xml:space="preserve"> </w:t>
      </w:r>
      <w:r>
        <w:t xml:space="preserve">Dry Ice</w:t>
      </w:r>
      <w:r>
        <w:t xml:space="preserve"> </w:t>
      </w:r>
      <w:r>
        <w:t xml:space="preserve">PCC (except used as mineral</w:t>
      </w:r>
      <w:r>
        <w:t xml:space="preserve"> </w:t>
      </w:r>
      <w:r>
        <w:t xml:space="preserve">fertiliser)</w:t>
      </w:r>
      <w:r>
        <w:t xml:space="preserve"> </w:t>
      </w:r>
      <w:r>
        <w:t xml:space="preserve">Plastics</w:t>
      </w:r>
      <w:r>
        <w:t xml:space="preserve"> </w:t>
      </w:r>
      <w:r>
        <w:t xml:space="preserve">Solid Carbon</w:t>
      </w:r>
      <w:r>
        <w:t xml:space="preserve"> </w:t>
      </w:r>
      <w:r>
        <w:t xml:space="preserve">Greenhouses</w:t>
      </w:r>
      <w:r>
        <w:t xml:space="preserve"> </w:t>
      </w:r>
      <w:r>
        <w:t xml:space="preserve">Plastics</w:t>
      </w:r>
      <w:r>
        <w:t xml:space="preserve"> </w:t>
      </w:r>
      <w:r>
        <w:t xml:space="preserve">Plasterboard</w:t>
      </w:r>
      <w:r>
        <w:t xml:space="preserve"> </w:t>
      </w:r>
      <w:r>
        <w:t xml:space="preserve">Other carbonates</w:t>
      </w:r>
      <w:r>
        <w:t xml:space="preserve"> </w:t>
      </w:r>
      <w:r>
        <w:t xml:space="preserve">Food &amp; Drink</w:t>
      </w:r>
      <w:r>
        <w:t xml:space="preserve"> </w:t>
      </w:r>
      <w:r>
        <w:t xml:space="preserve">Sodium Carbonate (soda ash)</w:t>
      </w:r>
      <w:r>
        <w:t xml:space="preserve"> </w:t>
      </w:r>
      <w:r>
        <w:t xml:space="preserve">Refractory Products PCC used as mineral</w:t>
      </w:r>
      <w:r>
        <w:t xml:space="preserve"> </w:t>
      </w:r>
      <w:r>
        <w:t xml:space="preserve">fertiliser</w:t>
      </w:r>
      <w:r>
        <w:t xml:space="preserve"> </w:t>
      </w:r>
      <w:r>
        <w:t xml:space="preserve">E-fuels</w:t>
      </w:r>
      <w:r>
        <w:t xml:space="preserve"> </w:t>
      </w:r>
      <w:r>
        <w:t xml:space="preserve">Caustic</w:t>
      </w:r>
      <w:r>
        <w:t xml:space="preserve"> </w:t>
      </w:r>
      <w:r>
        <w:t xml:space="preserve">Calcinated</w:t>
      </w:r>
      <w:r>
        <w:t xml:space="preserve"> </w:t>
      </w:r>
      <w:r>
        <w:t xml:space="preserve">Magnesite</w:t>
      </w:r>
      <w:r>
        <w:t xml:space="preserve"> </w:t>
      </w:r>
      <w:r>
        <w:t xml:space="preserve">Other</w:t>
      </w:r>
      <w:r>
        <w:t xml:space="preserve"> </w:t>
      </w:r>
      <w:r>
        <w:t xml:space="preserve">organic</w:t>
      </w:r>
      <w:r>
        <w:t xml:space="preserve"> </w:t>
      </w:r>
      <w:r>
        <w:t xml:space="preserve">chemicals</w:t>
      </w:r>
      <w:r>
        <w:t xml:space="preserve"> </w:t>
      </w:r>
      <w:r>
        <w:t xml:space="preserve">2.2.4. Identification of potential loopholes for downstream accounting</w:t>
      </w:r>
      <w:r>
        <w:br/>
      </w:r>
      <w:r>
        <w:t xml:space="preserve">To understand the implications of the carbon accounting policy measures to be assessed, the</w:t>
      </w:r>
      <w:r>
        <w:t xml:space="preserve"> </w:t>
      </w:r>
      <w:r>
        <w:t xml:space="preserve">end-of-life pathways and emissions profile for each non-permanent CCU product was</w:t>
      </w:r>
      <w:r>
        <w:t xml:space="preserve"> </w:t>
      </w:r>
      <w:r>
        <w:t xml:space="preserve">examined. The goal of this exercise was to determine which non-permanent CCU products are</w:t>
      </w:r>
      <w:r>
        <w:t xml:space="preserve"> </w:t>
      </w:r>
      <w:r>
        <w:t xml:space="preserve">likely to be inert or to re-emit CO2 at their end of life based on their typical waste management</w:t>
      </w:r>
      <w:r>
        <w:t xml:space="preserve"> </w:t>
      </w:r>
      <w:r>
        <w:t xml:space="preserve">process. Should a non-permanent CCU product meet its end of life outside of the and re-emit</w:t>
      </w:r>
      <w:r>
        <w:t xml:space="preserve"> </w:t>
      </w:r>
      <w:r>
        <w:t xml:space="preserve">those captured of emissions, the product is considered to evade the accounting of ETS system</w:t>
      </w:r>
      <w:r>
        <w:t xml:space="preserve"> </w:t>
      </w:r>
      <w:r>
        <w:t xml:space="preserve">and undermine its environmental effectiveness. This evasion is referred to as ‘loopholes’.</w:t>
      </w:r>
      <w:r>
        <w:br/>
      </w:r>
      <w:r>
        <w:t xml:space="preserve">An assessment of the risk loopholes was performed to determine which potential non-</w:t>
      </w:r>
      <w:r>
        <w:t xml:space="preserve"> </w:t>
      </w:r>
      <w:r>
        <w:t xml:space="preserve">permanent CCU products are likely to be inert or to re-emit the embedded CO2 at the end of</w:t>
      </w:r>
      <w:r>
        <w:t xml:space="preserve"> </w:t>
      </w:r>
      <w:r>
        <w:t xml:space="preserve">life based on their typical waste management process. Furthermore, in-case of re-emission, it</w:t>
      </w:r>
      <w:r>
        <w:t xml:space="preserve"> </w:t>
      </w:r>
      <w:r>
        <w:t xml:space="preserve">is important to assert whether that emission would occur within or outside the scope of the EU</w:t>
      </w:r>
      <w:r>
        <w:t xml:space="preserve"> </w:t>
      </w:r>
      <w:r>
        <w:t xml:space="preserve">ETS, either currently or in the future, considering the possible extension to include waste</w:t>
      </w:r>
      <w:r>
        <w:t xml:space="preserve"> </w:t>
      </w:r>
      <w:r>
        <w:t xml:space="preserve">incineration. This forms the basis of analysing the impacts of the different proposed CCU</w:t>
      </w:r>
      <w:r>
        <w:t xml:space="preserve"> </w:t>
      </w:r>
      <w:r>
        <w:t xml:space="preserve">measures and whether the double- or under-counting of ETS emissions occurs.</w:t>
      </w:r>
      <w:r>
        <w:t xml:space="preserve"> </w:t>
      </w:r>
      <w:r>
        <w:t xml:space="preserve">Three waste management processes – recycling, incineration and landfill - were examined for</w:t>
      </w:r>
      <w:r>
        <w:t xml:space="preserve"> </w:t>
      </w:r>
      <w:r>
        <w:t xml:space="preserve">several specific non-permanent CCU product, Direct CO2 use applications and e-fuels were</w:t>
      </w:r>
      <w:r>
        <w:t xml:space="preserve"> </w:t>
      </w:r>
      <w:r>
        <w:t xml:space="preserve">also considered. The following conclusions were determined:</w:t>
      </w:r>
      <w:r>
        <w:br/>
      </w:r>
      <w:r>
        <w:t xml:space="preserve">• Direct utilisation of CO2 in sectors such as horticulture, food and drinks or</w:t>
      </w:r>
      <w:r>
        <w:t xml:space="preserve"> </w:t>
      </w:r>
      <w:r>
        <w:t xml:space="preserve">refrigeration, will result in direct, and in most cases immediate, emission in the</w:t>
      </w:r>
      <w:r>
        <w:t xml:space="preserve"> </w:t>
      </w:r>
      <w:r>
        <w:t xml:space="preserve">atmosphere of the utilised CO2. As these sectors fall outside the scope of the EU ETS,</w:t>
      </w:r>
      <w:r>
        <w:t xml:space="preserve"> </w:t>
      </w:r>
      <w:r>
        <w:t xml:space="preserve">this re-emission of the CO2 would not be covered by the EU ETS.</w:t>
      </w:r>
      <w:r>
        <w:br/>
      </w:r>
      <w:r>
        <w:t xml:space="preserve">• E-fuels, which are produced from hydrogen and CO2, will results in the CO2 being</w:t>
      </w:r>
      <w:r>
        <w:t xml:space="preserve"> </w:t>
      </w:r>
      <w:r>
        <w:t xml:space="preserve">emitted during fuel usage (combustion). The amount of CO2 released during</w:t>
      </w:r>
      <w:r>
        <w:t xml:space="preserve"> </w:t>
      </w:r>
      <w:r>
        <w:t xml:space="preserve">combustion can be considered equal to the amount of CO2 used to create the fuel</w:t>
      </w:r>
      <w:r>
        <w:t xml:space="preserve"> </w:t>
      </w:r>
      <w:r>
        <w:t xml:space="preserve">(excluding any emissions associated with the energy required for the production, which</w:t>
      </w:r>
      <w:r>
        <w:t xml:space="preserve"> </w:t>
      </w:r>
      <w:r>
        <w:t xml:space="preserve">are not considered here). The use of fuels, including e-fuels, already falls largely within</w:t>
      </w:r>
      <w:r>
        <w:t xml:space="preserve"> </w:t>
      </w:r>
      <w:r>
        <w:t xml:space="preserve">to scope of the EU ETS and ETS 2.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• The potential CCU products analysed that have a high incineration rate (either from</w:t>
      </w:r>
      <w:r>
        <w:t xml:space="preserve"> </w:t>
      </w:r>
      <w:r>
        <w:t xml:space="preserve">the outset or at the end of several recycling cycles) are assumed to re-emit any</w:t>
      </w:r>
      <w:r>
        <w:t xml:space="preserve"> </w:t>
      </w:r>
      <w:r>
        <w:t xml:space="preserve">embedded CO2. However, some industrial wastes are co-incinerated as fuel for some</w:t>
      </w:r>
      <w:r>
        <w:t xml:space="preserve"> </w:t>
      </w:r>
      <w:r>
        <w:t xml:space="preserve">ETS activities, and therefore these emissions are covered by the EU ETS. Furthermore,</w:t>
      </w:r>
      <w:r>
        <w:t xml:space="preserve"> </w:t>
      </w:r>
      <w:r>
        <w:t xml:space="preserve">for the purpose of this assessment, it is assumed that the scope of the EU ETS is</w:t>
      </w:r>
      <w:r>
        <w:t xml:space="preserve"> </w:t>
      </w:r>
      <w:r>
        <w:t xml:space="preserve">expanded to include waste incineration, in which case it can be assumed that most</w:t>
      </w:r>
      <w:r>
        <w:t xml:space="preserve"> </w:t>
      </w:r>
      <w:r>
        <w:t xml:space="preserve">emissions from the incineration of waste will fall within the scope of the EU ETS.</w:t>
      </w:r>
      <w:r>
        <w:br/>
      </w:r>
      <w:r>
        <w:t xml:space="preserve">• The potential CCU products that are landfilled are considered generally inert.</w:t>
      </w:r>
      <w:r>
        <w:t xml:space="preserve"> </w:t>
      </w:r>
      <w:r>
        <w:t xml:space="preserve">Emissions from landfill result from the digestion (aerobic or anaerobic) of</w:t>
      </w:r>
      <w:r>
        <w:t xml:space="preserve"> </w:t>
      </w:r>
      <w:r>
        <w:t xml:space="preserve">biodegradable waste. Synthetic organic materials, unless specifically designed to be</w:t>
      </w:r>
      <w:r>
        <w:t xml:space="preserve"> </w:t>
      </w:r>
      <w:r>
        <w:t xml:space="preserve">bio-degradable, breakdown very slowly in landfill conditions with half-lives estimated</w:t>
      </w:r>
      <w:r>
        <w:t xml:space="preserve"> </w:t>
      </w:r>
      <w:r>
        <w:t xml:space="preserve">ranging in hundreds to thousands of years.182 However, the current IPCC guidance on</w:t>
      </w:r>
      <w:r>
        <w:t xml:space="preserve"> </w:t>
      </w:r>
      <w:r>
        <w:t xml:space="preserve">emissions from solid waste disposal sites includes only the reporting of CH4 (methane)</w:t>
      </w:r>
      <w:r>
        <w:t xml:space="preserve"> </w:t>
      </w:r>
      <w:r>
        <w:t xml:space="preserve">emissions from landfills, as the CO2 released from landfills is considered of biogenic</w:t>
      </w:r>
      <w:r>
        <w:t xml:space="preserve"> </w:t>
      </w:r>
      <w:r>
        <w:t xml:space="preserve">origin. Some emissions could occur if landfill conditions become very acidic, landfill</w:t>
      </w:r>
      <w:r>
        <w:t xml:space="preserve"> </w:t>
      </w:r>
      <w:r>
        <w:t xml:space="preserve">fires or in case of illegal dumping, which may not be accounted in inventories</w:t>
      </w:r>
      <w:r>
        <w:t xml:space="preserve"> </w:t>
      </w:r>
      <w:r>
        <w:t xml:space="preserve">• For potential CCU products that have a high recycling rate, the fate of the embedded</w:t>
      </w:r>
      <w:r>
        <w:t xml:space="preserve"> </w:t>
      </w:r>
      <w:r>
        <w:t xml:space="preserve">CO2 depends on the recycling process. Mechanical recycling process do not alter the</w:t>
      </w:r>
      <w:r>
        <w:t xml:space="preserve"> </w:t>
      </w:r>
      <w:r>
        <w:t xml:space="preserve">chemical composition of the material and therefore, from the CO2 re-emission point of</w:t>
      </w:r>
      <w:r>
        <w:t xml:space="preserve"> </w:t>
      </w:r>
      <w:r>
        <w:t xml:space="preserve">view, they can be considered inert. In some cases, such as plasterboard, the recycling</w:t>
      </w:r>
      <w:r>
        <w:t xml:space="preserve"> </w:t>
      </w:r>
      <w:r>
        <w:t xml:space="preserve">process requires high enough temperatures that result in the release of the CO2. In other</w:t>
      </w:r>
      <w:r>
        <w:t xml:space="preserve"> </w:t>
      </w:r>
      <w:r>
        <w:t xml:space="preserve">cases, where novel recycling processes are applied, the fate of the embedded CO2 will</w:t>
      </w:r>
      <w:r>
        <w:t xml:space="preserve"> </w:t>
      </w:r>
      <w:r>
        <w:t xml:space="preserve">depend on the nature of the product and of the recycling process and it cannot be</w:t>
      </w:r>
      <w:r>
        <w:t xml:space="preserve"> </w:t>
      </w:r>
      <w:r>
        <w:t xml:space="preserve">determined in advance with precision. Products that after the recycling process, due to</w:t>
      </w:r>
      <w:r>
        <w:t xml:space="preserve"> </w:t>
      </w:r>
      <w:r>
        <w:t xml:space="preserve">degradation or contamination, are not recyclable anymore are assumed to be either</w:t>
      </w:r>
      <w:r>
        <w:t xml:space="preserve"> </w:t>
      </w:r>
      <w:r>
        <w:t xml:space="preserve">landfilled or incinerated, and therefore the likely emission fate outlined for those two</w:t>
      </w:r>
      <w:r>
        <w:t xml:space="preserve"> </w:t>
      </w:r>
      <w:r>
        <w:t xml:space="preserve">end-of-life treatments.</w:t>
      </w:r>
      <w:r>
        <w:t xml:space="preserve"> </w:t>
      </w:r>
      <w:r>
        <w:t xml:space="preserve">• There are some CCU applications that, like the direct CO2 utilisation, will result in the</w:t>
      </w:r>
      <w:r>
        <w:t xml:space="preserve"> </w:t>
      </w:r>
      <w:r>
        <w:t xml:space="preserve">re-emission of at least some the embedded CO2 outside of the scope of the EU ETS.</w:t>
      </w:r>
      <w:r>
        <w:t xml:space="preserve"> </w:t>
      </w:r>
      <w:r>
        <w:t xml:space="preserve">This category includes primarily the products such as urea or PCC used as fertilisers or</w:t>
      </w:r>
      <w:r>
        <w:t xml:space="preserve"> </w:t>
      </w:r>
      <w:r>
        <w:t xml:space="preserve">soil additives, where they break down and get dissolved in the water stream or re-</w:t>
      </w:r>
      <w:r>
        <w:t xml:space="preserve"> </w:t>
      </w:r>
      <w:r>
        <w:t xml:space="preserve">emitted in the atmosphere. IPCC guidance on agricultural liming considers in its the</w:t>
      </w:r>
      <w:r>
        <w:t xml:space="preserve"> </w:t>
      </w:r>
      <w:r>
        <w:t xml:space="preserve">default method that all embedded CO2 in fertilisers is released183. However, it does</w:t>
      </w:r>
      <w:r>
        <w:t xml:space="preserve"> </w:t>
      </w:r>
      <w:r>
        <w:t xml:space="preserve">acknowledge a high uncertainty level as high as 50% and the exact rate of re-emission</w:t>
      </w:r>
      <w:r>
        <w:t xml:space="preserve"> </w:t>
      </w:r>
      <w:r>
        <w:t xml:space="preserve">is influenced by local conditions, in particular soil acidity.</w:t>
      </w:r>
      <w:r>
        <w:br/>
      </w:r>
      <w:r>
        <w:t xml:space="preserve">This assessment shows the possible non-permanent CCU product categories that will</w:t>
      </w:r>
      <w:r>
        <w:t xml:space="preserve"> </w:t>
      </w:r>
      <w:r>
        <w:t xml:space="preserve">eventually result in the release of the embedded CO2, where that emission would occur and</w:t>
      </w:r>
      <w:r>
        <w:t xml:space="preserve"> </w:t>
      </w:r>
      <w:r>
        <w:t xml:space="preserve">whether it would fall within or outside of the scope of the EU ETS, assuming also its extension</w:t>
      </w:r>
      <w:r>
        <w:t xml:space="preserve"> </w:t>
      </w:r>
      <w:r>
        <w:t xml:space="preserve">to include waste incineration.</w:t>
      </w:r>
    </w:p>
    <w:p>
      <w:pPr>
        <w:pStyle w:val="BodyText"/>
      </w:pPr>
      <w:r>
        <w:t xml:space="preserve">182 Degradation Rates of Plastics in the Environment, Ali Chamas, Hyunjin Moon, Jiajia Zheng, Yang Qiu,</w:t>
      </w:r>
      <w:r>
        <w:t xml:space="preserve"> </w:t>
      </w:r>
      <w:r>
        <w:t xml:space="preserve">Tarnuma Tabassum, Jun Hee Jang, Mahdi Abu-Omar, Susannah L. Scott, and Sangwon Suh, ACS Sustainable</w:t>
      </w:r>
      <w:r>
        <w:t xml:space="preserve"> </w:t>
      </w:r>
      <w:r>
        <w:t xml:space="preserve">Chemistry &amp; Engineering 2020 8 (9), 3494-3511, DOI: 10.1021/acssuschemeng.9b06635</w:t>
      </w:r>
      <w:r>
        <w:t xml:space="preserve"> </w:t>
      </w:r>
      <w:r>
        <w:t xml:space="preserve">183 IPCC 2006 Guidance, Volume 4, Chapter 11, Section 11.4.1 CHAPTER 11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It is important to note that to date, apart from PCC, urea and some applications making direct</w:t>
      </w:r>
      <w:r>
        <w:t xml:space="preserve"> </w:t>
      </w:r>
      <w:r>
        <w:t xml:space="preserve">use of CO2, CCU technologies are largely at the research or piloting stage. The products</w:t>
      </w:r>
      <w:r>
        <w:t xml:space="preserve"> </w:t>
      </w:r>
      <w:r>
        <w:t xml:space="preserve">researched in this section represent potential or possible products that could be produced via</w:t>
      </w:r>
      <w:r>
        <w:t xml:space="preserve"> </w:t>
      </w:r>
      <w:r>
        <w:t xml:space="preserve">CCU. However, it is not possible to say which of those products will likely be produced at</w:t>
      </w:r>
      <w:r>
        <w:t xml:space="preserve"> </w:t>
      </w:r>
      <w:r>
        <w:t xml:space="preserve">scale, which will depend on specific technological, financial and commercial considerations</w:t>
      </w:r>
      <w:r>
        <w:t xml:space="preserve"> </w:t>
      </w:r>
      <w:r>
        <w:t xml:space="preserve">for each product. Therefore, the risks identified for the CCU products in this section are</w:t>
      </w:r>
      <w:r>
        <w:t xml:space="preserve"> </w:t>
      </w:r>
      <w:r>
        <w:t xml:space="preserve">theoretical, as currently there are no or very few CCU products commercialised.</w:t>
      </w:r>
      <w:r>
        <w:br/>
      </w:r>
      <w:r>
        <w:t xml:space="preserve">2.3. Policy measures</w:t>
      </w:r>
      <w:r>
        <w:t xml:space="preserve"> </w:t>
      </w:r>
      <w:r>
        <w:t xml:space="preserve">2.3.1. Description of the policy measures</w:t>
      </w:r>
      <w:r>
        <w:t xml:space="preserve"> </w:t>
      </w:r>
      <w:r>
        <w:t xml:space="preserve">The following policy measures to be considered for non-permanent CCU in the impact</w:t>
      </w:r>
      <w:r>
        <w:t xml:space="preserve"> </w:t>
      </w:r>
      <w:r>
        <w:t xml:space="preserve">assessment include:</w:t>
      </w:r>
      <w:r>
        <w:t xml:space="preserve"> </w:t>
      </w:r>
      <w:r>
        <w:t xml:space="preserve">CCU0: Represents no change compared to the baseline based on upstream accounting and</w:t>
      </w:r>
      <w:r>
        <w:t xml:space="preserve"> </w:t>
      </w:r>
      <w:r>
        <w:t xml:space="preserve">the current scope of the EU ETS as regards waste incineration.</w:t>
      </w:r>
      <w:r>
        <w:t xml:space="preserve"> </w:t>
      </w:r>
      <w:r>
        <w:t xml:space="preserve">CCU1: Maintain upstream accounting/pricing after integration of waste incineration</w:t>
      </w:r>
      <w:r>
        <w:br/>
      </w:r>
      <w:r>
        <w:t xml:space="preserve">Upstream accounting is the status-quo accounting mechanism of the EU ETS premised upon</w:t>
      </w:r>
      <w:r>
        <w:t xml:space="preserve"> </w:t>
      </w:r>
      <w:r>
        <w:t xml:space="preserve">the “emitter pays” principle, where carbon is accounted for at the point of the initial activity</w:t>
      </w:r>
      <w:r>
        <w:t xml:space="preserve"> </w:t>
      </w:r>
      <w:r>
        <w:t xml:space="preserve">generating emissions. Upstream accounting was the most frequently identified accounting</w:t>
      </w:r>
      <w:r>
        <w:t xml:space="preserve"> </w:t>
      </w:r>
      <w:r>
        <w:t xml:space="preserve">approach (44%) by respondents in the OPC when asked what accounting approach should be</w:t>
      </w:r>
      <w:r>
        <w:t xml:space="preserve"> </w:t>
      </w:r>
      <w:r>
        <w:t xml:space="preserve">applied to non-permanent CCU technologies in the ETS to ensure the integrity and</w:t>
      </w:r>
      <w:r>
        <w:t xml:space="preserve"> </w:t>
      </w:r>
      <w:r>
        <w:t xml:space="preserve">effectiveness of the EU ETS.</w:t>
      </w:r>
      <w:r>
        <w:br/>
      </w:r>
      <w:r>
        <w:t xml:space="preserve">• CCU2: Downstream accounting (final emitter pays), conditional on integration of</w:t>
      </w:r>
      <w:r>
        <w:t xml:space="preserve"> </w:t>
      </w:r>
      <w:r>
        <w:t xml:space="preserve">waste incineration:</w:t>
      </w:r>
      <w:r>
        <w:t xml:space="preserve"> </w:t>
      </w:r>
      <w:r>
        <w:t xml:space="preserve">Downstream accounting moves the point of accounting/pricing downstream to where the</w:t>
      </w:r>
      <w:r>
        <w:t xml:space="preserve"> </w:t>
      </w:r>
      <w:r>
        <w:t xml:space="preserve">emission occurs. The capture operator (e.g. cement plant) is not required to surrender</w:t>
      </w:r>
      <w:r>
        <w:t xml:space="preserve"> </w:t>
      </w:r>
      <w:r>
        <w:t xml:space="preserve">allowances for any CO2 captured, as the final emitter, the user of synthetic fuels or the waste</w:t>
      </w:r>
      <w:r>
        <w:t xml:space="preserve"> </w:t>
      </w:r>
      <w:r>
        <w:t xml:space="preserve">incinerator that incinerates non-permanent CCU products, would have to surrender allowances</w:t>
      </w:r>
      <w:r>
        <w:t xml:space="preserve"> </w:t>
      </w:r>
      <w:r>
        <w:t xml:space="preserve">for these emissions. Downstream accounting, in various forms (with or without a ‘chain of</w:t>
      </w:r>
      <w:r>
        <w:t xml:space="preserve"> </w:t>
      </w:r>
      <w:r>
        <w:t xml:space="preserve">custody’ approach) was the second most frequently identified approach (38%) by respondents</w:t>
      </w:r>
      <w:r>
        <w:t xml:space="preserve"> </w:t>
      </w:r>
      <w:r>
        <w:t xml:space="preserve">in the OPC, mainly from companies and business associations from the manufacturing</w:t>
      </w:r>
      <w:r>
        <w:t xml:space="preserve"> </w:t>
      </w:r>
      <w:r>
        <w:t xml:space="preserve">industry.</w:t>
      </w:r>
      <w:r>
        <w:br/>
      </w:r>
      <w:r>
        <w:t xml:space="preserve">• CCU3: Hybrid downstream &amp; midstream accounting, conditional on integration of</w:t>
      </w:r>
      <w:r>
        <w:t xml:space="preserve"> </w:t>
      </w:r>
      <w:r>
        <w:t xml:space="preserve">waste incineration:</w:t>
      </w:r>
      <w:r>
        <w:br/>
      </w:r>
      <w:r>
        <w:t xml:space="preserve">This approach is a variation to the previous downstream accounting option that seeks to offer</w:t>
      </w:r>
      <w:r>
        <w:t xml:space="preserve"> </w:t>
      </w:r>
      <w:r>
        <w:t xml:space="preserve">an accounting approach that can accommodate the emissions profiles of e-fuels. In this</w:t>
      </w:r>
      <w:r>
        <w:t xml:space="preserve"> </w:t>
      </w:r>
      <w:r>
        <w:t xml:space="preserve">approach, downstream accounting on waste incineration would take place to ensure that the</w:t>
      </w:r>
      <w:r>
        <w:t xml:space="preserve"> </w:t>
      </w:r>
      <w:r>
        <w:t xml:space="preserve">emissions resulting from most non-permanent CCU products that meet their end-of-life</w:t>
      </w:r>
      <w:r>
        <w:t xml:space="preserve"> </w:t>
      </w:r>
      <w:r>
        <w:t xml:space="preserve">downstream are accounted for. Additionally, a zero-rating for qualifying e-fuels would be</w:t>
      </w:r>
      <w:r>
        <w:t xml:space="preserve"> </w:t>
      </w:r>
      <w:r>
        <w:t xml:space="preserve">maintained, and to ensure emissions from e-fuel production are accounted for, the point of</w:t>
      </w:r>
      <w:r>
        <w:t xml:space="preserve"> </w:t>
      </w:r>
      <w:r>
        <w:t xml:space="preserve">accounting/pricing would move midstream and placed on either the producer or distributor of</w:t>
      </w:r>
      <w:r>
        <w:t xml:space="preserve"> </w:t>
      </w:r>
      <w:r>
        <w:t xml:space="preserve">e-fuels. The difference between the two options as the midstream point of accounting is that</w:t>
      </w:r>
      <w:r>
        <w:t xml:space="preserve"> </w:t>
      </w:r>
      <w:r>
        <w:t xml:space="preserve">midstream accounting at the point of production would cover only e-fuels produced in the EU,</w:t>
      </w:r>
      <w:r>
        <w:t xml:space="preserve"> </w:t>
      </w:r>
      <w:r>
        <w:t xml:space="preserve">while midstream accounting at the point of distribution would cover both domestic and</w:t>
      </w:r>
      <w:r>
        <w:t xml:space="preserve"> </w:t>
      </w:r>
      <w:r>
        <w:t xml:space="preserve">imported e-fuels. The producer or distributor of e-fuels would be included in the EU ETS as an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operator and would be required to surrender allowances for the fossil CO2 used in e-fuels,</w:t>
      </w:r>
      <w:r>
        <w:t xml:space="preserve"> </w:t>
      </w:r>
      <w:r>
        <w:t xml:space="preserve">which would enable to continue zero-rating these fuels when used in the ETS.</w:t>
      </w:r>
      <w:r>
        <w:br/>
      </w:r>
      <w:r>
        <w:t xml:space="preserve">2.3.2. Description of discarded measures</w:t>
      </w:r>
      <w:r>
        <w:t xml:space="preserve"> </w:t>
      </w:r>
      <w:r>
        <w:t xml:space="preserve">• Life Cycle Assessment (LCA) based partial non-surrender obligation or carbon</w:t>
      </w:r>
      <w:r>
        <w:t xml:space="preserve"> </w:t>
      </w:r>
      <w:r>
        <w:t xml:space="preserve">tracking:</w:t>
      </w:r>
      <w:r>
        <w:br/>
      </w:r>
      <w:r>
        <w:t xml:space="preserve">LCA approaches fundamentally concern the evaluation of a non-permanent CCU product’s</w:t>
      </w:r>
      <w:r>
        <w:t xml:space="preserve"> </w:t>
      </w:r>
      <w:r>
        <w:t xml:space="preserve">life-cycle emissions through life-cycle analysis. LCA approaches and associated partial</w:t>
      </w:r>
      <w:r>
        <w:t xml:space="preserve"> </w:t>
      </w:r>
      <w:r>
        <w:t xml:space="preserve">surrender obligations could be conceived as a sub-option for both upstream and downstream</w:t>
      </w:r>
      <w:r>
        <w:t xml:space="preserve"> </w:t>
      </w:r>
      <w:r>
        <w:t xml:space="preserve">accounting, where instead of altering the point of an allowance surrender obligation, the extent</w:t>
      </w:r>
      <w:r>
        <w:t xml:space="preserve"> </w:t>
      </w:r>
      <w:r>
        <w:t xml:space="preserve">of the surrender obligation is altered instead with emission factors based on life-cycle</w:t>
      </w:r>
      <w:r>
        <w:t xml:space="preserve"> </w:t>
      </w:r>
      <w:r>
        <w:t xml:space="preserve">assessments that identify the climate benefit of non-permanent CCU products184. In other</w:t>
      </w:r>
      <w:r>
        <w:t xml:space="preserve"> </w:t>
      </w:r>
      <w:r>
        <w:t xml:space="preserve">words, partial emission factors would be applied instead of full pricing or full exemption. A</w:t>
      </w:r>
      <w:r>
        <w:t xml:space="preserve"> </w:t>
      </w:r>
      <w:r>
        <w:t xml:space="preserve">life-cycle assessment approach to non-permanent CCU technologies in the ETS was supported</w:t>
      </w:r>
      <w:r>
        <w:t xml:space="preserve"> </w:t>
      </w:r>
      <w:r>
        <w:t xml:space="preserve">by only a small share of OPC respondents (11%), mainly on the grounds that this would provide</w:t>
      </w:r>
      <w:r>
        <w:t xml:space="preserve"> </w:t>
      </w:r>
      <w:r>
        <w:t xml:space="preserve">for the most accurate accounting method, LCA can represent an “outside of the box” solution</w:t>
      </w:r>
      <w:r>
        <w:t xml:space="preserve"> </w:t>
      </w:r>
      <w:r>
        <w:t xml:space="preserve">for some, moving beyond the upstream-downstream paradigm, forgoing the need to assess as</w:t>
      </w:r>
      <w:r>
        <w:t xml:space="preserve"> </w:t>
      </w:r>
      <w:r>
        <w:t xml:space="preserve">well whether a non-CCU product will be incinerated at its end of life or not. Additionally, LCA</w:t>
      </w:r>
      <w:r>
        <w:t xml:space="preserve"> </w:t>
      </w:r>
      <w:r>
        <w:t xml:space="preserve">measures represent alternatives to the approach of addressing CCU through the avoidance of</w:t>
      </w:r>
      <w:r>
        <w:t xml:space="preserve"> </w:t>
      </w:r>
      <w:r>
        <w:t xml:space="preserve">double counting, particularly in case of a decision not to integrate waste incineration into the</w:t>
      </w:r>
      <w:r>
        <w:t xml:space="preserve"> </w:t>
      </w:r>
      <w:r>
        <w:t xml:space="preserve">EU ETS. More so, LCA approaches may provide incentive for CCU over the use of virgin</w:t>
      </w:r>
      <w:r>
        <w:t xml:space="preserve"> </w:t>
      </w:r>
      <w:r>
        <w:t xml:space="preserve">fossil feedstock if the non-permanent CCU application is recognised to have, and is rewarded</w:t>
      </w:r>
      <w:r>
        <w:t xml:space="preserve"> </w:t>
      </w:r>
      <w:r>
        <w:t xml:space="preserve">for, lower life-cycle emissions. LCAs in principle could be done, requiring clear and favourable</w:t>
      </w:r>
      <w:r>
        <w:t xml:space="preserve"> </w:t>
      </w:r>
      <w:r>
        <w:t xml:space="preserve">rules for carbon footprint accounting to create incentives for CCU-based products.</w:t>
      </w:r>
      <w:r>
        <w:t xml:space="preserve"> </w:t>
      </w:r>
      <w:r>
        <w:t xml:space="preserve">However, there is no consensus on an appropriate methodology for conducting LCA for non-</w:t>
      </w:r>
      <w:r>
        <w:t xml:space="preserve"> </w:t>
      </w:r>
      <w:r>
        <w:t xml:space="preserve">permanent CCU applications185. In essence, the comparison of non-permanent CCU</w:t>
      </w:r>
      <w:r>
        <w:t xml:space="preserve"> </w:t>
      </w:r>
      <w:r>
        <w:t xml:space="preserve">applications with a fossil fuel baseline may sound simple in principle, but in practice, can also</w:t>
      </w:r>
      <w:r>
        <w:t xml:space="preserve"> </w:t>
      </w:r>
      <w:r>
        <w:t xml:space="preserve">involve a range of uncertainties and assumptions, being highly dependent on chosen baseline</w:t>
      </w:r>
      <w:r>
        <w:t xml:space="preserve"> </w:t>
      </w:r>
      <w:r>
        <w:t xml:space="preserve">scenarios and associated assumptions186. More so, it may not even be the case that a non-</w:t>
      </w:r>
      <w:r>
        <w:t xml:space="preserve"> </w:t>
      </w:r>
      <w:r>
        <w:t xml:space="preserve">permanent CCU product displaces a fossil fuel baseline. A wide range of outcomes can be</w:t>
      </w:r>
      <w:r>
        <w:t xml:space="preserve"> </w:t>
      </w:r>
      <w:r>
        <w:t xml:space="preserve">achieved when applying substitution with credits to deal with allocation in LCA approaches.</w:t>
      </w:r>
      <w:r>
        <w:br/>
      </w:r>
      <w:r>
        <w:t xml:space="preserve">Fundamentally, LCA measures would require putting in place a certification infrastructure to</w:t>
      </w:r>
      <w:r>
        <w:t xml:space="preserve"> </w:t>
      </w:r>
      <w:r>
        <w:t xml:space="preserve">be able to make such assessments, which would be complex and create a disproportionate</w:t>
      </w:r>
      <w:r>
        <w:t xml:space="preserve"> </w:t>
      </w:r>
      <w:r>
        <w:t xml:space="preserve">administrative burden for uncertain benefits. The overall lack of consensus on methodological</w:t>
      </w:r>
      <w:r>
        <w:t xml:space="preserve"> </w:t>
      </w:r>
      <w:r>
        <w:t xml:space="preserve">approach inherently raises a degree of uncertainty with regards to exactly how the associated</w:t>
      </w:r>
      <w:r>
        <w:t xml:space="preserve"> </w:t>
      </w:r>
      <w:r>
        <w:t xml:space="preserve">monitoring, reporting, verification and accreditation (MRVA) would function in the first place.</w:t>
      </w:r>
    </w:p>
    <w:p>
      <w:pPr>
        <w:pStyle w:val="BodyText"/>
      </w:pPr>
      <w:r>
        <w:t xml:space="preserve">184 Technopolis (2024, July). Issues and Options for EU Emissions Trading after 2030, Final Task 2 Report –</w:t>
      </w:r>
      <w:r>
        <w:t xml:space="preserve"> </w:t>
      </w:r>
      <w:r>
        <w:t xml:space="preserve">Analysis of issues, policy topics and policy options for the 2030-2040 timeframe (Report No. </w:t>
      </w:r>
      <w:r>
        <w:t xml:space="preserve"> </w:t>
      </w:r>
      <w:r>
        <w:t xml:space="preserve">CLIMA/2022/OP/0012).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Directorate-General</w:t>
      </w:r>
      <w:r>
        <w:t xml:space="preserve"> </w:t>
      </w:r>
      <w:r>
        <w:t xml:space="preserve">for</w:t>
      </w:r>
      <w:r>
        <w:t xml:space="preserve"> </w:t>
      </w:r>
      <w:r>
        <w:t xml:space="preserve">Climate</w:t>
      </w:r>
      <w:r>
        <w:t xml:space="preserve"> </w:t>
      </w:r>
      <w:r>
        <w:t xml:space="preserve">Action.</w:t>
      </w:r>
      <w:r>
        <w:t xml:space="preserve"> </w:t>
      </w:r>
      <w:r>
        <w:t xml:space="preserve">https://www.technopolis-group.com/report/issues-and-options-for-eu-emissions-trading-after-2030/</w:t>
      </w:r>
      <w:r>
        <w:br/>
      </w:r>
      <w:r>
        <w:t xml:space="preserve">185 Technopolis (2024, July). Issues and Options for EU Emissions Trading after 2030, Final Task 2 Report –</w:t>
      </w:r>
      <w:r>
        <w:t xml:space="preserve"> </w:t>
      </w:r>
      <w:r>
        <w:t xml:space="preserve">Analysis of issues, policy topics and policy options for the 2030-2040 timeframe (Report No. </w:t>
      </w:r>
      <w:r>
        <w:t xml:space="preserve"> </w:t>
      </w:r>
      <w:r>
        <w:t xml:space="preserve">CLIMA/2022/OP/0012).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Directorate-General</w:t>
      </w:r>
      <w:r>
        <w:t xml:space="preserve"> </w:t>
      </w:r>
      <w:r>
        <w:t xml:space="preserve">for</w:t>
      </w:r>
      <w:r>
        <w:t xml:space="preserve"> </w:t>
      </w:r>
      <w:r>
        <w:t xml:space="preserve">Climate</w:t>
      </w:r>
      <w:r>
        <w:t xml:space="preserve"> </w:t>
      </w:r>
      <w:r>
        <w:t xml:space="preserve">Action.</w:t>
      </w:r>
      <w:r>
        <w:t xml:space="preserve"> </w:t>
      </w:r>
      <w:r>
        <w:t xml:space="preserve">https://www.technopolis-group.com/report/issues-and-options-for-eu-emissions-trading-after-2030/</w:t>
      </w:r>
      <w:r>
        <w:t xml:space="preserve"> </w:t>
      </w:r>
      <w:r>
        <w:t xml:space="preserve">186 Vermeulen, H., Lockwood, T., &amp; Lawaetz, R. (2025, June). Pricing it right: Accounting for non-permanent</w:t>
      </w:r>
      <w:r>
        <w:t xml:space="preserve"> </w:t>
      </w:r>
      <w:r>
        <w:t xml:space="preserve">CCU</w:t>
      </w:r>
      <w:r>
        <w:t xml:space="preserve"> </w:t>
      </w:r>
      <w:r>
        <w:t xml:space="preserve">while</w:t>
      </w:r>
      <w:r>
        <w:t xml:space="preserve"> </w:t>
      </w:r>
      <w:r>
        <w:t xml:space="preserve">safeguarding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ETS.</w:t>
      </w:r>
      <w:r>
        <w:t xml:space="preserve"> </w:t>
      </w:r>
      <w:r>
        <w:t xml:space="preserve">CONCITO</w:t>
      </w:r>
      <w:r>
        <w:t xml:space="preserve"> </w:t>
      </w:r>
      <w:r>
        <w:t xml:space="preserve">&amp;</w:t>
      </w:r>
      <w:r>
        <w:t xml:space="preserve"> </w:t>
      </w:r>
      <w:r>
        <w:t xml:space="preserve">Clean</w:t>
      </w:r>
      <w:r>
        <w:t xml:space="preserve"> </w:t>
      </w:r>
      <w:r>
        <w:t xml:space="preserve">Air</w:t>
      </w:r>
      <w:r>
        <w:t xml:space="preserve"> </w:t>
      </w:r>
      <w:r>
        <w:t xml:space="preserve">Task</w:t>
      </w:r>
      <w:r>
        <w:t xml:space="preserve"> </w:t>
      </w:r>
      <w:r>
        <w:t xml:space="preserve">Force.</w:t>
      </w:r>
      <w:r>
        <w:t xml:space="preserve"> </w:t>
      </w:r>
      <w:r>
        <w:t xml:space="preserve">https://concito.dk/files/media/document/Pricing%20it%20right.pdf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Furthermore, LCA approaches are generally not compatible with the existing ETS MRVA</w:t>
      </w:r>
      <w:r>
        <w:t xml:space="preserve"> </w:t>
      </w:r>
      <w:r>
        <w:t xml:space="preserve">framework, which was not designed to incorporate life-cycle assessments. Introducing LCA</w:t>
      </w:r>
      <w:r>
        <w:t xml:space="preserve"> </w:t>
      </w:r>
      <w:r>
        <w:t xml:space="preserve">based approaches for CCU would introduce an unlevel playing field for CCS, which is based</w:t>
      </w:r>
      <w:r>
        <w:t xml:space="preserve"> </w:t>
      </w:r>
      <w:r>
        <w:t xml:space="preserve">on incorporating the entire CCS chain in the scope of the ETS Directive (capture, transport and</w:t>
      </w:r>
      <w:r>
        <w:t xml:space="preserve"> </w:t>
      </w:r>
      <w:r>
        <w:t xml:space="preserve">storage) and monitoring and reporting any emissions associated with each step.</w:t>
      </w:r>
      <w:r>
        <w:br/>
      </w:r>
      <w:r>
        <w:t xml:space="preserve">In the context of CCU fuels, a “strict LCA approach is not seen as implementable for the ETS</w:t>
      </w:r>
      <w:r>
        <w:t xml:space="preserve"> </w:t>
      </w:r>
      <w:r>
        <w:t xml:space="preserve">MRVA” according to FuelsEurope. For the chemical sector as well, there can be a wide range</w:t>
      </w:r>
      <w:r>
        <w:t xml:space="preserve"> </w:t>
      </w:r>
      <w:r>
        <w:t xml:space="preserve">of LCA approaches that can lead to different results, and no clear way to harmonise LCAs for</w:t>
      </w:r>
      <w:r>
        <w:t xml:space="preserve"> </w:t>
      </w:r>
      <w:r>
        <w:t xml:space="preserve">different chemicals and their products in what is inherently a complex industry. Practically, the</w:t>
      </w:r>
      <w:r>
        <w:t xml:space="preserve"> </w:t>
      </w:r>
      <w:r>
        <w:t xml:space="preserve">tracking of the carbon molecules across the value may be unfeasible. Chemicals could be</w:t>
      </w:r>
      <w:r>
        <w:t xml:space="preserve"> </w:t>
      </w:r>
      <w:r>
        <w:t xml:space="preserve">processed through many different stages and intermediaries and used as a feedstock for various</w:t>
      </w:r>
      <w:r>
        <w:t xml:space="preserve"> </w:t>
      </w:r>
      <w:r>
        <w:t xml:space="preserve">end-use products. In practice, both upstream and downstream actors would have difficulties in</w:t>
      </w:r>
      <w:r>
        <w:t xml:space="preserve"> </w:t>
      </w:r>
      <w:r>
        <w:t xml:space="preserve">compiling LCAs for their products due to uncertainties of the value chains.</w:t>
      </w:r>
      <w:r>
        <w:br/>
      </w:r>
      <w:r>
        <w:t xml:space="preserve">Even though LCA has been standardised by the European Committee for Standardisation in</w:t>
      </w:r>
      <w:r>
        <w:t xml:space="preserve"> </w:t>
      </w:r>
      <w:r>
        <w:t xml:space="preserve">ISO 14040/14044, the standard does not prescribe the exact methodological choices to be made</w:t>
      </w:r>
      <w:r>
        <w:t xml:space="preserve"> </w:t>
      </w:r>
      <w:r>
        <w:t xml:space="preserve">regarding factors such as: selection of the functional unit, system boundaries (i.e., different</w:t>
      </w:r>
      <w:r>
        <w:t xml:space="preserve"> </w:t>
      </w:r>
      <w:r>
        <w:t xml:space="preserve">“cradles” in a “cradle-to-gate” system), background processes, or environmental impact</w:t>
      </w:r>
      <w:r>
        <w:t xml:space="preserve"> </w:t>
      </w:r>
      <w:r>
        <w:t xml:space="preserve">assessment methods. The lack of consensus on LCA for non-permanent CCU applications</w:t>
      </w:r>
      <w:r>
        <w:t xml:space="preserve"> </w:t>
      </w:r>
      <w:r>
        <w:t xml:space="preserve">could also lead to sub-optimal decisions187. As discussed above, with LCA approaches there is</w:t>
      </w:r>
      <w:r>
        <w:t xml:space="preserve"> </w:t>
      </w:r>
      <w:r>
        <w:t xml:space="preserve">an inherent trade-off between the accuracy of an LCA approach versus the costs and</w:t>
      </w:r>
      <w:r>
        <w:t xml:space="preserve"> </w:t>
      </w:r>
      <w:r>
        <w:t xml:space="preserve">administrative burdens of the associated MRV; the greater the accuracy the more costly the</w:t>
      </w:r>
      <w:r>
        <w:t xml:space="preserve"> </w:t>
      </w:r>
      <w:r>
        <w:t xml:space="preserve">MRV system. Every LCA approach heavily depends on adequate data, the provision of which</w:t>
      </w:r>
      <w:r>
        <w:t xml:space="preserve"> </w:t>
      </w:r>
      <w:r>
        <w:t xml:space="preserve">from stakeholders can incur additional costs.</w:t>
      </w:r>
      <w:r>
        <w:t xml:space="preserve"> </w:t>
      </w:r>
      <w:r>
        <w:t xml:space="preserve">Finally, the established approach of the EU ETS is based on Scope 1 direct emissions.</w:t>
      </w:r>
      <w:r>
        <w:t xml:space="preserve"> </w:t>
      </w:r>
      <w:r>
        <w:t xml:space="preserve">Integrating an LCA approach that revolves around Scope 3 logic would increase the risk of</w:t>
      </w:r>
      <w:r>
        <w:t xml:space="preserve"> </w:t>
      </w:r>
      <w:r>
        <w:t xml:space="preserve">double counting. Under the downstream accounting scenario, if again there is no</w:t>
      </w:r>
      <w:r>
        <w:t xml:space="preserve"> </w:t>
      </w:r>
      <w:r>
        <w:t xml:space="preserve">comprehensive coverage of all end-of-life pathways for non-permanent CCU, then the same</w:t>
      </w:r>
      <w:r>
        <w:t xml:space="preserve"> </w:t>
      </w:r>
      <w:r>
        <w:t xml:space="preserve">concerns about loopholes can arise again. More so, LCA has also been criticised for not being</w:t>
      </w:r>
      <w:r>
        <w:t xml:space="preserve"> </w:t>
      </w:r>
      <w:r>
        <w:t xml:space="preserve">able to account for emission timing, i.e. the time interval between the capture of CO2 and its</w:t>
      </w:r>
      <w:r>
        <w:t xml:space="preserve"> </w:t>
      </w:r>
      <w:r>
        <w:t xml:space="preserve">subsequent emission188. To this end, some stakeholders have suggested adding “timeframes”,</w:t>
      </w:r>
      <w:r>
        <w:t xml:space="preserve"> </w:t>
      </w:r>
      <w:r>
        <w:t xml:space="preserve">where different blocks of time are used to denote the emissions from different components</w:t>
      </w:r>
      <w:r>
        <w:t xml:space="preserve"> </w:t>
      </w:r>
      <w:r>
        <w:t xml:space="preserve">(Cembureau, stakeholder interview, July 28, 2025), although how exactly this would work was</w:t>
      </w:r>
      <w:r>
        <w:t xml:space="preserve"> </w:t>
      </w:r>
      <w:r>
        <w:t xml:space="preserve">not detailed.</w:t>
      </w:r>
      <w:r>
        <w:t xml:space="preserve"> </w:t>
      </w:r>
      <w:r>
        <w:t xml:space="preserve">Given the limited feasibility and technical complexity, specifically the lack of consensus on</w:t>
      </w:r>
      <w:r>
        <w:t xml:space="preserve"> </w:t>
      </w:r>
      <w:r>
        <w:t xml:space="preserve">methodological approach for applying an LCA to non-permanent CCU activities, the lack of</w:t>
      </w:r>
      <w:r>
        <w:t xml:space="preserve"> </w:t>
      </w:r>
      <w:r>
        <w:t xml:space="preserve">certification structure and ease of integrating an LCA approach in the existing EU ETS MRVA</w:t>
      </w:r>
      <w:r>
        <w:t xml:space="preserve"> </w:t>
      </w:r>
      <w:r>
        <w:t xml:space="preserve">framework, this measure is not assessed in detail as a policy measure in the impact assessment.</w:t>
      </w:r>
      <w:r>
        <w:t xml:space="preserve"> </w:t>
      </w:r>
      <w:r>
        <w:t xml:space="preserve">2.4. Assessment of the measures</w:t>
      </w:r>
      <w:r>
        <w:t xml:space="preserve"> </w:t>
      </w:r>
      <w:r>
        <w:t xml:space="preserve">This section assesses each of the three policy measures proposed for accounting non-permanent</w:t>
      </w:r>
      <w:r>
        <w:t xml:space="preserve"> </w:t>
      </w:r>
      <w:r>
        <w:t xml:space="preserve">CCU in the ETS, as outlined in the previous section. These alternatives are considered</w:t>
      </w:r>
    </w:p>
    <w:p>
      <w:pPr>
        <w:pStyle w:val="BodyText"/>
      </w:pPr>
      <w:r>
        <w:t xml:space="preserve">187 Müller, L. J., Kätelhön, A., Bachmann, M., Zimmermann, A., Sternberg, A., &amp; Bardow, A. (2020). A guideline</w:t>
      </w:r>
      <w:r>
        <w:t xml:space="preserve"> </w:t>
      </w:r>
      <w:r>
        <w:t xml:space="preserve">for life cycle assessment of carbon capture and utilization. Frontiers in Energy Research, 8, 15.</w:t>
      </w:r>
      <w:r>
        <w:t xml:space="preserve"> </w:t>
      </w:r>
      <w:r>
        <w:t xml:space="preserve">https://doi.org/10.3389/fenrg.2020.00015</w:t>
      </w:r>
      <w:r>
        <w:br/>
      </w:r>
      <w:r>
        <w:t xml:space="preserve">188 Cabrera, G., Dickson, A., Nimubona, A.-D., &amp; Quigley, J. (2022). Carbon capture, utilisation and storage:</w:t>
      </w:r>
      <w:r>
        <w:t xml:space="preserve"> </w:t>
      </w:r>
      <w:r>
        <w:t xml:space="preserve">Incentives, effects and policy. International Journal of Greenhouse Gas Control, 117, 103756.</w:t>
      </w:r>
      <w:r>
        <w:t xml:space="preserve"> </w:t>
      </w:r>
      <w:r>
        <w:t xml:space="preserve">https://doi.org/10.1016/j.ijggc.2022.103756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regarding their economic, social and environmental impacts, drawing on the findings of the</w:t>
      </w:r>
      <w:r>
        <w:t xml:space="preserve"> </w:t>
      </w:r>
      <w:r>
        <w:t xml:space="preserve">scoping exercises and stakeholder feedback.</w:t>
      </w:r>
      <w:r>
        <w:br/>
      </w:r>
      <w:r>
        <w:t xml:space="preserve">2.4.1. Quantitative assessment</w:t>
      </w:r>
      <w:r>
        <w:t xml:space="preserve"> </w:t>
      </w:r>
      <w:r>
        <w:t xml:space="preserve">The modelling foresees that all industrial and power installations pay ETS price, disregarding</w:t>
      </w:r>
      <w:r>
        <w:t xml:space="preserve"> </w:t>
      </w:r>
      <w:r>
        <w:t xml:space="preserve">whether emissions are captured and used for CCU later, that is equivalent to the upstream</w:t>
      </w:r>
      <w:r>
        <w:t xml:space="preserve"> </w:t>
      </w:r>
      <w:r>
        <w:t xml:space="preserve">accounting. The options included in the assessment are:</w:t>
      </w:r>
      <w:r>
        <w:t xml:space="preserve"> </w:t>
      </w:r>
      <w:r>
        <w:t xml:space="preserve">(i)</w:t>
      </w:r>
      <w:r>
        <w:t xml:space="preserve"> </w:t>
      </w:r>
      <w:r>
        <w:t xml:space="preserve">The current CCU (CCU0) accounting in EU ETS follows the rule: the EU ETS</w:t>
      </w:r>
      <w:r>
        <w:t xml:space="preserve"> </w:t>
      </w:r>
      <w:r>
        <w:t xml:space="preserve">installation capturing the CO2 is required to surrender an allowance if the captured</w:t>
      </w:r>
      <w:r>
        <w:t xml:space="preserve"> </w:t>
      </w:r>
      <w:r>
        <w:t xml:space="preserve">carbon is subsequently used to produce RFNBOs or other CCU in non-permanent</w:t>
      </w:r>
      <w:r>
        <w:t xml:space="preserve"> </w:t>
      </w:r>
      <w:r>
        <w:t xml:space="preserve">goods. This is equivalent to the upstream accounting.</w:t>
      </w:r>
      <w:r>
        <w:br/>
      </w:r>
      <w:r>
        <w:t xml:space="preserve">(ii)</w:t>
      </w:r>
      <w:r>
        <w:t xml:space="preserve"> </w:t>
      </w:r>
      <w:r>
        <w:t xml:space="preserve">Midstream accounting (CCU3): The point of accounting/pricing is moved mid-</w:t>
      </w:r>
      <w:r>
        <w:t xml:space="preserve"> </w:t>
      </w:r>
      <w:r>
        <w:t xml:space="preserve">stream. In the context production or distribution of e-fuels, this captures</w:t>
      </w:r>
      <w:r>
        <w:t xml:space="preserve"> </w:t>
      </w:r>
      <w:r>
        <w:t xml:space="preserve">producers/distributors of e-fuels. They will be required to surrender allowances for</w:t>
      </w:r>
      <w:r>
        <w:t xml:space="preserve"> </w:t>
      </w:r>
      <w:r>
        <w:t xml:space="preserve">the fossil CO2 used in e-fuels.</w:t>
      </w:r>
      <w:r>
        <w:t xml:space="preserve"> </w:t>
      </w:r>
      <w:r>
        <w:t xml:space="preserve">The scope of CCU analysis in the current assessment is focused on two categories:</w:t>
      </w:r>
      <w:r>
        <w:br/>
      </w:r>
      <w:r>
        <w:t xml:space="preserve">(i)</w:t>
      </w:r>
      <w:r>
        <w:t xml:space="preserve"> </w:t>
      </w:r>
      <w:r>
        <w:t xml:space="preserve">on CCU in non-permanent materials + waste incineration</w:t>
      </w:r>
      <w:r>
        <w:t xml:space="preserve"> </w:t>
      </w:r>
      <w:r>
        <w:t xml:space="preserve">(ii)</w:t>
      </w:r>
      <w:r>
        <w:t xml:space="preserve"> </w:t>
      </w:r>
      <w:r>
        <w:t xml:space="preserve">on CCU for synthetic fuels production</w:t>
      </w:r>
      <w:r>
        <w:t xml:space="preserve"> </w:t>
      </w:r>
      <w:r>
        <w:t xml:space="preserve">The implementation of CCU in non-permanent materials proved challenging due to the limited</w:t>
      </w:r>
      <w:r>
        <w:t xml:space="preserve"> </w:t>
      </w:r>
      <w:r>
        <w:t xml:space="preserve">availability of detailed statistics on the end-of-life treatment of products in Eurostat balances,</w:t>
      </w:r>
      <w:r>
        <w:t xml:space="preserve"> </w:t>
      </w:r>
      <w:r>
        <w:t xml:space="preserve">as well as the scarcity of product-specific data on the potential share of recycled CO₂ content.</w:t>
      </w:r>
      <w:r>
        <w:t xml:space="preserve"> </w:t>
      </w:r>
      <w:r>
        <w:t xml:space="preserve">Furthermore, the analysis was constrained by the lack of national-level data from ETS</w:t>
      </w:r>
      <w:r>
        <w:t xml:space="preserve"> </w:t>
      </w:r>
      <w:r>
        <w:t xml:space="preserve">installations in the waste incineration sector. In agreement with the client, this route was</w:t>
      </w:r>
      <w:r>
        <w:t xml:space="preserve"> </w:t>
      </w:r>
      <w:r>
        <w:t xml:space="preserve">therefore excluded from the assessment.</w:t>
      </w:r>
      <w:r>
        <w:t xml:space="preserve"> </w:t>
      </w:r>
      <w:r>
        <w:t xml:space="preserve">The EU ETS impact assessment scenarios align with the regulatory requirements for renewable</w:t>
      </w:r>
      <w:r>
        <w:t xml:space="preserve"> </w:t>
      </w:r>
      <w:r>
        <w:t xml:space="preserve">fuels of non-biological origin (RFNBOs) and recycled carbon fuels189, which determine the</w:t>
      </w:r>
      <w:r>
        <w:t xml:space="preserve"> </w:t>
      </w:r>
      <w:r>
        <w:t xml:space="preserve">eligible sources of carbon feedstock for synthetic fuel production. In line with the Delegated</w:t>
      </w:r>
      <w:r>
        <w:t xml:space="preserve"> </w:t>
      </w:r>
      <w:r>
        <w:t xml:space="preserve">Act190, and Directive (EU) 2018/2001191, recycled carbon fuels must achieve at least 70%</w:t>
      </w:r>
      <w:r>
        <w:t xml:space="preserve"> </w:t>
      </w:r>
      <w:r>
        <w:t xml:space="preserve">greenhouse gas savings and use fully renewable electricity.</w:t>
      </w:r>
      <w:r>
        <w:t xml:space="preserve"> </w:t>
      </w:r>
      <w:r>
        <w:t xml:space="preserve">To reflect these provisions, the analysis assumes that CO₂ from electricity generation can be</w:t>
      </w:r>
      <w:r>
        <w:t xml:space="preserve"> </w:t>
      </w:r>
      <w:r>
        <w:t xml:space="preserve">used only until 2035, and CO₂ from industrial processes only until 2040. Over time, the supply</w:t>
      </w:r>
      <w:r>
        <w:t xml:space="preserve"> </w:t>
      </w:r>
      <w:r>
        <w:t xml:space="preserve">of capturable fossil CO₂ is expected to decline, with eligible sources increasingly limited to</w:t>
      </w:r>
      <w:r>
        <w:t xml:space="preserve"> </w:t>
      </w:r>
      <w:r>
        <w:t xml:space="preserve">residual emissions from hard-to-abate sectors. Consequently, the model does not invest in</w:t>
      </w:r>
      <w:r>
        <w:t xml:space="preserve"> </w:t>
      </w:r>
      <w:r>
        <w:t xml:space="preserve">infrastructure for fossil CO₂ use but instead prioritises CO₂ captured from biomass processing,</w:t>
      </w:r>
      <w:r>
        <w:t xml:space="preserve"> </w:t>
      </w:r>
      <w:r>
        <w:t xml:space="preserve">particularly from biofuel production, refer to Figure 12.</w:t>
      </w:r>
    </w:p>
    <w:p>
      <w:pPr>
        <w:pStyle w:val="BodyText"/>
      </w:pPr>
      <w:r>
        <w:t xml:space="preserve">189 The term is used in the Commission Delegated Regulation (EU) 2023/1185 to describe synthetic fuels</w:t>
      </w:r>
      <w:r>
        <w:t xml:space="preserve"> </w:t>
      </w:r>
      <w:r>
        <w:t xml:space="preserve">produced with the fossil captured carbon feedstock.</w:t>
      </w:r>
      <w:r>
        <w:t xml:space="preserve"> </w:t>
      </w:r>
      <w:r>
        <w:t xml:space="preserve">190 Commission Delegated Regulation (EU) 2023/1185</w:t>
      </w:r>
      <w:r>
        <w:t xml:space="preserve"> </w:t>
      </w:r>
      <w:r>
        <w:t xml:space="preserve">191 In RED III Directive (EU) 2023/2413, the Article 27 is revised and requirement to the electricity used</w:t>
      </w:r>
      <w:r>
        <w:t xml:space="preserve"> </w:t>
      </w:r>
      <w:r>
        <w:t xml:space="preserve">production of renewable fuels of non-biological origin are provided in the paragraph 6.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Figure 12: CO2 flows in PO2 scenario for 2040</w:t>
      </w:r>
    </w:p>
    <w:p>
      <w:pPr>
        <w:pStyle w:val="BodyText"/>
      </w:pPr>
      <w:r>
        <w:t xml:space="preserve">Source: PRIMES</w:t>
      </w:r>
      <w:r>
        <w:t xml:space="preserve"> </w:t>
      </w:r>
      <w:r>
        <w:t xml:space="preserve">Additionally, a recent JRC study192 computed the technical feasibility of capturing CO2 in the</w:t>
      </w:r>
      <w:r>
        <w:t xml:space="preserve"> </w:t>
      </w:r>
      <w:r>
        <w:t xml:space="preserve">EU industrial sectors, suggesting that a total of 210-290 Mtpa are available for capture in the</w:t>
      </w:r>
      <w:r>
        <w:t xml:space="preserve"> </w:t>
      </w:r>
      <w:r>
        <w:t xml:space="preserve">iron and steel, cement and petrochemicals sectors together depending on the capture technology</w:t>
      </w:r>
      <w:r>
        <w:t xml:space="preserve"> </w:t>
      </w:r>
      <w:r>
        <w:t xml:space="preserve">deployed, while in waste-to-energy plants the capturable amount would lie between 60 and 120</w:t>
      </w:r>
      <w:r>
        <w:t xml:space="preserve"> </w:t>
      </w:r>
      <w:r>
        <w:t xml:space="preserve">Mtpa.</w:t>
      </w:r>
      <w:r>
        <w:br/>
      </w:r>
      <w:r>
        <w:t xml:space="preserve">2.4.2. Environmental impacts</w:t>
      </w:r>
      <w:r>
        <w:t xml:space="preserve"> </w:t>
      </w:r>
      <w:r>
        <w:t xml:space="preserve">The creation of a non-permanent CCU product prevents the immediate release of CO2 into the</w:t>
      </w:r>
      <w:r>
        <w:t xml:space="preserve"> </w:t>
      </w:r>
      <w:r>
        <w:t xml:space="preserve">atmosphere but results only in a delay of days to years when that emission is eventually released</w:t>
      </w:r>
      <w:r>
        <w:t xml:space="preserve"> </w:t>
      </w:r>
      <w:r>
        <w:t xml:space="preserve">into the atmosphere, compared to permanent storage which stores the CO2 for hundreds to</w:t>
      </w:r>
      <w:r>
        <w:t xml:space="preserve"> </w:t>
      </w:r>
      <w:r>
        <w:t xml:space="preserve">thousands of years.</w:t>
      </w:r>
      <w:r>
        <w:br/>
      </w:r>
      <w:r>
        <w:t xml:space="preserve">The EU ETS is fundamentally an emission accounting system that monitors and reports as</w:t>
      </w:r>
      <w:r>
        <w:t xml:space="preserve"> </w:t>
      </w:r>
      <w:r>
        <w:t xml:space="preserve">accurately as possible the emissions resulting from the activities within its scope, which then</w:t>
      </w:r>
      <w:r>
        <w:t xml:space="preserve"> </w:t>
      </w:r>
      <w:r>
        <w:t xml:space="preserve">leads to a corresponding compliance obligation for the respective ETS regulated entities.</w:t>
      </w:r>
      <w:r>
        <w:t xml:space="preserve"> </w:t>
      </w:r>
      <w:r>
        <w:t xml:space="preserve">Therefore, the accurate accounting of emissions is essential for the EU ETS meeting its</w:t>
      </w:r>
      <w:r>
        <w:t xml:space="preserve"> </w:t>
      </w:r>
      <w:r>
        <w:t xml:space="preserve">objectives.</w:t>
      </w:r>
      <w:r>
        <w:br/>
      </w:r>
      <w:r>
        <w:t xml:space="preserve">Non-permanent CCU poses an accounting challenge for the EU ETS, as captured emissions by</w:t>
      </w:r>
      <w:r>
        <w:t xml:space="preserve"> </w:t>
      </w:r>
      <w:r>
        <w:t xml:space="preserve">an ETS installation and used for non-permanent CCU products will eventually be released in</w:t>
      </w:r>
      <w:r>
        <w:t xml:space="preserve"> </w:t>
      </w:r>
      <w:r>
        <w:t xml:space="preserve">the atmosphere at a relatively short period of time somewhere down the value chain. As these</w:t>
      </w:r>
    </w:p>
    <w:p>
      <w:pPr>
        <w:pStyle w:val="BodyText"/>
      </w:pPr>
      <w:r>
        <w:t xml:space="preserve">192 Bottom-up modelling of CO2 availability and capture feasibility in EU industrial facilities – JRC145042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delayed emissions are still relevant on climate change timescales, they cannot be treated the</w:t>
      </w:r>
      <w:r>
        <w:t xml:space="preserve"> </w:t>
      </w:r>
      <w:r>
        <w:t xml:space="preserve">same as emissions that are permanently stored and will need to be reported as emitted sooner</w:t>
      </w:r>
      <w:r>
        <w:t xml:space="preserve"> </w:t>
      </w:r>
      <w:r>
        <w:t xml:space="preserve">or later.</w:t>
      </w:r>
      <w:r>
        <w:br/>
      </w:r>
      <w:r>
        <w:t xml:space="preserve">Therefore, the effective accounting of emissions is the principal criterion to determine the</w:t>
      </w:r>
      <w:r>
        <w:t xml:space="preserve"> </w:t>
      </w:r>
      <w:r>
        <w:t xml:space="preserve">environmental impacts of recognising non-permanent CCU in the EU ETS. Effective</w:t>
      </w:r>
      <w:r>
        <w:t xml:space="preserve"> </w:t>
      </w:r>
      <w:r>
        <w:t xml:space="preserve">accounting means that emissions should be counted at least once (no undercounting), but also</w:t>
      </w:r>
      <w:r>
        <w:t xml:space="preserve"> </w:t>
      </w:r>
      <w:r>
        <w:t xml:space="preserve">no more than once (no double counting). Effective accounting also ensures accurate pricing of</w:t>
      </w:r>
      <w:r>
        <w:t xml:space="preserve"> </w:t>
      </w:r>
      <w:r>
        <w:t xml:space="preserve">emissions, which is essential for the EU ETS achieving its objectives.</w:t>
      </w:r>
      <w:r>
        <w:br/>
      </w:r>
      <w:r>
        <w:t xml:space="preserve">It is important to also note that non-permanent CCU products enables the substitution of fossil</w:t>
      </w:r>
      <w:r>
        <w:t xml:space="preserve"> </w:t>
      </w:r>
      <w:r>
        <w:t xml:space="preserve">carbon in sectors that require a carbon feedstock, supporting the reduction of scope 3 emissions</w:t>
      </w:r>
      <w:r>
        <w:t xml:space="preserve"> </w:t>
      </w:r>
      <w:r>
        <w:t xml:space="preserve">for the chemical industry. However, CCU applications are very energy intensive and they</w:t>
      </w:r>
      <w:r>
        <w:t xml:space="preserve"> </w:t>
      </w:r>
      <w:r>
        <w:t xml:space="preserve">provide LCA GHG emissions reduction only if the energy used for the capture of the CO2</w:t>
      </w:r>
      <w:r>
        <w:t xml:space="preserve"> </w:t>
      </w:r>
      <w:r>
        <w:t xml:space="preserve">comes from renewable sources and the utilisation process is done with green H2The ETS is</w:t>
      </w:r>
      <w:r>
        <w:t xml:space="preserve"> </w:t>
      </w:r>
      <w:r>
        <w:t xml:space="preserve">feedstock agnostic and does not provide any restrictions on the type of energy used for a</w:t>
      </w:r>
      <w:r>
        <w:t xml:space="preserve"> </w:t>
      </w:r>
      <w:r>
        <w:t xml:space="preserve">particular process, but it requires that all emissions associated with the production process are</w:t>
      </w:r>
      <w:r>
        <w:t xml:space="preserve"> </w:t>
      </w:r>
      <w:r>
        <w:t xml:space="preserve">monitored, reported and surrender the corresponding number of allowances. This ensures that</w:t>
      </w:r>
      <w:r>
        <w:t xml:space="preserve"> </w:t>
      </w:r>
      <w:r>
        <w:t xml:space="preserve">although no specific renewable energy requirements are set, any development of CCU</w:t>
      </w:r>
      <w:r>
        <w:t xml:space="preserve"> </w:t>
      </w:r>
      <w:r>
        <w:t xml:space="preserve">applications will be done within the constraints set by the ETS cap and the carbon price signal,</w:t>
      </w:r>
      <w:r>
        <w:t xml:space="preserve"> </w:t>
      </w:r>
      <w:r>
        <w:t xml:space="preserve">prompting ETS installations to make use of CCU applications only when it results in overall</w:t>
      </w:r>
      <w:r>
        <w:t xml:space="preserve"> </w:t>
      </w:r>
      <w:r>
        <w:t xml:space="preserve">emissions reductions. Some academic stakeholders emphasized the importance of ensuring</w:t>
      </w:r>
      <w:r>
        <w:t xml:space="preserve"> </w:t>
      </w:r>
      <w:r>
        <w:t xml:space="preserve">permanence if surrender obligations are adjusted to accommodate for non-permanent CCU,</w:t>
      </w:r>
      <w:r>
        <w:t xml:space="preserve"> </w:t>
      </w:r>
      <w:r>
        <w:t xml:space="preserve">emphasizing the risk of mitigation deterrence and noting that potential changes to the ETS</w:t>
      </w:r>
      <w:r>
        <w:t xml:space="preserve"> </w:t>
      </w:r>
      <w:r>
        <w:t xml:space="preserve">accounting framework should be carefully weighed against the avoid adverse effects on the</w:t>
      </w:r>
      <w:r>
        <w:t xml:space="preserve"> </w:t>
      </w:r>
      <w:r>
        <w:t xml:space="preserve">environmental integrity of the current ETS￼. Comparatively, business associations and</w:t>
      </w:r>
      <w:r>
        <w:t xml:space="preserve"> </w:t>
      </w:r>
      <w:r>
        <w:t xml:space="preserve">individual businesses emphasized the importance of recognizing the role that non-permanent</w:t>
      </w:r>
      <w:r>
        <w:t xml:space="preserve"> </w:t>
      </w:r>
      <w:r>
        <w:t xml:space="preserve">CCU plays in the EU’s climate-neutrality pathway, particularly to address residual emissions.</w:t>
      </w:r>
      <w:r>
        <w:br/>
      </w:r>
      <w:r>
        <w:t xml:space="preserve">2.4.2.1.</w:t>
      </w:r>
      <w:r>
        <w:t xml:space="preserve"> </w:t>
      </w:r>
      <w:r>
        <w:t xml:space="preserve">CCU1 – ‘Upstream accounting’:</w:t>
      </w:r>
      <w:r>
        <w:t xml:space="preserve"> </w:t>
      </w:r>
      <w:r>
        <w:t xml:space="preserve">Upstream accounting provides the highest assurance in terms of integrity of the ETS system,</w:t>
      </w:r>
      <w:r>
        <w:t xml:space="preserve"> </w:t>
      </w:r>
      <w:r>
        <w:t xml:space="preserve">as all captured emissions are considered as emitted unless proven that they are stored</w:t>
      </w:r>
      <w:r>
        <w:t xml:space="preserve"> </w:t>
      </w:r>
      <w:r>
        <w:t xml:space="preserve">permanently. It is virtually guaranteed that all captured emissions resulting from ETS activities</w:t>
      </w:r>
      <w:r>
        <w:t xml:space="preserve"> </w:t>
      </w:r>
      <w:r>
        <w:t xml:space="preserve">would be accounted for at least once, e.g. by the operator of a cement plant with a carbon</w:t>
      </w:r>
      <w:r>
        <w:t xml:space="preserve"> </w:t>
      </w:r>
      <w:r>
        <w:t xml:space="preserve">capture facility, but possibly also by the waste incinerator (if any). Therefore, under the</w:t>
      </w:r>
      <w:r>
        <w:t xml:space="preserve"> </w:t>
      </w:r>
      <w:r>
        <w:t xml:space="preserve">upstream accounting there is no risk of undercounting of emissions. This was also</w:t>
      </w:r>
      <w:r>
        <w:t xml:space="preserve"> </w:t>
      </w:r>
      <w:r>
        <w:t xml:space="preserve">corroborated by OPC responses, with one of the main justifications for those supporting</w:t>
      </w:r>
      <w:r>
        <w:t xml:space="preserve"> </w:t>
      </w:r>
      <w:r>
        <w:t xml:space="preserve">upstream accounting being the high environmental integrity by providing for a full coverage</w:t>
      </w:r>
      <w:r>
        <w:t xml:space="preserve"> </w:t>
      </w:r>
      <w:r>
        <w:t xml:space="preserve">of emissions without risk of undercounting.</w:t>
      </w:r>
      <w:r>
        <w:br/>
      </w:r>
      <w:r>
        <w:t xml:space="preserve">The upstream accounting is the approach that is currently in force in the EU ETS. It was</w:t>
      </w:r>
      <w:r>
        <w:t xml:space="preserve"> </w:t>
      </w:r>
      <w:r>
        <w:t xml:space="preserve">included to avoid emission leakage out of the ETS when carbon is transferred to non-ETS</w:t>
      </w:r>
      <w:r>
        <w:t xml:space="preserve"> </w:t>
      </w:r>
      <w:r>
        <w:t xml:space="preserve">installations193, as a significant share of potential downstream emissions would occur outside</w:t>
      </w:r>
      <w:r>
        <w:t xml:space="preserve"> </w:t>
      </w:r>
      <w:r>
        <w:t xml:space="preserve">the scope of the EU ETS. Therefore, without an upstream accounting system, these emissions</w:t>
      </w:r>
      <w:r>
        <w:t xml:space="preserve"> </w:t>
      </w:r>
      <w:r>
        <w:t xml:space="preserve">resulting from ETS activities would bypass the ETS carbon price.</w:t>
      </w:r>
    </w:p>
    <w:p>
      <w:pPr>
        <w:pStyle w:val="BodyText"/>
      </w:pPr>
      <w:r>
        <w:t xml:space="preserve">193 Vermeulen, H., Lockwood, T., &amp; Lawaetz, R. (2025, June). Pricing it right: Accounting for non-permanent</w:t>
      </w:r>
      <w:r>
        <w:t xml:space="preserve"> </w:t>
      </w:r>
      <w:r>
        <w:t xml:space="preserve">CCU</w:t>
      </w:r>
      <w:r>
        <w:t xml:space="preserve"> </w:t>
      </w:r>
      <w:r>
        <w:t xml:space="preserve">while</w:t>
      </w:r>
      <w:r>
        <w:t xml:space="preserve"> </w:t>
      </w:r>
      <w:r>
        <w:t xml:space="preserve">safeguarding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ETS.</w:t>
      </w:r>
      <w:r>
        <w:t xml:space="preserve"> </w:t>
      </w:r>
      <w:r>
        <w:t xml:space="preserve">CONCITO</w:t>
      </w:r>
      <w:r>
        <w:t xml:space="preserve"> </w:t>
      </w:r>
      <w:r>
        <w:t xml:space="preserve">&amp;</w:t>
      </w:r>
      <w:r>
        <w:t xml:space="preserve"> </w:t>
      </w:r>
      <w:r>
        <w:t xml:space="preserve">Clean</w:t>
      </w:r>
      <w:r>
        <w:t xml:space="preserve"> </w:t>
      </w:r>
      <w:r>
        <w:t xml:space="preserve">Air</w:t>
      </w:r>
      <w:r>
        <w:t xml:space="preserve"> </w:t>
      </w:r>
      <w:r>
        <w:t xml:space="preserve">Task</w:t>
      </w:r>
      <w:r>
        <w:t xml:space="preserve"> </w:t>
      </w:r>
      <w:r>
        <w:t xml:space="preserve">Force.</w:t>
      </w:r>
      <w:r>
        <w:t xml:space="preserve"> </w:t>
      </w:r>
      <w:r>
        <w:t xml:space="preserve">https://concito.dk/files/media/document/Pricing%20it%20right.pdf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2.4.2.2.</w:t>
      </w:r>
      <w:r>
        <w:t xml:space="preserve"> </w:t>
      </w:r>
      <w:r>
        <w:t xml:space="preserve">CCU2 and CCU3 – ‘Downstream’ and ‘Hybrid downstream and</w:t>
      </w:r>
      <w:r>
        <w:t xml:space="preserve"> </w:t>
      </w:r>
      <w:r>
        <w:t xml:space="preserve">midstream accounting’</w:t>
      </w:r>
      <w:r>
        <w:t xml:space="preserve"> </w:t>
      </w:r>
      <w:r>
        <w:t xml:space="preserve">The most frequently cited concern in the OPC responses in relation to moving the surrender</w:t>
      </w:r>
      <w:r>
        <w:t xml:space="preserve"> </w:t>
      </w:r>
      <w:r>
        <w:t xml:space="preserve">obligation downstream, both by proponents and opponents, was the risk of emission leakage</w:t>
      </w:r>
      <w:r>
        <w:t xml:space="preserve"> </w:t>
      </w:r>
      <w:r>
        <w:t xml:space="preserve">associated with this accounting approach, for example in the event that CCU products such as</w:t>
      </w:r>
      <w:r>
        <w:t xml:space="preserve"> </w:t>
      </w:r>
      <w:r>
        <w:t xml:space="preserve">plastics may avoid incineration, assuming that the waste sector is included within the scope of</w:t>
      </w:r>
      <w:r>
        <w:t xml:space="preserve"> </w:t>
      </w:r>
      <w:r>
        <w:t xml:space="preserve">the EU ETS.</w:t>
      </w:r>
      <w:r>
        <w:br/>
      </w:r>
      <w:r>
        <w:t xml:space="preserve">Firstly, in order to ensure the integrity of the EU ETS, the downstream and midstream</w:t>
      </w:r>
      <w:r>
        <w:t xml:space="preserve"> </w:t>
      </w:r>
      <w:r>
        <w:t xml:space="preserve">accounting options require the extension of the scope of the ETS Directive to include the CCU</w:t>
      </w:r>
      <w:r>
        <w:t xml:space="preserve"> </w:t>
      </w:r>
      <w:r>
        <w:t xml:space="preserve">value chain from the point of capture to the point of utilisation.</w:t>
      </w:r>
      <w:r>
        <w:br/>
      </w:r>
      <w:r>
        <w:t xml:space="preserve">Currently, the scope of the EU ETS includes only the activities of CO2 capture and CO2</w:t>
      </w:r>
      <w:r>
        <w:t xml:space="preserve"> </w:t>
      </w:r>
      <w:r>
        <w:t xml:space="preserve">transport for the purpose of geological storage. Therefore, CO2 capture and CO2 transport for</w:t>
      </w:r>
      <w:r>
        <w:t xml:space="preserve"> </w:t>
      </w:r>
      <w:r>
        <w:t xml:space="preserve">CCU purposes would also need to be included in the scope of the ETS Directive.</w:t>
      </w:r>
      <w:r>
        <w:br/>
      </w:r>
      <w:r>
        <w:t xml:space="preserve">Furthermore, similarly to the inclusion in the EU ETS of geological storage sites permitted</w:t>
      </w:r>
      <w:r>
        <w:t xml:space="preserve"> </w:t>
      </w:r>
      <w:r>
        <w:t xml:space="preserve">under the CCS Directive, CCU installations would also need to be included in the scope of the</w:t>
      </w:r>
      <w:r>
        <w:t xml:space="preserve"> </w:t>
      </w:r>
      <w:r>
        <w:t xml:space="preserve">ETS Directive. This ensure that CO2 does not need to be transferred outside the boundaries of</w:t>
      </w:r>
      <w:r>
        <w:t xml:space="preserve"> </w:t>
      </w:r>
      <w:r>
        <w:t xml:space="preserve">EU ETS to be utilised in a product, keeping therefore intact the CO2 chain of custody from the</w:t>
      </w:r>
      <w:r>
        <w:t xml:space="preserve"> </w:t>
      </w:r>
      <w:r>
        <w:t xml:space="preserve">point of capture until the CCU product is placed on the market. In addition, any emissions</w:t>
      </w:r>
      <w:r>
        <w:t xml:space="preserve"> </w:t>
      </w:r>
      <w:r>
        <w:t xml:space="preserve">associated with the CCU process (energy related or process emissions) will also be covered by</w:t>
      </w:r>
      <w:r>
        <w:t xml:space="preserve"> </w:t>
      </w:r>
      <w:r>
        <w:t xml:space="preserve">the EU ETS, ensuring that any CCU processes are less emission intensive than traditional</w:t>
      </w:r>
      <w:r>
        <w:t xml:space="preserve"> </w:t>
      </w:r>
      <w:r>
        <w:t xml:space="preserve">manufacturing processes.</w:t>
      </w:r>
      <w:r>
        <w:t xml:space="preserve"> </w:t>
      </w:r>
      <w:r>
        <w:t xml:space="preserve">Secondly, implementing downstream accounting in a manner that provides assurance of the</w:t>
      </w:r>
      <w:r>
        <w:t xml:space="preserve"> </w:t>
      </w:r>
      <w:r>
        <w:t xml:space="preserve">integrity of the EU ETS would require identifying potential gaps or loopholes, specifically</w:t>
      </w:r>
      <w:r>
        <w:t xml:space="preserve"> </w:t>
      </w:r>
      <w:r>
        <w:t xml:space="preserve">cases in which the end-of-life of non-permanent CCU products is met by end-of-life treatments</w:t>
      </w:r>
      <w:r>
        <w:t xml:space="preserve"> </w:t>
      </w:r>
      <w:r>
        <w:t xml:space="preserve">other than municipal waste incineration, such recycling and landfill.</w:t>
      </w:r>
      <w:r>
        <w:br/>
      </w:r>
      <w:r>
        <w:t xml:space="preserve">To determine the extent of potential loopholes, an analysis was conducted for a set of potential</w:t>
      </w:r>
      <w:r>
        <w:t xml:space="preserve"> </w:t>
      </w:r>
      <w:r>
        <w:t xml:space="preserve">non-permanent CCU products to assess whether the CO2 is re-emitted or remains inert when</w:t>
      </w:r>
      <w:r>
        <w:t xml:space="preserve"> </w:t>
      </w:r>
      <w:r>
        <w:t xml:space="preserve">that product meets its end of life via recycling, landfill or incineration and, in case of re-</w:t>
      </w:r>
      <w:r>
        <w:t xml:space="preserve"> </w:t>
      </w:r>
      <w:r>
        <w:t xml:space="preserve">emission, whether that emission would occur within or outside the scope of the EU ETS – see</w:t>
      </w:r>
      <w:r>
        <w:t xml:space="preserve"> </w:t>
      </w:r>
      <w:r>
        <w:t xml:space="preserve">section 2.2.4.</w:t>
      </w:r>
      <w:r>
        <w:br/>
      </w:r>
      <w:r>
        <w:t xml:space="preserve">The results of the analysis found that most of the potential CCU products are not likely to lead</w:t>
      </w:r>
      <w:r>
        <w:t xml:space="preserve"> </w:t>
      </w:r>
      <w:r>
        <w:t xml:space="preserve">to any significant loopholes as regards the integrity of the EU ETS. Non-permanent CCU</w:t>
      </w:r>
      <w:r>
        <w:t xml:space="preserve"> </w:t>
      </w:r>
      <w:r>
        <w:t xml:space="preserve">products that are either incinerated via waste incinerators, and the resulting emissions fall</w:t>
      </w:r>
      <w:r>
        <w:t xml:space="preserve"> </w:t>
      </w:r>
      <w:r>
        <w:t xml:space="preserve">within the scope of the EU ETS or the CO2 embedded in the product remains inert throughout</w:t>
      </w:r>
      <w:r>
        <w:t xml:space="preserve"> </w:t>
      </w:r>
      <w:r>
        <w:t xml:space="preserve">the products waste management process (recycling or landfilling). In addition, CO2 used to</w:t>
      </w:r>
      <w:r>
        <w:t xml:space="preserve"> </w:t>
      </w:r>
      <w:r>
        <w:t xml:space="preserve">produce e-fuels will also not represent a loophole risk, as their combustion will mostly occur</w:t>
      </w:r>
      <w:r>
        <w:t xml:space="preserve"> </w:t>
      </w:r>
      <w:r>
        <w:t xml:space="preserve">within the scope of the EU ETS, in sectors such as maritime and aviation. Furthermore, e-fuels</w:t>
      </w:r>
      <w:r>
        <w:t xml:space="preserve"> </w:t>
      </w:r>
      <w:r>
        <w:t xml:space="preserve">are subject to specific certification requirements and are easily tracked across the value chain.</w:t>
      </w:r>
      <w:r>
        <w:t xml:space="preserve"> </w:t>
      </w:r>
      <w:r>
        <w:t xml:space="preserve">However, to avoid undercounting of emissions used to produce e-fuels would necessarily mean</w:t>
      </w:r>
      <w:r>
        <w:t xml:space="preserve"> </w:t>
      </w:r>
      <w:r>
        <w:t xml:space="preserve">that it is not possible anymore to zero-rate the emissions from the combustion of these fuels.</w:t>
      </w:r>
      <w:r>
        <w:br/>
      </w:r>
      <w:r>
        <w:t xml:space="preserve">However, a small number of potential CCU products present a clear potential risk of loopholes</w:t>
      </w:r>
      <w:r>
        <w:t xml:space="preserve"> </w:t>
      </w:r>
      <w:r>
        <w:t xml:space="preserve">to EU ETS accounting. They include:</w:t>
      </w:r>
      <w:r>
        <w:t xml:space="preserve"> </w:t>
      </w:r>
      <w:r>
        <w:t xml:space="preserve">• The direct use of CO2 in applications such as greenhouses, food and drinks or</w:t>
      </w:r>
      <w:r>
        <w:t xml:space="preserve"> </w:t>
      </w:r>
      <w:r>
        <w:t xml:space="preserve">refrigeration.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As the CO2 is not chemically converted it will immediately be released as a greenhouse gas</w:t>
      </w:r>
      <w:r>
        <w:t xml:space="preserve"> </w:t>
      </w:r>
      <w:r>
        <w:t xml:space="preserve">without the need of special conditions such as high temperature or acidic environments.</w:t>
      </w:r>
      <w:r>
        <w:t xml:space="preserve"> </w:t>
      </w:r>
      <w:r>
        <w:t xml:space="preserve">Furthermore, the use of CO2 in such applications will happen outside of the scope of the EU</w:t>
      </w:r>
      <w:r>
        <w:t xml:space="preserve"> </w:t>
      </w:r>
      <w:r>
        <w:t xml:space="preserve">ETS and will not be subject its monitoring, reporting and compliance obligations.</w:t>
      </w:r>
      <w:r>
        <w:br/>
      </w:r>
      <w:r>
        <w:t xml:space="preserve">• CCU products used as fertilisers (PCC as mineral fertiliser or urea)</w:t>
      </w:r>
      <w:r>
        <w:t xml:space="preserve"> </w:t>
      </w:r>
      <w:r>
        <w:t xml:space="preserve">As these products are used in agricultural applications and when the embedded CO2 will</w:t>
      </w:r>
      <w:r>
        <w:t xml:space="preserve"> </w:t>
      </w:r>
      <w:r>
        <w:t xml:space="preserve">eventually be released it will happen outside of the scope of the EU ETS.</w:t>
      </w:r>
      <w:r>
        <w:br/>
      </w:r>
      <w:r>
        <w:t xml:space="preserve">There are additional loophole risks in some cases, but they are however not well defined and</w:t>
      </w:r>
      <w:r>
        <w:t xml:space="preserve"> </w:t>
      </w:r>
      <w:r>
        <w:t xml:space="preserve">influenced by many variables:</w:t>
      </w:r>
      <w:r>
        <w:t xml:space="preserve"> </w:t>
      </w:r>
      <w:r>
        <w:t xml:space="preserve">• CCU products that risk emitting during the recycling</w:t>
      </w:r>
      <w:r>
        <w:br/>
      </w:r>
      <w:r>
        <w:t xml:space="preserve">Some products (plasterboards, used oils, some organic chemicals) there may be a risk of</w:t>
      </w:r>
      <w:r>
        <w:t xml:space="preserve"> </w:t>
      </w:r>
      <w:r>
        <w:t xml:space="preserve">loopholes depending on the type of recycling process used and whether that recycling is or not</w:t>
      </w:r>
      <w:r>
        <w:t xml:space="preserve"> </w:t>
      </w:r>
      <w:r>
        <w:t xml:space="preserve">part of the EU ETS. Some forms of recycling may involve sufficiently high temperatures to</w:t>
      </w:r>
      <w:r>
        <w:t xml:space="preserve"> </w:t>
      </w:r>
      <w:r>
        <w:t xml:space="preserve">release the embedded CO2. However, it is also possible that such processes would be covered</w:t>
      </w:r>
      <w:r>
        <w:t xml:space="preserve"> </w:t>
      </w:r>
      <w:r>
        <w:t xml:space="preserve">anyway by the EU ETS.</w:t>
      </w:r>
      <w:r>
        <w:br/>
      </w:r>
      <w:r>
        <w:t xml:space="preserve">• In addition, it is possible that some emissions from the end-of-life treatment of non-</w:t>
      </w:r>
      <w:r>
        <w:t xml:space="preserve"> </w:t>
      </w:r>
      <w:r>
        <w:t xml:space="preserve">permanent that would normally fall within the scope of the EU ETS may nevertheless</w:t>
      </w:r>
      <w:r>
        <w:t xml:space="preserve"> </w:t>
      </w:r>
      <w:r>
        <w:t xml:space="preserve">be emitted outside the scope of the system. This can happen in the following cases:</w:t>
      </w:r>
      <w:r>
        <w:t xml:space="preserve"> </w:t>
      </w:r>
      <w:r>
        <w:t xml:space="preserve">o Waste incineration in installations that are excluded from the scope of the EU</w:t>
      </w:r>
      <w:r>
        <w:t xml:space="preserve"> </w:t>
      </w:r>
      <w:r>
        <w:t xml:space="preserve">ETS due to small size and or the specific nature of waste they treated</w:t>
      </w:r>
      <w:r>
        <w:t xml:space="preserve"> </w:t>
      </w:r>
      <w:r>
        <w:t xml:space="preserve">(hazardous, medical, etc)</w:t>
      </w:r>
      <w:r>
        <w:t xml:space="preserve"> </w:t>
      </w:r>
      <w:r>
        <w:t xml:space="preserve">o Export of waste for treatment outside of the EEA</w:t>
      </w:r>
      <w:r>
        <w:t xml:space="preserve"> </w:t>
      </w:r>
      <w:r>
        <w:t xml:space="preserve">o Illegal dumping of waste</w:t>
      </w:r>
      <w:r>
        <w:t xml:space="preserve"> </w:t>
      </w:r>
      <w:r>
        <w:t xml:space="preserve">o Exports of non-permanent CCU products, which would also result in waste to</w:t>
      </w:r>
      <w:r>
        <w:t xml:space="preserve"> </w:t>
      </w:r>
      <w:r>
        <w:t xml:space="preserve">be treated outside of the EEA.</w:t>
      </w:r>
      <w:r>
        <w:t xml:space="preserve"> </w:t>
      </w:r>
      <w:r>
        <w:t xml:space="preserve">While these are potentially important risks, there are already measures in place that limit the</w:t>
      </w:r>
      <w:r>
        <w:t xml:space="preserve"> </w:t>
      </w:r>
      <w:r>
        <w:t xml:space="preserve">export of waste outside of the EEA or that address the problem illegal dumping. In addition, as</w:t>
      </w:r>
      <w:r>
        <w:t xml:space="preserve"> </w:t>
      </w:r>
      <w:r>
        <w:t xml:space="preserve">novel non-permanent CCU products are not yet produced at any significant volumes, these</w:t>
      </w:r>
      <w:r>
        <w:t xml:space="preserve"> </w:t>
      </w:r>
      <w:r>
        <w:t xml:space="preserve">risks represent only a potential for future loopholes.</w:t>
      </w:r>
      <w:r>
        <w:br/>
      </w:r>
      <w:r>
        <w:t xml:space="preserve">Therefore, it will be necessary to provide for a regular assessment of on-going of the risks of</w:t>
      </w:r>
      <w:r>
        <w:t xml:space="preserve"> </w:t>
      </w:r>
      <w:r>
        <w:t xml:space="preserve">loopholes based on the actual scale-up of non-permanent CCU products, as well as the</w:t>
      </w:r>
      <w:r>
        <w:t xml:space="preserve"> </w:t>
      </w:r>
      <w:r>
        <w:t xml:space="preserve">development of environmental and waste management legislation. Based on this assessment it</w:t>
      </w:r>
      <w:r>
        <w:t xml:space="preserve"> </w:t>
      </w:r>
      <w:r>
        <w:t xml:space="preserve">would be possible to exclude specific products that have a high risk of creating loopholes,</w:t>
      </w:r>
      <w:r>
        <w:t xml:space="preserve"> </w:t>
      </w:r>
      <w:r>
        <w:t xml:space="preserve">introduce additional safeguards or requirements, or add correction factors to account for the</w:t>
      </w:r>
      <w:r>
        <w:t xml:space="preserve"> </w:t>
      </w:r>
      <w:r>
        <w:t xml:space="preserve">risk of loopholes.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2.4.3. Economic impacts</w:t>
      </w:r>
      <w:r>
        <w:t xml:space="preserve"> </w:t>
      </w:r>
      <w:r>
        <w:t xml:space="preserve">2.4.3.1.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The CCUS sector has for the moment a small economic weight, and it is not yet possible to</w:t>
      </w:r>
      <w:r>
        <w:t xml:space="preserve"> </w:t>
      </w:r>
      <w:r>
        <w:t xml:space="preserve">separately identify value chains linked only to CCU. JRC analysis194 identified 186 key</w:t>
      </w:r>
      <w:r>
        <w:t xml:space="preserve"> </w:t>
      </w:r>
      <w:r>
        <w:t xml:space="preserve">companies worldwide with activity in CCUS, out of which 45 (24%) are European or are active</w:t>
      </w:r>
      <w:r>
        <w:t xml:space="preserve"> </w:t>
      </w:r>
      <w:r>
        <w:t xml:space="preserve">in the field through their European subsidiaries and that overall revenue recorded for the CCUS</w:t>
      </w:r>
      <w:r>
        <w:t xml:space="preserve"> </w:t>
      </w:r>
      <w:r>
        <w:t xml:space="preserve">value chain amounted to only 95 million EUR in 2021.</w:t>
      </w:r>
      <w:r>
        <w:t xml:space="preserve"> </w:t>
      </w:r>
      <w:r>
        <w:t xml:space="preserve">Despite the limited economic role played by the CCUS sectors, it is important to consider the</w:t>
      </w:r>
      <w:r>
        <w:t xml:space="preserve"> </w:t>
      </w:r>
      <w:r>
        <w:t xml:space="preserve">potential for its development and to role it can play in a low carbon, net-zero economic.</w:t>
      </w:r>
      <w:r>
        <w:t xml:space="preserve"> </w:t>
      </w:r>
      <w:r>
        <w:t xml:space="preserve">Therefore, the economic impacts of the proposed measures are relevant mostly in terms of the</w:t>
      </w:r>
      <w:r>
        <w:t xml:space="preserve"> </w:t>
      </w:r>
      <w:r>
        <w:t xml:space="preserve">incentives it sets for the development of this sector.</w:t>
      </w:r>
      <w:r>
        <w:br/>
      </w:r>
      <w:r>
        <w:t xml:space="preserve">2.4.3.1.1.</w:t>
      </w:r>
      <w:r>
        <w:t xml:space="preserve"> </w:t>
      </w:r>
      <w:r>
        <w:t xml:space="preserve">CCU1 – ‘Upstream Accounting’:</w:t>
      </w:r>
      <w:r>
        <w:t xml:space="preserve"> </w:t>
      </w:r>
      <w:r>
        <w:t xml:space="preserve">As regards CCU1, accounting for emissions upstream places the ETS burden on the</w:t>
      </w:r>
      <w:r>
        <w:t xml:space="preserve"> </w:t>
      </w:r>
      <w:r>
        <w:t xml:space="preserve">emitter/capture operator, meaning they would have to consider as emitted and surrender</w:t>
      </w:r>
      <w:r>
        <w:t xml:space="preserve"> </w:t>
      </w:r>
      <w:r>
        <w:t xml:space="preserve">allowances for any captured emissions, unless stored permanently195. As a result, this measure</w:t>
      </w:r>
      <w:r>
        <w:t xml:space="preserve"> </w:t>
      </w:r>
      <w:r>
        <w:t xml:space="preserve">will have the following impact on the conduct of businesses:</w:t>
      </w:r>
      <w:r>
        <w:t xml:space="preserve"> </w:t>
      </w:r>
      <w:r>
        <w:t xml:space="preserve">• It does not incentivise ETS emitters to invest in carbon capture for CCU</w:t>
      </w:r>
      <w:r>
        <w:t xml:space="preserve"> </w:t>
      </w:r>
      <w:r>
        <w:t xml:space="preserve">Installing carbon capture capacity on existing industrial installations represents a significant</w:t>
      </w:r>
      <w:r>
        <w:t xml:space="preserve"> </w:t>
      </w:r>
      <w:r>
        <w:t xml:space="preserve">investment, both in terms of capital investments and operating costs196. The JRC estimates that,</w:t>
      </w:r>
      <w:r>
        <w:t xml:space="preserve"> </w:t>
      </w:r>
      <w:r>
        <w:t xml:space="preserve">according to the literature review, the capture costs for hard-to-abate sectors lie between 40-90</w:t>
      </w:r>
      <w:r>
        <w:t xml:space="preserve"> </w:t>
      </w:r>
      <w:r>
        <w:t xml:space="preserve">EUR per tonne of CO2, varying based on the concentration and purity of the CO2. In addition,</w:t>
      </w:r>
      <w:r>
        <w:t xml:space="preserve"> </w:t>
      </w:r>
      <w:r>
        <w:t xml:space="preserve">the JRC’s own capture cost estimate197 suggests that around 200 Mtpa of CO2 can be captured</w:t>
      </w:r>
      <w:r>
        <w:t xml:space="preserve"> </w:t>
      </w:r>
      <w:r>
        <w:t xml:space="preserve">at a cost lower than 100 EUR per tonne mostly from cement, waste-to-energy and certain</w:t>
      </w:r>
      <w:r>
        <w:t xml:space="preserve"> </w:t>
      </w:r>
      <w:r>
        <w:t xml:space="preserve">petrochemical facilities.</w:t>
      </w:r>
      <w:r>
        <w:t xml:space="preserve"> </w:t>
      </w:r>
      <w:r>
        <w:t xml:space="preserve">Under upstream accounting, ETS installations that do carbon capture will be able to reduce</w:t>
      </w:r>
      <w:r>
        <w:t xml:space="preserve"> </w:t>
      </w:r>
      <w:r>
        <w:t xml:space="preserve">their compliance obligations only if the captured emissions are permanently stored (either in</w:t>
      </w:r>
      <w:r>
        <w:t xml:space="preserve"> </w:t>
      </w:r>
      <w:r>
        <w:t xml:space="preserve">geological storage or permanently chemically bound in products), while any CO2 captured for</w:t>
      </w:r>
      <w:r>
        <w:t xml:space="preserve"> </w:t>
      </w:r>
      <w:r>
        <w:t xml:space="preserve">other use purposes will have to be reported as emitted and thus caused an additional cost.</w:t>
      </w:r>
      <w:r>
        <w:t xml:space="preserve"> </w:t>
      </w:r>
      <w:r>
        <w:t xml:space="preserve">Capture only for geological storage may be not an economical or practical option available to</w:t>
      </w:r>
      <w:r>
        <w:t xml:space="preserve"> </w:t>
      </w:r>
      <w:r>
        <w:t xml:space="preserve">all installations that might benefit from carbon capture to reduce their emissions. This can be</w:t>
      </w:r>
      <w:r>
        <w:t xml:space="preserve"> </w:t>
      </w:r>
      <w:r>
        <w:t xml:space="preserve">due limited number of operational storage sites, lack of proximity to those storage sites or</w:t>
      </w:r>
      <w:r>
        <w:t xml:space="preserve"> </w:t>
      </w:r>
      <w:r>
        <w:t xml:space="preserve">limited CO2 infrastructure (pipelines or shipping terminals, as truck or rail; transport is possible</w:t>
      </w:r>
      <w:r>
        <w:t xml:space="preserve"> </w:t>
      </w:r>
      <w:r>
        <w:t xml:space="preserve">but for low volumes and higher costs). In fact, a recent JRC study198 suggests that the chemical</w:t>
      </w:r>
      <w:r>
        <w:t xml:space="preserve"> </w:t>
      </w:r>
      <w:r>
        <w:t xml:space="preserve">and waste-to-energy sectors see their capturable CO2 amounts decreased the most when</w:t>
      </w:r>
    </w:p>
    <w:p>
      <w:pPr>
        <w:pStyle w:val="BodyText"/>
      </w:pPr>
      <w:r>
        <w:t xml:space="preserve">194 Clean Energy Technology Observatory, Carbon capture utilisation and storage in the European Union –</w:t>
      </w:r>
      <w:r>
        <w:t xml:space="preserve"> </w:t>
      </w:r>
      <w:r>
        <w:t xml:space="preserve">Status report on technology development, trends, value chains and markets – 2023, Publications Office of</w:t>
      </w:r>
      <w:r>
        <w:t xml:space="preserve"> </w:t>
      </w:r>
      <w:r>
        <w:t xml:space="preserve">the European Union, 2023, https://data.europa.eu/doi/10.2760/882666</w:t>
      </w:r>
      <w:r>
        <w:t xml:space="preserve"> </w:t>
      </w:r>
      <w:r>
        <w:t xml:space="preserve">195 Verbist, F., Meus, J., Moncada, J. A., Valkering, P., Delarue, E., &amp; others. (2024). Implications of the EU</w:t>
      </w:r>
      <w:r>
        <w:t xml:space="preserve"> </w:t>
      </w:r>
      <w:r>
        <w:t xml:space="preserve">ETS on the level-playing field between carbon capture storage &amp; utilisation. International Journal of</w:t>
      </w:r>
      <w:r>
        <w:t xml:space="preserve"> </w:t>
      </w:r>
      <w:r>
        <w:t xml:space="preserve">Greenhouse Gas Control, 136, Article 104165. https://doi.org/10.1016/j.ijggc.2024.104165</w:t>
      </w:r>
      <w:r>
        <w:br/>
      </w:r>
      <w:r>
        <w:t xml:space="preserve">196 Clean Energy Technology Observatory, Carbon capture utilisation and storage in the European Union – Status</w:t>
      </w:r>
      <w:r>
        <w:t xml:space="preserve"> </w:t>
      </w:r>
      <w:r>
        <w:t xml:space="preserve">report on technology development, trends, value chains and markets – 2024, Publications Office of the</w:t>
      </w:r>
      <w:r>
        <w:t xml:space="preserve"> </w:t>
      </w:r>
      <w:r>
        <w:t xml:space="preserve">European Union, 2024, https://data.europa.eu/doi/10.2760/0287566</w:t>
      </w:r>
      <w:r>
        <w:t xml:space="preserve"> </w:t>
      </w:r>
      <w:r>
        <w:t xml:space="preserve">197 Bottom-up modelling of CO2 availability and capture feasibility in EU industrial facilities – JRC145042</w:t>
      </w:r>
      <w:r>
        <w:t xml:space="preserve"> </w:t>
      </w:r>
      <w:r>
        <w:t xml:space="preserve">198 Bottom-up modelling of CO2 availability and capture feasibility in EU industrial facilities – JRC145042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considering the characteristics of each individual facility, while the iron and steel, cement and</w:t>
      </w:r>
      <w:r>
        <w:t xml:space="preserve"> </w:t>
      </w:r>
      <w:r>
        <w:t xml:space="preserve">refining sectors are more likely to deploy capture. Therefore, upstream accounting limits in</w:t>
      </w:r>
      <w:r>
        <w:t xml:space="preserve"> </w:t>
      </w:r>
      <w:r>
        <w:t xml:space="preserve">practice the economic options available to ETS installations to reduce their capture costs and</w:t>
      </w:r>
      <w:r>
        <w:t xml:space="preserve"> </w:t>
      </w:r>
      <w:r>
        <w:t xml:space="preserve">achieve their emission reduction goals. Investments in carbon capture will be done only when</w:t>
      </w:r>
      <w:r>
        <w:t xml:space="preserve"> </w:t>
      </w:r>
      <w:r>
        <w:t xml:space="preserve">and where economic conditions are in place for sending captured CO2 to geological storage</w:t>
      </w:r>
      <w:r>
        <w:t xml:space="preserve"> </w:t>
      </w:r>
      <w:r>
        <w:t xml:space="preserve">site, while carbon capture for utilisation is disincentivised.</w:t>
      </w:r>
      <w:r>
        <w:br/>
      </w:r>
      <w:r>
        <w:t xml:space="preserve">A 2024 JRC study199 estimated that by 2050, the European CO2 pipeline network necessary for</w:t>
      </w:r>
      <w:r>
        <w:t xml:space="preserve"> </w:t>
      </w:r>
      <w:r>
        <w:t xml:space="preserve">CCS could reach up to 9 000 km and requires investment of between EUR 9.3 billion and EUR</w:t>
      </w:r>
      <w:r>
        <w:t xml:space="preserve"> </w:t>
      </w:r>
      <w:r>
        <w:t xml:space="preserve">23.1 billion study. This shows the costs implied by a system of transporting captured CO2</w:t>
      </w:r>
      <w:r>
        <w:t xml:space="preserve"> </w:t>
      </w:r>
      <w:r>
        <w:t xml:space="preserve">either to geological storage sites and/or CCU users for the decarbonisation of hard to abate</w:t>
      </w:r>
      <w:r>
        <w:t xml:space="preserve"> </w:t>
      </w:r>
      <w:r>
        <w:t xml:space="preserve">industries requires significant investments in infrastructure to ensure the connection of emitters</w:t>
      </w:r>
      <w:r>
        <w:t xml:space="preserve"> </w:t>
      </w:r>
      <w:r>
        <w:t xml:space="preserve">with relevant solutions without any direct revenues. A system allowing for more localised</w:t>
      </w:r>
      <w:r>
        <w:t xml:space="preserve"> </w:t>
      </w:r>
      <w:r>
        <w:t xml:space="preserve">solutions, including CCU, would reduce these infrastructure costs.</w:t>
      </w:r>
      <w:r>
        <w:t xml:space="preserve"> </w:t>
      </w:r>
      <w:r>
        <w:t xml:space="preserve">• It increases the cost of CO2 feedstock and reduces its availability for potential CCU</w:t>
      </w:r>
      <w:r>
        <w:t xml:space="preserve"> </w:t>
      </w:r>
      <w:r>
        <w:t xml:space="preserve">producers</w:t>
      </w:r>
      <w:r>
        <w:t xml:space="preserve"> </w:t>
      </w:r>
      <w:r>
        <w:t xml:space="preserve">As shown previously, the upstream accounting may reduce the incentives to invest in carbon</w:t>
      </w:r>
      <w:r>
        <w:t xml:space="preserve"> </w:t>
      </w:r>
      <w:r>
        <w:t xml:space="preserve">capture for industrial emissions, except when the captured CO2 can be permanently stored. This</w:t>
      </w:r>
      <w:r>
        <w:t xml:space="preserve"> </w:t>
      </w:r>
      <w:r>
        <w:t xml:space="preserve">in turn reduces the availability of CO2 as alternative carbon feedstock for e-fuels or synthetic</w:t>
      </w:r>
      <w:r>
        <w:t xml:space="preserve"> </w:t>
      </w:r>
      <w:r>
        <w:t xml:space="preserve">chemicals. As ETS installations have no incentives to capture CO2 for CCU, e-fuels or synthetic</w:t>
      </w:r>
      <w:r>
        <w:t xml:space="preserve"> </w:t>
      </w:r>
      <w:r>
        <w:t xml:space="preserve">chemicals producers need to source CO2 from non-ETS emitters, which limits the available</w:t>
      </w:r>
      <w:r>
        <w:t xml:space="preserve"> </w:t>
      </w:r>
      <w:r>
        <w:t xml:space="preserve">volumes. Furthermore, as any CO2 captured for non-permanent CCU would still require the</w:t>
      </w:r>
      <w:r>
        <w:t xml:space="preserve"> </w:t>
      </w:r>
      <w:r>
        <w:t xml:space="preserve">payment of the ETS price for the emitter installation, this would further increase cost of this</w:t>
      </w:r>
      <w:r>
        <w:t xml:space="preserve"> </w:t>
      </w:r>
      <w:r>
        <w:t xml:space="preserve">feedstock. Under this scenario, non-permanent CCU actors may rely on cost pass-through,</w:t>
      </w:r>
      <w:r>
        <w:t xml:space="preserve"> </w:t>
      </w:r>
      <w:r>
        <w:t xml:space="preserve">passing the costs of the ETS down the value chain by incorporating the price of an ETS</w:t>
      </w:r>
      <w:r>
        <w:t xml:space="preserve"> </w:t>
      </w:r>
      <w:r>
        <w:t xml:space="preserve">allowance into the carbon feedstocks they would sell to non-permanent CCU application</w:t>
      </w:r>
      <w:r>
        <w:t xml:space="preserve"> </w:t>
      </w:r>
      <w:r>
        <w:t xml:space="preserve">developers. However, the combination of low volumes and high price for a key feedstock for</w:t>
      </w:r>
      <w:r>
        <w:t xml:space="preserve"> </w:t>
      </w:r>
      <w:r>
        <w:t xml:space="preserve">non-permanent CCU products will make them uncompetitive.</w:t>
      </w:r>
      <w:r>
        <w:br/>
      </w:r>
      <w:r>
        <w:t xml:space="preserve">The upstream accounting is beneficial for the e-fuel market, because it enables the zero rating</w:t>
      </w:r>
      <w:r>
        <w:t xml:space="preserve"> </w:t>
      </w:r>
      <w:r>
        <w:t xml:space="preserve">of the emissions from the combustion of e-fuels and considering them as sustainable fuels. For</w:t>
      </w:r>
      <w:r>
        <w:t xml:space="preserve"> </w:t>
      </w:r>
      <w:r>
        <w:t xml:space="preserve">producers, this allows them to sell the e-fuels at a premium and, for consumers, it allows them</w:t>
      </w:r>
      <w:r>
        <w:t xml:space="preserve"> </w:t>
      </w:r>
      <w:r>
        <w:t xml:space="preserve">to use e-fuels to reduce their emissions. One fifth of respondents in the open public</w:t>
      </w:r>
      <w:r>
        <w:t xml:space="preserve"> </w:t>
      </w:r>
      <w:r>
        <w:t xml:space="preserve">consultation, who expressed support for upstream accounting did so specifically for CCU fuels</w:t>
      </w:r>
      <w:r>
        <w:t xml:space="preserve"> </w:t>
      </w:r>
      <w:r>
        <w:t xml:space="preserve">as, in their view, this would help to ensure regulatory stability with the current framework that</w:t>
      </w:r>
      <w:r>
        <w:t xml:space="preserve"> </w:t>
      </w:r>
      <w:r>
        <w:t xml:space="preserve">also follows an upstream approach to accounting (i.e. to align with EU ETS and RED rules and</w:t>
      </w:r>
      <w:r>
        <w:t xml:space="preserve"> </w:t>
      </w:r>
      <w:r>
        <w:t xml:space="preserve">remain coherent with the RED RFNBO Delegated Act).</w:t>
      </w:r>
      <w:r>
        <w:t xml:space="preserve"> </w:t>
      </w:r>
      <w:r>
        <w:t xml:space="preserve">However, despite the advantages for the e-fuel market of the upstream accounting, due to the</w:t>
      </w:r>
      <w:r>
        <w:t xml:space="preserve"> </w:t>
      </w:r>
      <w:r>
        <w:t xml:space="preserve">lack of investment in carbon capture, e-fuel producers have difficulties in sourcing sufficient</w:t>
      </w:r>
      <w:r>
        <w:t xml:space="preserve"> </w:t>
      </w:r>
      <w:r>
        <w:t xml:space="preserve">CO2 feedstock for their operations.</w:t>
      </w:r>
      <w:r>
        <w:br/>
      </w:r>
      <w:r>
        <w:t xml:space="preserve">• It leads to reduced supply of captured CO2 to replace virgin fossil carbon in non-</w:t>
      </w:r>
      <w:r>
        <w:t xml:space="preserve"> </w:t>
      </w:r>
      <w:r>
        <w:t xml:space="preserve">permanent CCU products, if capturing for permanent geological storage (CCS) is the</w:t>
      </w:r>
      <w:r>
        <w:t xml:space="preserve"> </w:t>
      </w:r>
      <w:r>
        <w:t xml:space="preserve">only option for emitters.</w:t>
      </w:r>
      <w:r>
        <w:t xml:space="preserve"> </w:t>
      </w:r>
      <w:r>
        <w:t xml:space="preserve">Under the upstream accounting, capturing emissions for non-permanent CCU applications does</w:t>
      </w:r>
      <w:r>
        <w:t xml:space="preserve"> </w:t>
      </w:r>
      <w:r>
        <w:t xml:space="preserve">not change the compliance obligations of ETS installations. As in the long-term the emission</w:t>
      </w:r>
    </w:p>
    <w:p>
      <w:pPr>
        <w:pStyle w:val="BodyText"/>
      </w:pPr>
      <w:r>
        <w:t xml:space="preserve">199 JRC, Shaping the future CO2 transport network for Europe, Shaping the future CO2 transport network for</w:t>
      </w:r>
      <w:r>
        <w:t xml:space="preserve"> </w:t>
      </w:r>
      <w:r>
        <w:t xml:space="preserve">Europe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space for ETS covered sectors will be limited only to the hardest to abate emissions. Therefore,</w:t>
      </w:r>
      <w:r>
        <w:t xml:space="preserve"> </w:t>
      </w:r>
      <w:r>
        <w:t xml:space="preserve">installations will seek to permanently store their hard to abate emissions and, if that is not</w:t>
      </w:r>
      <w:r>
        <w:t xml:space="preserve"> </w:t>
      </w:r>
      <w:r>
        <w:t xml:space="preserve">possible, will not invest in carbon capture at all and therefore discourage the development of</w:t>
      </w:r>
      <w:r>
        <w:t xml:space="preserve"> </w:t>
      </w:r>
      <w:r>
        <w:t xml:space="preserve">non-permanent CCU applications.200, 201, 202</w:t>
      </w:r>
      <w:r>
        <w:t xml:space="preserve"> </w:t>
      </w:r>
      <w:r>
        <w:t xml:space="preserve">This view is supported by a wide range of stakeholders in the OPC across companies and</w:t>
      </w:r>
      <w:r>
        <w:t xml:space="preserve"> </w:t>
      </w:r>
      <w:r>
        <w:t xml:space="preserve">business associations and academia, who considered that CCU and CCS are treated unequally</w:t>
      </w:r>
      <w:r>
        <w:t xml:space="preserve"> </w:t>
      </w:r>
      <w:r>
        <w:t xml:space="preserve">under the EU ETS as currently there is a well-developed accounting framework in place for</w:t>
      </w:r>
      <w:r>
        <w:t xml:space="preserve"> </w:t>
      </w:r>
      <w:r>
        <w:t xml:space="preserve">CCS, including for its transport and for liability for the risk associated with storage.</w:t>
      </w:r>
      <w:r>
        <w:br/>
      </w:r>
      <w:r>
        <w:t xml:space="preserve">• It leads to a lack of level playing field between non-permanent CCU products and the</w:t>
      </w:r>
      <w:r>
        <w:t xml:space="preserve"> </w:t>
      </w:r>
      <w:r>
        <w:t xml:space="preserve">traditional virgin carbon equivalent products</w:t>
      </w:r>
      <w:r>
        <w:t xml:space="preserve"> </w:t>
      </w:r>
      <w:r>
        <w:t xml:space="preserve">Under the current EU ETS rules, the activities of bulk organic chemicals production or refining</w:t>
      </w:r>
      <w:r>
        <w:t xml:space="preserve"> </w:t>
      </w:r>
      <w:r>
        <w:t xml:space="preserve">of fuels covers only the emissions from the combustion of fuels and the process emissions, i.e. </w:t>
      </w:r>
      <w:r>
        <w:t xml:space="preserve"> </w:t>
      </w:r>
      <w:r>
        <w:t xml:space="preserve">scope 1, direct emissions. However, scope 3 emissions represent 60-80% of the overall LCA</w:t>
      </w:r>
      <w:r>
        <w:t xml:space="preserve"> </w:t>
      </w:r>
      <w:r>
        <w:t xml:space="preserve">emissions of the chemical sector and the majority of which is represented by the eventual</w:t>
      </w:r>
      <w:r>
        <w:t xml:space="preserve"> </w:t>
      </w:r>
      <w:r>
        <w:t xml:space="preserve">emission of the embedded carbon in their products203, is not considered as an ETS emission</w:t>
      </w:r>
      <w:r>
        <w:t xml:space="preserve"> </w:t>
      </w:r>
      <w:r>
        <w:t xml:space="preserve">and it is not priced. To the contrary, under the upstream accounting, the embedded carbon in a</w:t>
      </w:r>
      <w:r>
        <w:t xml:space="preserve"> </w:t>
      </w:r>
      <w:r>
        <w:t xml:space="preserve">non-permanent CCU product would be priced.</w:t>
      </w:r>
      <w:r>
        <w:br/>
      </w:r>
      <w:r>
        <w:t xml:space="preserve">As a result, the upstream accounting would make non-permanent CCU products uncompetitive</w:t>
      </w:r>
      <w:r>
        <w:t xml:space="preserve"> </w:t>
      </w:r>
      <w:r>
        <w:t xml:space="preserve">with their virgin fossil carbon equivalent. Non-permanent CCU applications may still be</w:t>
      </w:r>
      <w:r>
        <w:t xml:space="preserve"> </w:t>
      </w:r>
      <w:r>
        <w:t xml:space="preserve">developed with an upstream accounting approach if commodity prices are high enough to cover</w:t>
      </w:r>
      <w:r>
        <w:t xml:space="preserve"> </w:t>
      </w:r>
      <w:r>
        <w:t xml:space="preserve">the ETS allowance cost for capture operators or if non-permanent CCU products are</w:t>
      </w:r>
      <w:r>
        <w:t xml:space="preserve"> </w:t>
      </w:r>
      <w:r>
        <w:t xml:space="preserve">sufficiently subsidised or supported through other means.</w:t>
      </w:r>
      <w:r>
        <w:br/>
      </w:r>
      <w:r>
        <w:t xml:space="preserve">The combination of scarce and expensive feedstock and a level playing will make very difficult</w:t>
      </w:r>
      <w:r>
        <w:t xml:space="preserve"> </w:t>
      </w:r>
      <w:r>
        <w:t xml:space="preserve">to create a business case for non-permanent CCU products.</w:t>
      </w:r>
      <w:r>
        <w:br/>
      </w:r>
      <w:r>
        <w:t xml:space="preserve">Even with high levels of public support, this may result in the needed investments in CCU</w:t>
      </w:r>
      <w:r>
        <w:t xml:space="preserve"> </w:t>
      </w:r>
      <w:r>
        <w:t xml:space="preserve">applications not materialising. It enables e-fuels producers to meet the certification</w:t>
      </w:r>
      <w:r>
        <w:t xml:space="preserve"> </w:t>
      </w:r>
      <w:r>
        <w:t xml:space="preserve">requirements for sustainable e-fuels and allows e-fuels user to zero-rate those emissions</w:t>
      </w:r>
      <w:r>
        <w:t xml:space="preserve"> </w:t>
      </w:r>
      <w:r>
        <w:t xml:space="preserve">It is important to note that in the case of production of e-fuels, upstream accounting is currently</w:t>
      </w:r>
      <w:r>
        <w:t xml:space="preserve"> </w:t>
      </w:r>
      <w:r>
        <w:t xml:space="preserve">necessary for to be able to certify these e-fuels as meeting the 70% GHG emissions savings</w:t>
      </w:r>
      <w:r>
        <w:t xml:space="preserve"> </w:t>
      </w:r>
      <w:r>
        <w:t xml:space="preserve">required under the Renewable Energy Directive (for RFNBOs) and the Gas Directive (for</w:t>
      </w:r>
      <w:r>
        <w:t xml:space="preserve"> </w:t>
      </w:r>
      <w:r>
        <w:t xml:space="preserve">LCFs). Therefore, without any adjustments in the respective regulatory framework, upstream</w:t>
      </w:r>
      <w:r>
        <w:t xml:space="preserve"> </w:t>
      </w:r>
      <w:r>
        <w:t xml:space="preserve">accounting provides e-fuel producers a clear way of meeting the conditions necessary for the</w:t>
      </w:r>
      <w:r>
        <w:t xml:space="preserve"> </w:t>
      </w:r>
      <w:r>
        <w:t xml:space="preserve">certification of e-fuels.</w:t>
      </w:r>
    </w:p>
    <w:p>
      <w:pPr>
        <w:pStyle w:val="BodyText"/>
      </w:pPr>
      <w:r>
        <w:t xml:space="preserve">200 CO₂ Value Europe. (2025, June). CO₂ Value Europe position: The 2026 ETS revision must advantage CCU</w:t>
      </w:r>
      <w:r>
        <w:t xml:space="preserve"> </w:t>
      </w:r>
      <w:r>
        <w:t xml:space="preserve">over fossil feedstocks. https://co2value.eu/wp-content/uploads/2025/06/CO2-Value-Europe-position-on-EU-</w:t>
      </w:r>
      <w:r>
        <w:t xml:space="preserve"> </w:t>
      </w:r>
      <w:r>
        <w:t xml:space="preserve">2026-ETS-revision_June-2025.pdf</w:t>
      </w:r>
      <w:r>
        <w:br/>
      </w:r>
      <w:r>
        <w:t xml:space="preserve">201 Vermeulen, H., Lockwood, T., &amp; Lawaetz, R. (2025, June). Pricing it right: Accounting for non-permanent</w:t>
      </w:r>
      <w:r>
        <w:t xml:space="preserve"> </w:t>
      </w:r>
      <w:r>
        <w:t xml:space="preserve">CCU</w:t>
      </w:r>
      <w:r>
        <w:t xml:space="preserve"> </w:t>
      </w:r>
      <w:r>
        <w:t xml:space="preserve">while</w:t>
      </w:r>
      <w:r>
        <w:t xml:space="preserve"> </w:t>
      </w:r>
      <w:r>
        <w:t xml:space="preserve">safeguarding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ETS.</w:t>
      </w:r>
      <w:r>
        <w:t xml:space="preserve"> </w:t>
      </w:r>
      <w:r>
        <w:t xml:space="preserve">CONCITO</w:t>
      </w:r>
      <w:r>
        <w:t xml:space="preserve"> </w:t>
      </w:r>
      <w:r>
        <w:t xml:space="preserve">&amp;</w:t>
      </w:r>
      <w:r>
        <w:t xml:space="preserve"> </w:t>
      </w:r>
      <w:r>
        <w:t xml:space="preserve">Clean</w:t>
      </w:r>
      <w:r>
        <w:t xml:space="preserve"> </w:t>
      </w:r>
      <w:r>
        <w:t xml:space="preserve">Air</w:t>
      </w:r>
      <w:r>
        <w:t xml:space="preserve"> </w:t>
      </w:r>
      <w:r>
        <w:t xml:space="preserve">Task</w:t>
      </w:r>
      <w:r>
        <w:t xml:space="preserve"> </w:t>
      </w:r>
      <w:r>
        <w:t xml:space="preserve">Force.</w:t>
      </w:r>
      <w:r>
        <w:t xml:space="preserve"> </w:t>
      </w:r>
      <w:r>
        <w:t xml:space="preserve">https://concito.dk/files/media/document/Pricing%20it%20right.pdf</w:t>
      </w:r>
      <w:r>
        <w:br/>
      </w:r>
      <w:r>
        <w:t xml:space="preserve">202 Verbist, F., Meus, J., Moncada, J. A., Valkerig, P., &amp; Delarue, E. (2024). Implications of the EU ETS1 on the</w:t>
      </w:r>
      <w:r>
        <w:t xml:space="preserve"> </w:t>
      </w:r>
      <w:r>
        <w:t xml:space="preserve">level-playing field between carbon capture storage &amp; utilisation. International Journal of Greenhouse Gas</w:t>
      </w:r>
      <w:r>
        <w:t xml:space="preserve"> </w:t>
      </w:r>
      <w:r>
        <w:t xml:space="preserve">Control, 136, Article 104165. https://doi.org/10.1016/j.ijggc.2024.104165</w:t>
      </w:r>
      <w:r>
        <w:br/>
      </w:r>
      <w:r>
        <w:t xml:space="preserve">203 Christopher vom Berg, Michael Carus, Making a case for Carbon Capture and Utilisation (CCU),</w:t>
      </w:r>
      <w:r>
        <w:t xml:space="preserve"> </w:t>
      </w:r>
      <w:r>
        <w:t xml:space="preserve">https://doi.org/10.52548/VYKR3129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However, the upstream accounting allows the users of e-fuels to consider that their generation</w:t>
      </w:r>
      <w:r>
        <w:t xml:space="preserve"> </w:t>
      </w:r>
      <w:r>
        <w:t xml:space="preserve">results in no emissions (or zero-rated emissions), which enables sectors like aviation or</w:t>
      </w:r>
      <w:r>
        <w:t xml:space="preserve"> </w:t>
      </w:r>
      <w:r>
        <w:t xml:space="preserve">maritime transport to rely on such e-fuels for the decarbonisation of their activities.</w:t>
      </w:r>
      <w:r>
        <w:br/>
      </w:r>
      <w:r>
        <w:t xml:space="preserve">• Double counting of emissions downstream</w:t>
      </w:r>
      <w:r>
        <w:br/>
      </w:r>
      <w:r>
        <w:t xml:space="preserve">Upstream accounting of emissions has the potential to double count emissions when a CCU</w:t>
      </w:r>
      <w:r>
        <w:t xml:space="preserve"> </w:t>
      </w:r>
      <w:r>
        <w:t xml:space="preserve">product is combusted. Emissions that have been priced upstream can be zero rated downstream,</w:t>
      </w:r>
      <w:r>
        <w:t xml:space="preserve"> </w:t>
      </w:r>
      <w:r>
        <w:t xml:space="preserve">but this is only possible when it can be proven that a particular source of emissions has already</w:t>
      </w:r>
      <w:r>
        <w:t xml:space="preserve"> </w:t>
      </w:r>
      <w:r>
        <w:t xml:space="preserve">been priced. This is possible for e-fuels, which are subject to a specific certification and</w:t>
      </w:r>
      <w:r>
        <w:t xml:space="preserve"> </w:t>
      </w:r>
      <w:r>
        <w:t xml:space="preserve">tracking regime. Double counting occurs for CCU products end up incinerated in the general</w:t>
      </w:r>
      <w:r>
        <w:t xml:space="preserve"> </w:t>
      </w:r>
      <w:r>
        <w:t xml:space="preserve">waste stream that is subject to carbon pricing. This concerns PCC used in paper, certain plastics</w:t>
      </w:r>
      <w:r>
        <w:t xml:space="preserve"> </w:t>
      </w:r>
      <w:r>
        <w:t xml:space="preserve">and soda ash. This double counting of emissions increases the overall cost for businesses and</w:t>
      </w:r>
      <w:r>
        <w:t xml:space="preserve"> </w:t>
      </w:r>
      <w:r>
        <w:t xml:space="preserve">reduces economic efficiency for these non-permanent CCU products.</w:t>
      </w:r>
      <w:r>
        <w:br/>
      </w:r>
      <w:r>
        <w:t xml:space="preserve">Considering the 14 unique Eurostat waste categories, data shows that around 5% of the overall</w:t>
      </w:r>
      <w:r>
        <w:t xml:space="preserve"> </w:t>
      </w:r>
      <w:r>
        <w:t xml:space="preserve">annual waste reported in 2022 went directly to incineration and energy recovery, 9% to landfill,</w:t>
      </w:r>
      <w:r>
        <w:t xml:space="preserve"> </w:t>
      </w:r>
      <w:r>
        <w:t xml:space="preserve">and the remaining 86% to recycling. However, this Eurostat data represents waste treatment</w:t>
      </w:r>
      <w:r>
        <w:t xml:space="preserve"> </w:t>
      </w:r>
      <w:r>
        <w:t xml:space="preserve">in the first instance of the products end-of-life and does not consider the lifecycle and</w:t>
      </w:r>
      <w:r>
        <w:t xml:space="preserve"> </w:t>
      </w:r>
      <w:r>
        <w:t xml:space="preserve">associated timeline of products that may be recycled multiple times and eventually incinerated,</w:t>
      </w:r>
      <w:r>
        <w:t xml:space="preserve"> </w:t>
      </w:r>
      <w:r>
        <w:t xml:space="preserve">nor does it relate to whether non-permanent CCU products are inert or re-emit under recycling</w:t>
      </w:r>
      <w:r>
        <w:t xml:space="preserve"> </w:t>
      </w:r>
      <w:r>
        <w:t xml:space="preserve">or landfill. Furthermore, if most of the non-permanent CCU products considered in this analysis</w:t>
      </w:r>
      <w:r>
        <w:t xml:space="preserve"> </w:t>
      </w:r>
      <w:r>
        <w:t xml:space="preserve">are recycled, materials cannot be endlessly recycled, and they will eventually sufficiently</w:t>
      </w:r>
      <w:r>
        <w:t xml:space="preserve"> </w:t>
      </w:r>
      <w:r>
        <w:t xml:space="preserve">degrade that they would have to be either incinerated or landfilled. If eventually incinerated,</w:t>
      </w:r>
      <w:r>
        <w:t xml:space="preserve"> </w:t>
      </w:r>
      <w:r>
        <w:t xml:space="preserve">the materials initially sent for recycling can still pose a risk of double-counting.</w:t>
      </w:r>
      <w:r>
        <w:br/>
      </w:r>
      <w:r>
        <w:t xml:space="preserve">By volume recycled, paper and cardboard wastes, plastic wastes, and mineral waste from</w:t>
      </w:r>
      <w:r>
        <w:t xml:space="preserve"> </w:t>
      </w:r>
      <w:r>
        <w:t xml:space="preserve">construction and demolition, are the top three recycled Eurostat product groupings. For plastics,</w:t>
      </w:r>
      <w:r>
        <w:t xml:space="preserve"> </w:t>
      </w:r>
      <w:r>
        <w:t xml:space="preserve">most recycled plastics are recycled once or twice before final disposal204, and as noted in this</w:t>
      </w:r>
      <w:r>
        <w:t xml:space="preserve"> </w:t>
      </w:r>
      <w:r>
        <w:t xml:space="preserve">assessment, the average landfill and incineration rates for plastic wastes in Europe was ~40%</w:t>
      </w:r>
      <w:r>
        <w:t xml:space="preserve"> </w:t>
      </w:r>
      <w:r>
        <w:t xml:space="preserve">and ~60% respectively. For mineral waste, the largest category by volume of waste treated,</w:t>
      </w:r>
      <w:r>
        <w:t xml:space="preserve"> </w:t>
      </w:r>
      <w:r>
        <w:t xml:space="preserve">most waste is landfilled, with an average landfill rate of 91%, and incineration is not generally</w:t>
      </w:r>
      <w:r>
        <w:t xml:space="preserve"> </w:t>
      </w:r>
      <w:r>
        <w:t xml:space="preserve">relevant. For paper and cardboard wastes (the second-most voluminous category), Eurostat</w:t>
      </w:r>
      <w:r>
        <w:t xml:space="preserve"> </w:t>
      </w:r>
      <w:r>
        <w:t xml:space="preserve">data suggests that beyond recycling, the next most popular form of waste treatment is</w:t>
      </w:r>
      <w:r>
        <w:t xml:space="preserve"> </w:t>
      </w:r>
      <w:r>
        <w:t xml:space="preserve">incineration in energy recovery. Research suggests that most paper can be recycled</w:t>
      </w:r>
      <w:r>
        <w:t xml:space="preserve"> </w:t>
      </w:r>
      <w:r>
        <w:t xml:space="preserve">approximately 5-7 times before final disposal205. Across all non-permanent CCU products</w:t>
      </w:r>
      <w:r>
        <w:t xml:space="preserve"> </w:t>
      </w:r>
      <w:r>
        <w:t xml:space="preserve">considered, an average incineration rate of only 21.4% is observed.206</w:t>
      </w:r>
      <w:r>
        <w:br/>
      </w:r>
      <w:r>
        <w:t xml:space="preserve">The theoretical magnitude of potential double counting is determined by the likelihood of CCU</w:t>
      </w:r>
      <w:r>
        <w:t xml:space="preserve"> </w:t>
      </w:r>
      <w:r>
        <w:t xml:space="preserve">products replacing traditional one. PCC represents one of the few existing CCU applications</w:t>
      </w:r>
      <w:r>
        <w:t xml:space="preserve"> </w:t>
      </w:r>
      <w:r>
        <w:t xml:space="preserve">and is replacing natural carbonates in applications, such as fillers for paper production. Another</w:t>
      </w:r>
    </w:p>
    <w:p>
      <w:pPr>
        <w:pStyle w:val="BodyText"/>
      </w:pPr>
      <w:r>
        <w:t xml:space="preserve">204 Ritchie, H. (2018, September). FAQs on plastics. Our World in Data. https://ourworldindata.org/faq-on-</w:t>
      </w:r>
      <w:r>
        <w:t xml:space="preserve"> </w:t>
      </w:r>
      <w:r>
        <w:t xml:space="preserve">plastics</w:t>
      </w:r>
      <w:r>
        <w:br/>
      </w:r>
      <w:r>
        <w:t xml:space="preserve">205 Obradovic, D., &amp; Mishra, L. N. (2020). Mechanical properties of recycled paper and cardboard. Journal of</w:t>
      </w:r>
      <w:r>
        <w:t xml:space="preserve"> </w:t>
      </w:r>
      <w:r>
        <w:t xml:space="preserve">Engineering and Exact Sciences (jCEC), 6(3), 429–434.</w:t>
      </w:r>
      <w:r>
        <w:t xml:space="preserve"> </w:t>
      </w:r>
      <w:r>
        <w:t xml:space="preserve">https://www.researchgate.net/publication/346288278_Mechanical_Properties_Of_Recycled_Paper_And_Ca</w:t>
      </w:r>
      <w:r>
        <w:t xml:space="preserve"> </w:t>
      </w:r>
      <w:r>
        <w:t xml:space="preserve">rdboard/fulltext/63cad96b6fe15d6a57343d2d/Mechanical-Properties-Of-Recycled-Paper-And-</w:t>
      </w:r>
      <w:r>
        <w:t xml:space="preserve"> </w:t>
      </w:r>
      <w:r>
        <w:t xml:space="preserve">Cardboard.pdf</w:t>
      </w:r>
      <w:r>
        <w:br/>
      </w:r>
      <w:r>
        <w:t xml:space="preserve">206 Eurostat. (2025). Treatment of waste by waste category, hazardousness and waste management operations</w:t>
      </w:r>
      <w:r>
        <w:t xml:space="preserve"> </w:t>
      </w:r>
      <w:r>
        <w:t xml:space="preserve">(ENV_WASTRT) Data set. European Commission. https://ec.europa.eu/eurostat/web/products-datasets/-</w:t>
      </w:r>
      <w:r>
        <w:t xml:space="preserve"> </w:t>
      </w:r>
      <w:r>
        <w:t xml:space="preserve">/env_wastrt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potential CCU product category that may lead to double counting is that of polymers or plastics,</w:t>
      </w:r>
      <w:r>
        <w:t xml:space="preserve"> </w:t>
      </w:r>
      <w:r>
        <w:t xml:space="preserve">replacing fossil-based virgin plastics.</w:t>
      </w:r>
      <w:r>
        <w:br/>
      </w:r>
      <w:r>
        <w:t xml:space="preserve">Currently, the actual risk of double counting is minimal, mostly limited to quantities of PCC</w:t>
      </w:r>
      <w:r>
        <w:t xml:space="preserve"> </w:t>
      </w:r>
      <w:r>
        <w:t xml:space="preserve">used as filler in paper and other products that end up eventually incinerated. However, as</w:t>
      </w:r>
      <w:r>
        <w:t xml:space="preserve"> </w:t>
      </w:r>
      <w:r>
        <w:t xml:space="preserve">carbon capture and CCU applications will play an increasingly important role in decarbonising</w:t>
      </w:r>
      <w:r>
        <w:t xml:space="preserve"> </w:t>
      </w:r>
      <w:r>
        <w:t xml:space="preserve">(and de-fossilising) hard to abate sectors, this risk is expected to grow and become significant</w:t>
      </w:r>
      <w:r>
        <w:t xml:space="preserve"> </w:t>
      </w:r>
      <w:r>
        <w:t xml:space="preserve">with time. The theoretical potential for double counting of emissions, even when looking only</w:t>
      </w:r>
      <w:r>
        <w:t xml:space="preserve"> </w:t>
      </w:r>
      <w:r>
        <w:t xml:space="preserve">at these two CCU products, can be as much as all the emissions from the incineration of more</w:t>
      </w:r>
      <w:r>
        <w:t xml:space="preserve"> </w:t>
      </w:r>
      <w:r>
        <w:t xml:space="preserve">than half of the share of plastics and from all the volume of paper being disposed.</w:t>
      </w:r>
      <w:r>
        <w:br/>
      </w:r>
      <w:r>
        <w:t xml:space="preserve">The primary method of avoiding double counting of emissions that have already been</w:t>
      </w:r>
      <w:r>
        <w:t xml:space="preserve"> </w:t>
      </w:r>
      <w:r>
        <w:t xml:space="preserve">accounted upstream is to zero-rate the emissions from CCU products. This is already the</w:t>
      </w:r>
      <w:r>
        <w:t xml:space="preserve"> </w:t>
      </w:r>
      <w:r>
        <w:t xml:space="preserve">established practice for emissions from biomass (as biomass emissions are accounted in the</w:t>
      </w:r>
      <w:r>
        <w:t xml:space="preserve"> </w:t>
      </w:r>
      <w:r>
        <w:t xml:space="preserve">land sector) and from e-fuels, if they are certified to meet minimum sustainability requirements.</w:t>
      </w:r>
      <w:r>
        <w:t xml:space="preserve"> </w:t>
      </w:r>
      <w:r>
        <w:t xml:space="preserve">However, the zero-rating of biofuels and e-fuels is enabled by a certification system that can</w:t>
      </w:r>
      <w:r>
        <w:t xml:space="preserve"> </w:t>
      </w:r>
      <w:r>
        <w:t xml:space="preserve">identify and trace along the value chain fuels with specific characteristics.</w:t>
      </w:r>
      <w:r>
        <w:br/>
      </w:r>
      <w:r>
        <w:t xml:space="preserve">Such a system would be difficult to apply to the zero-rating of CCU products in the waste</w:t>
      </w:r>
      <w:r>
        <w:t xml:space="preserve"> </w:t>
      </w:r>
      <w:r>
        <w:t xml:space="preserve">stream sent for incineration. Furthermore, it is not possible to distinguish between virgin fossil</w:t>
      </w:r>
      <w:r>
        <w:t xml:space="preserve"> </w:t>
      </w:r>
      <w:r>
        <w:t xml:space="preserve">carbon and captured and recycled fossil carbon, unlike biogenic emissions that can be</w:t>
      </w:r>
      <w:r>
        <w:t xml:space="preserve"> </w:t>
      </w:r>
      <w:r>
        <w:t xml:space="preserve">distinguished from fossil-based carbon via isotope analysis at the point of combustion. Thus,</w:t>
      </w:r>
      <w:r>
        <w:t xml:space="preserve"> </w:t>
      </w:r>
      <w:r>
        <w:t xml:space="preserve">it is technically unfeasible to avoid double counting by measurement at the point of</w:t>
      </w:r>
      <w:r>
        <w:t xml:space="preserve"> </w:t>
      </w:r>
      <w:r>
        <w:t xml:space="preserve">incineration. Therefore, avoiding the double counting of emissions under the upstream</w:t>
      </w:r>
      <w:r>
        <w:t xml:space="preserve"> </w:t>
      </w:r>
      <w:r>
        <w:t xml:space="preserve">accounting, would require determining the proportion of captured carbon eventually entering</w:t>
      </w:r>
      <w:r>
        <w:t xml:space="preserve"> </w:t>
      </w:r>
      <w:r>
        <w:t xml:space="preserve">an ETS-regulated MWI would require a tracking or mass balance recycling of CCU based</w:t>
      </w:r>
      <w:r>
        <w:t xml:space="preserve"> </w:t>
      </w:r>
      <w:r>
        <w:t xml:space="preserve">products based on a certification process from the upstream creation of the non-permanent</w:t>
      </w:r>
      <w:r>
        <w:t xml:space="preserve"> </w:t>
      </w:r>
      <w:r>
        <w:t xml:space="preserve">CCU product through its end-of-life pathway or the trading of GoOs representing quantities of</w:t>
      </w:r>
      <w:r>
        <w:t xml:space="preserve"> </w:t>
      </w:r>
      <w:r>
        <w:t xml:space="preserve">CCU products. However, as shown previously, such systems would be administratively</w:t>
      </w:r>
      <w:r>
        <w:t xml:space="preserve"> </w:t>
      </w:r>
      <w:r>
        <w:t xml:space="preserve">complex and costly to implement.</w:t>
      </w:r>
      <w:r>
        <w:br/>
      </w:r>
      <w:r>
        <w:t xml:space="preserve">Furthermore, while the LCA effects of using CCU products are not assessed here, it is</w:t>
      </w:r>
      <w:r>
        <w:t xml:space="preserve"> </w:t>
      </w:r>
      <w:r>
        <w:t xml:space="preserve">important to also highlight upstream accounting also disincentivizes projects that can use</w:t>
      </w:r>
      <w:r>
        <w:t xml:space="preserve"> </w:t>
      </w:r>
      <w:r>
        <w:t xml:space="preserve">captured CO2 as an alternative feedstock, perpetuating the use of virgin fossil fuels and</w:t>
      </w:r>
      <w:r>
        <w:t xml:space="preserve"> </w:t>
      </w:r>
      <w:r>
        <w:t xml:space="preserve">chemicals.</w:t>
      </w:r>
      <w:r>
        <w:br/>
      </w:r>
      <w:r>
        <w:t xml:space="preserve">As a result, in the upstream accounting a risk of double counting of emissions will negatively</w:t>
      </w:r>
      <w:r>
        <w:t xml:space="preserve"> </w:t>
      </w:r>
      <w:r>
        <w:t xml:space="preserve">affect business conduct by increasing the compliance obligations of businesses.</w:t>
      </w:r>
      <w:r>
        <w:t xml:space="preserve"> </w:t>
      </w:r>
      <w:r>
        <w:t xml:space="preserve">2.4.3.1.2.</w:t>
      </w:r>
      <w:r>
        <w:t xml:space="preserve"> </w:t>
      </w:r>
      <w:r>
        <w:t xml:space="preserve">CCU2 and CCU3 – ‘Downstream -’ and ‘Hybrid Downstream</w:t>
      </w:r>
      <w:r>
        <w:t xml:space="preserve"> </w:t>
      </w:r>
      <w:r>
        <w:t xml:space="preserve">and midstream accounting’</w:t>
      </w:r>
      <w:r>
        <w:br/>
      </w:r>
      <w:r>
        <w:t xml:space="preserve">As regards CCU2, the accounting of emissions moves the burden of the reporting and paying</w:t>
      </w:r>
      <w:r>
        <w:t xml:space="preserve"> </w:t>
      </w:r>
      <w:r>
        <w:t xml:space="preserve">for the captured emissions downstream, at the end of life of the product. This can be either</w:t>
      </w:r>
      <w:r>
        <w:t xml:space="preserve"> </w:t>
      </w:r>
      <w:r>
        <w:t xml:space="preserve">where the product is consumed (in the case of fuels) or where the product is disposed of (e.g. </w:t>
      </w:r>
      <w:r>
        <w:t xml:space="preserve"> </w:t>
      </w:r>
      <w:r>
        <w:t xml:space="preserve">waste incineration). This measure assumes that this downstream activity falls within the scope</w:t>
      </w:r>
      <w:r>
        <w:t xml:space="preserve"> </w:t>
      </w:r>
      <w:r>
        <w:t xml:space="preserve">of the EU ETS. This measure will have the following impact on the conduct of businesses:</w:t>
      </w:r>
      <w:r>
        <w:t xml:space="preserve"> </w:t>
      </w:r>
      <w:r>
        <w:t xml:space="preserve">• It improves the business case and incentivises ETS emitters to invest in carbon capture</w:t>
      </w:r>
      <w:r>
        <w:t xml:space="preserve"> </w:t>
      </w:r>
      <w:r>
        <w:t xml:space="preserve">based on the demand for fossil-replacement carbon feedstocks for CCU</w:t>
      </w:r>
      <w:r>
        <w:t xml:space="preserve"> </w:t>
      </w:r>
      <w:r>
        <w:t xml:space="preserve">The downstream accounting provides ETS emitters with more options for reducing their</w:t>
      </w:r>
      <w:r>
        <w:t xml:space="preserve"> </w:t>
      </w:r>
      <w:r>
        <w:t xml:space="preserve">compliance obligations by having the possibility of choosing between capturing emissions for</w:t>
      </w:r>
      <w:r>
        <w:t xml:space="preserve"> </w:t>
      </w:r>
      <w:r>
        <w:t xml:space="preserve">storage or for utilisation (or for both), and optimising their strategy based on their individual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circumstances. As the availability of and access to geological storage sites is limited, CCS may</w:t>
      </w:r>
      <w:r>
        <w:t xml:space="preserve"> </w:t>
      </w:r>
      <w:r>
        <w:t xml:space="preserve">not be economically viable for some installations, or even unfeasible. As shown previously, in</w:t>
      </w:r>
      <w:r>
        <w:t xml:space="preserve"> </w:t>
      </w:r>
      <w:r>
        <w:t xml:space="preserve">a CCS only scenario, the required CO2 transport infrastructure would need investments of up</w:t>
      </w:r>
      <w:r>
        <w:t xml:space="preserve"> </w:t>
      </w:r>
      <w:r>
        <w:t xml:space="preserve">to 23 billion EUR by 2050. Incentivising CCU allows to reduce these investment costs, as CCU</w:t>
      </w:r>
      <w:r>
        <w:t xml:space="preserve"> </w:t>
      </w:r>
      <w:r>
        <w:t xml:space="preserve">producers can be located in the proximity of emitters and would not require the transport of</w:t>
      </w:r>
      <w:r>
        <w:t xml:space="preserve"> </w:t>
      </w:r>
      <w:r>
        <w:t xml:space="preserve">CO2 over large distances</w:t>
      </w:r>
      <w:r>
        <w:t xml:space="preserve"> </w:t>
      </w:r>
      <w:r>
        <w:t xml:space="preserve">The capture for non-permanent CCU products allows ETS emitters to both reduce their ETS</w:t>
      </w:r>
      <w:r>
        <w:t xml:space="preserve"> </w:t>
      </w:r>
      <w:r>
        <w:t xml:space="preserve">costs and sell the captured CO2 as a feedstock to other installations, therefore making a costly</w:t>
      </w:r>
      <w:r>
        <w:t xml:space="preserve"> </w:t>
      </w:r>
      <w:r>
        <w:t xml:space="preserve">waste product into a business opportunity.</w:t>
      </w:r>
      <w:r>
        <w:br/>
      </w:r>
      <w:r>
        <w:t xml:space="preserve">• It incentivises the production of non-permanent CCU products by improving the</w:t>
      </w:r>
      <w:r>
        <w:t xml:space="preserve"> </w:t>
      </w:r>
      <w:r>
        <w:t xml:space="preserve">availability of CO2 feedstock</w:t>
      </w:r>
      <w:r>
        <w:t xml:space="preserve"> </w:t>
      </w:r>
      <w:r>
        <w:t xml:space="preserve">By incentivising the capture and use of emissions, the downstream accounting increases the</w:t>
      </w:r>
      <w:r>
        <w:t xml:space="preserve"> </w:t>
      </w:r>
      <w:r>
        <w:t xml:space="preserve">availability and may over time reduce the cost of CO2 as a feedstock to be used for non-</w:t>
      </w:r>
      <w:r>
        <w:t xml:space="preserve"> </w:t>
      </w:r>
      <w:r>
        <w:t xml:space="preserve">permanent CCU products. More investments in carbon capture and the capturing of higher CO2</w:t>
      </w:r>
      <w:r>
        <w:t xml:space="preserve"> </w:t>
      </w:r>
      <w:r>
        <w:t xml:space="preserve">volumes will reduce the cost of the CO2 feedstock due to economies of scale, better utilisation</w:t>
      </w:r>
      <w:r>
        <w:t xml:space="preserve"> </w:t>
      </w:r>
      <w:r>
        <w:t xml:space="preserve">of capital and competition between the different capture installations. It therefore supports the</w:t>
      </w:r>
      <w:r>
        <w:t xml:space="preserve"> </w:t>
      </w:r>
      <w:r>
        <w:t xml:space="preserve">production of synthetic fuels or chemicals, as CCU producers are able to secure sufficient CO2</w:t>
      </w:r>
      <w:r>
        <w:t xml:space="preserve"> </w:t>
      </w:r>
      <w:r>
        <w:t xml:space="preserve">feedstock to make their business viable.</w:t>
      </w:r>
      <w:r>
        <w:br/>
      </w:r>
      <w:r>
        <w:t xml:space="preserve">• It levels the playing field between CCU products and traditional fossil products.</w:t>
      </w:r>
      <w:r>
        <w:t xml:space="preserve"> </w:t>
      </w:r>
      <w:r>
        <w:t xml:space="preserve">The downstream accounting approach ensures that non-permanent CCU products are treated</w:t>
      </w:r>
      <w:r>
        <w:t xml:space="preserve"> </w:t>
      </w:r>
      <w:r>
        <w:t xml:space="preserve">the same way as their fossil fuel equivalent in terms of emissions accounting, where loopholes</w:t>
      </w:r>
      <w:r>
        <w:t xml:space="preserve"> </w:t>
      </w:r>
      <w:r>
        <w:t xml:space="preserve">are avoided. Only the combustion and process emissions from their production are reported</w:t>
      </w:r>
      <w:r>
        <w:t xml:space="preserve"> </w:t>
      </w:r>
      <w:r>
        <w:t xml:space="preserve">and priced in the ETS for both type of products, while the emissions embedded in the product</w:t>
      </w:r>
      <w:r>
        <w:t xml:space="preserve"> </w:t>
      </w:r>
      <w:r>
        <w:t xml:space="preserve">will be reported and paid for downstream when those emissions are realised, i.e. at the point of</w:t>
      </w:r>
      <w:r>
        <w:t xml:space="preserve"> </w:t>
      </w:r>
      <w:r>
        <w:t xml:space="preserve">incineration.</w:t>
      </w:r>
      <w:r>
        <w:br/>
      </w:r>
      <w:r>
        <w:t xml:space="preserve">It is important to note that to ensure this level playing field, the activity “production of synthetic</w:t>
      </w:r>
      <w:r>
        <w:t xml:space="preserve"> </w:t>
      </w:r>
      <w:r>
        <w:t xml:space="preserve">fuels and chemicals” would need to be specifically covered by the EU ETS, which is currently</w:t>
      </w:r>
      <w:r>
        <w:t xml:space="preserve"> </w:t>
      </w:r>
      <w:r>
        <w:t xml:space="preserve">not the case.</w:t>
      </w:r>
      <w:r>
        <w:br/>
      </w:r>
      <w:r>
        <w:t xml:space="preserve">The most frequently cited reason in the OPC for supporting downstream accounting options</w:t>
      </w:r>
      <w:r>
        <w:t xml:space="preserve"> </w:t>
      </w:r>
      <w:r>
        <w:t xml:space="preserve">was to provide a clear incentive for CCU based carbon over virgin fossil-based carbon. By</w:t>
      </w:r>
      <w:r>
        <w:t xml:space="preserve"> </w:t>
      </w:r>
      <w:r>
        <w:t xml:space="preserve">moving the surrender obligation downstream to the final emitter rather than upstream with the</w:t>
      </w:r>
      <w:r>
        <w:t xml:space="preserve"> </w:t>
      </w:r>
      <w:r>
        <w:t xml:space="preserve">capture installation, CCU use can be incentivised as there is an incentive to transfer CO2</w:t>
      </w:r>
      <w:r>
        <w:t xml:space="preserve"> </w:t>
      </w:r>
      <w:r>
        <w:t xml:space="preserve">downstream as they would no longer need to surrender allowances for such non-permanent</w:t>
      </w:r>
      <w:r>
        <w:t xml:space="preserve"> </w:t>
      </w:r>
      <w:r>
        <w:t xml:space="preserve">storage and re-use.</w:t>
      </w:r>
      <w:r>
        <w:t xml:space="preserve"> </w:t>
      </w:r>
      <w:r>
        <w:t xml:space="preserve">• It avoids the double counting of emissions</w:t>
      </w:r>
      <w:r>
        <w:t xml:space="preserve"> </w:t>
      </w:r>
      <w:r>
        <w:t xml:space="preserve">Downstream accounting addresses the risk of double counting that results from the upstream</w:t>
      </w:r>
      <w:r>
        <w:t xml:space="preserve"> </w:t>
      </w:r>
      <w:r>
        <w:t xml:space="preserve">accounting system if waste incineration is part of the EU ETS scope. If the capture operator is</w:t>
      </w:r>
      <w:r>
        <w:t xml:space="preserve"> </w:t>
      </w:r>
      <w:r>
        <w:t xml:space="preserve">not required to surrender allowances for any CO2 captured, the final emitter, which can be the</w:t>
      </w:r>
      <w:r>
        <w:t xml:space="preserve"> </w:t>
      </w:r>
      <w:r>
        <w:t xml:space="preserve">user of synthetic fuels or the waste incinerator that incinerates non-permanent CCU products,</w:t>
      </w:r>
      <w:r>
        <w:t xml:space="preserve"> </w:t>
      </w:r>
      <w:r>
        <w:t xml:space="preserve">would have to surrender allowances for these emissions.</w:t>
      </w:r>
      <w:r>
        <w:br/>
      </w:r>
      <w:r>
        <w:t xml:space="preserve">This was also one of the most frequently cited justifications for respondents to the OPC</w:t>
      </w:r>
      <w:r>
        <w:t xml:space="preserve"> </w:t>
      </w:r>
      <w:r>
        <w:t xml:space="preserve">supporting downstream accounting. However, with the downstream accounting there is the risk</w:t>
      </w:r>
      <w:r>
        <w:t xml:space="preserve"> </w:t>
      </w:r>
      <w:r>
        <w:t xml:space="preserve">of loopholes in the accounting system in case the downstream emission occurs outside of the</w:t>
      </w:r>
      <w:r>
        <w:t xml:space="preserve"> </w:t>
      </w:r>
      <w:r>
        <w:t xml:space="preserve">scope of the EU ETS and therefore it is not priced, undermining the integrity of the EU ETS.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Respondents provided further justification for downstream accounting contributing to the</w:t>
      </w:r>
      <w:r>
        <w:t xml:space="preserve"> </w:t>
      </w:r>
      <w:r>
        <w:t xml:space="preserve">avoidance of double counting, with 34 responses highlighting that the avoidance of double-</w:t>
      </w:r>
      <w:r>
        <w:t xml:space="preserve"> </w:t>
      </w:r>
      <w:r>
        <w:t xml:space="preserve">counting is a key advantage of such an accounting approach. Respondents often explained that</w:t>
      </w:r>
      <w:r>
        <w:t xml:space="preserve"> </w:t>
      </w:r>
      <w:r>
        <w:t xml:space="preserve">by moving the surrender obligation downstream, double counting of CO2 emissions from</w:t>
      </w:r>
      <w:r>
        <w:t xml:space="preserve"> </w:t>
      </w:r>
      <w:r>
        <w:t xml:space="preserve">further up the value chain would be avoided. This category also captures the further benefit of</w:t>
      </w:r>
      <w:r>
        <w:t xml:space="preserve"> </w:t>
      </w:r>
      <w:r>
        <w:t xml:space="preserve">the downstream approach (i.e. aligning with the principle of single carbon pricing) that was</w:t>
      </w:r>
      <w:r>
        <w:t xml:space="preserve"> </w:t>
      </w:r>
      <w:r>
        <w:t xml:space="preserve">frequently expressed by the respondents regarding the provision of better incentives for the use</w:t>
      </w:r>
      <w:r>
        <w:t xml:space="preserve"> </w:t>
      </w:r>
      <w:r>
        <w:t xml:space="preserve">of CCU as a result of moving the surrender obligation downstream. Given that the capture</w:t>
      </w:r>
      <w:r>
        <w:t xml:space="preserve"> </w:t>
      </w:r>
      <w:r>
        <w:t xml:space="preserve">installation avoids the cost of surrendering allowances under this downstream accounting</w:t>
      </w:r>
      <w:r>
        <w:t xml:space="preserve"> </w:t>
      </w:r>
      <w:r>
        <w:t xml:space="preserve">approach, it can offer captured CO2 at lower prices to producers of carbon-based products</w:t>
      </w:r>
      <w:r>
        <w:t xml:space="preserve"> </w:t>
      </w:r>
      <w:r>
        <w:t xml:space="preserve">further downstream.</w:t>
      </w:r>
      <w:r>
        <w:br/>
      </w:r>
      <w:r>
        <w:t xml:space="preserve">• It creates potential loopholes where emissions are not accounted for and paid for</w:t>
      </w:r>
      <w:r>
        <w:t xml:space="preserve"> </w:t>
      </w:r>
      <w:r>
        <w:t xml:space="preserve">As shown in the section on the environmental impacts, downstream accounting can create</w:t>
      </w:r>
      <w:r>
        <w:t xml:space="preserve"> </w:t>
      </w:r>
      <w:r>
        <w:t xml:space="preserve">loopholes resulting in emissions within the scope of the EU ETS being under-reported and</w:t>
      </w:r>
      <w:r>
        <w:t xml:space="preserve"> </w:t>
      </w:r>
      <w:r>
        <w:t xml:space="preserve">therefore avoiding the associated carbon price. Although, this represents primarily a potential</w:t>
      </w:r>
      <w:r>
        <w:t xml:space="preserve"> </w:t>
      </w:r>
      <w:r>
        <w:t xml:space="preserve">negative environmental impact (see section 2.3.4.2), it does reduce the compliance costs for</w:t>
      </w:r>
      <w:r>
        <w:t xml:space="preserve"> </w:t>
      </w:r>
      <w:r>
        <w:t xml:space="preserve">individual operators that capture their emissions as they would have to surrender less emission</w:t>
      </w:r>
      <w:r>
        <w:t xml:space="preserve"> </w:t>
      </w:r>
      <w:r>
        <w:t xml:space="preserve">allowances compared to the upstream accounting under CCU1.</w:t>
      </w:r>
      <w:r>
        <w:br/>
      </w:r>
      <w:r>
        <w:t xml:space="preserve">• ‘Downstream accounting’ weakens the business case for e-fuels and, if no adjustments</w:t>
      </w:r>
      <w:r>
        <w:t xml:space="preserve"> </w:t>
      </w:r>
      <w:r>
        <w:t xml:space="preserve">in the regulatory frameworks, creates challenges in the certification of sustainable e-</w:t>
      </w:r>
      <w:r>
        <w:t xml:space="preserve"> </w:t>
      </w:r>
      <w:r>
        <w:t xml:space="preserve">fuels</w:t>
      </w:r>
      <w:r>
        <w:t xml:space="preserve"> </w:t>
      </w:r>
      <w:r>
        <w:t xml:space="preserve">Downstream accounting presents a weaker business case to produce CCU fuels, as downstream</w:t>
      </w:r>
      <w:r>
        <w:t xml:space="preserve"> </w:t>
      </w:r>
      <w:r>
        <w:t xml:space="preserve">accounting means that the fuel user would be required to report and price the resulting</w:t>
      </w:r>
      <w:r>
        <w:t xml:space="preserve"> </w:t>
      </w:r>
      <w:r>
        <w:t xml:space="preserve">combustion emissions. In this case, there would be no incentive for fuel user to purchase and</w:t>
      </w:r>
      <w:r>
        <w:t xml:space="preserve"> </w:t>
      </w:r>
      <w:r>
        <w:t xml:space="preserve">use e-fuels, which are still significantly more expensive than fossil fuels.</w:t>
      </w:r>
      <w:r>
        <w:br/>
      </w:r>
      <w:r>
        <w:t xml:space="preserve">Furthermore, the current regulatory framework under the RED and the Gas Directive require</w:t>
      </w:r>
      <w:r>
        <w:t xml:space="preserve"> </w:t>
      </w:r>
      <w:r>
        <w:t xml:space="preserve">upstream accounting for the CO2 used to make CCU fuels. Without any regulatory adjustments,</w:t>
      </w:r>
      <w:r>
        <w:t xml:space="preserve"> </w:t>
      </w:r>
      <w:r>
        <w:t xml:space="preserve">the downstream accounting approach will make it impossible to meet the required 70% GHG</w:t>
      </w:r>
      <w:r>
        <w:t xml:space="preserve"> </w:t>
      </w:r>
      <w:r>
        <w:t xml:space="preserve">emissions savings for the fuels to qualify as sustainable renewable or low carbon fuels.</w:t>
      </w:r>
      <w:r>
        <w:br/>
      </w:r>
      <w:r>
        <w:t xml:space="preserve">Correspondingly, the need for a differentiation of accounting approaches was often advocated</w:t>
      </w:r>
      <w:r>
        <w:t xml:space="preserve"> </w:t>
      </w:r>
      <w:r>
        <w:t xml:space="preserve">among respondents to the OPC, making a key distinction between CCU fuels and CCU</w:t>
      </w:r>
      <w:r>
        <w:t xml:space="preserve"> </w:t>
      </w:r>
      <w:r>
        <w:t xml:space="preserve">materials. One fifth of respondents who expressed support for upstream accounting did so</w:t>
      </w:r>
      <w:r>
        <w:t xml:space="preserve"> </w:t>
      </w:r>
      <w:r>
        <w:t xml:space="preserve">specifically for CCU fuels as, in their view, this would help to ensure regulatory stability with</w:t>
      </w:r>
      <w:r>
        <w:t xml:space="preserve"> </w:t>
      </w:r>
      <w:r>
        <w:t xml:space="preserve">the current framework that also follows an upstream approach to accounting (i.e. to align with</w:t>
      </w:r>
      <w:r>
        <w:t xml:space="preserve"> </w:t>
      </w:r>
      <w:r>
        <w:t xml:space="preserve">EU ETS and RED rules and remain coherent with the RED RFNBO Delegated Act).</w:t>
      </w:r>
      <w:r>
        <w:t xml:space="preserve"> </w:t>
      </w:r>
      <w:r>
        <w:t xml:space="preserve">• It increases the compliance obligations for downstream installations, such as waste</w:t>
      </w:r>
      <w:r>
        <w:t xml:space="preserve"> </w:t>
      </w:r>
      <w:r>
        <w:t xml:space="preserve">incinerators and e-fuel users</w:t>
      </w:r>
      <w:r>
        <w:t xml:space="preserve"> </w:t>
      </w:r>
      <w:r>
        <w:t xml:space="preserve">As mentioned in the previous paragraphs, under the downstream accounting fuel users would</w:t>
      </w:r>
      <w:r>
        <w:t xml:space="preserve"> </w:t>
      </w:r>
      <w:r>
        <w:t xml:space="preserve">have to report and pay for the emissions resulting from the use of e-fuels the same way they</w:t>
      </w:r>
      <w:r>
        <w:t xml:space="preserve"> </w:t>
      </w:r>
      <w:r>
        <w:t xml:space="preserve">would for traditional fossil fuels. Given the cost differential between the different fuels, this</w:t>
      </w:r>
      <w:r>
        <w:t xml:space="preserve"> </w:t>
      </w:r>
      <w:r>
        <w:t xml:space="preserve">would disincentivize fuel users in using e-fuels and continue the use of fossil fuels. While this</w:t>
      </w:r>
      <w:r>
        <w:t xml:space="preserve"> </w:t>
      </w:r>
      <w:r>
        <w:t xml:space="preserve">will not in itself increase the compliance obligations of fuel users, it will reduce their available</w:t>
      </w:r>
      <w:r>
        <w:t xml:space="preserve"> </w:t>
      </w:r>
      <w:r>
        <w:t xml:space="preserve">decarbonisation options, especially for sectors that cannot be (easily) electrified, such as</w:t>
      </w:r>
      <w:r>
        <w:t xml:space="preserve"> </w:t>
      </w:r>
      <w:r>
        <w:t xml:space="preserve">aviation and maritime.</w:t>
      </w:r>
      <w:r>
        <w:br/>
      </w:r>
      <w:r>
        <w:t xml:space="preserve">Unlike fuels users, which may have a choice between which fuel type to use, waste incinerators</w:t>
      </w:r>
      <w:r>
        <w:t xml:space="preserve"> </w:t>
      </w:r>
      <w:r>
        <w:t xml:space="preserve">are required to process any unrecyclable waste that is sent to them for treatment. Therefore, the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downstream accounting may increase the compliance obligation of waste incinerators if</w:t>
      </w:r>
      <w:r>
        <w:t xml:space="preserve"> </w:t>
      </w:r>
      <w:r>
        <w:t xml:space="preserve">included in the EU ETS, as they would be paying for emissions that originate from other ETS</w:t>
      </w:r>
      <w:r>
        <w:t xml:space="preserve"> </w:t>
      </w:r>
      <w:r>
        <w:t xml:space="preserve">installations that were then captured and embedded in CCU products. This concern was also</w:t>
      </w:r>
      <w:r>
        <w:t xml:space="preserve"> </w:t>
      </w:r>
      <w:r>
        <w:t xml:space="preserve">specifically expressed by respondents from the waste sector in the OPC, outlining that as they</w:t>
      </w:r>
      <w:r>
        <w:t xml:space="preserve"> </w:t>
      </w:r>
      <w:r>
        <w:t xml:space="preserve">are not responsible to produce the non-recyclable waste, they would have no control over their</w:t>
      </w:r>
      <w:r>
        <w:t xml:space="preserve"> </w:t>
      </w:r>
      <w:r>
        <w:t xml:space="preserve">obligation to surrender allowances. However, this would be no different from the compliance</w:t>
      </w:r>
      <w:r>
        <w:t xml:space="preserve"> </w:t>
      </w:r>
      <w:r>
        <w:t xml:space="preserve">obligation resulting from the combustion of virgin fossil waste. It can be assumed that non-</w:t>
      </w:r>
      <w:r>
        <w:t xml:space="preserve"> </w:t>
      </w:r>
      <w:r>
        <w:t xml:space="preserve">permanent CCU products will replace at least to some degree virgin fossil equivalent products</w:t>
      </w:r>
      <w:r>
        <w:t xml:space="preserve"> </w:t>
      </w:r>
      <w:r>
        <w:t xml:space="preserve">and therefore the net effect in terms of increased compliance obligations for waste incinerators</w:t>
      </w:r>
      <w:r>
        <w:t xml:space="preserve"> </w:t>
      </w:r>
      <w:r>
        <w:t xml:space="preserve">will be limited.</w:t>
      </w:r>
      <w:r>
        <w:br/>
      </w:r>
      <w:r>
        <w:t xml:space="preserve">However, waste incinerators are now in addition to the downstream point of accounting</w:t>
      </w:r>
      <w:r>
        <w:t xml:space="preserve"> </w:t>
      </w:r>
      <w:r>
        <w:t xml:space="preserve">potentially also upstream capturers of emissions if they install carbon capture. As an ETS</w:t>
      </w:r>
      <w:r>
        <w:t xml:space="preserve"> </w:t>
      </w:r>
      <w:r>
        <w:t xml:space="preserve">installation with high emissions and limited abatement possibilities, waste incinerators would</w:t>
      </w:r>
      <w:r>
        <w:t xml:space="preserve"> </w:t>
      </w:r>
      <w:r>
        <w:t xml:space="preserve">benefit from the same incentives as all other ETS emitters to capture their emissions and send</w:t>
      </w:r>
      <w:r>
        <w:t xml:space="preserve"> </w:t>
      </w:r>
      <w:r>
        <w:t xml:space="preserve">the CO2 either for geological storage or for CCU. This would incentivise the closing of the</w:t>
      </w:r>
      <w:r>
        <w:t xml:space="preserve"> </w:t>
      </w:r>
      <w:r>
        <w:t xml:space="preserve">emissions loop, which gradually can support the demand for carbon feedstock in the economy</w:t>
      </w:r>
      <w:r>
        <w:t xml:space="preserve"> </w:t>
      </w:r>
      <w:r>
        <w:t xml:space="preserve">without the use of virgin fossil fuels.</w:t>
      </w:r>
      <w:r>
        <w:br/>
      </w:r>
      <w:r>
        <w:t xml:space="preserve">The measure CCU3 seeks to maintain the advantages identified for the downstream approach</w:t>
      </w:r>
      <w:r>
        <w:t xml:space="preserve"> </w:t>
      </w:r>
      <w:r>
        <w:t xml:space="preserve">and address the challenges it creates for the e-fuel business case. Therefore, the measure retains</w:t>
      </w:r>
      <w:r>
        <w:t xml:space="preserve"> </w:t>
      </w:r>
      <w:r>
        <w:t xml:space="preserve">the downstream accounting for all non-permanent CCU products other than e-fuels, for a</w:t>
      </w:r>
      <w:r>
        <w:t xml:space="preserve"> </w:t>
      </w:r>
      <w:r>
        <w:t xml:space="preserve">midstream accounting would apply. Therefore, most impacts identified previously are the same</w:t>
      </w:r>
      <w:r>
        <w:t xml:space="preserve"> </w:t>
      </w:r>
      <w:r>
        <w:t xml:space="preserve">and are not repeated.</w:t>
      </w:r>
      <w:r>
        <w:t xml:space="preserve"> </w:t>
      </w:r>
      <w:r>
        <w:t xml:space="preserve">Midstream accounting for e-fuels means that the accounting and pricing of emissions that are</w:t>
      </w:r>
      <w:r>
        <w:t xml:space="preserve"> </w:t>
      </w:r>
      <w:r>
        <w:t xml:space="preserve">captured for e-fuels will be done by the producer or distributor of e-fuels (instead of the capturer</w:t>
      </w:r>
      <w:r>
        <w:t xml:space="preserve"> </w:t>
      </w:r>
      <w:r>
        <w:t xml:space="preserve">or the user). Midstream accounting by the producer effectively covers only domestic EU</w:t>
      </w:r>
      <w:r>
        <w:t xml:space="preserve"> </w:t>
      </w:r>
      <w:r>
        <w:t xml:space="preserve">production of e-fuels and additional regulations or restrictions would be required for imported</w:t>
      </w:r>
      <w:r>
        <w:t xml:space="preserve"> </w:t>
      </w:r>
      <w:r>
        <w:t xml:space="preserve">e-fuels. Midstream accounting by the distributor would cover e-fuels that are either</w:t>
      </w:r>
      <w:r>
        <w:t xml:space="preserve"> </w:t>
      </w:r>
      <w:r>
        <w:t xml:space="preserve">domestically produced or imported. The obligation for accounting for fossil CO2 embedded in</w:t>
      </w:r>
      <w:r>
        <w:t xml:space="preserve"> </w:t>
      </w:r>
      <w:r>
        <w:t xml:space="preserve">e-fuels would be therefore for the entity placing the e-fuels on the market, similar to how fuels</w:t>
      </w:r>
      <w:r>
        <w:t xml:space="preserve"> </w:t>
      </w:r>
      <w:r>
        <w:t xml:space="preserve">are regulated in ETS2. Therefore, the hybrid downstream and midstream accounting would</w:t>
      </w:r>
      <w:r>
        <w:t xml:space="preserve"> </w:t>
      </w:r>
      <w:r>
        <w:t xml:space="preserve">have the following impact on businesses:</w:t>
      </w:r>
      <w:r>
        <w:t xml:space="preserve"> </w:t>
      </w:r>
      <w:r>
        <w:t xml:space="preserve">• It provides the most flexibility to all actors in the CCUS chain to optimise their business</w:t>
      </w:r>
      <w:r>
        <w:t xml:space="preserve"> </w:t>
      </w:r>
      <w:r>
        <w:t xml:space="preserve">strategy</w:t>
      </w:r>
      <w:r>
        <w:t xml:space="preserve"> </w:t>
      </w:r>
      <w:r>
        <w:t xml:space="preserve">The hybrid downstream and midstream accounting would incentivise the capture of CO2 and</w:t>
      </w:r>
      <w:r>
        <w:t xml:space="preserve"> </w:t>
      </w:r>
      <w:r>
        <w:t xml:space="preserve">provide flexibility for operators to decide whether the CO2 should be stored or utilised in</w:t>
      </w:r>
      <w:r>
        <w:t xml:space="preserve"> </w:t>
      </w:r>
      <w:r>
        <w:t xml:space="preserve">different types of products or applications depending on their particular circumstances</w:t>
      </w:r>
      <w:r>
        <w:t xml:space="preserve"> </w:t>
      </w:r>
      <w:r>
        <w:t xml:space="preserve">(location, access to CO2 infrastructure and storage, access to green H2, etc.) and the comparative</w:t>
      </w:r>
      <w:r>
        <w:t xml:space="preserve"> </w:t>
      </w:r>
      <w:r>
        <w:t xml:space="preserve">costs and benefits between storing emissions, or producing different synthetic chemicals,</w:t>
      </w:r>
      <w:r>
        <w:t xml:space="preserve"> </w:t>
      </w:r>
      <w:r>
        <w:t xml:space="preserve">plastics or e-fuels.</w:t>
      </w:r>
      <w:r>
        <w:br/>
      </w:r>
      <w:r>
        <w:t xml:space="preserve">For e-fuel producers this option gives more clarity on the costs and trade-offs available for</w:t>
      </w:r>
      <w:r>
        <w:t xml:space="preserve"> </w:t>
      </w:r>
      <w:r>
        <w:t xml:space="preserve">sourcing different CO2 feedstock for their production process. Fossil CO2 may be more</w:t>
      </w:r>
      <w:r>
        <w:t xml:space="preserve"> </w:t>
      </w:r>
      <w:r>
        <w:t xml:space="preserve">available and cheaper to capture, but it requires the surrendering of emissions of allowances,</w:t>
      </w:r>
      <w:r>
        <w:t xml:space="preserve"> </w:t>
      </w:r>
      <w:r>
        <w:t xml:space="preserve">while biogenic or atmospheric CO2 may be more expensive to source, but do not require an</w:t>
      </w:r>
      <w:r>
        <w:t xml:space="preserve"> </w:t>
      </w:r>
      <w:r>
        <w:t xml:space="preserve">ETS payment. If the midstream accounting obligation is set for the distributor of e-fuels, the e-</w:t>
      </w:r>
      <w:r>
        <w:t xml:space="preserve"> </w:t>
      </w:r>
      <w:r>
        <w:t xml:space="preserve">fuel producer does not pay directly the ETS price, reducing their production costs. The</w:t>
      </w:r>
      <w:r>
        <w:t xml:space="preserve"> </w:t>
      </w:r>
      <w:r>
        <w:t xml:space="preserve">distributor will be able to balance sourcing e-fuels with cheaper production costs, from fossil</w:t>
      </w:r>
      <w:r>
        <w:t xml:space="preserve"> </w:t>
      </w:r>
      <w:r>
        <w:t xml:space="preserve">CO2 which require the surrender of emission allowances for the embedded fossil CO2, with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sourcing e-fuels with higher production costs with CO2 from biogenic or atmospheric sources</w:t>
      </w:r>
      <w:r>
        <w:t xml:space="preserve"> </w:t>
      </w:r>
      <w:r>
        <w:t xml:space="preserve">that would not lead to an ETS compliance obligation. It enables e-fuels producers to meet the</w:t>
      </w:r>
      <w:r>
        <w:t xml:space="preserve"> </w:t>
      </w:r>
      <w:r>
        <w:t xml:space="preserve">certification requirements for sustainable e-fuels and allows e-fuels user to zero-rate those</w:t>
      </w:r>
      <w:r>
        <w:t xml:space="preserve"> </w:t>
      </w:r>
      <w:r>
        <w:t xml:space="preserve">emissions</w:t>
      </w:r>
      <w:r>
        <w:t xml:space="preserve"> </w:t>
      </w:r>
      <w:r>
        <w:t xml:space="preserve">The midstream approach places a compliance obligation on e-fuels producers or distributors,</w:t>
      </w:r>
      <w:r>
        <w:t xml:space="preserve"> </w:t>
      </w:r>
      <w:r>
        <w:t xml:space="preserve">as they would need to pay the carbon price for any fossil CO2 embedded in e-fuels, either at</w:t>
      </w:r>
      <w:r>
        <w:t xml:space="preserve"> </w:t>
      </w:r>
      <w:r>
        <w:t xml:space="preserve">the point of product or at the point of distribution. While in theory this increases their costs,</w:t>
      </w:r>
      <w:r>
        <w:t xml:space="preserve"> </w:t>
      </w:r>
      <w:r>
        <w:t xml:space="preserve">the costs would not be higher compared to the upstream accounting, under which the capturer</w:t>
      </w:r>
      <w:r>
        <w:t xml:space="preserve"> </w:t>
      </w:r>
      <w:r>
        <w:t xml:space="preserve">would have passed through any compliance costs it was bearing. To the contrary, the costs for</w:t>
      </w:r>
      <w:r>
        <w:t xml:space="preserve"> </w:t>
      </w:r>
      <w:r>
        <w:t xml:space="preserve">e-fuel producers could be lower in the midstream approach, as they benefit from the increased</w:t>
      </w:r>
      <w:r>
        <w:t xml:space="preserve"> </w:t>
      </w:r>
      <w:r>
        <w:t xml:space="preserve">investments in capture and improved availability of CO2 feedstock due to the incentives for</w:t>
      </w:r>
      <w:r>
        <w:t xml:space="preserve"> </w:t>
      </w:r>
      <w:r>
        <w:t xml:space="preserve">capture and non-permanent use under this measure.</w:t>
      </w:r>
      <w:r>
        <w:br/>
      </w:r>
      <w:r>
        <w:t xml:space="preserve">The midstream accounting can be considered to meet the same requirements for effective</w:t>
      </w:r>
      <w:r>
        <w:t xml:space="preserve"> </w:t>
      </w:r>
      <w:r>
        <w:t xml:space="preserve">carbon pricing under the RED and Gas Directive rules and will enable e-fuel producers to meet</w:t>
      </w:r>
      <w:r>
        <w:t xml:space="preserve"> </w:t>
      </w:r>
      <w:r>
        <w:t xml:space="preserve">the 70% GHG emissions savings obligation required to certify the produced e-fuels as</w:t>
      </w:r>
      <w:r>
        <w:t xml:space="preserve"> </w:t>
      </w:r>
      <w:r>
        <w:t xml:space="preserve">sustainable renewable or low carbon fuels. Furthermore, as accounting of emissions is done at</w:t>
      </w:r>
      <w:r>
        <w:t xml:space="preserve"> </w:t>
      </w:r>
      <w:r>
        <w:t xml:space="preserve">the level of the producer or distributor of e-fuels, the users can consider these e-fuels as</w:t>
      </w:r>
      <w:r>
        <w:t xml:space="preserve"> </w:t>
      </w:r>
      <w:r>
        <w:t xml:space="preserve">generating zero emissions and are therefore incentivised to use them to reduce their emissions.</w:t>
      </w:r>
      <w:r>
        <w:br/>
      </w:r>
      <w:r>
        <w:t xml:space="preserve">2.4.3.1.3.</w:t>
      </w:r>
      <w:r>
        <w:t xml:space="preserve"> </w:t>
      </w:r>
      <w:r>
        <w:t xml:space="preserve">SMEs</w:t>
      </w:r>
      <w:r>
        <w:t xml:space="preserve"> </w:t>
      </w:r>
      <w:r>
        <w:t xml:space="preserve">While carbon capture requires expensive investments that make sense only for large</w:t>
      </w:r>
      <w:r>
        <w:t xml:space="preserve"> </w:t>
      </w:r>
      <w:r>
        <w:t xml:space="preserve">installations, many technology providers in the field of CCU that look to commercialize</w:t>
      </w:r>
      <w:r>
        <w:t xml:space="preserve"> </w:t>
      </w:r>
      <w:r>
        <w:t xml:space="preserve">recently developed technology are small, start-up businesses. Therefore, measures CCU2 and</w:t>
      </w:r>
      <w:r>
        <w:t xml:space="preserve"> </w:t>
      </w:r>
      <w:r>
        <w:t xml:space="preserve">CCU3 seek to level the playing field for these new entrants to allow new CCU products to</w:t>
      </w:r>
      <w:r>
        <w:t xml:space="preserve"> </w:t>
      </w:r>
      <w:r>
        <w:t xml:space="preserve">compete with CCS.</w:t>
      </w:r>
      <w:r>
        <w:br/>
      </w:r>
      <w:r>
        <w:t xml:space="preserve">Furthermore, these measures have been designed to be implementable based on the established</w:t>
      </w:r>
      <w:r>
        <w:t xml:space="preserve"> </w:t>
      </w:r>
      <w:r>
        <w:t xml:space="preserve">MRVA system that can ensure the accounting integrity of the EU ETS, while not imposing</w:t>
      </w:r>
      <w:r>
        <w:t xml:space="preserve"> </w:t>
      </w:r>
      <w:r>
        <w:t xml:space="preserve">excessive administrative burdens on operators. For this reason, the measure based on LCA</w:t>
      </w:r>
      <w:r>
        <w:t xml:space="preserve"> </w:t>
      </w:r>
      <w:r>
        <w:t xml:space="preserve">accounting has been discarded as overly complex and costly to implement.</w:t>
      </w:r>
      <w:r>
        <w:br/>
      </w:r>
      <w:r>
        <w:t xml:space="preserve">Stakeholders consulted as a part of the OPC questionnaire emphasize the importance of</w:t>
      </w:r>
      <w:r>
        <w:t xml:space="preserve"> </w:t>
      </w:r>
      <w:r>
        <w:t xml:space="preserve">‘administrative proportionality’ for non-permanent CCU policy measures. Especially amongst</w:t>
      </w:r>
      <w:r>
        <w:t xml:space="preserve"> </w:t>
      </w:r>
      <w:r>
        <w:t xml:space="preserve">business associations, emphasis was placed on implementing an accounting approach that</w:t>
      </w:r>
      <w:r>
        <w:t xml:space="preserve"> </w:t>
      </w:r>
      <w:r>
        <w:t xml:space="preserve">prioritizes simplicity and continuity for SMEs to effectively implement non-permanent CCU</w:t>
      </w:r>
      <w:r>
        <w:t xml:space="preserve"> </w:t>
      </w:r>
      <w:r>
        <w:t xml:space="preserve">measures.</w:t>
      </w:r>
      <w:r>
        <w:br/>
      </w:r>
      <w:r>
        <w:t xml:space="preserve">2.4.3.2.</w:t>
      </w:r>
      <w:r>
        <w:t xml:space="preserve"> </w:t>
      </w:r>
      <w:r>
        <w:t xml:space="preserve">Administrative costs on business</w:t>
      </w:r>
      <w:r>
        <w:t xml:space="preserve"> </w:t>
      </w:r>
      <w:r>
        <w:t xml:space="preserve">In interviews, stakeholders highlighted that there are currently no tailored MRV methodologies</w:t>
      </w:r>
      <w:r>
        <w:t xml:space="preserve"> </w:t>
      </w:r>
      <w:r>
        <w:t xml:space="preserve">for non-permanent CCU, hindering project developers from demonstrating emissions</w:t>
      </w:r>
      <w:r>
        <w:t xml:space="preserve"> </w:t>
      </w:r>
      <w:r>
        <w:t xml:space="preserve">reductions or accessing support mechanisms such as the Innovation Fund. This in turn creates</w:t>
      </w:r>
      <w:r>
        <w:t xml:space="preserve"> </w:t>
      </w:r>
      <w:r>
        <w:t xml:space="preserve">uncertainty for developers in the long-term. To unlock CCU’s potential, stakeholders identified</w:t>
      </w:r>
      <w:r>
        <w:t xml:space="preserve"> </w:t>
      </w:r>
      <w:r>
        <w:t xml:space="preserve">that ETS rules must be updated to recognize non-permanent CCU applications that lead to</w:t>
      </w:r>
      <w:r>
        <w:t xml:space="preserve"> </w:t>
      </w:r>
      <w:r>
        <w:t xml:space="preserve">verifiable fossil carbon replacement or climate benefits, regardless of permanent storage.</w:t>
      </w:r>
      <w:r>
        <w:t xml:space="preserve"> </w:t>
      </w:r>
      <w:r>
        <w:t xml:space="preserve">Uniform EU MRV methodologies for non-permanent CCU across its lifecycle (fuels, plastics,</w:t>
      </w:r>
      <w:r>
        <w:t xml:space="preserve"> </w:t>
      </w:r>
      <w:r>
        <w:t xml:space="preserve">chemicals, fertilizers, construction materials) are needed. They also identified the importance</w:t>
      </w:r>
      <w:r>
        <w:t xml:space="preserve"> </w:t>
      </w:r>
      <w:r>
        <w:t xml:space="preserve">of equal access to financing instruments (Innovation Fund, CCfDs) that reflects non-permanent</w:t>
      </w:r>
      <w:r>
        <w:t xml:space="preserve"> </w:t>
      </w:r>
      <w:r>
        <w:t xml:space="preserve">CCU’s climate value and resource efficiency. An overview of the impact of the specific</w:t>
      </w:r>
      <w:r>
        <w:t xml:space="preserve"> </w:t>
      </w:r>
      <w:r>
        <w:t xml:space="preserve">administrative obligations under each of the respective policy measures is detailed below.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2.4.3.2.1.</w:t>
      </w:r>
      <w:r>
        <w:t xml:space="preserve"> </w:t>
      </w:r>
      <w:r>
        <w:t xml:space="preserve">CCU1 – ‘Upstream accounting’</w:t>
      </w:r>
      <w:r>
        <w:t xml:space="preserve"> </w:t>
      </w:r>
      <w:r>
        <w:t xml:space="preserve">From an administrative perspective, for emitters the upstream accounting approach would</w:t>
      </w:r>
      <w:r>
        <w:t xml:space="preserve"> </w:t>
      </w:r>
      <w:r>
        <w:t xml:space="preserve">represent the continuation of the system currently in place. The capture of emissions for any</w:t>
      </w:r>
      <w:r>
        <w:t xml:space="preserve"> </w:t>
      </w:r>
      <w:r>
        <w:t xml:space="preserve">non-permanent CCU would need to be reported as emitted. From that point onwards the</w:t>
      </w:r>
      <w:r>
        <w:t xml:space="preserve"> </w:t>
      </w:r>
      <w:r>
        <w:t xml:space="preserve">captured CO2 does not require any further monitoring or reporting obligations from the ETS</w:t>
      </w:r>
      <w:r>
        <w:t xml:space="preserve"> </w:t>
      </w:r>
      <w:r>
        <w:t xml:space="preserve">point of view. In fact, CO2 transport for CCU and CCU activities are currently outside of the</w:t>
      </w:r>
      <w:r>
        <w:t xml:space="preserve"> </w:t>
      </w:r>
      <w:r>
        <w:t xml:space="preserve">scope of the EU ETS and would continue to be so under this measure. However, in case an</w:t>
      </w:r>
      <w:r>
        <w:t xml:space="preserve"> </w:t>
      </w:r>
      <w:r>
        <w:t xml:space="preserve">installation will capture some CO2 for permanent storage and some for non-permanent CCU,</w:t>
      </w:r>
      <w:r>
        <w:t xml:space="preserve"> </w:t>
      </w:r>
      <w:r>
        <w:t xml:space="preserve">this will imply additional monitoring and reporting costs, as the different destinations for the</w:t>
      </w:r>
      <w:r>
        <w:t xml:space="preserve"> </w:t>
      </w:r>
      <w:r>
        <w:t xml:space="preserve">CO2 receive different regulatory treatment and therefore, they need to be reported separately.</w:t>
      </w:r>
      <w:r>
        <w:t xml:space="preserve"> </w:t>
      </w:r>
      <w:r>
        <w:t xml:space="preserve">The most frequently cited reason for OPC respondents supporting upstream accounting for</w:t>
      </w:r>
      <w:r>
        <w:t xml:space="preserve"> </w:t>
      </w:r>
      <w:r>
        <w:t xml:space="preserve">non-permanent CCU technologies in the ETS, was its administrative simplicity as compared to</w:t>
      </w:r>
      <w:r>
        <w:t xml:space="preserve"> </w:t>
      </w:r>
      <w:r>
        <w:t xml:space="preserve">more complex tracing methodologies. However, incorporating waste incineration into the</w:t>
      </w:r>
      <w:r>
        <w:t xml:space="preserve"> </w:t>
      </w:r>
      <w:r>
        <w:t xml:space="preserve">scope of the EU ETS along with upstream accounting will lead to the double counting of</w:t>
      </w:r>
      <w:r>
        <w:t xml:space="preserve"> </w:t>
      </w:r>
      <w:r>
        <w:t xml:space="preserve">emission (see section 2.4.2. on environmental impacts). In order to avoid or mitigate the risk</w:t>
      </w:r>
      <w:r>
        <w:t xml:space="preserve"> </w:t>
      </w:r>
      <w:r>
        <w:t xml:space="preserve">of double counting, which means also double pricing of the emissions, complex monitoring</w:t>
      </w:r>
      <w:r>
        <w:t xml:space="preserve"> </w:t>
      </w:r>
      <w:r>
        <w:t xml:space="preserve">and certification solutions would be required.207, 208</w:t>
      </w:r>
      <w:r>
        <w:br/>
      </w:r>
      <w:r>
        <w:t xml:space="preserve">Therefore, avoiding double counting would require either a full value chain coverage by the</w:t>
      </w:r>
      <w:r>
        <w:t xml:space="preserve"> </w:t>
      </w:r>
      <w:r>
        <w:t xml:space="preserve">EU ETS to enable the tracking of the ‘chain of custody’ of CCU products (in practice not</w:t>
      </w:r>
      <w:r>
        <w:t xml:space="preserve"> </w:t>
      </w:r>
      <w:r>
        <w:t xml:space="preserve">feasible due to the design constraints of the ETS) or alternative systems, such as a Guarantees</w:t>
      </w:r>
      <w:r>
        <w:t xml:space="preserve"> </w:t>
      </w:r>
      <w:r>
        <w:t xml:space="preserve">of Origin (GoOs) system for CCU products that could be used by waste incinerators for a share</w:t>
      </w:r>
      <w:r>
        <w:t xml:space="preserve"> </w:t>
      </w:r>
      <w:r>
        <w:t xml:space="preserve">of their compliance obligations, or a conservative carbon correction factor that would downrate</w:t>
      </w:r>
      <w:r>
        <w:t xml:space="preserve"> </w:t>
      </w:r>
      <w:r>
        <w:t xml:space="preserve">the emissions of waste incinerators based on the estimated non-permanent CCU products</w:t>
      </w:r>
      <w:r>
        <w:t xml:space="preserve"> </w:t>
      </w:r>
      <w:r>
        <w:t xml:space="preserve">placed on the market likely to end up in waste incineration. Regardless of the tracking or</w:t>
      </w:r>
      <w:r>
        <w:t xml:space="preserve"> </w:t>
      </w:r>
      <w:r>
        <w:t xml:space="preserve">certification put in place, it would create higher transaction and administrative costs across the</w:t>
      </w:r>
      <w:r>
        <w:t xml:space="preserve"> </w:t>
      </w:r>
      <w:r>
        <w:t xml:space="preserve">system, as it would require detailed information on the proportion of captured carbon utilized</w:t>
      </w:r>
      <w:r>
        <w:t xml:space="preserve"> </w:t>
      </w:r>
      <w:r>
        <w:t xml:space="preserve">in a product and estimates how these products are used and discarded. Several energy intensive</w:t>
      </w:r>
      <w:r>
        <w:t xml:space="preserve"> </w:t>
      </w:r>
      <w:r>
        <w:t xml:space="preserve">industry stakeholders articulated that this additional administrative burden and cost would have</w:t>
      </w:r>
      <w:r>
        <w:t xml:space="preserve"> </w:t>
      </w:r>
      <w:r>
        <w:t xml:space="preserve">the effect of reducing captured CO2 use by EU ETS covered entities.</w:t>
      </w:r>
      <w:r>
        <w:t xml:space="preserve"> </w:t>
      </w:r>
      <w:r>
        <w:t xml:space="preserve">2.4.3.2.2.</w:t>
      </w:r>
      <w:r>
        <w:t xml:space="preserve"> </w:t>
      </w:r>
      <w:r>
        <w:t xml:space="preserve">CCU2 and CCU3 – ‘Downstream -’ and ‘Hybrid Downstream</w:t>
      </w:r>
      <w:r>
        <w:t xml:space="preserve"> </w:t>
      </w:r>
      <w:r>
        <w:t xml:space="preserve">and midstream accounting’</w:t>
      </w:r>
      <w:r>
        <w:br/>
      </w:r>
      <w:r>
        <w:t xml:space="preserve">In terms of administrative costs, the downstream accounting will result in a simplification in</w:t>
      </w:r>
      <w:r>
        <w:t xml:space="preserve"> </w:t>
      </w:r>
      <w:r>
        <w:t xml:space="preserve">the current rules applicable for the reporting of emissions in case of the capture of CO2.</w:t>
      </w:r>
      <w:r>
        <w:t xml:space="preserve"> </w:t>
      </w:r>
      <w:r>
        <w:t xml:space="preserve">Emitters that capture CO2 will be able to report it as captured (and deduct it from their overall</w:t>
      </w:r>
      <w:r>
        <w:t xml:space="preserve"> </w:t>
      </w:r>
      <w:r>
        <w:t xml:space="preserve">emissions) the amount of CO2 that has been captured and transferred to another ETS</w:t>
      </w:r>
      <w:r>
        <w:t xml:space="preserve"> </w:t>
      </w:r>
      <w:r>
        <w:t xml:space="preserve">installation, regardless of the purpose, be it for CCS, permanent CCU or non-permanent CCU.</w:t>
      </w:r>
      <w:r>
        <w:t xml:space="preserve"> </w:t>
      </w:r>
      <w:r>
        <w:t xml:space="preserve">This contrasts with the current situation where CO2 captured for different purposes has different</w:t>
      </w:r>
      <w:r>
        <w:t xml:space="preserve"> </w:t>
      </w:r>
      <w:r>
        <w:t xml:space="preserve">regulatory treatments.</w:t>
      </w:r>
    </w:p>
    <w:p>
      <w:pPr>
        <w:pStyle w:val="BodyText"/>
      </w:pPr>
      <w:r>
        <w:t xml:space="preserve">207 Technopolis (2024, July). Issues and Options for EU Emissions Trading after 2030, Final Task 2 Report –</w:t>
      </w:r>
      <w:r>
        <w:t xml:space="preserve"> </w:t>
      </w:r>
      <w:r>
        <w:t xml:space="preserve">Analysis of issues, policy topics and policy options for the 2030-2040 timeframe (Report No. </w:t>
      </w:r>
      <w:r>
        <w:t xml:space="preserve"> </w:t>
      </w:r>
      <w:r>
        <w:t xml:space="preserve">CLIMA/2022/OP/0012). European Commission, Directorate-General for Climate Action.</w:t>
      </w:r>
      <w:r>
        <w:t xml:space="preserve"> </w:t>
      </w:r>
      <w:r>
        <w:t xml:space="preserve">https://www.technopolis-group.com/report/issues-and-options-for-eu-emissions-trading-after-2030/</w:t>
      </w:r>
      <w:r>
        <w:br/>
      </w:r>
      <w:r>
        <w:t xml:space="preserve">208 Vermeulen, H., Lockwood, T., &amp; Lawaetz, R. (2025, June). Pricing it right: Accounting for non-permanent</w:t>
      </w:r>
      <w:r>
        <w:t xml:space="preserve"> </w:t>
      </w:r>
      <w:r>
        <w:t xml:space="preserve">CCU while safeguarding the EU ETS. CONCITO &amp; Clean Air Task Force.</w:t>
      </w:r>
      <w:r>
        <w:t xml:space="preserve"> </w:t>
      </w:r>
      <w:r>
        <w:t xml:space="preserve">https://concito.dk/files/media/document/Pricing%20it%20right.pdf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It is important to note that to achieve these benefits, in addition to the downstream accounting</w:t>
      </w:r>
      <w:r>
        <w:t xml:space="preserve"> </w:t>
      </w:r>
      <w:r>
        <w:t xml:space="preserve">of non-permanent CCU products, it will also be necessary to extent the scope of the ETS by</w:t>
      </w:r>
      <w:r>
        <w:t xml:space="preserve"> </w:t>
      </w:r>
      <w:r>
        <w:t xml:space="preserve">generalising the scope of the CO2 capture and CO2 transport activities, as they are currently</w:t>
      </w:r>
      <w:r>
        <w:t xml:space="preserve"> </w:t>
      </w:r>
      <w:r>
        <w:t xml:space="preserve">limited only to the capture and transport of CO2 for geological storage. The ETS MRVA system</w:t>
      </w:r>
      <w:r>
        <w:t xml:space="preserve"> </w:t>
      </w:r>
      <w:r>
        <w:t xml:space="preserve">for the CCS value chain relies on the physical transfer of CO2 from one regulated entity to</w:t>
      </w:r>
      <w:r>
        <w:t xml:space="preserve"> </w:t>
      </w:r>
      <w:r>
        <w:t xml:space="preserve">another, which results also in the transfer of the liability for that CO2, i.e. the requirement to</w:t>
      </w:r>
      <w:r>
        <w:t xml:space="preserve"> </w:t>
      </w:r>
      <w:r>
        <w:t xml:space="preserve">monitor, report and surrender allowances for any emissions associated with that CO2. To ensure</w:t>
      </w:r>
      <w:r>
        <w:t xml:space="preserve"> </w:t>
      </w:r>
      <w:r>
        <w:t xml:space="preserve">the level playing field for CCU and CCS applications, it will be necessary to include in the</w:t>
      </w:r>
      <w:r>
        <w:t xml:space="preserve"> </w:t>
      </w:r>
      <w:r>
        <w:t xml:space="preserve">scope of the ETS the entire CCUS value chain, including the CCU activity itself (but excluding</w:t>
      </w:r>
      <w:r>
        <w:t xml:space="preserve"> </w:t>
      </w:r>
      <w:r>
        <w:t xml:space="preserve">anything from the point of putting the product on the market and up to the end-of-life</w:t>
      </w:r>
      <w:r>
        <w:t xml:space="preserve"> </w:t>
      </w:r>
      <w:r>
        <w:t xml:space="preserve">treatment).</w:t>
      </w:r>
      <w:r>
        <w:br/>
      </w:r>
      <w:r>
        <w:t xml:space="preserve">On one hand, this extension of scope will create some new administrative costs for CCU</w:t>
      </w:r>
      <w:r>
        <w:t xml:space="preserve"> </w:t>
      </w:r>
      <w:r>
        <w:t xml:space="preserve">installations due to the ETS requirements (GHG permit, monitoring plan, etc). However, these</w:t>
      </w:r>
      <w:r>
        <w:t xml:space="preserve"> </w:t>
      </w:r>
      <w:r>
        <w:t xml:space="preserve">costs would not be any different than the costs imposed by any certification scheme, if required</w:t>
      </w:r>
      <w:r>
        <w:t xml:space="preserve"> </w:t>
      </w:r>
      <w:r>
        <w:t xml:space="preserve">to prove for their products’ particular environmental claims. On the other hand, this allows</w:t>
      </w:r>
      <w:r>
        <w:t xml:space="preserve"> </w:t>
      </w:r>
      <w:r>
        <w:t xml:space="preserve">CCU installations to fully participate in the ETS CO2 value chain, i.e. their reception of CO2</w:t>
      </w:r>
      <w:r>
        <w:t xml:space="preserve"> </w:t>
      </w:r>
      <w:r>
        <w:t xml:space="preserve">allows the transferring ETS installations to deduct that CO2 from their reported emissions,</w:t>
      </w:r>
      <w:r>
        <w:t xml:space="preserve"> </w:t>
      </w:r>
      <w:r>
        <w:t xml:space="preserve">which would not be possible without their inclusion in the ETS. Furthermore, as regards CO2</w:t>
      </w:r>
      <w:r>
        <w:t xml:space="preserve"> </w:t>
      </w:r>
      <w:r>
        <w:t xml:space="preserve">transport infrastructure, their monitoring and reporting obligations will be simplified, as they</w:t>
      </w:r>
      <w:r>
        <w:t xml:space="preserve"> </w:t>
      </w:r>
      <w:r>
        <w:t xml:space="preserve">would not need to keep track separately of CO2 transported for different purposes.</w:t>
      </w:r>
      <w:r>
        <w:t xml:space="preserve"> </w:t>
      </w:r>
      <w:r>
        <w:t xml:space="preserve">As noted in the previous section, the downstream accounting relies on the integration of waste</w:t>
      </w:r>
      <w:r>
        <w:t xml:space="preserve"> </w:t>
      </w:r>
      <w:r>
        <w:t xml:space="preserve">incineration in the EU ETS. However, once included in the EU ETS, there is no difference</w:t>
      </w:r>
      <w:r>
        <w:t xml:space="preserve"> </w:t>
      </w:r>
      <w:r>
        <w:t xml:space="preserve">between the administrative costs for waste incinerators in the upstream accounting (CCU1) or</w:t>
      </w:r>
      <w:r>
        <w:t xml:space="preserve"> </w:t>
      </w:r>
      <w:r>
        <w:t xml:space="preserve">downstream accounting scenario. Waste incinerators would continue to monitor and report</w:t>
      </w:r>
      <w:r>
        <w:t xml:space="preserve"> </w:t>
      </w:r>
      <w:r>
        <w:t xml:space="preserve">emissions in the same manner, and therefore administrative costs would be the same for them</w:t>
      </w:r>
      <w:r>
        <w:t xml:space="preserve"> </w:t>
      </w:r>
      <w:r>
        <w:t xml:space="preserve">under downstream accounting (CCU2 or CCU3).</w:t>
      </w:r>
      <w:r>
        <w:t xml:space="preserve"> </w:t>
      </w:r>
      <w:r>
        <w:t xml:space="preserve">The hybrid midstream accounting for e-fuel producers or distributors will rely on ensuring that</w:t>
      </w:r>
      <w:r>
        <w:t xml:space="preserve"> </w:t>
      </w:r>
      <w:r>
        <w:t xml:space="preserve">midstream point on the value chain is part of the EU ETS. This will require an extension of the</w:t>
      </w:r>
      <w:r>
        <w:t xml:space="preserve"> </w:t>
      </w:r>
      <w:r>
        <w:t xml:space="preserve">ETS scope to include e-fuel producers or distributors, which will result in some additional</w:t>
      </w:r>
      <w:r>
        <w:t xml:space="preserve"> </w:t>
      </w:r>
      <w:r>
        <w:t xml:space="preserve">administrative burden (requirement for a GHG permit and monitoring plan). However, many</w:t>
      </w:r>
      <w:r>
        <w:t xml:space="preserve"> </w:t>
      </w:r>
      <w:r>
        <w:t xml:space="preserve">fuel distributers are already part of ETS 2 starting as of 2027 and e-fuel producers must comply</w:t>
      </w:r>
      <w:r>
        <w:t xml:space="preserve"> </w:t>
      </w:r>
      <w:r>
        <w:t xml:space="preserve">with a demanding certification process and the RED or Gas Directive. Therefore, if ensuring</w:t>
      </w:r>
      <w:r>
        <w:t xml:space="preserve"> </w:t>
      </w:r>
      <w:r>
        <w:t xml:space="preserve">that regulatory requirements resulting from the midstream accounting measure are streamlined</w:t>
      </w:r>
      <w:r>
        <w:t xml:space="preserve"> </w:t>
      </w:r>
      <w:r>
        <w:t xml:space="preserve">and take due accounting of the obligations already in place for these economic operators, the</w:t>
      </w:r>
      <w:r>
        <w:t xml:space="preserve"> </w:t>
      </w:r>
      <w:r>
        <w:t xml:space="preserve">resulting administrative burden will be marginal.</w:t>
      </w:r>
      <w:r>
        <w:br/>
      </w:r>
      <w:r>
        <w:t xml:space="preserve">The administrative impact of dealing with any potential loopholes will depend on the</w:t>
      </w:r>
      <w:r>
        <w:t xml:space="preserve"> </w:t>
      </w:r>
      <w:r>
        <w:t xml:space="preserve">formulation of the measures taken to mitigate the risk of loopholes. Relying on complex value</w:t>
      </w:r>
      <w:r>
        <w:t xml:space="preserve"> </w:t>
      </w:r>
      <w:r>
        <w:t xml:space="preserve">chain assessment and the verification of individual claims of companies will be similar to</w:t>
      </w:r>
      <w:r>
        <w:t xml:space="preserve"> </w:t>
      </w:r>
      <w:r>
        <w:t xml:space="preserve">undergoing an LCA approach and, as shown in the section on discarded measures, would</w:t>
      </w:r>
      <w:r>
        <w:t xml:space="preserve"> </w:t>
      </w:r>
      <w:r>
        <w:t xml:space="preserve">impose significant administrative costs. However, if the measures to mitigate costs is done on</w:t>
      </w:r>
      <w:r>
        <w:t xml:space="preserve"> </w:t>
      </w:r>
      <w:r>
        <w:t xml:space="preserve">the basis of the existent ETS MRVA systems the costs, if any, would be minimal. This can take</w:t>
      </w:r>
      <w:r>
        <w:t xml:space="preserve"> </w:t>
      </w:r>
      <w:r>
        <w:t xml:space="preserve">the form of an ex-ante assessment or the determination of a positive list of products considered</w:t>
      </w:r>
      <w:r>
        <w:t xml:space="preserve"> </w:t>
      </w:r>
      <w:r>
        <w:t xml:space="preserve">not to lead to loophole risks (or negative list of products considered to do so), meaning that</w:t>
      </w:r>
      <w:r>
        <w:t xml:space="preserve"> </w:t>
      </w:r>
      <w:r>
        <w:t xml:space="preserve">producers only need to demonstrate that their process results in a listed product, which is easily</w:t>
      </w:r>
      <w:r>
        <w:t xml:space="preserve"> </w:t>
      </w:r>
      <w:r>
        <w:t xml:space="preserve">checked by verifiers. Alternatively, correction factors in the surrender obligation could be</w:t>
      </w:r>
      <w:r>
        <w:t xml:space="preserve"> </w:t>
      </w:r>
      <w:r>
        <w:t xml:space="preserve">introduced, if an assessment determines that a given percentage of emissions is not accounted</w:t>
      </w:r>
      <w:r>
        <w:t xml:space="preserve"> </w:t>
      </w:r>
      <w:r>
        <w:t xml:space="preserve">in the EU ETS, but the loopholes cannot be attributed to specific products. Such a correction</w:t>
      </w:r>
      <w:r>
        <w:t xml:space="preserve"> </w:t>
      </w:r>
      <w:r>
        <w:t xml:space="preserve">factor could be applied universally when determining the amount surrender obligation of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companies undertaking the CCU and, while it would increase the compliance costs of</w:t>
      </w:r>
      <w:r>
        <w:t xml:space="preserve"> </w:t>
      </w:r>
      <w:r>
        <w:t xml:space="preserve">companies, it would not result in any additional administrative burden.</w:t>
      </w:r>
      <w:r>
        <w:br/>
      </w:r>
      <w:r>
        <w:t xml:space="preserve">2.4.4. Social impacts</w:t>
      </w:r>
      <w:r>
        <w:t xml:space="preserve"> </w:t>
      </w:r>
      <w:r>
        <w:t xml:space="preserve">2.4.4.1.</w:t>
      </w:r>
      <w:r>
        <w:t xml:space="preserve"> </w:t>
      </w:r>
      <w:r>
        <w:t xml:space="preserve">Employment</w:t>
      </w:r>
      <w:r>
        <w:t xml:space="preserve"> </w:t>
      </w:r>
      <w:r>
        <w:t xml:space="preserve">Integrating non-permanent CCU into the EU ETS can influence employment through creating</w:t>
      </w:r>
      <w:r>
        <w:t xml:space="preserve"> </w:t>
      </w:r>
      <w:r>
        <w:t xml:space="preserve">new incentives for more CCU companies to enter the EU market. Policy measures that provide</w:t>
      </w:r>
      <w:r>
        <w:t xml:space="preserve"> </w:t>
      </w:r>
      <w:r>
        <w:t xml:space="preserve">predictable, streamlined, and equal treatment of non-permanent CCU products compared to</w:t>
      </w:r>
      <w:r>
        <w:t xml:space="preserve"> </w:t>
      </w:r>
      <w:r>
        <w:t xml:space="preserve">CCS, such as downstream accounting (CCU1) are more likely to enable near-term investment</w:t>
      </w:r>
      <w:r>
        <w:t xml:space="preserve"> </w:t>
      </w:r>
      <w:r>
        <w:t xml:space="preserve">and job creation in the CCU industry. Additionally, adding flexibility to compliance obligations</w:t>
      </w:r>
      <w:r>
        <w:t xml:space="preserve"> </w:t>
      </w:r>
      <w:r>
        <w:t xml:space="preserve">through policy measures such as mid-stream accounting (CCU3) can support EU ETS covered</w:t>
      </w:r>
      <w:r>
        <w:t xml:space="preserve"> </w:t>
      </w:r>
      <w:r>
        <w:t xml:space="preserve">entities to streamline ETS compliance costs, enabling companies to direct these revenues to</w:t>
      </w:r>
      <w:r>
        <w:t xml:space="preserve"> </w:t>
      </w:r>
      <w:r>
        <w:t xml:space="preserve">maintaining employment levels. Absent such support for CCU, weaker demand for non-</w:t>
      </w:r>
      <w:r>
        <w:t xml:space="preserve"> </w:t>
      </w:r>
      <w:r>
        <w:t xml:space="preserve">permanent CCU products may delay investment decisions and moderate job growth in the CCU</w:t>
      </w:r>
      <w:r>
        <w:t xml:space="preserve"> </w:t>
      </w:r>
      <w:r>
        <w:t xml:space="preserve">industry.</w:t>
      </w:r>
      <w:r>
        <w:br/>
      </w:r>
      <w:r>
        <w:t xml:space="preserve">A further quantitative assessment of the impact of employment is undertaken at the policy</w:t>
      </w:r>
      <w:r>
        <w:t xml:space="preserve"> </w:t>
      </w:r>
      <w:r>
        <w:t xml:space="preserve">option level.</w:t>
      </w:r>
      <w:r>
        <w:t xml:space="preserve"> </w:t>
      </w:r>
      <w:r>
        <w:t xml:space="preserve">2.4.4.2.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Fundamental rights afford basic legal protection for political, social, and procedural rights to</w:t>
      </w:r>
      <w:r>
        <w:t xml:space="preserve"> </w:t>
      </w:r>
      <w:r>
        <w:t xml:space="preserve">individuals and legal entities. The Charter of Fundamental Rights of the European Union209</w:t>
      </w:r>
      <w:r>
        <w:t xml:space="preserve"> </w:t>
      </w:r>
      <w:r>
        <w:t xml:space="preserve">(the Charter) is an instrument of primary EU law that enshrines the fundamental rights people</w:t>
      </w:r>
      <w:r>
        <w:t xml:space="preserve"> </w:t>
      </w:r>
      <w:r>
        <w:t xml:space="preserve">enjoy in the EU. All measures were assessed having regard to the relevant EU instrument and</w:t>
      </w:r>
      <w:r>
        <w:t xml:space="preserve"> </w:t>
      </w:r>
      <w:r>
        <w:t xml:space="preserve">it was concluded that they maintain full respect for human and fundamental rights, and none</w:t>
      </w:r>
      <w:r>
        <w:t xml:space="preserve"> </w:t>
      </w:r>
      <w:r>
        <w:t xml:space="preserve">will have any negative impact in this regard.</w:t>
      </w:r>
      <w:r>
        <w:t xml:space="preserve"> </w:t>
      </w:r>
      <w:r>
        <w:t xml:space="preserve">The measures will have a positive impact on Article 37, which states the following with regards</w:t>
      </w:r>
      <w:r>
        <w:t xml:space="preserve"> </w:t>
      </w:r>
      <w:r>
        <w:t xml:space="preserve">to environmental protection</w:t>
      </w:r>
      <w:r>
        <w:t xml:space="preserve"> </w:t>
      </w:r>
      <w:r>
        <w:t xml:space="preserve">“A high level of environmental protection and the improvement of the quality of the</w:t>
      </w:r>
      <w:r>
        <w:t xml:space="preserve"> </w:t>
      </w:r>
      <w:r>
        <w:t xml:space="preserve">environment must be integrated into the policies of the Union and ensured in accordance with</w:t>
      </w:r>
      <w:r>
        <w:t xml:space="preserve"> </w:t>
      </w:r>
      <w:r>
        <w:t xml:space="preserve">the principle of sustainable development”.</w:t>
      </w:r>
      <w:r>
        <w:t xml:space="preserve"> </w:t>
      </w:r>
      <w:r>
        <w:t xml:space="preserve">All the measures assessed under the non-permanent CCU thematic area adhere to Article 37 as</w:t>
      </w:r>
      <w:r>
        <w:t xml:space="preserve"> </w:t>
      </w:r>
      <w:r>
        <w:t xml:space="preserve">they aim to enhance the carbon price signal by considering how to fully address the unique</w:t>
      </w:r>
      <w:r>
        <w:t xml:space="preserve"> </w:t>
      </w:r>
      <w:r>
        <w:t xml:space="preserve">characteristics of non-permanent CCU products, such as carbon sources and storage durations.</w:t>
      </w:r>
      <w:r>
        <w:t xml:space="preserve"> </w:t>
      </w:r>
      <w:r>
        <w:t xml:space="preserve">Adjustments to the EU ETS directive are needed to ensure the level playing field for CCU</w:t>
      </w:r>
      <w:r>
        <w:t xml:space="preserve"> </w:t>
      </w:r>
      <w:r>
        <w:t xml:space="preserve">technologies while ensuring that emissions are effectively accounted for and priced. The policy</w:t>
      </w:r>
      <w:r>
        <w:t xml:space="preserve"> </w:t>
      </w:r>
      <w:r>
        <w:t xml:space="preserve">measures outlined in section 2.3. will consider how to incorporate non-permanent CCU into</w:t>
      </w:r>
      <w:r>
        <w:t xml:space="preserve"> </w:t>
      </w:r>
      <w:r>
        <w:t xml:space="preserve">the EU ETS, resulting in a stronger price signal and more effective environmental protection.</w:t>
      </w:r>
      <w:r>
        <w:br/>
      </w:r>
      <w:r>
        <w:t xml:space="preserve">2.4.5. Summary</w:t>
      </w:r>
      <w:r>
        <w:br/>
      </w:r>
      <w:r>
        <w:t xml:space="preserve">A summary comparison of the measures is provided in the table below. Measures are rated as</w:t>
      </w:r>
      <w:r>
        <w:t xml:space="preserve"> </w:t>
      </w:r>
      <w:r>
        <w:t xml:space="preserve">compared to the baseline of no non-permanent CCU accounting mechanism.</w:t>
      </w:r>
    </w:p>
    <w:p>
      <w:pPr>
        <w:pStyle w:val="BodyText"/>
      </w:pPr>
      <w:r>
        <w:t xml:space="preserve">209 European Parliament, Council of the European Union, &amp; European Commission. (2000). Charter of</w:t>
      </w:r>
      <w:r>
        <w:t xml:space="preserve"> </w:t>
      </w:r>
      <w:r>
        <w:t xml:space="preserve">Fundamental Rights of the European Union. https://www.europarl.europa.eu/charter/pdf/text_en.pdf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Table 8:</w:t>
      </w:r>
      <w:r>
        <w:t xml:space="preserve"> </w:t>
      </w:r>
      <w:r>
        <w:t xml:space="preserve">Comparison of non-permanent CCU policy measures</w:t>
      </w:r>
      <w:r>
        <w:t xml:space="preserve"> </w:t>
      </w:r>
      <w:r>
        <w:t xml:space="preserve">Criterion</w:t>
      </w:r>
      <w:r>
        <w:t xml:space="preserve"> </w:t>
      </w:r>
      <w:r>
        <w:t xml:space="preserve">CCU1 (‘Upstream</w:t>
      </w:r>
      <w:r>
        <w:t xml:space="preserve"> </w:t>
      </w:r>
      <w:r>
        <w:t xml:space="preserve">accounting)</w:t>
      </w:r>
      <w:r>
        <w:t xml:space="preserve"> </w:t>
      </w:r>
      <w:r>
        <w:t xml:space="preserve">CCU2 (‘Downstream</w:t>
      </w:r>
      <w:r>
        <w:t xml:space="preserve"> </w:t>
      </w:r>
      <w:r>
        <w:t xml:space="preserve">accounting)</w:t>
      </w:r>
      <w:r>
        <w:t xml:space="preserve"> </w:t>
      </w:r>
      <w:r>
        <w:t xml:space="preserve">CCU3 (‘Midstream</w:t>
      </w:r>
      <w:r>
        <w:t xml:space="preserve"> </w:t>
      </w:r>
      <w:r>
        <w:t xml:space="preserve">accounting)</w:t>
      </w:r>
      <w:r>
        <w:t xml:space="preserve"> </w:t>
      </w:r>
      <w:r>
        <w:t xml:space="preserve">Economic</w:t>
      </w:r>
      <w:r>
        <w:t xml:space="preserve"> </w:t>
      </w:r>
      <w:r>
        <w:t xml:space="preserve">/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</w:p>
    <w:p>
      <w:pPr>
        <w:pStyle w:val="BodyText"/>
      </w:pPr>
      <w:r>
        <w:t xml:space="preserve">-/+</w:t>
      </w:r>
      <w:r>
        <w:t xml:space="preserve"> </w:t>
      </w:r>
      <w:r>
        <w:t xml:space="preserve">Places</w:t>
      </w:r>
      <w:r>
        <w:t xml:space="preserve"> </w:t>
      </w:r>
      <w:r>
        <w:t xml:space="preserve">non-</w:t>
      </w:r>
      <w:r>
        <w:t xml:space="preserve"> </w:t>
      </w:r>
      <w:r>
        <w:t xml:space="preserve">permanent</w:t>
      </w:r>
      <w:r>
        <w:t xml:space="preserve"> </w:t>
      </w:r>
      <w:r>
        <w:t xml:space="preserve">CCU</w:t>
      </w:r>
      <w:r>
        <w:t xml:space="preserve"> </w:t>
      </w:r>
      <w:r>
        <w:t xml:space="preserve">applications that use</w:t>
      </w:r>
      <w:r>
        <w:t xml:space="preserve"> </w:t>
      </w:r>
      <w:r>
        <w:t xml:space="preserve">recycled CO2 at a</w:t>
      </w:r>
      <w:r>
        <w:t xml:space="preserve"> </w:t>
      </w:r>
      <w:r>
        <w:t xml:space="preserve">competitive</w:t>
      </w:r>
      <w:r>
        <w:t xml:space="preserve"> </w:t>
      </w:r>
      <w:r>
        <w:t xml:space="preserve">disadvantage with the</w:t>
      </w:r>
      <w:r>
        <w:t xml:space="preserve"> </w:t>
      </w:r>
      <w:r>
        <w:t xml:space="preserve">traditional</w:t>
      </w:r>
      <w:r>
        <w:t xml:space="preserve"> </w:t>
      </w:r>
      <w:r>
        <w:t xml:space="preserve">fossil</w:t>
      </w:r>
      <w:r>
        <w:t xml:space="preserve"> </w:t>
      </w:r>
      <w:r>
        <w:t xml:space="preserve">based</w:t>
      </w:r>
      <w:r>
        <w:t xml:space="preserve"> </w:t>
      </w:r>
      <w:r>
        <w:t xml:space="preserve">equivalent</w:t>
      </w:r>
      <w:r>
        <w:t xml:space="preserve"> </w:t>
      </w:r>
      <w:r>
        <w:t xml:space="preserve">products.</w:t>
      </w:r>
      <w:r>
        <w:t xml:space="preserve"> </w:t>
      </w:r>
      <w:r>
        <w:t xml:space="preserve">-/+</w:t>
      </w:r>
      <w:r>
        <w:t xml:space="preserve"> </w:t>
      </w:r>
      <w:r>
        <w:t xml:space="preserve">Incentivises capture of CO2</w:t>
      </w:r>
      <w:r>
        <w:t xml:space="preserve"> </w:t>
      </w:r>
      <w:r>
        <w:t xml:space="preserve">and provides the flexibility</w:t>
      </w:r>
      <w:r>
        <w:t xml:space="preserve"> </w:t>
      </w:r>
      <w:r>
        <w:t xml:space="preserve">for</w:t>
      </w:r>
      <w:r>
        <w:t xml:space="preserve"> </w:t>
      </w:r>
      <w:r>
        <w:t xml:space="preserve">operators</w:t>
      </w:r>
      <w:r>
        <w:t xml:space="preserve"> </w:t>
      </w:r>
      <w:r>
        <w:t xml:space="preserve">to</w:t>
      </w:r>
      <w:r>
        <w:t xml:space="preserve"> </w:t>
      </w:r>
      <w:r>
        <w:t xml:space="preserve">decide</w:t>
      </w:r>
      <w:r>
        <w:t xml:space="preserve"> </w:t>
      </w:r>
      <w:r>
        <w:t xml:space="preserve">whether CO2 should be</w:t>
      </w:r>
      <w:r>
        <w:t xml:space="preserve"> </w:t>
      </w:r>
      <w:r>
        <w:t xml:space="preserve">stored or utilised in different</w:t>
      </w:r>
      <w:r>
        <w:t xml:space="preserve"> </w:t>
      </w:r>
      <w:r>
        <w:t xml:space="preserve">applications.</w:t>
      </w:r>
    </w:p>
    <w:p>
      <w:pPr>
        <w:pStyle w:val="BodyText"/>
      </w:pPr>
      <w:r>
        <w:t xml:space="preserve">Shifts</w:t>
      </w:r>
      <w:r>
        <w:t xml:space="preserve"> </w:t>
      </w:r>
      <w:r>
        <w:t xml:space="preserve">the</w:t>
      </w:r>
      <w:r>
        <w:t xml:space="preserve"> </w:t>
      </w:r>
      <w:r>
        <w:t xml:space="preserve">burden</w:t>
      </w:r>
      <w:r>
        <w:t xml:space="preserve"> </w:t>
      </w:r>
      <w:r>
        <w:t xml:space="preserve">of</w:t>
      </w:r>
      <w:r>
        <w:t xml:space="preserve"> </w:t>
      </w:r>
      <w:r>
        <w:t xml:space="preserve">accounting and pricing to the</w:t>
      </w:r>
      <w:r>
        <w:t xml:space="preserve"> </w:t>
      </w:r>
      <w:r>
        <w:t xml:space="preserve">final emitter, disincentivized</w:t>
      </w:r>
      <w:r>
        <w:t xml:space="preserve"> </w:t>
      </w:r>
      <w:r>
        <w:t xml:space="preserve">production of producing CO2</w:t>
      </w:r>
      <w:r>
        <w:t xml:space="preserve"> </w:t>
      </w:r>
      <w:r>
        <w:t xml:space="preserve">feedstocks for e-fuels fuels, a</w:t>
      </w:r>
      <w:r>
        <w:t xml:space="preserve"> </w:t>
      </w:r>
      <w:r>
        <w:t xml:space="preserve">key non-permanent CCU</w:t>
      </w:r>
      <w:r>
        <w:t xml:space="preserve"> </w:t>
      </w:r>
      <w:r>
        <w:t xml:space="preserve">application.</w:t>
      </w:r>
      <w:r>
        <w:t xml:space="preserve"> </w:t>
      </w:r>
      <w:r>
        <w:t xml:space="preserve">+/++</w:t>
      </w:r>
      <w:r>
        <w:t xml:space="preserve"> </w:t>
      </w:r>
      <w:r>
        <w:t xml:space="preserve">Incentivises capture and use of</w:t>
      </w:r>
      <w:r>
        <w:t xml:space="preserve"> </w:t>
      </w:r>
      <w:r>
        <w:t xml:space="preserve">CO2</w:t>
      </w:r>
      <w:r>
        <w:t xml:space="preserve"> </w:t>
      </w:r>
      <w:r>
        <w:t xml:space="preserve">and</w:t>
      </w:r>
      <w:r>
        <w:t xml:space="preserve"> </w:t>
      </w:r>
      <w:r>
        <w:t xml:space="preserve">provides</w:t>
      </w:r>
      <w:r>
        <w:t xml:space="preserve"> </w:t>
      </w:r>
      <w:r>
        <w:t xml:space="preserve">the</w:t>
      </w:r>
      <w:r>
        <w:t xml:space="preserve"> </w:t>
      </w:r>
      <w:r>
        <w:t xml:space="preserve">flexibility for operators to</w:t>
      </w:r>
      <w:r>
        <w:t xml:space="preserve"> </w:t>
      </w:r>
      <w:r>
        <w:t xml:space="preserve">decide whether CO2 should be</w:t>
      </w:r>
      <w:r>
        <w:t xml:space="preserve"> </w:t>
      </w:r>
      <w:r>
        <w:t xml:space="preserve">stored or utilised in different</w:t>
      </w:r>
      <w:r>
        <w:t xml:space="preserve"> </w:t>
      </w:r>
      <w:r>
        <w:t xml:space="preserve">applications, including both e-</w:t>
      </w:r>
      <w:r>
        <w:t xml:space="preserve"> </w:t>
      </w:r>
      <w:r>
        <w:t xml:space="preserve">fuels and chemicals.</w:t>
      </w:r>
    </w:p>
    <w:p>
      <w:pPr>
        <w:pStyle w:val="BodyText"/>
      </w:pPr>
      <w:r>
        <w:t xml:space="preserve">Economic</w:t>
      </w:r>
      <w:r>
        <w:t xml:space="preserve"> </w:t>
      </w:r>
      <w:r>
        <w:t xml:space="preserve">/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</w:p>
    <w:p>
      <w:pPr>
        <w:pStyle w:val="BodyText"/>
      </w:pPr>
      <w:r>
        <w:t xml:space="preserve">Double</w:t>
      </w:r>
      <w:r>
        <w:t xml:space="preserve"> </w:t>
      </w:r>
      <w:r>
        <w:t xml:space="preserve">counting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With integration of</w:t>
      </w:r>
      <w:r>
        <w:t xml:space="preserve"> </w:t>
      </w:r>
      <w:r>
        <w:t xml:space="preserve">MWI emissions can</w:t>
      </w:r>
      <w:r>
        <w:t xml:space="preserve"> </w:t>
      </w:r>
      <w:r>
        <w:t xml:space="preserve">be double counted,</w:t>
      </w:r>
      <w:r>
        <w:t xml:space="preserve"> </w:t>
      </w:r>
      <w:r>
        <w:t xml:space="preserve">accounted</w:t>
      </w:r>
      <w:r>
        <w:t xml:space="preserve"> </w:t>
      </w:r>
      <w:r>
        <w:t xml:space="preserve">for</w:t>
      </w:r>
      <w:r>
        <w:t xml:space="preserve"> </w:t>
      </w:r>
      <w:r>
        <w:t xml:space="preserve">and</w:t>
      </w:r>
      <w:r>
        <w:t xml:space="preserve"> </w:t>
      </w:r>
      <w:r>
        <w:t xml:space="preserve">priced both upstream</w:t>
      </w:r>
      <w:r>
        <w:t xml:space="preserve"> </w:t>
      </w:r>
      <w:r>
        <w:t xml:space="preserve">at</w:t>
      </w:r>
      <w:r>
        <w:t xml:space="preserve"> </w:t>
      </w:r>
      <w:r>
        <w:t xml:space="preserve">capture</w:t>
      </w:r>
      <w:r>
        <w:t xml:space="preserve"> </w:t>
      </w:r>
      <w:r>
        <w:t xml:space="preserve">and</w:t>
      </w:r>
      <w:r>
        <w:t xml:space="preserve"> </w:t>
      </w:r>
      <w:r>
        <w:t xml:space="preserve">downstream at MWI.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Lowers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double</w:t>
      </w:r>
      <w:r>
        <w:t xml:space="preserve"> </w:t>
      </w:r>
      <w:r>
        <w:t xml:space="preserve">counting,</w:t>
      </w:r>
      <w:r>
        <w:t xml:space="preserve"> </w:t>
      </w:r>
      <w:r>
        <w:t xml:space="preserve">as</w:t>
      </w:r>
      <w:r>
        <w:t xml:space="preserve"> </w:t>
      </w:r>
      <w:r>
        <w:t xml:space="preserve">emissions</w:t>
      </w:r>
      <w:r>
        <w:t xml:space="preserve"> </w:t>
      </w:r>
      <w:r>
        <w:t xml:space="preserve">accounted for at final emitter</w:t>
      </w:r>
      <w:r>
        <w:t xml:space="preserve"> </w:t>
      </w:r>
      <w:r>
        <w:t xml:space="preserve">stage</w:t>
      </w:r>
      <w:r>
        <w:t xml:space="preserve"> </w:t>
      </w:r>
      <w:r>
        <w:t xml:space="preserve">Does not offer an accounting</w:t>
      </w:r>
      <w:r>
        <w:t xml:space="preserve"> </w:t>
      </w:r>
      <w:r>
        <w:t xml:space="preserve">approach that aligns with e-</w:t>
      </w:r>
      <w:r>
        <w:t xml:space="preserve"> </w:t>
      </w:r>
      <w:r>
        <w:t xml:space="preserve">fuels produced from CO2</w:t>
      </w:r>
      <w:r>
        <w:br/>
      </w:r>
      <w:r>
        <w:t xml:space="preserve">+</w:t>
      </w:r>
    </w:p>
    <w:p>
      <w:pPr>
        <w:pStyle w:val="BodyText"/>
      </w:pPr>
      <w:r>
        <w:t xml:space="preserve">Lowers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double</w:t>
      </w:r>
      <w:r>
        <w:t xml:space="preserve"> </w:t>
      </w:r>
      <w:r>
        <w:t xml:space="preserve">counting,</w:t>
      </w:r>
      <w:r>
        <w:t xml:space="preserve"> </w:t>
      </w:r>
      <w:r>
        <w:t xml:space="preserve">as</w:t>
      </w:r>
      <w:r>
        <w:t xml:space="preserve"> </w:t>
      </w:r>
      <w:r>
        <w:t xml:space="preserve">emissions</w:t>
      </w:r>
      <w:r>
        <w:t xml:space="preserve"> </w:t>
      </w:r>
      <w:r>
        <w:t xml:space="preserve">accounted for at final emitter</w:t>
      </w:r>
      <w:r>
        <w:t xml:space="preserve"> </w:t>
      </w:r>
      <w:r>
        <w:t xml:space="preserve">stage</w:t>
      </w:r>
      <w:r>
        <w:t xml:space="preserve"> </w:t>
      </w:r>
      <w:r>
        <w:t xml:space="preserve">Combination of zero rating of</w:t>
      </w:r>
      <w:r>
        <w:t xml:space="preserve"> </w:t>
      </w:r>
      <w:r>
        <w:t xml:space="preserve">e-fuels</w:t>
      </w:r>
      <w:r>
        <w:t xml:space="preserve"> </w:t>
      </w:r>
      <w:r>
        <w:t xml:space="preserve">and</w:t>
      </w:r>
      <w:r>
        <w:t xml:space="preserve"> </w:t>
      </w:r>
      <w:r>
        <w:t xml:space="preserve">downstream</w:t>
      </w:r>
      <w:r>
        <w:t xml:space="preserve"> </w:t>
      </w:r>
      <w:r>
        <w:t xml:space="preserve">accounting</w:t>
      </w:r>
      <w:r>
        <w:t xml:space="preserve"> </w:t>
      </w:r>
      <w:r>
        <w:t xml:space="preserve">allows</w:t>
      </w:r>
      <w:r>
        <w:t xml:space="preserve"> </w:t>
      </w:r>
      <w:r>
        <w:t xml:space="preserve">for</w:t>
      </w:r>
      <w:r>
        <w:t xml:space="preserve"> </w:t>
      </w:r>
      <w:r>
        <w:t xml:space="preserve">accounting</w:t>
      </w:r>
      <w:r>
        <w:t xml:space="preserve"> </w:t>
      </w:r>
      <w:r>
        <w:t xml:space="preserve">approach</w:t>
      </w:r>
      <w:r>
        <w:t xml:space="preserve"> </w:t>
      </w:r>
      <w:r>
        <w:t xml:space="preserve">conducive</w:t>
      </w:r>
      <w:r>
        <w:t xml:space="preserve"> </w:t>
      </w:r>
      <w:r>
        <w:t xml:space="preserve">with</w:t>
      </w:r>
      <w:r>
        <w:t xml:space="preserve"> </w:t>
      </w:r>
      <w:r>
        <w:t xml:space="preserve">all</w:t>
      </w:r>
      <w:r>
        <w:t xml:space="preserve"> </w:t>
      </w:r>
      <w:r>
        <w:t xml:space="preserve">non-</w:t>
      </w:r>
      <w:r>
        <w:t xml:space="preserve"> </w:t>
      </w:r>
      <w:r>
        <w:t xml:space="preserve">permanent CCU products</w:t>
      </w:r>
      <w:r>
        <w:t xml:space="preserve"> </w:t>
      </w:r>
      <w:r>
        <w:t xml:space="preserve">Economic /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on</w:t>
      </w:r>
      <w:r>
        <w:t xml:space="preserve"> </w:t>
      </w:r>
      <w:r>
        <w:t xml:space="preserve">business</w:t>
      </w:r>
      <w:r>
        <w:t xml:space="preserve"> </w:t>
      </w:r>
      <w:r>
        <w:t xml:space="preserve">-/+</w:t>
      </w:r>
    </w:p>
    <w:p>
      <w:pPr>
        <w:pStyle w:val="BodyText"/>
      </w:pPr>
      <w:r>
        <w:t xml:space="preserve">Most straight forward</w:t>
      </w:r>
      <w:r>
        <w:t xml:space="preserve"> </w:t>
      </w:r>
      <w:r>
        <w:t xml:space="preserve">accounting approach.</w:t>
      </w:r>
      <w:r>
        <w:t xml:space="preserve"> </w:t>
      </w:r>
      <w:r>
        <w:t xml:space="preserve">Requires</w:t>
      </w:r>
      <w:r>
        <w:t xml:space="preserve"> </w:t>
      </w:r>
      <w:r>
        <w:t xml:space="preserve">additional</w:t>
      </w:r>
      <w:r>
        <w:t xml:space="preserve"> </w:t>
      </w:r>
      <w:r>
        <w:t xml:space="preserve">mechanisms</w:t>
      </w:r>
      <w:r>
        <w:t xml:space="preserve"> </w:t>
      </w:r>
      <w:r>
        <w:t xml:space="preserve">to</w:t>
      </w:r>
      <w:r>
        <w:t xml:space="preserve"> </w:t>
      </w:r>
      <w:r>
        <w:t xml:space="preserve">account for double</w:t>
      </w:r>
      <w:r>
        <w:t xml:space="preserve"> </w:t>
      </w:r>
      <w:r>
        <w:t xml:space="preserve">pricing and leakage</w:t>
      </w:r>
      <w:r>
        <w:t xml:space="preserve"> </w:t>
      </w:r>
      <w:r>
        <w:t xml:space="preserve">from the EU ETS</w:t>
      </w:r>
      <w:r>
        <w:t xml:space="preserve"> </w:t>
      </w:r>
      <w:r>
        <w:t xml:space="preserve">system.</w:t>
      </w:r>
      <w:r>
        <w:t xml:space="preserve"> </w:t>
      </w:r>
      <w:r>
        <w:t xml:space="preserve">-/+</w:t>
      </w:r>
    </w:p>
    <w:p>
      <w:pPr>
        <w:pStyle w:val="BodyText"/>
      </w:pPr>
      <w:r>
        <w:t xml:space="preserve">If waste incineration is</w:t>
      </w:r>
      <w:r>
        <w:t xml:space="preserve"> </w:t>
      </w:r>
      <w:r>
        <w:t xml:space="preserve">integrated into the EU ETS,</w:t>
      </w:r>
      <w:r>
        <w:t xml:space="preserve"> </w:t>
      </w:r>
      <w:r>
        <w:t xml:space="preserve">downstream accounting has</w:t>
      </w:r>
      <w:r>
        <w:t xml:space="preserve"> </w:t>
      </w:r>
      <w:r>
        <w:t xml:space="preserve">limited</w:t>
      </w:r>
      <w:r>
        <w:t xml:space="preserve"> </w:t>
      </w:r>
      <w:r>
        <w:t xml:space="preserve">additional</w:t>
      </w:r>
      <w:r>
        <w:t xml:space="preserve"> </w:t>
      </w:r>
      <w:r>
        <w:t xml:space="preserve">administrative burdens.</w:t>
      </w:r>
      <w:r>
        <w:t xml:space="preserve"> </w:t>
      </w:r>
      <w:r>
        <w:t xml:space="preserve">Requires</w:t>
      </w:r>
      <w:r>
        <w:t xml:space="preserve"> </w:t>
      </w:r>
      <w:r>
        <w:t xml:space="preserve">additional</w:t>
      </w:r>
      <w:r>
        <w:t xml:space="preserve"> </w:t>
      </w:r>
      <w:r>
        <w:t xml:space="preserve">mechanism to identify and</w:t>
      </w:r>
      <w:r>
        <w:t xml:space="preserve"> </w:t>
      </w:r>
      <w:r>
        <w:t xml:space="preserve">providing systems to avoid</w:t>
      </w:r>
      <w:r>
        <w:t xml:space="preserve"> </w:t>
      </w:r>
      <w:r>
        <w:t xml:space="preserve">loopholes.</w:t>
      </w:r>
      <w:r>
        <w:t xml:space="preserve"> </w:t>
      </w:r>
      <w:r>
        <w:t xml:space="preserve">-/+</w:t>
      </w:r>
    </w:p>
    <w:p>
      <w:pPr>
        <w:pStyle w:val="BodyText"/>
      </w:pPr>
      <w:r>
        <w:t xml:space="preserve">Maintains limited additional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of</w:t>
      </w:r>
      <w:r>
        <w:t xml:space="preserve"> </w:t>
      </w:r>
      <w:r>
        <w:t xml:space="preserve">downstream accounting.</w:t>
      </w:r>
      <w:r>
        <w:t xml:space="preserve"> </w:t>
      </w:r>
      <w:r>
        <w:t xml:space="preserve">Fuel supplier or distributor</w:t>
      </w:r>
      <w:r>
        <w:t xml:space="preserve"> </w:t>
      </w:r>
      <w:r>
        <w:t xml:space="preserve">may face increased costs to</w:t>
      </w:r>
      <w:r>
        <w:t xml:space="preserve"> </w:t>
      </w:r>
      <w:r>
        <w:t xml:space="preserve">meet compliance demands but</w:t>
      </w:r>
      <w:r>
        <w:t xml:space="preserve"> </w:t>
      </w:r>
      <w:r>
        <w:t xml:space="preserve">could be offset by discounted</w:t>
      </w:r>
      <w:r>
        <w:t xml:space="preserve"> </w:t>
      </w:r>
      <w:r>
        <w:t xml:space="preserve">CO2 purchase costs.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/ Climate</w:t>
      </w:r>
    </w:p>
    <w:p>
      <w:pPr>
        <w:pStyle w:val="BodyText"/>
      </w:pPr>
      <w:r>
        <w:t xml:space="preserve">Undercounting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Creates certainty that</w:t>
      </w:r>
      <w:r>
        <w:t xml:space="preserve"> </w:t>
      </w:r>
      <w:r>
        <w:t xml:space="preserve">all</w:t>
      </w:r>
      <w:r>
        <w:t xml:space="preserve"> </w:t>
      </w:r>
      <w:r>
        <w:t xml:space="preserve">non-permanent</w:t>
      </w:r>
      <w:r>
        <w:t xml:space="preserve"> </w:t>
      </w:r>
      <w:r>
        <w:t xml:space="preserve">CCU</w:t>
      </w:r>
      <w:r>
        <w:t xml:space="preserve"> </w:t>
      </w:r>
      <w:r>
        <w:t xml:space="preserve">emissions</w:t>
      </w:r>
      <w:r>
        <w:t xml:space="preserve"> </w:t>
      </w:r>
      <w:r>
        <w:t xml:space="preserve">would effectively be</w:t>
      </w:r>
      <w:r>
        <w:t xml:space="preserve"> </w:t>
      </w:r>
      <w:r>
        <w:t xml:space="preserve">accounted for by the</w:t>
      </w:r>
      <w:r>
        <w:t xml:space="preserve"> </w:t>
      </w:r>
      <w:r>
        <w:t xml:space="preserve">EU ETS.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Some</w:t>
      </w:r>
      <w:r>
        <w:t xml:space="preserve"> </w:t>
      </w:r>
      <w:r>
        <w:t xml:space="preserve">risk</w:t>
      </w:r>
      <w:r>
        <w:t xml:space="preserve"> </w:t>
      </w:r>
      <w:r>
        <w:t xml:space="preserve">for</w:t>
      </w:r>
      <w:r>
        <w:t xml:space="preserve"> </w:t>
      </w:r>
      <w:r>
        <w:t xml:space="preserve">non-</w:t>
      </w:r>
      <w:r>
        <w:t xml:space="preserve"> </w:t>
      </w:r>
      <w:r>
        <w:t xml:space="preserve">permanent CCU products</w:t>
      </w:r>
      <w:r>
        <w:t xml:space="preserve"> </w:t>
      </w:r>
      <w:r>
        <w:t xml:space="preserve">whose end-of-life treatment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met</w:t>
      </w:r>
      <w:r>
        <w:t xml:space="preserve"> </w:t>
      </w:r>
      <w:r>
        <w:t xml:space="preserve">by</w:t>
      </w:r>
      <w:r>
        <w:t xml:space="preserve"> </w:t>
      </w:r>
      <w:r>
        <w:t xml:space="preserve">waste</w:t>
      </w:r>
      <w:r>
        <w:t xml:space="preserve"> </w:t>
      </w:r>
      <w:r>
        <w:t xml:space="preserve">incineration</w:t>
      </w:r>
      <w:r>
        <w:t xml:space="preserve"> </w:t>
      </w:r>
      <w:r>
        <w:t xml:space="preserve">to</w:t>
      </w:r>
      <w:r>
        <w:t xml:space="preserve"> </w:t>
      </w:r>
      <w:r>
        <w:t xml:space="preserve">create</w:t>
      </w:r>
      <w:r>
        <w:t xml:space="preserve"> </w:t>
      </w:r>
      <w:r>
        <w:t xml:space="preserve">loopholes.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Some risk for non-permanent</w:t>
      </w:r>
      <w:r>
        <w:t xml:space="preserve"> </w:t>
      </w:r>
      <w:r>
        <w:t xml:space="preserve">CCU products whose end-of-</w:t>
      </w:r>
      <w:r>
        <w:t xml:space="preserve"> </w:t>
      </w:r>
      <w:r>
        <w:t xml:space="preserve">life treatment is not met by</w:t>
      </w:r>
      <w:r>
        <w:t xml:space="preserve"> </w:t>
      </w:r>
      <w:r>
        <w:t xml:space="preserve">waste incineration to create</w:t>
      </w:r>
      <w:r>
        <w:t xml:space="preserve"> </w:t>
      </w:r>
      <w:r>
        <w:t xml:space="preserve">loopholes.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2.5. Conclusions</w:t>
      </w:r>
      <w:r>
        <w:t xml:space="preserve"> </w:t>
      </w:r>
      <w:r>
        <w:t xml:space="preserve">The three measures outlined in Section 2.3 represent different accounting options that seek to</w:t>
      </w:r>
      <w:r>
        <w:t xml:space="preserve"> </w:t>
      </w:r>
      <w:r>
        <w:t xml:space="preserve">adapt the ETS framework to the specificities of non-permanent CCU products. They all present</w:t>
      </w:r>
      <w:r>
        <w:t xml:space="preserve"> </w:t>
      </w:r>
      <w:r>
        <w:t xml:space="preserve">advantages and disadvantages and choosing a preferred accounting model represents a</w:t>
      </w:r>
      <w:r>
        <w:t xml:space="preserve"> </w:t>
      </w:r>
      <w:r>
        <w:t xml:space="preserve">balancing act between the different trade-offs.</w:t>
      </w:r>
      <w:r>
        <w:br/>
      </w:r>
      <w:r>
        <w:t xml:space="preserve">As shown previously, upstream accounting (CCU1) provides the highest integrity and</w:t>
      </w:r>
      <w:r>
        <w:t xml:space="preserve"> </w:t>
      </w:r>
      <w:r>
        <w:t xml:space="preserve">assurance that all emissions resulting from ETS activities are accounted and priced.</w:t>
      </w:r>
      <w:r>
        <w:br/>
      </w:r>
      <w:r>
        <w:t xml:space="preserve">However, in the case of integration of waste incineration in the EU ETS, upstream leads to</w:t>
      </w:r>
      <w:r>
        <w:t xml:space="preserve"> </w:t>
      </w:r>
      <w:r>
        <w:t xml:space="preserve">double counted emissions, in particular for CCU plastics. Furthermore, upstream accounting</w:t>
      </w:r>
      <w:r>
        <w:t xml:space="preserve"> </w:t>
      </w:r>
      <w:r>
        <w:t xml:space="preserve">rewards only the capture of emissions for geological storage. As the capturing of CO2 by ETS</w:t>
      </w:r>
      <w:r>
        <w:t xml:space="preserve"> </w:t>
      </w:r>
      <w:r>
        <w:t xml:space="preserve">emitters for CCU application is currently much less likely than from zero-rated emitters,</w:t>
      </w:r>
      <w:r>
        <w:t xml:space="preserve"> </w:t>
      </w:r>
      <w:r>
        <w:t xml:space="preserve">upstream accounting effectively restricts the development of alternative technologies that make</w:t>
      </w:r>
      <w:r>
        <w:t xml:space="preserve"> </w:t>
      </w:r>
      <w:r>
        <w:t xml:space="preserve">use of the capture carbon instead of virgin fossil carbon. Both factors restrict the efficiency and</w:t>
      </w:r>
      <w:r>
        <w:t xml:space="preserve"> </w:t>
      </w:r>
      <w:r>
        <w:t xml:space="preserve">effectiveness of the EU ETS in achieving its objectives.</w:t>
      </w:r>
      <w:r>
        <w:br/>
      </w:r>
      <w:r>
        <w:t xml:space="preserve">The hybrid downstream and midstream accounting (CCU3) effectively addresses the issues</w:t>
      </w:r>
      <w:r>
        <w:t xml:space="preserve"> </w:t>
      </w:r>
      <w:r>
        <w:t xml:space="preserve">outlined in the previous paragraphs and it enables investments in carbon capture and non-</w:t>
      </w:r>
      <w:r>
        <w:t xml:space="preserve"> </w:t>
      </w:r>
      <w:r>
        <w:t xml:space="preserve">permanent use. This in turn contributes to reduction in costs of CO2 feedstock and helps the</w:t>
      </w:r>
      <w:r>
        <w:t xml:space="preserve"> </w:t>
      </w:r>
      <w:r>
        <w:t xml:space="preserve">business case for CCU products. It is important to recall that numerous sectors and services</w:t>
      </w:r>
      <w:r>
        <w:t xml:space="preserve"> </w:t>
      </w:r>
      <w:r>
        <w:t xml:space="preserve">rely on carbon, so they cannot be “decarbonised”. The use of captured CO2 as a feedstock can</w:t>
      </w:r>
      <w:r>
        <w:t xml:space="preserve"> </w:t>
      </w:r>
      <w:r>
        <w:t xml:space="preserve">provide a source of carbon for producing fuels, chemical and materials and ensure that these</w:t>
      </w:r>
      <w:r>
        <w:t xml:space="preserve"> </w:t>
      </w:r>
      <w:r>
        <w:t xml:space="preserve">sectors can eventually be de-fossilised. As noted previously, the transition to alternative source</w:t>
      </w:r>
      <w:r>
        <w:t xml:space="preserve"> </w:t>
      </w:r>
      <w:r>
        <w:t xml:space="preserve">of carbon is therefore, an important part of reaching the EU’s climate targets.</w:t>
      </w:r>
      <w:r>
        <w:br/>
      </w:r>
      <w:r>
        <w:t xml:space="preserve">The combination of the downstream and midstream accounting encompassed in measure CCU3</w:t>
      </w:r>
      <w:r>
        <w:t xml:space="preserve"> </w:t>
      </w:r>
      <w:r>
        <w:t xml:space="preserve">also best addresses the specificities of e-fuels, as one particular type of CCU products with an</w:t>
      </w:r>
      <w:r>
        <w:t xml:space="preserve"> </w:t>
      </w:r>
      <w:r>
        <w:t xml:space="preserve">existing regulatory framework already in place, and of other potential CCU products, such as</w:t>
      </w:r>
      <w:r>
        <w:t xml:space="preserve"> </w:t>
      </w:r>
      <w:r>
        <w:t xml:space="preserve">synthetic chemicals or plastics.</w:t>
      </w:r>
      <w:r>
        <w:br/>
      </w:r>
      <w:r>
        <w:t xml:space="preserve">The measures CCU2 and CCU3 provide important benefits, in particular as regards the</w:t>
      </w:r>
      <w:r>
        <w:t xml:space="preserve"> </w:t>
      </w:r>
      <w:r>
        <w:t xml:space="preserve">incentivisation of carbon capture, ensuring the level playing field for novel and traditional</w:t>
      </w:r>
      <w:r>
        <w:t xml:space="preserve"> </w:t>
      </w:r>
      <w:r>
        <w:t xml:space="preserve">products and providing flexibility to operators on what to do with captured CO2. However, the</w:t>
      </w:r>
      <w:r>
        <w:t xml:space="preserve"> </w:t>
      </w:r>
      <w:r>
        <w:t xml:space="preserve">trade-off of moving away from the upstream accounting of emissions is that it creates the risk</w:t>
      </w:r>
      <w:r>
        <w:t xml:space="preserve"> </w:t>
      </w:r>
      <w:r>
        <w:t xml:space="preserve">for undercounting of emissions in cases when emissions captured and embedded in CCU</w:t>
      </w:r>
      <w:r>
        <w:t xml:space="preserve"> </w:t>
      </w:r>
      <w:r>
        <w:t xml:space="preserve">products are released in activities outside the scope of the EU ETS.</w:t>
      </w:r>
      <w:r>
        <w:br/>
      </w:r>
      <w:r>
        <w:t xml:space="preserve">In case of such loopholes associated with clearly identifiable CCU products or applications,</w:t>
      </w:r>
      <w:r>
        <w:t xml:space="preserve"> </w:t>
      </w:r>
      <w:r>
        <w:t xml:space="preserve">the risk can be best addressed by applying the upstream accounting as a derogation to a general</w:t>
      </w:r>
      <w:r>
        <w:t xml:space="preserve"> </w:t>
      </w:r>
      <w:r>
        <w:t xml:space="preserve">rule or setting additional requirements or limitations to the use of such products in order to</w:t>
      </w:r>
      <w:r>
        <w:t xml:space="preserve"> </w:t>
      </w:r>
      <w:r>
        <w:t xml:space="preserve">minimise the risks. Nevertheless, addressing all possible loopholes risks is not feasible in</w:t>
      </w:r>
      <w:r>
        <w:t xml:space="preserve"> </w:t>
      </w:r>
      <w:r>
        <w:t xml:space="preserve">practice without severely restricting the use of non-permanent CCU applications, limiting</w:t>
      </w:r>
      <w:r>
        <w:t xml:space="preserve"> </w:t>
      </w:r>
      <w:r>
        <w:t xml:space="preserve">therefore their development. Given the low volumes of CCU products currently being</w:t>
      </w:r>
      <w:r>
        <w:t xml:space="preserve"> </w:t>
      </w:r>
      <w:r>
        <w:t xml:space="preserve">produced, these risks are only hypothetical at this stage. Therefore, it is preferable to adopt an</w:t>
      </w:r>
      <w:r>
        <w:t xml:space="preserve"> </w:t>
      </w:r>
      <w:r>
        <w:t xml:space="preserve">approach that regularly assesses the effective risk posed by non-permanent CCU to the integrity</w:t>
      </w:r>
      <w:r>
        <w:t xml:space="preserve"> </w:t>
      </w:r>
      <w:r>
        <w:t xml:space="preserve">of the ETS and introduces corrective mechanisms if and when such risks start having a material</w:t>
      </w:r>
      <w:r>
        <w:t xml:space="preserve"> </w:t>
      </w:r>
      <w:r>
        <w:t xml:space="preserve">impact.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ANNEX 14: LINKING</w:t>
      </w:r>
      <w:r>
        <w:t xml:space="preserve"> </w:t>
      </w:r>
      <w:r>
        <w:t xml:space="preserve">Article 25 ETS Directive encourages the conclusion of linking agreements with third countries,</w:t>
      </w:r>
      <w:r>
        <w:t xml:space="preserve"> </w:t>
      </w:r>
      <w:r>
        <w:t xml:space="preserve">in particular those with compatible mandatory greenhouse gas emissions trading systems and</w:t>
      </w:r>
      <w:r>
        <w:t xml:space="preserve"> </w:t>
      </w:r>
      <w:r>
        <w:t xml:space="preserve">with absolute emission caps.</w:t>
      </w:r>
      <w:r>
        <w:br/>
      </w:r>
      <w:r>
        <w:t xml:space="preserve">Article 30 (6) tasks the European Commission to analyse how linking the EU ETS to other</w:t>
      </w:r>
      <w:r>
        <w:t xml:space="preserve"> </w:t>
      </w:r>
      <w:r>
        <w:t xml:space="preserve">systems can be established “without impeding the achievement of the climate-neutrality</w:t>
      </w:r>
      <w:r>
        <w:t xml:space="preserve"> </w:t>
      </w:r>
      <w:r>
        <w:t xml:space="preserve">objective and the Union climate targets.” To carry out this analysis, the Commission has</w:t>
      </w:r>
      <w:r>
        <w:t xml:space="preserve"> </w:t>
      </w:r>
      <w:r>
        <w:t xml:space="preserve">commissioned an analysis and will publish a report. This annex summarises the findings of the</w:t>
      </w:r>
      <w:r>
        <w:t xml:space="preserve"> </w:t>
      </w:r>
      <w:r>
        <w:t xml:space="preserve">forthcoming report and draws conclusions relevant for the present review of the ETS.</w:t>
      </w:r>
      <w:r>
        <w:br/>
      </w:r>
      <w:r>
        <w:t xml:space="preserve">1. WHY AND WHY NOT TO LINK?</w:t>
      </w:r>
      <w:r>
        <w:t xml:space="preserve"> </w:t>
      </w:r>
      <w:r>
        <w:t xml:space="preserve">Economic theory dictates there are gains to be made from linking ETSs, primarily as a result</w:t>
      </w:r>
      <w:r>
        <w:t xml:space="preserve"> </w:t>
      </w:r>
      <w:r>
        <w:t xml:space="preserve">of the increased market size. These include increased cost effectiveness, market liquidity and</w:t>
      </w:r>
      <w:r>
        <w:t xml:space="preserve"> </w:t>
      </w:r>
      <w:r>
        <w:t xml:space="preserve">stability, as well as a reduction of carbon leakage. These benefits become increasingly valuable</w:t>
      </w:r>
      <w:r>
        <w:t xml:space="preserve"> </w:t>
      </w:r>
      <w:r>
        <w:t xml:space="preserve">in the European context of a carbon market with a declining cap, headed for significant</w:t>
      </w:r>
      <w:r>
        <w:t xml:space="preserve"> </w:t>
      </w:r>
      <w:r>
        <w:t xml:space="preserve">emission reductions in the next decade and alignment with climate neutrality thereafter.</w:t>
      </w:r>
      <w:r>
        <w:br/>
      </w:r>
      <w:r>
        <w:t xml:space="preserve">The benefits of linking can only be realised fully in case of a so-called ‘full, bi-directional link’</w:t>
      </w:r>
      <w:r>
        <w:t xml:space="preserve"> </w:t>
      </w:r>
      <w:r>
        <w:t xml:space="preserve">whereby allowances from one jurisdiction can be used to meet compliance obligation in the</w:t>
      </w:r>
      <w:r>
        <w:t xml:space="preserve"> </w:t>
      </w:r>
      <w:r>
        <w:t xml:space="preserve">other, and vice versa. Opening one’s market to the allowances of another requires trust, legal</w:t>
      </w:r>
      <w:r>
        <w:t xml:space="preserve"> </w:t>
      </w:r>
      <w:r>
        <w:t xml:space="preserve">clarity, as well as a deep degree of harmonisation in order to ensure a level playing field</w:t>
      </w:r>
      <w:r>
        <w:t xml:space="preserve"> </w:t>
      </w:r>
      <w:r>
        <w:t xml:space="preserve">between compliance entities in the two jurisdictions. Stakeholder responses to the Open Public</w:t>
      </w:r>
      <w:r>
        <w:t xml:space="preserve"> </w:t>
      </w:r>
      <w:r>
        <w:t xml:space="preserve">Consultation conducted under the ongoing Review also emphasised the importance of linking.</w:t>
      </w:r>
      <w:r>
        <w:t xml:space="preserve"> </w:t>
      </w:r>
      <w:r>
        <w:t xml:space="preserve">Most respondents supported pursuing further linking between the EU ETS and other ETSs and</w:t>
      </w:r>
      <w:r>
        <w:t xml:space="preserve"> </w:t>
      </w:r>
      <w:r>
        <w:t xml:space="preserve">emphasised economic benefits, with top motivations being reducing carbon-leakage risk,</w:t>
      </w:r>
      <w:r>
        <w:t xml:space="preserve"> </w:t>
      </w:r>
      <w:r>
        <w:t xml:space="preserve">improving cost-effectiveness via price convergence, and supporting market liquidity.</w:t>
      </w:r>
      <w:r>
        <w:t xml:space="preserve"> </w:t>
      </w:r>
      <w:r>
        <w:t xml:space="preserve">This risk of a distorted level playing field impacting competitiveness is a key risk associated</w:t>
      </w:r>
      <w:r>
        <w:t xml:space="preserve"> </w:t>
      </w:r>
      <w:r>
        <w:t xml:space="preserve">with linking, but there are others. For instance, harmonisation to the lower of the two sets of</w:t>
      </w:r>
      <w:r>
        <w:t xml:space="preserve"> </w:t>
      </w:r>
      <w:r>
        <w:t xml:space="preserve">rules risks compromising the environmental and economic integrity of the linked system.</w:t>
      </w:r>
      <w:r>
        <w:t xml:space="preserve"> </w:t>
      </w:r>
      <w:r>
        <w:t xml:space="preserve">Furthermore, without constant management and close oversight, diverging policies in the</w:t>
      </w:r>
      <w:r>
        <w:t xml:space="preserve"> </w:t>
      </w:r>
      <w:r>
        <w:t xml:space="preserve">linking parties can further distort the level playing field. Linking with multiple systems</w:t>
      </w:r>
      <w:r>
        <w:t xml:space="preserve"> </w:t>
      </w:r>
      <w:r>
        <w:t xml:space="preserve">increases complexity and the need for coordination.</w:t>
      </w:r>
      <w:r>
        <w:br/>
      </w:r>
      <w:r>
        <w:t xml:space="preserve">Where jurisdictions are too dissimilar in their journey to climate neutrality, one of the two</w:t>
      </w:r>
      <w:r>
        <w:t xml:space="preserve"> </w:t>
      </w:r>
      <w:r>
        <w:t xml:space="preserve">systems ends up being a permanent net buyer, de facto outsourcing its emission reductions to</w:t>
      </w:r>
      <w:r>
        <w:t xml:space="preserve"> </w:t>
      </w:r>
      <w:r>
        <w:t xml:space="preserve">the other system, who sees their most cost-effective abatement options being counted towards</w:t>
      </w:r>
      <w:r>
        <w:t xml:space="preserve"> </w:t>
      </w:r>
      <w:r>
        <w:t xml:space="preserve">the former’s target. Recalling the need to assess linking “without impeding the achievement of</w:t>
      </w:r>
      <w:r>
        <w:t xml:space="preserve"> </w:t>
      </w:r>
      <w:r>
        <w:t xml:space="preserve">the climate-neutrality objective and the Union climate targets”, this is particularly important.</w:t>
      </w:r>
      <w:r>
        <w:t xml:space="preserve"> </w:t>
      </w:r>
      <w:r>
        <w:t xml:space="preserve">Finally, diverging price levels may also discourage potential linking partners as the fungibility</w:t>
      </w:r>
      <w:r>
        <w:t xml:space="preserve"> </w:t>
      </w:r>
      <w:r>
        <w:t xml:space="preserve">of allowances implies price alignment.</w:t>
      </w:r>
      <w:r>
        <w:br/>
      </w:r>
      <w:r>
        <w:t xml:space="preserve">2. WITH WHOM TO LINK?</w:t>
      </w:r>
      <w:r>
        <w:t xml:space="preserve"> </w:t>
      </w:r>
      <w:r>
        <w:t xml:space="preserve">It follows that linking partners need to be chosen with care and that, in reality, only few</w:t>
      </w:r>
      <w:r>
        <w:t xml:space="preserve"> </w:t>
      </w:r>
      <w:r>
        <w:t xml:space="preserve">jurisdictions can be regarded as realistic candidates for the EU ETS, given its advanced state</w:t>
      </w:r>
      <w:r>
        <w:t xml:space="preserve"> </w:t>
      </w:r>
      <w:r>
        <w:t xml:space="preserve">and elaborate acquis. At present, the EU ETS is linked to the Swiss ETS and negotiations with</w:t>
      </w:r>
      <w:r>
        <w:t xml:space="preserve"> </w:t>
      </w:r>
      <w:r>
        <w:t xml:space="preserve">the UK ETS have recently been launched. The EEA EFTA States are integrated in the EU ETS,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and in the future a possible enlargement of the European Union may lead to the integration of</w:t>
      </w:r>
      <w:r>
        <w:t xml:space="preserve"> </w:t>
      </w:r>
      <w:r>
        <w:t xml:space="preserve">further countries.</w:t>
      </w:r>
      <w:r>
        <w:t xml:space="preserve"> </w:t>
      </w:r>
      <w:r>
        <w:t xml:space="preserve">Other ETSs currently in operation around the world are less similar in design as well as price</w:t>
      </w:r>
      <w:r>
        <w:t xml:space="preserve"> </w:t>
      </w:r>
      <w:r>
        <w:t xml:space="preserve">level and stage of decarbonisation, such that considerable obstacles would need to be overcome</w:t>
      </w:r>
      <w:r>
        <w:t xml:space="preserve"> </w:t>
      </w:r>
      <w:r>
        <w:t xml:space="preserve">in order to agree on a Linking Agreement and establish a successful link. For instance,</w:t>
      </w:r>
      <w:r>
        <w:t xml:space="preserve"> </w:t>
      </w:r>
      <w:r>
        <w:t xml:space="preserve">examples of design elements that are assessed in the report include the absence of an absolute</w:t>
      </w:r>
      <w:r>
        <w:t xml:space="preserve"> </w:t>
      </w:r>
      <w:r>
        <w:t xml:space="preserve">cap (explicitly mentioned in Article 25, albeit not a binding prerequisite), the process of cap</w:t>
      </w:r>
      <w:r>
        <w:t xml:space="preserve"> </w:t>
      </w:r>
      <w:r>
        <w:t xml:space="preserve">setting, and the global trend towards more intensity-based systems, the impacts of diverging</w:t>
      </w:r>
      <w:r>
        <w:t xml:space="preserve"> </w:t>
      </w:r>
      <w:r>
        <w:t xml:space="preserve">MRV and enforcement regimes, the distinction between volume-based and price-based</w:t>
      </w:r>
      <w:r>
        <w:t xml:space="preserve"> </w:t>
      </w:r>
      <w:r>
        <w:t xml:space="preserve">approaches to market stability, carbon leakage frameworks and, finally, approaches to revenue</w:t>
      </w:r>
      <w:r>
        <w:t xml:space="preserve"> </w:t>
      </w:r>
      <w:r>
        <w:t xml:space="preserve">use.</w:t>
      </w:r>
      <w:r>
        <w:br/>
      </w:r>
      <w:r>
        <w:t xml:space="preserve">The EU ETS itself is also subject to reform, which is relevant for linking because the changes</w:t>
      </w:r>
      <w:r>
        <w:t xml:space="preserve"> </w:t>
      </w:r>
      <w:r>
        <w:t xml:space="preserve">reflect not only the sectoral scope, but also key building blocks related to carbon leakage (free</w:t>
      </w:r>
      <w:r>
        <w:t xml:space="preserve"> </w:t>
      </w:r>
      <w:r>
        <w:t xml:space="preserve">allocation, CBAM), market stability, and the integration of domestic removals (and non-</w:t>
      </w:r>
      <w:r>
        <w:t xml:space="preserve"> </w:t>
      </w:r>
      <w:r>
        <w:t xml:space="preserve">integration of international credits). Moreover, ETS2 will start in 2028, which has implications</w:t>
      </w:r>
      <w:r>
        <w:t xml:space="preserve"> </w:t>
      </w:r>
      <w:r>
        <w:t xml:space="preserve">even if a linking partner is primarily interested in linking with the EU ETS. Where a prospective</w:t>
      </w:r>
      <w:r>
        <w:t xml:space="preserve"> </w:t>
      </w:r>
      <w:r>
        <w:t xml:space="preserve">linking partner is unwilling or unable to implement similar rules, the level playing field is once</w:t>
      </w:r>
      <w:r>
        <w:t xml:space="preserve"> </w:t>
      </w:r>
      <w:r>
        <w:t xml:space="preserve">more at risk of distortion to the detriment of the covered industries. In such instances, it is</w:t>
      </w:r>
      <w:r>
        <w:t xml:space="preserve"> </w:t>
      </w:r>
      <w:r>
        <w:t xml:space="preserve">important to agree on strong rules for enforcement, dispute settlement mechanism as well as</w:t>
      </w:r>
      <w:r>
        <w:t xml:space="preserve"> </w:t>
      </w:r>
      <w:r>
        <w:t xml:space="preserve">for how the linking can be suspended and terminated.</w:t>
      </w:r>
      <w:r>
        <w:t xml:space="preserve"> </w:t>
      </w:r>
      <w:r>
        <w:t xml:space="preserve">3. CONCLUSION</w:t>
      </w:r>
      <w:r>
        <w:t xml:space="preserve"> </w:t>
      </w:r>
      <w:r>
        <w:t xml:space="preserve">The answer to the question in Article 30(6) ETS Directive how linking the EU ETS to other</w:t>
      </w:r>
      <w:r>
        <w:t xml:space="preserve"> </w:t>
      </w:r>
      <w:r>
        <w:t xml:space="preserve">systems can be established without impeding the achievement of the climate-neutrality</w:t>
      </w:r>
      <w:r>
        <w:t xml:space="preserve"> </w:t>
      </w:r>
      <w:r>
        <w:t xml:space="preserve">objective and the Union climate targets crucially depends on the climate ambition and the ETS-</w:t>
      </w:r>
      <w:r>
        <w:t xml:space="preserve"> </w:t>
      </w:r>
      <w:r>
        <w:t xml:space="preserve">design of the other jurisdiction. Only where ambition and design are relatively aligned can</w:t>
      </w:r>
      <w:r>
        <w:t xml:space="preserve"> </w:t>
      </w:r>
      <w:r>
        <w:t xml:space="preserve">linking be considered as a serious option. Given the substantial resources needed to negotiate,</w:t>
      </w:r>
      <w:r>
        <w:t xml:space="preserve"> </w:t>
      </w:r>
      <w:r>
        <w:t xml:space="preserve">establish and maintain a link over time, such considerations need to be weighed before</w:t>
      </w:r>
      <w:r>
        <w:t xml:space="preserve"> </w:t>
      </w:r>
      <w:r>
        <w:t xml:space="preserve">embarking on linking talks.</w:t>
      </w:r>
      <w:r>
        <w:br/>
      </w:r>
      <w:r>
        <w:t xml:space="preserve">Finally, it is important to recall that there are other, less far-reaching forms of carbon market</w:t>
      </w:r>
      <w:r>
        <w:t xml:space="preserve"> </w:t>
      </w:r>
      <w:r>
        <w:t xml:space="preserve">cooperation that can deliver important benefits. Recognition of prices paid under other schemes</w:t>
      </w:r>
      <w:r>
        <w:t xml:space="preserve"> </w:t>
      </w:r>
      <w:r>
        <w:t xml:space="preserve">for instance can help facilitate trade and reduce payments under a carbon border measure. This</w:t>
      </w:r>
      <w:r>
        <w:t xml:space="preserve"> </w:t>
      </w:r>
      <w:r>
        <w:t xml:space="preserve">requires understanding and trust of underlying rules, in particular those related to MRV and</w:t>
      </w:r>
      <w:r>
        <w:t xml:space="preserve"> </w:t>
      </w:r>
      <w:r>
        <w:t xml:space="preserve">carbon leakage, that can only be established through close cooperation. Several multilateral</w:t>
      </w:r>
      <w:r>
        <w:t xml:space="preserve"> </w:t>
      </w:r>
      <w:r>
        <w:t xml:space="preserve">fora exist to foster such cooperation and the EU, as well as several of its Member States, play</w:t>
      </w:r>
      <w:r>
        <w:t xml:space="preserve"> </w:t>
      </w:r>
      <w:r>
        <w:t xml:space="preserve">a constructive role.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2026-07-31T16:48:51Z</dcterms:created>
  <dcterms:modified xsi:type="dcterms:W3CDTF">2026-07-31T16:48:51Z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