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17.7.2026</w:t>
      </w:r>
      <w:r>
        <w:br/>
      </w:r>
      <w:r>
        <w:t xml:space="preserve">SWD(2026) 616 final</w:t>
      </w:r>
      <w:r>
        <w:t xml:space="preserve"> </w:t>
      </w:r>
      <w:r>
        <w:t xml:space="preserve">PART 5/5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Proposal for a</w:t>
      </w:r>
      <w:r>
        <w:br/>
      </w:r>
      <w:r>
        <w:t xml:space="preserve">DIRECTIVE OF THE EUROPEAN PARLIAMENT AND OF THE COUNCIL</w:t>
      </w:r>
      <w:r>
        <w:t xml:space="preserve"> </w:t>
      </w:r>
      <w:r>
        <w:t xml:space="preserve">amending Directive 2003/87/EC and Decision (EU) 2015/1814 as regards driving</w:t>
      </w:r>
      <w:r>
        <w:t xml:space="preserve"> </w:t>
      </w:r>
      <w:r>
        <w:t xml:space="preserve">competitiveness and cost-effective decarbonisation</w:t>
      </w:r>
    </w:p>
    <w:p>
      <w:pPr>
        <w:pStyle w:val="BodyText"/>
      </w:pPr>
      <w:r>
        <w:t xml:space="preserve">REGULATION OF THE EUROPEAN PARLIAMENT AND OF THE COUNCIL</w:t>
      </w:r>
      <w:r>
        <w:t xml:space="preserve"> </w:t>
      </w:r>
      <w:r>
        <w:t xml:space="preserve">amending Directive 2003/87/EC as regards revised benchmark values for the heat and</w:t>
      </w:r>
      <w:r>
        <w:t xml:space="preserve"> </w:t>
      </w:r>
      <w:r>
        <w:t xml:space="preserve">fuel benchmarks period from 2026 to 2030</w:t>
      </w:r>
    </w:p>
    <w:p>
      <w:pPr>
        <w:pStyle w:val="BodyText"/>
      </w:pPr>
      <w:r>
        <w:t xml:space="preserve">REGULATION OF THE EUROPEAN PARLIAMENT AND OF THE COUNCIL</w:t>
      </w:r>
      <w:r>
        <w:t xml:space="preserve"> </w:t>
      </w:r>
      <w:r>
        <w:t xml:space="preserve">amending Regulation (EU) 2015/757 and Regulation (EU) 2023/1805 to simplify and</w:t>
      </w:r>
      <w:r>
        <w:t xml:space="preserve"> </w:t>
      </w:r>
      <w:r>
        <w:t xml:space="preserve">streamline monitoring, reporting and verification and to align with revisions of the EU</w:t>
      </w:r>
      <w:r>
        <w:t xml:space="preserve"> </w:t>
      </w:r>
      <w:r>
        <w:t xml:space="preserve">Emissions Trading System</w:t>
      </w:r>
      <w:r>
        <w:br/>
      </w:r>
      <w:r>
        <w:t xml:space="preserve">{COM(2026) 616 final} - {COM(2026) 619 final} - {COM(2026) 620 final} -</w:t>
      </w:r>
      <w:r>
        <w:t xml:space="preserve"> </w:t>
      </w:r>
      <w:r>
        <w:t xml:space="preserve">{SEC(2026) 616 final} - {SWD(2026) 617 final} - {SWD(2026) 618 final}</w:t>
      </w:r>
    </w:p>
    <w:p>
      <w:pPr>
        <w:pStyle w:val="BodyText"/>
      </w:pPr>
      <w:r>
        <w:t xml:space="preserve">ANNEX 15: EVALUATION REPORT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LIST OF TABLES ……………………………………………………………………………………………………. 5</w:t>
      </w:r>
      <w:r>
        <w:t xml:space="preserve"> </w:t>
      </w:r>
      <w:r>
        <w:t xml:space="preserve">LIST OF FIGURES ………………………………………………………………………………………………….. 6</w:t>
      </w:r>
      <w:r>
        <w:t xml:space="preserve"> </w:t>
      </w:r>
      <w:r>
        <w:t xml:space="preserve">GLOSSARY……………………………………………………………………………………………………………… 8</w:t>
      </w:r>
      <w:r>
        <w:t xml:space="preserve"> </w:t>
      </w:r>
      <w:r>
        <w:t xml:space="preserve">1</w:t>
      </w:r>
      <w:r>
        <w:t xml:space="preserve"> </w:t>
      </w:r>
      <w:r>
        <w:t xml:space="preserve">INTRODUCTION: PURPOSE AND SCOPE OF THE EVALUATION ……………. 11</w:t>
      </w:r>
      <w:r>
        <w:t xml:space="preserve"> </w:t>
      </w:r>
      <w:r>
        <w:t xml:space="preserve">1.1</w:t>
      </w:r>
      <w:r>
        <w:t xml:space="preserve"> </w:t>
      </w:r>
      <w:r>
        <w:t xml:space="preserve">OVERVIEW OF THE EU ETS ………………………………………………………………………….. 11</w:t>
      </w:r>
      <w:r>
        <w:t xml:space="preserve"> </w:t>
      </w:r>
      <w:r>
        <w:t xml:space="preserve">1.1.1 How the EU ETS functions………………………………………………………………………. 11</w:t>
      </w:r>
      <w:r>
        <w:t xml:space="preserve"> </w:t>
      </w:r>
      <w:r>
        <w:t xml:space="preserve">1.1.2 How to implement the EU ETS ………………………………………………………………… 12</w:t>
      </w:r>
      <w:r>
        <w:t xml:space="preserve"> </w:t>
      </w:r>
      <w:r>
        <w:t xml:space="preserve">1.1.3 The EU ETS and its legislative history ………………………………………………………. 12</w:t>
      </w:r>
      <w:r>
        <w:t xml:space="preserve"> </w:t>
      </w:r>
      <w:r>
        <w:t xml:space="preserve">1.1.4 The EU ETS evaluation and review proposal of 2015 …………………………………. 13</w:t>
      </w:r>
      <w:r>
        <w:t xml:space="preserve"> </w:t>
      </w:r>
      <w:r>
        <w:t xml:space="preserve">1.2</w:t>
      </w:r>
      <w:r>
        <w:t xml:space="preserve"> </w:t>
      </w:r>
      <w:r>
        <w:t xml:space="preserve">SCOPE ……………………………………………………………………………………………………….. 14</w:t>
      </w:r>
      <w:r>
        <w:t xml:space="preserve"> </w:t>
      </w:r>
      <w:r>
        <w:t xml:space="preserve">2</w:t>
      </w:r>
      <w:r>
        <w:t xml:space="preserve"> </w:t>
      </w:r>
      <w:r>
        <w:t xml:space="preserve">WHAT WAS THE EXPECTED OUTCOME OF THE INTERVENTION? ………. 15</w:t>
      </w:r>
      <w:r>
        <w:t xml:space="preserve"> </w:t>
      </w:r>
      <w:r>
        <w:t xml:space="preserve">2.1</w:t>
      </w:r>
      <w:r>
        <w:t xml:space="preserve"> </w:t>
      </w:r>
      <w:r>
        <w:t xml:space="preserve">EU ETS …………………………………………………………………………………………………….. 15</w:t>
      </w:r>
      <w:r>
        <w:t xml:space="preserve"> </w:t>
      </w:r>
      <w:r>
        <w:t xml:space="preserve">2.1.1 Point of comparison for the EU ETS …………………………………………………………. 15</w:t>
      </w:r>
      <w:r>
        <w:t xml:space="preserve"> </w:t>
      </w:r>
      <w:r>
        <w:t xml:space="preserve">2.1.2 Description of the intervention and its objectives for the EU ETS as a whole …. 16</w:t>
      </w:r>
      <w:r>
        <w:t xml:space="preserve"> </w:t>
      </w:r>
      <w:r>
        <w:t xml:space="preserve">2.2</w:t>
      </w:r>
      <w:r>
        <w:t xml:space="preserve"> </w:t>
      </w:r>
      <w:r>
        <w:t xml:space="preserve">MARKET STABILITY RESERVE ………………………………………………………………………. 18</w:t>
      </w:r>
      <w:r>
        <w:t xml:space="preserve"> </w:t>
      </w:r>
      <w:r>
        <w:t xml:space="preserve">2.2.1 Point of comparison of the MSR ………………………………………………………………. 19</w:t>
      </w:r>
      <w:r>
        <w:t xml:space="preserve"> </w:t>
      </w:r>
      <w:r>
        <w:t xml:space="preserve">2.2.2 Description of the intervention and its objectives for the MSR ……………………… 21</w:t>
      </w:r>
      <w:r>
        <w:t xml:space="preserve"> </w:t>
      </w:r>
      <w:r>
        <w:t xml:space="preserve">3</w:t>
      </w:r>
      <w:r>
        <w:t xml:space="preserve"> </w:t>
      </w:r>
      <w:r>
        <w:t xml:space="preserve">HOW HAS THE SITUATION EVOLVED OVER THE EVALUATION PERIOD?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4</w:t>
      </w:r>
      <w:r>
        <w:t xml:space="preserve"> </w:t>
      </w:r>
      <w:r>
        <w:t xml:space="preserve">EVALUATION FINDINGS (ANALYTICAL PART) ……………………………………….. 25</w:t>
      </w:r>
      <w:r>
        <w:t xml:space="preserve"> </w:t>
      </w:r>
      <w:r>
        <w:t xml:space="preserve">4.1</w:t>
      </w:r>
      <w:r>
        <w:t xml:space="preserve"> </w:t>
      </w:r>
      <w:r>
        <w:t xml:space="preserve">TO WHAT EXTENT WAS THE INTERVENTION SUCCESSFUL AND WHY? …………………… 25</w:t>
      </w:r>
      <w:r>
        <w:t xml:space="preserve"> </w:t>
      </w:r>
      <w:r>
        <w:t xml:space="preserve">4.1.1 EU ETS …………………………………………………………………………………………………. 25</w:t>
      </w:r>
      <w:r>
        <w:t xml:space="preserve"> </w:t>
      </w:r>
      <w:r>
        <w:t xml:space="preserve">4.1.2 Market Stability Reserve………………………………………………………………………….. 53</w:t>
      </w:r>
      <w:r>
        <w:t xml:space="preserve"> </w:t>
      </w:r>
      <w:r>
        <w:t xml:space="preserve">4.1.2.2</w:t>
      </w:r>
      <w:r>
        <w:t xml:space="preserve"> </w:t>
      </w:r>
      <w:r>
        <w:t xml:space="preserve">Efficiency ……………………………………………………………………………………….. 70</w:t>
      </w:r>
      <w:r>
        <w:t xml:space="preserve"> </w:t>
      </w:r>
      <w:r>
        <w:t xml:space="preserve">4.1.2.3</w:t>
      </w:r>
      <w:r>
        <w:t xml:space="preserve"> </w:t>
      </w:r>
      <w:r>
        <w:t xml:space="preserve">Coherence ………………………………………………………………………………………. 73</w:t>
      </w:r>
      <w:r>
        <w:t xml:space="preserve"> </w:t>
      </w:r>
      <w:r>
        <w:t xml:space="preserve">4.2</w:t>
      </w:r>
      <w:r>
        <w:t xml:space="preserve"> </w:t>
      </w:r>
      <w:r>
        <w:t xml:space="preserve">HOW DID THE EU INTERVENTION MAKE A DIFFERENCE AND TO WHOM? ………………. 77</w:t>
      </w:r>
      <w:r>
        <w:t xml:space="preserve"> </w:t>
      </w:r>
      <w:r>
        <w:t xml:space="preserve">4.2.1 What is the EU-value added of the EU ETS? ……………………………………………… 77</w:t>
      </w:r>
      <w:r>
        <w:t xml:space="preserve"> </w:t>
      </w:r>
      <w:r>
        <w:t xml:space="preserve">4.3</w:t>
      </w:r>
      <w:r>
        <w:t xml:space="preserve"> </w:t>
      </w:r>
      <w:r>
        <w:t xml:space="preserve">IS THE INTERVENTION STILL RELEVANT? …………………………………………………………. 81</w:t>
      </w:r>
      <w:r>
        <w:t xml:space="preserve"> </w:t>
      </w:r>
      <w:r>
        <w:t xml:space="preserve">4.3.1 Relevance of the EU ETS and how well its objectives (still) correspond to the</w:t>
      </w:r>
      <w:r>
        <w:t xml:space="preserve"> </w:t>
      </w:r>
      <w:r>
        <w:t xml:space="preserve">EU climate policy objectives? …………………………………………………………………………….. 81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CONCLUSIONS AND LESSONS LEARNED? …………………… 83</w:t>
      </w:r>
      <w:r>
        <w:t xml:space="preserve"> </w:t>
      </w:r>
      <w:r>
        <w:t xml:space="preserve">5.1</w:t>
      </w:r>
      <w:r>
        <w:t xml:space="preserve"> </w:t>
      </w:r>
      <w:r>
        <w:t xml:space="preserve">EU ETS …………………………………………………………………………………………………….. 83</w:t>
      </w:r>
    </w:p>
    <w:p>
      <w:pPr>
        <w:pStyle w:val="BodyText"/>
      </w:pPr>
      <w:r>
        <w:t xml:space="preserve">5.2</w:t>
      </w:r>
      <w:r>
        <w:t xml:space="preserve"> </w:t>
      </w:r>
      <w:r>
        <w:t xml:space="preserve">MSR …………………………………………………………………………………………………………. 85</w:t>
      </w:r>
      <w:r>
        <w:t xml:space="preserve"> </w:t>
      </w:r>
      <w:r>
        <w:t xml:space="preserve">6</w:t>
      </w:r>
      <w:r>
        <w:t xml:space="preserve"> </w:t>
      </w:r>
      <w:r>
        <w:t xml:space="preserve">APPENDIX I. PROCEDURAL INFORMATION …………………………………………….. 87</w:t>
      </w:r>
      <w:r>
        <w:t xml:space="preserve"> </w:t>
      </w:r>
      <w:r>
        <w:t xml:space="preserve">7</w:t>
      </w:r>
      <w:r>
        <w:t xml:space="preserve"> </w:t>
      </w:r>
      <w:r>
        <w:t xml:space="preserve">APPENDIX II. METHODOLOGY AND ANALYTICAL MODELS USED ………. 87</w:t>
      </w:r>
      <w:r>
        <w:t xml:space="preserve"> </w:t>
      </w:r>
      <w:r>
        <w:t xml:space="preserve">8</w:t>
      </w:r>
      <w:r>
        <w:t xml:space="preserve"> </w:t>
      </w:r>
      <w:r>
        <w:t xml:space="preserve">APPENDIX III. EVALUATION MATRIX AND DETAILED EVALUATION OF</w:t>
      </w:r>
      <w:r>
        <w:t xml:space="preserve"> </w:t>
      </w:r>
      <w:r>
        <w:t xml:space="preserve">THE EU ETS COMPONENTS (BY CRITERION) ………………………………………………….. 88</w:t>
      </w:r>
      <w:r>
        <w:t xml:space="preserve"> </w:t>
      </w:r>
      <w:r>
        <w:t xml:space="preserve">8.1</w:t>
      </w:r>
      <w:r>
        <w:t xml:space="preserve"> </w:t>
      </w:r>
      <w:r>
        <w:t xml:space="preserve">EU ETS EVALUATION MATRIX …………………………………………………………………….. 88</w:t>
      </w:r>
      <w:r>
        <w:t xml:space="preserve"> </w:t>
      </w:r>
      <w:r>
        <w:t xml:space="preserve">8.1.1 Effectiveness ………………………………………………………………………………………….. 88</w:t>
      </w:r>
      <w:r>
        <w:t xml:space="preserve"> </w:t>
      </w:r>
      <w:r>
        <w:t xml:space="preserve">8.1.2 Efficiency ………………………………………………………………………………………………. 90</w:t>
      </w:r>
      <w:r>
        <w:t xml:space="preserve"> </w:t>
      </w:r>
      <w:r>
        <w:t xml:space="preserve">8.1.3 Coherence ……………………………………………………………………………………………… 92</w:t>
      </w:r>
      <w:r>
        <w:t xml:space="preserve"> </w:t>
      </w:r>
      <w:r>
        <w:t xml:space="preserve">8.1.4 EU added value ………………………………………………………………………………………. 93</w:t>
      </w:r>
      <w:r>
        <w:t xml:space="preserve"> </w:t>
      </w:r>
      <w:r>
        <w:t xml:space="preserve">8.1.5 Relevance ………………………………………………………………………………………………. 94</w:t>
      </w:r>
      <w:r>
        <w:t xml:space="preserve"> </w:t>
      </w:r>
      <w:r>
        <w:t xml:space="preserve">8.2</w:t>
      </w:r>
      <w:r>
        <w:t xml:space="preserve"> </w:t>
      </w:r>
      <w:r>
        <w:t xml:space="preserve">MSR EVALUATION MATRIX …………………………………………………………………………. 96</w:t>
      </w:r>
      <w:r>
        <w:t xml:space="preserve"> </w:t>
      </w:r>
      <w:r>
        <w:t xml:space="preserve">8.2.1 Relevance ………………………………………………………………………………………………. 96</w:t>
      </w:r>
      <w:r>
        <w:t xml:space="preserve"> </w:t>
      </w:r>
      <w:r>
        <w:t xml:space="preserve">8.2.2 Effectiveness ………………………………………………………………………………………….. 96</w:t>
      </w:r>
      <w:r>
        <w:t xml:space="preserve"> </w:t>
      </w:r>
      <w:r>
        <w:t xml:space="preserve">8.2.3 Efficiency ………………………………………………………………………………………………. 98</w:t>
      </w:r>
      <w:r>
        <w:t xml:space="preserve"> </w:t>
      </w:r>
      <w:r>
        <w:t xml:space="preserve">8.2.4 Coherence ……………………………………………………………………………………………… 99</w:t>
      </w:r>
      <w:r>
        <w:t xml:space="preserve"> </w:t>
      </w:r>
      <w:r>
        <w:t xml:space="preserve">8.2.5 EU Added value ……………………………………………………………………………………. 100</w:t>
      </w:r>
      <w:r>
        <w:t xml:space="preserve"> </w:t>
      </w:r>
      <w:r>
        <w:t xml:space="preserve">8.3</w:t>
      </w:r>
      <w:r>
        <w:t xml:space="preserve"> </w:t>
      </w:r>
      <w:r>
        <w:t xml:space="preserve">CARBON LEAKAGE PREVENTION EVALUATION ……………………………………………… 101</w:t>
      </w:r>
      <w:r>
        <w:t xml:space="preserve"> </w:t>
      </w:r>
      <w:r>
        <w:t xml:space="preserve">8.3.1 Introduction ………………………………………………………………………………………….. 101</w:t>
      </w:r>
      <w:r>
        <w:t xml:space="preserve"> </w:t>
      </w:r>
      <w:r>
        <w:t xml:space="preserve">8.3.2 Point of comparison ………………………………………………………………………………. 102</w:t>
      </w:r>
      <w:r>
        <w:t xml:space="preserve"> </w:t>
      </w:r>
      <w:r>
        <w:t xml:space="preserve">8.3.3 Intervention logic ………………………………………………………………………………….. 104</w:t>
      </w:r>
      <w:r>
        <w:t xml:space="preserve"> </w:t>
      </w:r>
      <w:r>
        <w:t xml:space="preserve">8.3.4 Evaluation findings ……………………………………………………………………………….. 109</w:t>
      </w:r>
      <w:r>
        <w:t xml:space="preserve"> </w:t>
      </w:r>
      <w:r>
        <w:t xml:space="preserve">8.3.5 Conclusion …………………………………………………………………………………………… 146</w:t>
      </w:r>
      <w:r>
        <w:t xml:space="preserve"> </w:t>
      </w:r>
      <w:r>
        <w:t xml:space="preserve">8.4</w:t>
      </w:r>
      <w:r>
        <w:t xml:space="preserve"> </w:t>
      </w:r>
      <w:r>
        <w:t xml:space="preserve">MONITORING, REPORTING, VERIFICATION AND ACCREDITATION (MRVA)………… 148</w:t>
      </w:r>
      <w:r>
        <w:t xml:space="preserve"> </w:t>
      </w:r>
      <w:r>
        <w:t xml:space="preserve">8.4.1 Introduction ………………………………………………………………………………………….. 148</w:t>
      </w:r>
      <w:r>
        <w:t xml:space="preserve"> </w:t>
      </w:r>
      <w:r>
        <w:t xml:space="preserve">8.4.2 Point of comparison ………………………………………………………………………………. 149</w:t>
      </w:r>
      <w:r>
        <w:t xml:space="preserve"> </w:t>
      </w:r>
      <w:r>
        <w:t xml:space="preserve">8.4.3 Intervention logic ………………………………………………………………………………….. 151</w:t>
      </w:r>
      <w:r>
        <w:t xml:space="preserve"> </w:t>
      </w:r>
      <w:r>
        <w:t xml:space="preserve">8.4.4 Evaluation findings ……………………………………………………………………………….. 155</w:t>
      </w:r>
      <w:r>
        <w:t xml:space="preserve"> </w:t>
      </w:r>
      <w:r>
        <w:t xml:space="preserve">8.4.5 Conclusions ………………………………………………………………………………………….. 183</w:t>
      </w:r>
      <w:r>
        <w:t xml:space="preserve"> </w:t>
      </w:r>
      <w:r>
        <w:t xml:space="preserve">8.5</w:t>
      </w:r>
      <w:r>
        <w:t xml:space="preserve"> </w:t>
      </w:r>
      <w:r>
        <w:t xml:space="preserve">THE MONITORING, REPORTING AND VERIFICATION (MRV) MARITIME REGULATION</w:t>
      </w:r>
    </w:p>
    <w:p>
      <w:pPr>
        <w:pStyle w:val="BodyText"/>
      </w:pPr>
      <w:r>
        <w:t xml:space="preserve">186</w:t>
      </w:r>
      <w:r>
        <w:t xml:space="preserve"> </w:t>
      </w:r>
      <w:r>
        <w:t xml:space="preserve">8.5.1 Introduction ………………………………………………………………………………………….. 186</w:t>
      </w:r>
      <w:r>
        <w:t xml:space="preserve"> </w:t>
      </w:r>
      <w:r>
        <w:t xml:space="preserve">8.5.2 Point of comparison ………………………………………………………………………………. 187</w:t>
      </w:r>
      <w:r>
        <w:t xml:space="preserve"> </w:t>
      </w:r>
      <w:r>
        <w:t xml:space="preserve">8.5.3 Intervention logic ………………………………………………………………………………….. 188</w:t>
      </w:r>
      <w:r>
        <w:t xml:space="preserve"> </w:t>
      </w:r>
      <w:r>
        <w:t xml:space="preserve">8.5.4 Evaluation findings ……………………………………………………………………………….. 191</w:t>
      </w:r>
    </w:p>
    <w:p>
      <w:pPr>
        <w:pStyle w:val="BodyText"/>
      </w:pPr>
      <w:r>
        <w:t xml:space="preserve">8.5.5 Conclusions ………………………………………………………………………………………….. 201</w:t>
      </w:r>
      <w:r>
        <w:t xml:space="preserve"> </w:t>
      </w:r>
      <w:r>
        <w:t xml:space="preserve">8.6</w:t>
      </w:r>
      <w:r>
        <w:t xml:space="preserve"> </w:t>
      </w:r>
      <w:r>
        <w:t xml:space="preserve">UNION REGISTRY ………………………………………………………………………………………. 203</w:t>
      </w:r>
      <w:r>
        <w:t xml:space="preserve"> </w:t>
      </w:r>
      <w:r>
        <w:t xml:space="preserve">8.6.1 Introduction ………………………………………………………………………………………….. 203</w:t>
      </w:r>
      <w:r>
        <w:t xml:space="preserve"> </w:t>
      </w:r>
      <w:r>
        <w:t xml:space="preserve">8.6.2 Point of comparison ………………………………………………………………………………. 206</w:t>
      </w:r>
      <w:r>
        <w:t xml:space="preserve"> </w:t>
      </w:r>
      <w:r>
        <w:t xml:space="preserve">8.6.3 Intervention logic ………………………………………………………………………………….. 207</w:t>
      </w:r>
      <w:r>
        <w:t xml:space="preserve"> </w:t>
      </w:r>
      <w:r>
        <w:t xml:space="preserve">8.6.4 Evaluation of findings ……………………………………………………………………………. 209</w:t>
      </w:r>
      <w:r>
        <w:t xml:space="preserve"> </w:t>
      </w:r>
      <w:r>
        <w:t xml:space="preserve">8.6.5 Conclusion …………………………………………………………………………………………… 217</w:t>
      </w:r>
      <w:r>
        <w:t xml:space="preserve"> </w:t>
      </w:r>
      <w:r>
        <w:t xml:space="preserve">8.7</w:t>
      </w:r>
      <w:r>
        <w:t xml:space="preserve"> </w:t>
      </w:r>
      <w:r>
        <w:t xml:space="preserve">AUCTIONING …………………………………………………………………………………………….. 218</w:t>
      </w:r>
      <w:r>
        <w:t xml:space="preserve"> </w:t>
      </w:r>
      <w:r>
        <w:t xml:space="preserve">8.7.1 Introduction ………………………………………………………………………………………….. 218</w:t>
      </w:r>
      <w:r>
        <w:t xml:space="preserve"> </w:t>
      </w:r>
      <w:r>
        <w:t xml:space="preserve">8.7.2 Point of comparison ………………………………………………………………………………. 221</w:t>
      </w:r>
      <w:r>
        <w:t xml:space="preserve"> </w:t>
      </w:r>
      <w:r>
        <w:t xml:space="preserve">8.7.3 Intervention logic ………………………………………………………………………………….. 223</w:t>
      </w:r>
      <w:r>
        <w:t xml:space="preserve"> </w:t>
      </w:r>
      <w:r>
        <w:t xml:space="preserve">8.7.4 Evaluation of findings ……………………………………………………………………………. 226</w:t>
      </w:r>
      <w:r>
        <w:t xml:space="preserve"> </w:t>
      </w:r>
      <w:r>
        <w:t xml:space="preserve">8.7.5 Conclusion …………………………………………………………………………………………… 236</w:t>
      </w:r>
      <w:r>
        <w:t xml:space="preserve"> </w:t>
      </w:r>
      <w:r>
        <w:t xml:space="preserve">9</w:t>
      </w:r>
      <w:r>
        <w:t xml:space="preserve"> </w:t>
      </w:r>
      <w:r>
        <w:t xml:space="preserve">APPENDIX IV. OVERVIEW OF BENEFITS AND COSTS ……………………………. 237</w:t>
      </w:r>
      <w:r>
        <w:t xml:space="preserve"> </w:t>
      </w:r>
      <w:r>
        <w:t xml:space="preserve">10 APPENDIX V. STAKEHOLDER CONSULTATION …………………………………….. 247</w:t>
      </w:r>
    </w:p>
    <w:p>
      <w:pPr>
        <w:pStyle w:val="BodyText"/>
      </w:pPr>
      <w:r>
        <w:t xml:space="preserve">LIST OF TABLES</w:t>
      </w:r>
      <w:r>
        <w:t xml:space="preserve"> </w:t>
      </w:r>
      <w:r>
        <w:t xml:space="preserve">Table 1:</w:t>
      </w:r>
      <w:r>
        <w:t xml:space="preserve"> </w:t>
      </w:r>
      <w:r>
        <w:t xml:space="preserve">ETS Evaluation Matrix – Effectiveness ………………………………………………….. 89</w:t>
      </w:r>
      <w:r>
        <w:t xml:space="preserve"> </w:t>
      </w:r>
      <w:r>
        <w:t xml:space="preserve">Table 2:</w:t>
      </w:r>
      <w:r>
        <w:t xml:space="preserve"> </w:t>
      </w:r>
      <w:r>
        <w:t xml:space="preserve">ETS Evaluation Matrix – Efficiency ………………………………………………………. 91</w:t>
      </w:r>
      <w:r>
        <w:t xml:space="preserve"> </w:t>
      </w:r>
      <w:r>
        <w:t xml:space="preserve">Table 3:</w:t>
      </w:r>
      <w:r>
        <w:t xml:space="preserve"> </w:t>
      </w:r>
      <w:r>
        <w:t xml:space="preserve">ETS Evaluation Matrix – Coherence ……………………………………………………… 93</w:t>
      </w:r>
      <w:r>
        <w:t xml:space="preserve"> </w:t>
      </w:r>
      <w:r>
        <w:t xml:space="preserve">Table 4:</w:t>
      </w:r>
      <w:r>
        <w:t xml:space="preserve"> </w:t>
      </w:r>
      <w:r>
        <w:t xml:space="preserve">ETS Evaluation Matrix – EU added value ………………………………………………. 94</w:t>
      </w:r>
      <w:r>
        <w:t xml:space="preserve"> </w:t>
      </w:r>
      <w:r>
        <w:t xml:space="preserve">Table 5:</w:t>
      </w:r>
      <w:r>
        <w:t xml:space="preserve"> </w:t>
      </w:r>
      <w:r>
        <w:t xml:space="preserve">ETS Evaluation Matrix - Relevance ……………………………………………………….. 95</w:t>
      </w:r>
      <w:r>
        <w:t xml:space="preserve"> </w:t>
      </w:r>
      <w:r>
        <w:t xml:space="preserve">Table 6:</w:t>
      </w:r>
      <w:r>
        <w:t xml:space="preserve"> </w:t>
      </w:r>
      <w:r>
        <w:t xml:space="preserve">MSR Evaluation Matrix - Rffectiveness …………………………………………………. 97</w:t>
      </w:r>
      <w:r>
        <w:t xml:space="preserve"> </w:t>
      </w:r>
      <w:r>
        <w:t xml:space="preserve">Table 7:</w:t>
      </w:r>
      <w:r>
        <w:t xml:space="preserve"> </w:t>
      </w:r>
      <w:r>
        <w:t xml:space="preserve">MSR Evaluation Matrix - Efficiency ……………………………………………………… 99</w:t>
      </w:r>
      <w:r>
        <w:t xml:space="preserve"> </w:t>
      </w:r>
      <w:r>
        <w:t xml:space="preserve">Table 8:</w:t>
      </w:r>
      <w:r>
        <w:t xml:space="preserve"> </w:t>
      </w:r>
      <w:r>
        <w:t xml:space="preserve">MSR Evaluation Matrix - Coherence ……………………………………………………. 100</w:t>
      </w:r>
      <w:r>
        <w:t xml:space="preserve"> </w:t>
      </w:r>
      <w:r>
        <w:t xml:space="preserve">Table 9:</w:t>
      </w:r>
      <w:r>
        <w:t xml:space="preserve"> </w:t>
      </w:r>
      <w:r>
        <w:t xml:space="preserve">Carbon cost per tonne (assuming an EUA price of 80 EUR) across selected</w:t>
      </w:r>
      <w:r>
        <w:t xml:space="preserve"> </w:t>
      </w:r>
      <w:r>
        <w:t xml:space="preserve">benchmarked projects based upon a comparison of the 2021-25 BM value with average</w:t>
      </w:r>
      <w:r>
        <w:t xml:space="preserve"> </w:t>
      </w:r>
      <w:r>
        <w:t xml:space="preserve">2016/17 specific emissions ………………………………………………………………………………………. 113</w:t>
      </w:r>
      <w:r>
        <w:t xml:space="preserve"> </w:t>
      </w:r>
      <w:r>
        <w:t xml:space="preserve">Table 10:</w:t>
      </w:r>
      <w:r>
        <w:t xml:space="preserve"> </w:t>
      </w:r>
      <w:r>
        <w:t xml:space="preserve">Comparison of benchmark values set in Phase III and IV of the EU ETS …. 119</w:t>
      </w:r>
      <w:r>
        <w:t xml:space="preserve"> </w:t>
      </w:r>
      <w:r>
        <w:t xml:space="preserve">Table 11:</w:t>
      </w:r>
      <w:r>
        <w:t xml:space="preserve"> </w:t>
      </w:r>
      <w:r>
        <w:t xml:space="preserve">Reporting Requirements for Member States providing State aid for Indirect</w:t>
      </w:r>
      <w:r>
        <w:t xml:space="preserve"> </w:t>
      </w:r>
      <w:r>
        <w:t xml:space="preserve">Carbon Cost Compensation ……………………………………………………………………………………… 128</w:t>
      </w:r>
      <w:r>
        <w:t xml:space="preserve"> </w:t>
      </w:r>
      <w:r>
        <w:t xml:space="preserve">Table 12:</w:t>
      </w:r>
      <w:r>
        <w:t xml:space="preserve"> </w:t>
      </w:r>
      <w:r>
        <w:t xml:space="preserve">Average administrator costs per tonne of CO2 emissions ……………………….. 134</w:t>
      </w:r>
      <w:r>
        <w:t xml:space="preserve"> </w:t>
      </w:r>
      <w:r>
        <w:t xml:space="preserve">Table 13:</w:t>
      </w:r>
      <w:r>
        <w:t xml:space="preserve"> </w:t>
      </w:r>
      <w:r>
        <w:t xml:space="preserve">Compared to Phase III of the EU ETS, has the administrative cost of applying</w:t>
      </w:r>
      <w:r>
        <w:t xml:space="preserve"> </w:t>
      </w:r>
      <w:r>
        <w:t xml:space="preserve">for free allocation in Phase IV for your company (categorised by company size) ……………. 136</w:t>
      </w:r>
      <w:r>
        <w:t xml:space="preserve"> </w:t>
      </w:r>
      <w:r>
        <w:t xml:space="preserve">Table 14:</w:t>
      </w:r>
      <w:r>
        <w:t xml:space="preserve"> </w:t>
      </w:r>
      <w:r>
        <w:t xml:space="preserve">Key changes to the MRV system introduced with the 2023 revision (amending</w:t>
      </w:r>
      <w:r>
        <w:t xml:space="preserve"> </w:t>
      </w:r>
      <w:r>
        <w:t xml:space="preserve">Regulation (EU) 2023/957)………………………………………………………………………………………. 187</w:t>
      </w:r>
      <w:r>
        <w:t xml:space="preserve"> </w:t>
      </w:r>
      <w:r>
        <w:t xml:space="preserve">Table 15:</w:t>
      </w:r>
      <w:r>
        <w:t xml:space="preserve"> </w:t>
      </w:r>
      <w:r>
        <w:t xml:space="preserve">Compliance data 2018-2023: Public Union Registry ………………………………. 213</w:t>
      </w:r>
      <w:r>
        <w:t xml:space="preserve"> </w:t>
      </w:r>
      <w:r>
        <w:t xml:space="preserve">Table 16:</w:t>
      </w:r>
      <w:r>
        <w:t xml:space="preserve"> </w:t>
      </w:r>
      <w:r>
        <w:t xml:space="preserve">Overview of the fees ………………………………………………………………………….. 216</w:t>
      </w:r>
    </w:p>
    <w:p>
      <w:pPr>
        <w:pStyle w:val="BodyText"/>
      </w:pPr>
      <w:r>
        <w:t xml:space="preserve">LIST OF FIGURES</w:t>
      </w:r>
      <w:r>
        <w:t xml:space="preserve"> </w:t>
      </w:r>
      <w:r>
        <w:t xml:space="preserve">Figure 1:</w:t>
      </w:r>
      <w:r>
        <w:t xml:space="preserve"> </w:t>
      </w:r>
      <w:r>
        <w:t xml:space="preserve">Intervention logic (EU ETS) …………………………………………………………………. 17</w:t>
      </w:r>
      <w:r>
        <w:t xml:space="preserve"> </w:t>
      </w:r>
      <w:r>
        <w:t xml:space="preserve">Figure 2:</w:t>
      </w:r>
      <w:r>
        <w:t xml:space="preserve"> </w:t>
      </w:r>
      <w:r>
        <w:t xml:space="preserve">Intervention logic diagram (MSR) …………………………………………………………. 23</w:t>
      </w:r>
      <w:r>
        <w:t xml:space="preserve"> </w:t>
      </w:r>
      <w:r>
        <w:t xml:space="preserve">Figure 3:</w:t>
      </w:r>
      <w:r>
        <w:t xml:space="preserve"> </w:t>
      </w:r>
      <w:r>
        <w:t xml:space="preserve">Comparison of the development of total EU-27 emissions within the EU ETS,</w:t>
      </w:r>
      <w:r>
        <w:t xml:space="preserve"> </w:t>
      </w:r>
      <w:r>
        <w:t xml:space="preserve">disaggregated by activity …………………………………………………………………………………………… 27</w:t>
      </w:r>
      <w:r>
        <w:t xml:space="preserve"> </w:t>
      </w:r>
      <w:r>
        <w:t xml:space="preserve">Figure 4:</w:t>
      </w:r>
      <w:r>
        <w:t xml:space="preserve"> </w:t>
      </w:r>
      <w:r>
        <w:t xml:space="preserve">Development of total EU-27 emissions within the EU ETS, breakdown of all</w:t>
      </w:r>
      <w:r>
        <w:t xml:space="preserve"> </w:t>
      </w:r>
      <w:r>
        <w:t xml:space="preserve">stationary installations (excl. combustion), by most emitting activities ……………………………. 28</w:t>
      </w:r>
      <w:r>
        <w:t xml:space="preserve"> </w:t>
      </w:r>
      <w:r>
        <w:t xml:space="preserve">Figure 5:</w:t>
      </w:r>
      <w:r>
        <w:t xml:space="preserve"> </w:t>
      </w:r>
      <w:r>
        <w:t xml:space="preserve">Development of prices and marginal costs in the EU power sector …………….. 30</w:t>
      </w:r>
      <w:r>
        <w:t xml:space="preserve"> </w:t>
      </w:r>
      <w:r>
        <w:t xml:space="preserve">Figure 6:</w:t>
      </w:r>
      <w:r>
        <w:t xml:space="preserve"> </w:t>
      </w:r>
      <w:r>
        <w:t xml:space="preserve">The estimated required carbon price range to make selected abatement options</w:t>
      </w:r>
      <w:r>
        <w:t xml:space="preserve"> </w:t>
      </w:r>
      <w:r>
        <w:t xml:space="preserve">financially viable in the aluminium, chemicals and steel sectors compared to the average EU</w:t>
      </w:r>
      <w:r>
        <w:t xml:space="preserve"> </w:t>
      </w:r>
      <w:r>
        <w:t xml:space="preserve">carbon price in 2021………………………………………………………………………………………………….. 32</w:t>
      </w:r>
      <w:r>
        <w:t xml:space="preserve"> </w:t>
      </w:r>
      <w:r>
        <w:t xml:space="preserve">Figure 7:</w:t>
      </w:r>
      <w:r>
        <w:t xml:space="preserve"> </w:t>
      </w:r>
      <w:r>
        <w:t xml:space="preserve">Evolution of the EU ETS cap from 2005 up until 2030 compared with verified</w:t>
      </w:r>
      <w:r>
        <w:t xml:space="preserve"> </w:t>
      </w:r>
      <w:r>
        <w:t xml:space="preserve">emissions</w:t>
      </w:r>
      <w:r>
        <w:t xml:space="preserve"> </w:t>
      </w:r>
      <w:r>
        <w:t xml:space="preserve">38</w:t>
      </w:r>
      <w:r>
        <w:t xml:space="preserve"> </w:t>
      </w:r>
      <w:r>
        <w:t xml:space="preserve">Figure 8:</w:t>
      </w:r>
      <w:r>
        <w:t xml:space="preserve"> </w:t>
      </w:r>
      <w:r>
        <w:t xml:space="preserve">Marginal Abatement Cost Curve ……………………………………………………………. 42</w:t>
      </w:r>
      <w:r>
        <w:t xml:space="preserve"> </w:t>
      </w:r>
      <w:r>
        <w:t xml:space="preserve">Figure 9:</w:t>
      </w:r>
      <w:r>
        <w:t xml:space="preserve"> </w:t>
      </w:r>
      <w:r>
        <w:t xml:space="preserve">Estimation of the value of allowances compared to actual revenues from</w:t>
      </w:r>
      <w:r>
        <w:t xml:space="preserve"> </w:t>
      </w:r>
      <w:r>
        <w:t xml:space="preserve">auctioning</w:t>
      </w:r>
      <w:r>
        <w:t xml:space="preserve"> </w:t>
      </w:r>
      <w:r>
        <w:t xml:space="preserve">45</w:t>
      </w:r>
      <w:r>
        <w:t xml:space="preserve"> </w:t>
      </w:r>
      <w:r>
        <w:t xml:space="preserve">Figure 10:</w:t>
      </w:r>
      <w:r>
        <w:t xml:space="preserve"> </w:t>
      </w:r>
      <w:r>
        <w:t xml:space="preserve">Number of ETS operators per sector and company size identified in Orbis</w:t>
      </w:r>
      <w:r>
        <w:t xml:space="preserve"> </w:t>
      </w:r>
      <w:r>
        <w:t xml:space="preserve">analysis</w:t>
      </w:r>
      <w:r>
        <w:t xml:space="preserve"> </w:t>
      </w:r>
      <w:r>
        <w:t xml:space="preserve">47</w:t>
      </w:r>
      <w:r>
        <w:t xml:space="preserve"> </w:t>
      </w:r>
      <w:r>
        <w:t xml:space="preserve">Figure 11:</w:t>
      </w:r>
      <w:r>
        <w:t xml:space="preserve"> </w:t>
      </w:r>
      <w:r>
        <w:t xml:space="preserve">Demand, supply, and TNAC from 2017 to 2024. …………………………………….. 56</w:t>
      </w:r>
      <w:r>
        <w:t xml:space="preserve"> </w:t>
      </w:r>
      <w:r>
        <w:t xml:space="preserve">Figure 12:</w:t>
      </w:r>
      <w:r>
        <w:t xml:space="preserve"> </w:t>
      </w:r>
      <w:r>
        <w:t xml:space="preserve">MSR intake; actual and ex-post baseline changes in TNAC ……………………… 57</w:t>
      </w:r>
      <w:r>
        <w:t xml:space="preserve"> </w:t>
      </w:r>
      <w:r>
        <w:t xml:space="preserve">Figure 13:</w:t>
      </w:r>
      <w:r>
        <w:t xml:space="preserve"> </w:t>
      </w:r>
      <w:r>
        <w:t xml:space="preserve">Aggregate development of TNAC between 2012 and 2024 ………………………. 58</w:t>
      </w:r>
      <w:r>
        <w:t xml:space="preserve"> </w:t>
      </w:r>
      <w:r>
        <w:t xml:space="preserve">Figure 14:</w:t>
      </w:r>
      <w:r>
        <w:t xml:space="preserve"> </w:t>
      </w:r>
      <w:r>
        <w:t xml:space="preserve">Reference scenario from 2014 IA versus actual emissions ………………………… 60</w:t>
      </w:r>
      <w:r>
        <w:t xml:space="preserve"> </w:t>
      </w:r>
      <w:r>
        <w:t xml:space="preserve">Figure 15:</w:t>
      </w:r>
      <w:r>
        <w:t xml:space="preserve"> </w:t>
      </w:r>
      <w:r>
        <w:t xml:space="preserve">TNAC 2018 to 2024: Official data versus baseline and MSR1 from 2021 MSR</w:t>
      </w:r>
      <w:r>
        <w:t xml:space="preserve"> </w:t>
      </w:r>
      <w:r>
        <w:t xml:space="preserve">Review</w:t>
      </w:r>
      <w:r>
        <w:t xml:space="preserve"> </w:t>
      </w:r>
      <w:r>
        <w:t xml:space="preserve">62</w:t>
      </w:r>
      <w:r>
        <w:t xml:space="preserve"> </w:t>
      </w:r>
      <w:r>
        <w:t xml:space="preserve">Figure 16:</w:t>
      </w:r>
      <w:r>
        <w:t xml:space="preserve"> </w:t>
      </w:r>
      <w:r>
        <w:t xml:space="preserve">MSR volume and respective invalidations ………………………………………………. 64</w:t>
      </w:r>
      <w:r>
        <w:t xml:space="preserve"> </w:t>
      </w:r>
      <w:r>
        <w:t xml:space="preserve">Figure 17:</w:t>
      </w:r>
      <w:r>
        <w:t xml:space="preserve"> </w:t>
      </w:r>
      <w:r>
        <w:t xml:space="preserve">Annual average EUA prices ………………………………………………………………….. 66</w:t>
      </w:r>
      <w:r>
        <w:t xml:space="preserve"> </w:t>
      </w:r>
      <w:r>
        <w:t xml:space="preserve">Figure 18:</w:t>
      </w:r>
      <w:r>
        <w:t xml:space="preserve"> </w:t>
      </w:r>
      <w:r>
        <w:t xml:space="preserve">Map of effects of complementary policies in the EU ETS ………………………… 76</w:t>
      </w:r>
      <w:r>
        <w:t xml:space="preserve"> </w:t>
      </w:r>
      <w:r>
        <w:t xml:space="preserve">Figure 19:</w:t>
      </w:r>
      <w:r>
        <w:t xml:space="preserve"> </w:t>
      </w:r>
      <w:r>
        <w:t xml:space="preserve">Intervention logic diagram (carbon leakage) …………………………………………. 106</w:t>
      </w:r>
      <w:r>
        <w:t xml:space="preserve"> </w:t>
      </w:r>
      <w:r>
        <w:t xml:space="preserve">Source: Own illustration ………………………………………………………………………………………….. 106</w:t>
      </w:r>
      <w:r>
        <w:t xml:space="preserve"> </w:t>
      </w:r>
      <w:r>
        <w:t xml:space="preserve">Figure 20:</w:t>
      </w:r>
      <w:r>
        <w:t xml:space="preserve"> </w:t>
      </w:r>
      <w:r>
        <w:t xml:space="preserve">Comparison of the free allocation provided to sub-installations via emission</w:t>
      </w:r>
      <w:r>
        <w:t xml:space="preserve"> </w:t>
      </w:r>
      <w:r>
        <w:t xml:space="preserve">intensive product benchmarks with ex-ante and ex-post activity levels ………………………….. 112</w:t>
      </w:r>
      <w:r>
        <w:t xml:space="preserve"> </w:t>
      </w:r>
      <w:r>
        <w:t xml:space="preserve">Figure 21:</w:t>
      </w:r>
      <w:r>
        <w:t xml:space="preserve"> </w:t>
      </w:r>
      <w:r>
        <w:t xml:space="preserve">Change in activity levels relative to 2014 levels for selected emission intensive</w:t>
      </w:r>
      <w:r>
        <w:t xml:space="preserve"> </w:t>
      </w:r>
      <w:r>
        <w:t xml:space="preserve">product benchmarks ………………………………………………………………………………………………… 116</w:t>
      </w:r>
      <w:r>
        <w:t xml:space="preserve"> </w:t>
      </w:r>
      <w:r>
        <w:t xml:space="preserve">Figure 22:</w:t>
      </w:r>
      <w:r>
        <w:t xml:space="preserve"> </w:t>
      </w:r>
      <w:r>
        <w:t xml:space="preserve">Comparison of carbon leakage lists for Phase III and IV in terms of their</w:t>
      </w:r>
      <w:r>
        <w:t xml:space="preserve"> </w:t>
      </w:r>
      <w:r>
        <w:t xml:space="preserve">coverage of both direct emissions and the number of sectors ……………………………………….. 118</w:t>
      </w:r>
      <w:r>
        <w:t xml:space="preserve"> </w:t>
      </w:r>
      <w:r>
        <w:t xml:space="preserve">Figure 23:</w:t>
      </w:r>
      <w:r>
        <w:t xml:space="preserve"> </w:t>
      </w:r>
      <w:r>
        <w:t xml:space="preserve">Comparison of the average specific emissions in relation to the benchmark for</w:t>
      </w:r>
      <w:r>
        <w:t xml:space="preserve"> </w:t>
      </w:r>
      <w:r>
        <w:t xml:space="preserve">selected products in Phase III and IV ………………………………………………………………………… 123</w:t>
      </w:r>
    </w:p>
    <w:p>
      <w:pPr>
        <w:pStyle w:val="BodyText"/>
      </w:pPr>
      <w:r>
        <w:t xml:space="preserve">Figure 24:</w:t>
      </w:r>
      <w:r>
        <w:t xml:space="preserve"> </w:t>
      </w:r>
      <w:r>
        <w:t xml:space="preserve">Estimation of the impact of dynamic allocation on the provision of free</w:t>
      </w:r>
      <w:r>
        <w:t xml:space="preserve"> </w:t>
      </w:r>
      <w:r>
        <w:t xml:space="preserve">allocation to selected benchmarks in Phase IV ……………………………………………………………. 124</w:t>
      </w:r>
      <w:r>
        <w:t xml:space="preserve"> </w:t>
      </w:r>
      <w:r>
        <w:t xml:space="preserve">Figure 25:</w:t>
      </w:r>
      <w:r>
        <w:t xml:space="preserve"> </w:t>
      </w:r>
      <w:r>
        <w:t xml:space="preserve">Free allocation (preliminary) volumes in 2021-25 compared to the free</w:t>
      </w:r>
      <w:r>
        <w:t xml:space="preserve"> </w:t>
      </w:r>
      <w:r>
        <w:t xml:space="preserve">allocation budget and CSCF buffer……………………………………………………………………………. 125</w:t>
      </w:r>
      <w:r>
        <w:t xml:space="preserve"> </w:t>
      </w:r>
      <w:r>
        <w:t xml:space="preserve">Figure 26:</w:t>
      </w:r>
      <w:r>
        <w:t xml:space="preserve"> </w:t>
      </w:r>
      <w:r>
        <w:t xml:space="preserve">Indirect cost compensation (2021-23 average) of each Member State compared</w:t>
      </w:r>
      <w:r>
        <w:t xml:space="preserve"> </w:t>
      </w:r>
      <w:r>
        <w:t xml:space="preserve">to their share of the total EU indirect emissions (2021-23 average) that were eligible for ICC</w:t>
      </w:r>
      <w:r>
        <w:t xml:space="preserve"> </w:t>
      </w:r>
      <w:r>
        <w:t xml:space="preserve">payments</w:t>
      </w:r>
      <w:r>
        <w:t xml:space="preserve"> </w:t>
      </w:r>
      <w:r>
        <w:t xml:space="preserve">128</w:t>
      </w:r>
      <w:r>
        <w:t xml:space="preserve"> </w:t>
      </w:r>
      <w:r>
        <w:t xml:space="preserve">Figure 27:</w:t>
      </w:r>
      <w:r>
        <w:t xml:space="preserve"> </w:t>
      </w:r>
      <w:r>
        <w:t xml:space="preserve">Compared to Phase III of the EU ETS, has the administrative cost of applying</w:t>
      </w:r>
      <w:r>
        <w:t xml:space="preserve"> </w:t>
      </w:r>
      <w:r>
        <w:t xml:space="preserve">for free allocation in Phase IV for your company (categorised by industry) ……………………. 135</w:t>
      </w:r>
      <w:r>
        <w:t xml:space="preserve"> </w:t>
      </w:r>
      <w:r>
        <w:t xml:space="preserve">Figure 28:</w:t>
      </w:r>
      <w:r>
        <w:t xml:space="preserve"> </w:t>
      </w:r>
      <w:r>
        <w:t xml:space="preserve">Comparison of export intensity with emission intensity based on a 2022-24</w:t>
      </w:r>
      <w:r>
        <w:t xml:space="preserve"> </w:t>
      </w:r>
      <w:r>
        <w:t xml:space="preserve">average for CN codes covered under the CBAM ………………………………………………………… 138</w:t>
      </w:r>
      <w:r>
        <w:t xml:space="preserve"> </w:t>
      </w:r>
      <w:r>
        <w:t xml:space="preserve">Figure 29:</w:t>
      </w:r>
      <w:r>
        <w:t xml:space="preserve"> </w:t>
      </w:r>
      <w:r>
        <w:t xml:space="preserve">Global expansion of emissions trading …………………………………………………. 139</w:t>
      </w:r>
      <w:r>
        <w:t xml:space="preserve"> </w:t>
      </w:r>
      <w:r>
        <w:t xml:space="preserve">Figure 30:</w:t>
      </w:r>
      <w:r>
        <w:t xml:space="preserve"> </w:t>
      </w:r>
      <w:r>
        <w:t xml:space="preserve">Annual ETS revenues across different systems ……………………………………… 140</w:t>
      </w:r>
      <w:r>
        <w:t xml:space="preserve"> </w:t>
      </w:r>
      <w:r>
        <w:t xml:space="preserve">Figure 31:</w:t>
      </w:r>
      <w:r>
        <w:t xml:space="preserve"> </w:t>
      </w:r>
      <w:r>
        <w:t xml:space="preserve">Intervention logic diagram (MRVA) …………………………………………………….. 152</w:t>
      </w:r>
      <w:r>
        <w:t xml:space="preserve"> </w:t>
      </w:r>
      <w:r>
        <w:t xml:space="preserve">Figure 32:</w:t>
      </w:r>
      <w:r>
        <w:t xml:space="preserve"> </w:t>
      </w:r>
      <w:r>
        <w:t xml:space="preserve">Intervention logic diagram (MRV Maritime system) ……………………………… 189</w:t>
      </w:r>
      <w:r>
        <w:t xml:space="preserve"> </w:t>
      </w:r>
      <w:r>
        <w:t xml:space="preserve">Figure 33:</w:t>
      </w:r>
      <w:r>
        <w:t xml:space="preserve"> </w:t>
      </w:r>
      <w:r>
        <w:t xml:space="preserve">Share of outstanding account balances and number of accounts, by account type</w:t>
      </w:r>
      <w:r>
        <w:t xml:space="preserve"> </w:t>
      </w:r>
      <w:r>
        <w:t xml:space="preserve">and entity classification……………………………………………………………………………………………. 206</w:t>
      </w:r>
      <w:r>
        <w:t xml:space="preserve"> </w:t>
      </w:r>
      <w:r>
        <w:t xml:space="preserve">Figure 34:</w:t>
      </w:r>
      <w:r>
        <w:t xml:space="preserve"> </w:t>
      </w:r>
      <w:r>
        <w:t xml:space="preserve">Intervention logic Union Registry ………………………………………………………… 208</w:t>
      </w:r>
      <w:r>
        <w:t xml:space="preserve"> </w:t>
      </w:r>
      <w:r>
        <w:t xml:space="preserve">Figure 35:</w:t>
      </w:r>
      <w:r>
        <w:t xml:space="preserve"> </w:t>
      </w:r>
      <w:r>
        <w:t xml:space="preserve">Availability of the registry system from January to August 2020 …………….. 212</w:t>
      </w:r>
      <w:r>
        <w:t xml:space="preserve"> </w:t>
      </w:r>
      <w:r>
        <w:t xml:space="preserve">Figure 36:</w:t>
      </w:r>
      <w:r>
        <w:t xml:space="preserve"> </w:t>
      </w:r>
      <w:r>
        <w:t xml:space="preserve">Volumes of allowances auctioned by EEX from 1 January 2015 to 31 December</w:t>
      </w:r>
      <w:r>
        <w:t xml:space="preserve"> </w:t>
      </w:r>
      <w:r>
        <w:t xml:space="preserve">2023</w:t>
      </w:r>
      <w:r>
        <w:t xml:space="preserve"> </w:t>
      </w:r>
      <w:r>
        <w:t xml:space="preserve">220</w:t>
      </w:r>
      <w:r>
        <w:t xml:space="preserve"> </w:t>
      </w:r>
      <w:r>
        <w:t xml:space="preserve">Figure 37:</w:t>
      </w:r>
      <w:r>
        <w:t xml:space="preserve"> </w:t>
      </w:r>
      <w:r>
        <w:t xml:space="preserve">Evolution of the average monthly clearing price from 1 January 2015 to 31</w:t>
      </w:r>
      <w:r>
        <w:t xml:space="preserve"> </w:t>
      </w:r>
      <w:r>
        <w:t xml:space="preserve">December 2023 ………………………………………………………………………………………………………. 220</w:t>
      </w:r>
      <w:r>
        <w:t xml:space="preserve"> </w:t>
      </w:r>
      <w:r>
        <w:t xml:space="preserve">Figure 38:</w:t>
      </w:r>
      <w:r>
        <w:t xml:space="preserve"> </w:t>
      </w:r>
      <w:r>
        <w:t xml:space="preserve">Auction revenues from 1 January 2015 to 31 December 2023 …………………. 221</w:t>
      </w:r>
      <w:r>
        <w:t xml:space="preserve"> </w:t>
      </w:r>
      <w:r>
        <w:t xml:space="preserve">Figure 39:</w:t>
      </w:r>
      <w:r>
        <w:t xml:space="preserve"> </w:t>
      </w:r>
      <w:r>
        <w:t xml:space="preserve">Auctioning Intervention logic …………………………………………………………….. 224</w:t>
      </w:r>
      <w:r>
        <w:t xml:space="preserve"> </w:t>
      </w:r>
      <w:r>
        <w:t xml:space="preserve">Figure 40:</w:t>
      </w:r>
      <w:r>
        <w:t xml:space="preserve"> </w:t>
      </w:r>
      <w:r>
        <w:t xml:space="preserve">General allowances - distribution of volume won per bidder category ……… 231</w:t>
      </w:r>
      <w:r>
        <w:t xml:space="preserve"> </w:t>
      </w:r>
      <w:r>
        <w:t xml:space="preserve">Figure 41:</w:t>
      </w:r>
      <w:r>
        <w:t xml:space="preserve"> </w:t>
      </w:r>
      <w:r>
        <w:t xml:space="preserve">Evolution of number of bidders in ETS auctions (participating and successful)</w:t>
      </w:r>
    </w:p>
    <w:p>
      <w:pPr>
        <w:pStyle w:val="BodyText"/>
      </w:pPr>
      <w:r>
        <w:t xml:space="preserve">232</w:t>
      </w:r>
      <w:r>
        <w:t xml:space="preserve"> </w:t>
      </w:r>
      <w:r>
        <w:t xml:space="preserve">Figure 42:</w:t>
      </w:r>
      <w:r>
        <w:t xml:space="preserve"> </w:t>
      </w:r>
      <w:r>
        <w:t xml:space="preserve">Annual average cover ratio in EUA auctions held at EEX between 2015-2023</w:t>
      </w:r>
    </w:p>
    <w:p>
      <w:pPr>
        <w:pStyle w:val="BodyText"/>
      </w:pPr>
      <w:r>
        <w:t xml:space="preserve">232</w:t>
      </w:r>
      <w:r>
        <w:t xml:space="preserve"> </w:t>
      </w:r>
      <w:r>
        <w:t xml:space="preserve">Figure 43:</w:t>
      </w:r>
      <w:r>
        <w:t xml:space="preserve"> </w:t>
      </w:r>
      <w:r>
        <w:t xml:space="preserve">Auction only participants ……………………………………………………………………. 233</w:t>
      </w:r>
      <w:r>
        <w:t xml:space="preserve"> </w:t>
      </w:r>
      <w:r>
        <w:t xml:space="preserve">Figure 44:</w:t>
      </w:r>
      <w:r>
        <w:t xml:space="preserve"> </w:t>
      </w:r>
      <w:r>
        <w:t xml:space="preserve">EUA-Auctions and deviations from secondary market prices in 2022 (Germany)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BECCS</w:t>
      </w:r>
      <w:r>
        <w:t xml:space="preserve"> </w:t>
      </w:r>
      <w:r>
        <w:t xml:space="preserve">Bioenergy with carbon capture and storage</w:t>
      </w:r>
      <w:r>
        <w:t xml:space="preserve"> </w:t>
      </w:r>
      <w:r>
        <w:t xml:space="preserve">CCfD</w:t>
      </w:r>
      <w:r>
        <w:t xml:space="preserve"> </w:t>
      </w:r>
      <w:r>
        <w:t xml:space="preserve">Carbon contract for difference</w:t>
      </w:r>
      <w:r>
        <w:t xml:space="preserve"> </w:t>
      </w:r>
      <w:r>
        <w:t xml:space="preserve">CCS</w:t>
      </w:r>
      <w:r>
        <w:t xml:space="preserve"> </w:t>
      </w:r>
      <w:r>
        <w:t xml:space="preserve">Carbon Capture and Storage: a set of technologies aimed at capturing,</w:t>
      </w:r>
      <w:r>
        <w:t xml:space="preserve"> </w:t>
      </w:r>
      <w:r>
        <w:t xml:space="preserve">transporting, and permanently storing CO2</w:t>
      </w:r>
      <w:r>
        <w:br/>
      </w:r>
      <w:r>
        <w:t xml:space="preserve">CCUS</w:t>
      </w:r>
      <w:r>
        <w:t xml:space="preserve"> </w:t>
      </w:r>
      <w:r>
        <w:t xml:space="preserve">Carbon capture, utilisation, and storage</w:t>
      </w:r>
      <w:r>
        <w:t xml:space="preserve"> </w:t>
      </w:r>
      <w:r>
        <w:t xml:space="preserve">CBAM</w:t>
      </w:r>
      <w:r>
        <w:t xml:space="preserve"> </w:t>
      </w:r>
      <w:r>
        <w:t xml:space="preserve">Carbon Border Adjustment Mechanism</w:t>
      </w:r>
      <w:r>
        <w:t xml:space="preserve"> </w:t>
      </w:r>
      <w:r>
        <w:t xml:space="preserve">CDR</w:t>
      </w:r>
      <w:r>
        <w:t xml:space="preserve"> </w:t>
      </w:r>
      <w:r>
        <w:t xml:space="preserve">Carbon Dioxide Removal</w:t>
      </w:r>
      <w:r>
        <w:t xml:space="preserve"> </w:t>
      </w:r>
      <w:r>
        <w:t xml:space="preserve">CHP</w:t>
      </w:r>
      <w:r>
        <w:t xml:space="preserve"> </w:t>
      </w:r>
      <w:r>
        <w:t xml:space="preserve">Combined Heat and Power: a combined heat and power unit is an</w:t>
      </w:r>
      <w:r>
        <w:t xml:space="preserve"> </w:t>
      </w:r>
      <w:r>
        <w:t xml:space="preserve">installation producing both electrical energy and heat</w:t>
      </w:r>
      <w:r>
        <w:t xml:space="preserve"> </w:t>
      </w:r>
      <w:r>
        <w:t xml:space="preserve">CO₂e</w:t>
      </w:r>
      <w:r>
        <w:t xml:space="preserve"> </w:t>
      </w:r>
      <w:r>
        <w:t xml:space="preserve">Carbon dioxide‑equivalent: a measure used to compare quantities of</w:t>
      </w:r>
      <w:r>
        <w:t xml:space="preserve"> </w:t>
      </w:r>
      <w:r>
        <w:t xml:space="preserve">different greenhouse gases in a common unit based on their global</w:t>
      </w:r>
      <w:r>
        <w:t xml:space="preserve"> </w:t>
      </w:r>
      <w:r>
        <w:t xml:space="preserve">warming potential over a given period</w:t>
      </w:r>
      <w:r>
        <w:t xml:space="preserve"> </w:t>
      </w:r>
      <w:r>
        <w:t xml:space="preserve">CRCF</w:t>
      </w:r>
      <w:r>
        <w:t xml:space="preserve"> </w:t>
      </w:r>
      <w:r>
        <w:t xml:space="preserve">Carbon Removals and Carbon Farming framework, established under</w:t>
      </w:r>
      <w:r>
        <w:t xml:space="preserve"> </w:t>
      </w:r>
      <w:r>
        <w:t xml:space="preserve">Regulation (EU/2024/3012)</w:t>
      </w:r>
      <w:r>
        <w:t xml:space="preserve"> </w:t>
      </w:r>
      <w:r>
        <w:t xml:space="preserve">CSFC</w:t>
      </w:r>
      <w:r>
        <w:t xml:space="preserve"> </w:t>
      </w:r>
      <w:r>
        <w:t xml:space="preserve">Cross‑sectoral correction factor: a factor by which free allocation of</w:t>
      </w:r>
      <w:r>
        <w:t xml:space="preserve"> </w:t>
      </w:r>
      <w:r>
        <w:t xml:space="preserve">emission allowances is reduced uniformly across all industry sectors,</w:t>
      </w:r>
      <w:r>
        <w:t xml:space="preserve"> </w:t>
      </w:r>
      <w:r>
        <w:t xml:space="preserve">if the demand for free allocation exceeds the total amount of available</w:t>
      </w:r>
      <w:r>
        <w:t xml:space="preserve"> </w:t>
      </w:r>
      <w:r>
        <w:t xml:space="preserve">free allowances</w:t>
      </w:r>
      <w:r>
        <w:t xml:space="preserve"> </w:t>
      </w:r>
      <w:r>
        <w:t xml:space="preserve">DACCS</w:t>
      </w:r>
      <w:r>
        <w:t xml:space="preserve"> </w:t>
      </w:r>
      <w:r>
        <w:t xml:space="preserve">Direct Air Capture with Carbon Storage</w:t>
      </w:r>
      <w:r>
        <w:t xml:space="preserve"> </w:t>
      </w:r>
      <w:r>
        <w:t xml:space="preserve">E‑fuels</w:t>
      </w:r>
      <w:r>
        <w:t xml:space="preserve"> </w:t>
      </w:r>
      <w:r>
        <w:t xml:space="preserve">Liquid fuels produced based on hydrogen obtained from electricity via</w:t>
      </w:r>
      <w:r>
        <w:t xml:space="preserve"> </w:t>
      </w:r>
      <w:r>
        <w:t xml:space="preserve">electrolysis.</w:t>
      </w:r>
      <w:r>
        <w:t xml:space="preserve"> </w:t>
      </w:r>
      <w:r>
        <w:t xml:space="preserve">EEA</w:t>
      </w:r>
      <w:r>
        <w:t xml:space="preserve"> </w:t>
      </w:r>
      <w:r>
        <w:t xml:space="preserve">European Economic Area</w:t>
      </w:r>
      <w:r>
        <w:t xml:space="preserve"> </w:t>
      </w:r>
      <w:r>
        <w:t xml:space="preserve">EIB</w:t>
      </w:r>
      <w:r>
        <w:t xml:space="preserve"> </w:t>
      </w:r>
      <w:r>
        <w:t xml:space="preserve">European Investment Bank</w:t>
      </w:r>
    </w:p>
    <w:p>
      <w:pPr>
        <w:pStyle w:val="BodyText"/>
      </w:pPr>
      <w:r>
        <w:t xml:space="preserve">ESR</w:t>
      </w:r>
      <w:r>
        <w:t xml:space="preserve"> </w:t>
      </w:r>
      <w:r>
        <w:t xml:space="preserve">Effort Sharing Regulation</w:t>
      </w:r>
      <w:r>
        <w:t xml:space="preserve"> </w:t>
      </w:r>
      <w:r>
        <w:t xml:space="preserve">ETS Directive</w:t>
      </w:r>
      <w:r>
        <w:t xml:space="preserve"> </w:t>
      </w:r>
      <w:r>
        <w:t xml:space="preserve">Directive 2003/87/EC of the European Parliament and of the Council</w:t>
      </w:r>
      <w:r>
        <w:t xml:space="preserve"> </w:t>
      </w:r>
      <w:r>
        <w:t xml:space="preserve">of 13 October 2003 establishing a system for greenhouse gas</w:t>
      </w:r>
      <w:r>
        <w:t xml:space="preserve"> </w:t>
      </w:r>
      <w:r>
        <w:t xml:space="preserve">emission allowance trading within the Union and amending Council</w:t>
      </w:r>
      <w:r>
        <w:t xml:space="preserve"> </w:t>
      </w:r>
      <w:r>
        <w:t xml:space="preserve">Directive 96/61/EC</w:t>
      </w:r>
      <w:r>
        <w:t xml:space="preserve"> </w:t>
      </w:r>
      <w:r>
        <w:t xml:space="preserve">EU ETS</w:t>
      </w:r>
      <w:r>
        <w:t xml:space="preserve"> </w:t>
      </w:r>
      <w:r>
        <w:t xml:space="preserve">European Union Emissions Trading System covering stationary</w:t>
      </w:r>
      <w:r>
        <w:t xml:space="preserve"> </w:t>
      </w:r>
      <w:r>
        <w:t xml:space="preserve">installations, aviation and maritime transport</w:t>
      </w:r>
      <w:r>
        <w:t xml:space="preserve"> </w:t>
      </w:r>
      <w:r>
        <w:t xml:space="preserve">ETS2</w:t>
      </w:r>
      <w:r>
        <w:t xml:space="preserve"> </w:t>
      </w:r>
      <w:r>
        <w:t xml:space="preserve">Emissions Trading System covering Buildings, Road Transport and</w:t>
      </w:r>
      <w:r>
        <w:t xml:space="preserve"> </w:t>
      </w:r>
      <w:r>
        <w:t xml:space="preserve">Additional Sectors in accordance with Chapter IVa of the ETS</w:t>
      </w:r>
      <w:r>
        <w:t xml:space="preserve"> </w:t>
      </w:r>
      <w:r>
        <w:t xml:space="preserve">Directive</w:t>
      </w:r>
      <w:r>
        <w:t xml:space="preserve"> </w:t>
      </w:r>
      <w:r>
        <w:t xml:space="preserve">EUA</w:t>
      </w:r>
      <w:r>
        <w:t xml:space="preserve"> </w:t>
      </w:r>
      <w:r>
        <w:t xml:space="preserve">European Union Allowance: the tradable unit under the EU ETS,</w:t>
      </w:r>
      <w:r>
        <w:t xml:space="preserve"> </w:t>
      </w:r>
      <w:r>
        <w:t xml:space="preserve">giving the holder the right to emit one tonne of CO₂e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GEM‑E3</w:t>
      </w:r>
      <w:r>
        <w:t xml:space="preserve"> </w:t>
      </w:r>
      <w:r>
        <w:t xml:space="preserve">General Equilibrium Model for Energy‑Economy‑Environment</w:t>
      </w:r>
      <w:r>
        <w:t xml:space="preserve"> </w:t>
      </w:r>
      <w:r>
        <w:t xml:space="preserve">interactions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</w:t>
      </w:r>
      <w:r>
        <w:t xml:space="preserve"> </w:t>
      </w:r>
      <w:r>
        <w:t xml:space="preserve">GT</w:t>
      </w:r>
      <w:r>
        <w:t xml:space="preserve"> </w:t>
      </w:r>
      <w:r>
        <w:t xml:space="preserve">Gross Tonnage</w:t>
      </w:r>
      <w:r>
        <w:t xml:space="preserve"> </w:t>
      </w:r>
      <w:r>
        <w:t xml:space="preserve">ICC</w:t>
      </w:r>
      <w:r>
        <w:t xml:space="preserve"> </w:t>
      </w:r>
      <w:r>
        <w:t xml:space="preserve">Indirect carbon cost</w:t>
      </w:r>
      <w:r>
        <w:t xml:space="preserve"> </w:t>
      </w:r>
      <w:r>
        <w:t xml:space="preserve">IF</w:t>
      </w:r>
      <w:r>
        <w:t xml:space="preserve"> </w:t>
      </w:r>
      <w:r>
        <w:t xml:space="preserve">Innovation Fund</w:t>
      </w:r>
      <w:r>
        <w:t xml:space="preserve"> </w:t>
      </w:r>
      <w:r>
        <w:t xml:space="preserve">IMO</w:t>
      </w:r>
      <w:r>
        <w:t xml:space="preserve"> </w:t>
      </w:r>
      <w:r>
        <w:t xml:space="preserve">International Maritime Organization</w:t>
      </w:r>
      <w:r>
        <w:t xml:space="preserve"> </w:t>
      </w:r>
      <w:r>
        <w:t xml:space="preserve">JRC</w:t>
      </w:r>
      <w:r>
        <w:t xml:space="preserve"> </w:t>
      </w:r>
      <w:r>
        <w:t xml:space="preserve">Joint Research Centre of the European Commission</w:t>
      </w:r>
      <w:r>
        <w:t xml:space="preserve"> </w:t>
      </w:r>
      <w:r>
        <w:t xml:space="preserve">JRC‑GEM‑E3</w:t>
      </w:r>
      <w:r>
        <w:t xml:space="preserve"> </w:t>
      </w:r>
      <w:r>
        <w:t xml:space="preserve">Joint Research Centre variant of the GEM‑E3 model</w:t>
      </w:r>
      <w:r>
        <w:t xml:space="preserve"> </w:t>
      </w:r>
      <w:r>
        <w:t xml:space="preserve">LDC</w:t>
      </w:r>
      <w:r>
        <w:t xml:space="preserve"> </w:t>
      </w:r>
      <w:r>
        <w:t xml:space="preserve">Least developed countries</w:t>
      </w:r>
    </w:p>
    <w:p>
      <w:pPr>
        <w:pStyle w:val="BodyText"/>
      </w:pPr>
      <w:r>
        <w:t xml:space="preserve">LRF</w:t>
      </w:r>
      <w:r>
        <w:t xml:space="preserve"> </w:t>
      </w:r>
      <w:r>
        <w:t xml:space="preserve">Linear Reduction Factor: a factor by which the ETS cap is reduced</w:t>
      </w:r>
      <w:r>
        <w:t xml:space="preserve"> </w:t>
      </w:r>
      <w:r>
        <w:t xml:space="preserve">yearly</w:t>
      </w:r>
      <w:r>
        <w:t xml:space="preserve"> </w:t>
      </w:r>
      <w:r>
        <w:t xml:space="preserve">MS / MS EU</w:t>
      </w:r>
      <w:r>
        <w:t xml:space="preserve"> </w:t>
      </w:r>
      <w:r>
        <w:t xml:space="preserve">Member State(s) of the European Union</w:t>
      </w:r>
      <w:r>
        <w:t xml:space="preserve"> </w:t>
      </w:r>
      <w:r>
        <w:t xml:space="preserve">MSR</w:t>
      </w:r>
      <w:r>
        <w:t xml:space="preserve"> </w:t>
      </w:r>
      <w:r>
        <w:t xml:space="preserve">Market stability reserve</w:t>
      </w:r>
      <w:r>
        <w:t xml:space="preserve"> </w:t>
      </w:r>
      <w:r>
        <w:t xml:space="preserve">MtCO₂</w:t>
      </w:r>
      <w:r>
        <w:t xml:space="preserve"> </w:t>
      </w:r>
      <w:r>
        <w:t xml:space="preserve">Million tonnes of CO₂</w:t>
      </w:r>
      <w:r>
        <w:t xml:space="preserve"> </w:t>
      </w:r>
      <w:r>
        <w:t xml:space="preserve">MW</w:t>
      </w:r>
      <w:r>
        <w:t xml:space="preserve"> </w:t>
      </w:r>
      <w:r>
        <w:t xml:space="preserve">Megawatt</w:t>
      </w:r>
      <w:r>
        <w:t xml:space="preserve"> </w:t>
      </w:r>
      <w:r>
        <w:t xml:space="preserve">NECP</w:t>
      </w:r>
      <w:r>
        <w:t xml:space="preserve"> </w:t>
      </w:r>
      <w:r>
        <w:t xml:space="preserve">National Energy and Climate Plan</w:t>
      </w:r>
      <w:r>
        <w:t xml:space="preserve"> </w:t>
      </w:r>
      <w:r>
        <w:t xml:space="preserve">NIMs</w:t>
      </w:r>
      <w:r>
        <w:t xml:space="preserve"> </w:t>
      </w:r>
      <w:r>
        <w:t xml:space="preserve">National implementation measures under Article 11 ETS Directive</w:t>
      </w:r>
      <w:r>
        <w:t xml:space="preserve"> </w:t>
      </w:r>
      <w:r>
        <w:t xml:space="preserve">NZF</w:t>
      </w:r>
      <w:r>
        <w:t xml:space="preserve"> </w:t>
      </w:r>
      <w:r>
        <w:t xml:space="preserve">Net‑Zero Framework</w:t>
      </w:r>
      <w:r>
        <w:t xml:space="preserve"> </w:t>
      </w:r>
      <w:r>
        <w:t xml:space="preserve">OPC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PRIMES</w:t>
      </w:r>
      <w:r>
        <w:t xml:space="preserve"> </w:t>
      </w:r>
      <w:r>
        <w:t xml:space="preserve">Price‑Induced Market Equilibrium System model</w:t>
      </w:r>
      <w:r>
        <w:t xml:space="preserve"> </w:t>
      </w:r>
      <w:r>
        <w:t xml:space="preserve">PRIMES‑TREMOVE Integrated transport component of PRIMES model</w:t>
      </w:r>
      <w:r>
        <w:t xml:space="preserve"> </w:t>
      </w:r>
      <w:r>
        <w:t xml:space="preserve">SAF</w:t>
      </w:r>
      <w:r>
        <w:t xml:space="preserve"> </w:t>
      </w:r>
      <w:r>
        <w:t xml:space="preserve">Sustainable Aviation Fuel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medium‑sized enterprise</w:t>
      </w:r>
      <w:r>
        <w:t xml:space="preserve"> </w:t>
      </w:r>
      <w:r>
        <w:t xml:space="preserve">SWD</w:t>
      </w:r>
      <w:r>
        <w:t xml:space="preserve"> </w:t>
      </w:r>
      <w:r>
        <w:t xml:space="preserve">Staff working document</w:t>
      </w:r>
      <w:r>
        <w:t xml:space="preserve"> </w:t>
      </w:r>
      <w:r>
        <w:t xml:space="preserve">TNAC</w:t>
      </w:r>
      <w:r>
        <w:t xml:space="preserve"> </w:t>
      </w:r>
      <w:r>
        <w:t xml:space="preserve">Total number of allowances in circulation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1</w:t>
      </w:r>
      <w:r>
        <w:t xml:space="preserve"> </w:t>
      </w:r>
      <w:r>
        <w:t xml:space="preserve">INTRODUCTION: PURPOSE AND SCOPE OF THE EVALUATION</w:t>
      </w:r>
      <w:r>
        <w:t xml:space="preserve"> </w:t>
      </w:r>
      <w:r>
        <w:t xml:space="preserve">1.1</w:t>
      </w:r>
      <w:r>
        <w:t xml:space="preserve"> </w:t>
      </w:r>
      <w:r>
        <w:t xml:space="preserve">Overview of the EU ETS</w:t>
      </w:r>
      <w:r>
        <w:t xml:space="preserve"> </w:t>
      </w:r>
      <w:r>
        <w:t xml:space="preserve">1.1.1 How the EU ETS functions</w:t>
      </w:r>
      <w:r>
        <w:t xml:space="preserve"> </w:t>
      </w:r>
      <w:r>
        <w:t xml:space="preserve">The EU ETS is a classic “cap &amp; trade” system. It achieves its environmental goal by definition</w:t>
      </w:r>
      <w:r>
        <w:t xml:space="preserve"> </w:t>
      </w:r>
      <w:r>
        <w:t xml:space="preserve">– the aggregate emissions of many covered entities cannot exceed an absolute ceiling of</w:t>
      </w:r>
      <w:r>
        <w:t xml:space="preserve"> </w:t>
      </w:r>
      <w:r>
        <w:t xml:space="preserve">(annual) emissions without breaking the rules of the system. The main difference to “command</w:t>
      </w:r>
      <w:r>
        <w:t xml:space="preserve"> </w:t>
      </w:r>
      <w:r>
        <w:t xml:space="preserve">&amp; control” systems is that the individual participant in the system does not get an individual</w:t>
      </w:r>
      <w:r>
        <w:t xml:space="preserve"> </w:t>
      </w:r>
      <w:r>
        <w:t xml:space="preserve">(legally binding) target for their emissions, and thereby implicitly the amount of required</w:t>
      </w:r>
      <w:r>
        <w:t xml:space="preserve"> </w:t>
      </w:r>
      <w:r>
        <w:t xml:space="preserve">emission reductions. Instead, the overall target must be achieved jointly by all participants. The</w:t>
      </w:r>
      <w:r>
        <w:t xml:space="preserve"> </w:t>
      </w:r>
      <w:r>
        <w:t xml:space="preserve">distribution of efforts among participants (who reduces emissions and by how much) is</w:t>
      </w:r>
      <w:r>
        <w:t xml:space="preserve"> </w:t>
      </w:r>
      <w:r>
        <w:t xml:space="preserve">determined through a market interaction based on the various emitters’ marginal abatement</w:t>
      </w:r>
      <w:r>
        <w:t xml:space="preserve"> </w:t>
      </w:r>
      <w:r>
        <w:t xml:space="preserve">costs. This gives companies the flexibility to cut their emissions in the most cost-effective</w:t>
      </w:r>
      <w:r>
        <w:t xml:space="preserve"> </w:t>
      </w:r>
      <w:r>
        <w:t xml:space="preserve">way.</w:t>
      </w:r>
      <w:r>
        <w:t xml:space="preserve"> </w:t>
      </w:r>
      <w:r>
        <w:t xml:space="preserve">Compliance with the system is achieved by surrendering units of “rights to emit”. In the EU</w:t>
      </w:r>
      <w:r>
        <w:t xml:space="preserve"> </w:t>
      </w:r>
      <w:r>
        <w:t xml:space="preserve">ETS they are called “EU allowances”, or EUAs, with a value equivalent to the emission of one</w:t>
      </w:r>
      <w:r>
        <w:t xml:space="preserve"> </w:t>
      </w:r>
      <w:r>
        <w:t xml:space="preserve">metric tonne CO2e. These rights can be freely traded. Hence each actor (in the EU ETS they</w:t>
      </w:r>
      <w:r>
        <w:t xml:space="preserve"> </w:t>
      </w:r>
      <w:r>
        <w:t xml:space="preserve">are operators of stationary installations, shipping companies and aircraft operators1) can decide</w:t>
      </w:r>
      <w:r>
        <w:t xml:space="preserve"> </w:t>
      </w:r>
      <w:r>
        <w:t xml:space="preserve">whether to emit a certain amount of greenhouse gases (GHGs) and cover them with allowances,</w:t>
      </w:r>
      <w:r>
        <w:t xml:space="preserve"> </w:t>
      </w:r>
      <w:r>
        <w:t xml:space="preserve">or whether to reduce their emissions so that they will have to purchase fewer allowances or is</w:t>
      </w:r>
      <w:r>
        <w:t xml:space="preserve"> </w:t>
      </w:r>
      <w:r>
        <w:t xml:space="preserve">even able to sell allowances in case of a surplus.</w:t>
      </w:r>
      <w:r>
        <w:t xml:space="preserve"> </w:t>
      </w:r>
      <w:r>
        <w:t xml:space="preserve">Since economically rational actors tend to optimise their profits, either by reducing their costs</w:t>
      </w:r>
      <w:r>
        <w:t xml:space="preserve"> </w:t>
      </w:r>
      <w:r>
        <w:t xml:space="preserve">or by increasing their product prices (if the latter is possible), the following foreseeable effects</w:t>
      </w:r>
      <w:r>
        <w:t xml:space="preserve"> </w:t>
      </w:r>
      <w:r>
        <w:t xml:space="preserve">are at the heart of the ETS:</w:t>
      </w:r>
      <w:r>
        <w:br/>
      </w:r>
      <w:r>
        <w:t xml:space="preserve">(i)</w:t>
      </w:r>
      <w:r>
        <w:t xml:space="preserve"> </w:t>
      </w:r>
      <w:r>
        <w:t xml:space="preserve">Operators will try to reduce their emissions to bring down their costs. This can be</w:t>
      </w:r>
      <w:r>
        <w:t xml:space="preserve"> </w:t>
      </w:r>
      <w:r>
        <w:t xml:space="preserve">done either by making the production per unit of product less GHG intensive, or by</w:t>
      </w:r>
      <w:r>
        <w:t xml:space="preserve"> </w:t>
      </w:r>
      <w:r>
        <w:t xml:space="preserve">reducing the production level for that GHG intensive good. The latter will be</w:t>
      </w:r>
      <w:r>
        <w:t xml:space="preserve"> </w:t>
      </w:r>
      <w:r>
        <w:t xml:space="preserve">incentivised if their consumers find ways of using less of that GHG intensive good,</w:t>
      </w:r>
      <w:r>
        <w:t xml:space="preserve"> </w:t>
      </w:r>
      <w:r>
        <w:t xml:space="preserve">either by making more efficient use of that good, or by completely substituting it.</w:t>
      </w:r>
      <w:r>
        <w:br/>
      </w:r>
      <w:r>
        <w:t xml:space="preserve">(ii)</w:t>
      </w:r>
      <w:r>
        <w:t xml:space="preserve"> </w:t>
      </w:r>
      <w:r>
        <w:t xml:space="preserve">The consumer in turn also sees an incentive for such changes, because it will ideally</w:t>
      </w:r>
      <w:r>
        <w:t xml:space="preserve"> </w:t>
      </w:r>
      <w:r>
        <w:t xml:space="preserve">be an economically rational actor, who wants to avoid the increased costs brought</w:t>
      </w:r>
      <w:r>
        <w:t xml:space="preserve"> </w:t>
      </w:r>
      <w:r>
        <w:t xml:space="preserve">along by the price of GHG emissions.</w:t>
      </w:r>
      <w:r>
        <w:br/>
      </w:r>
      <w:r>
        <w:t xml:space="preserve">Several production processes have “indirect” embedded emissions, referring to the emissions</w:t>
      </w:r>
      <w:r>
        <w:t xml:space="preserve"> </w:t>
      </w:r>
      <w:r>
        <w:t xml:space="preserve">that occur upstream. The most common example is the indirect emissions embedded in the</w:t>
      </w:r>
      <w:r>
        <w:t xml:space="preserve"> </w:t>
      </w:r>
      <w:r>
        <w:t xml:space="preserve">electricity consumed during the production of industrial goods. These production processes can</w:t>
      </w:r>
      <w:r>
        <w:t xml:space="preserve"> </w:t>
      </w:r>
      <w:r>
        <w:t xml:space="preserve">also incur indirect carbon cost, since the carbon price paid by the direct emitter (e.g. a power</w:t>
      </w:r>
      <w:r>
        <w:t xml:space="preserve"> </w:t>
      </w:r>
      <w:r>
        <w:t xml:space="preserve">plant) is passed on to the electricity bill of the consumer (e.g. an industrial installation).</w:t>
      </w:r>
      <w:r>
        <w:t xml:space="preserve"> </w:t>
      </w:r>
      <w:r>
        <w:t xml:space="preserve">As this illustrates, in an optimally functioning ETS virtually all possibilities for emission</w:t>
      </w:r>
      <w:r>
        <w:t xml:space="preserve"> </w:t>
      </w:r>
      <w:r>
        <w:t xml:space="preserve">reductions are driven by the CO2 price:</w:t>
      </w:r>
      <w:r>
        <w:t xml:space="preserve"> </w:t>
      </w:r>
      <w:r>
        <w:t xml:space="preserve">• producing the same goods more GHG efficiently,</w:t>
      </w:r>
    </w:p>
    <w:p>
      <w:pPr>
        <w:pStyle w:val="BodyText"/>
      </w:pPr>
      <w:r>
        <w:t xml:space="preserve">1</w:t>
      </w:r>
      <w:r>
        <w:br/>
      </w:r>
      <w:r>
        <w:t xml:space="preserve">In addition to the traditional EU ETS covering large industrial installations and aviation, the 2023 Directive</w:t>
      </w:r>
      <w:r>
        <w:t xml:space="preserve"> </w:t>
      </w:r>
      <w:r>
        <w:t xml:space="preserve">introduces a new emissions trading system (EU ETS 2) for emissions from fuels used in buildings and road</w:t>
      </w:r>
      <w:r>
        <w:t xml:space="preserve"> </w:t>
      </w:r>
      <w:r>
        <w:t xml:space="preserve">transport. This significantly broadens the scope of carbon pricing in the EU. Starting in 2024, the EU ETS</w:t>
      </w:r>
      <w:r>
        <w:t xml:space="preserve"> </w:t>
      </w:r>
      <w:r>
        <w:t xml:space="preserve">also covers emissions from maritime transport. These additional sectors are not part of this evaluation given</w:t>
      </w:r>
      <w:r>
        <w:t xml:space="preserve"> </w:t>
      </w:r>
      <w:r>
        <w:t xml:space="preserve">that they have only recently become part of the system.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• producing a smaller quantity of those GHG intensive goods, as the demand may decline</w:t>
      </w:r>
      <w:r>
        <w:t xml:space="preserve"> </w:t>
      </w:r>
      <w:r>
        <w:t xml:space="preserve">(induced by behavioural change of the end users or replaced by imported goods, that</w:t>
      </w:r>
      <w:r>
        <w:t xml:space="preserve"> </w:t>
      </w:r>
      <w:r>
        <w:t xml:space="preserve">may cause carbon leakage), or</w:t>
      </w:r>
      <w:r>
        <w:br/>
      </w:r>
      <w:r>
        <w:t xml:space="preserve">• producing other – less GHG intensive – goods.</w:t>
      </w:r>
      <w:r>
        <w:t xml:space="preserve"> </w:t>
      </w:r>
      <w:r>
        <w:t xml:space="preserve">1.1.2 How to implement the EU ETS</w:t>
      </w:r>
      <w:r>
        <w:t xml:space="preserve"> </w:t>
      </w:r>
      <w:r>
        <w:t xml:space="preserve">It is important to note that some practical issues must be solved for putting in place a successful</w:t>
      </w:r>
      <w:r>
        <w:t xml:space="preserve"> </w:t>
      </w:r>
      <w:r>
        <w:t xml:space="preserve">cap &amp; trade system such as the EU ETS. Those elements have been regulated by the ETS</w:t>
      </w:r>
      <w:r>
        <w:t xml:space="preserve"> </w:t>
      </w:r>
      <w:r>
        <w:t xml:space="preserve">Directive and secondary legislation, and are therefore of particular interest for this evaluation</w:t>
      </w:r>
      <w:r>
        <w:t xml:space="preserve"> </w:t>
      </w:r>
      <w:r>
        <w:t xml:space="preserve">and further improvement of the EU ETS:</w:t>
      </w:r>
      <w:r>
        <w:t xml:space="preserve"> </w:t>
      </w:r>
      <w:r>
        <w:t xml:space="preserve">• A robust system for monitoring emissions and reporting (M&amp;R) emissions to the</w:t>
      </w:r>
      <w:r>
        <w:t xml:space="preserve"> </w:t>
      </w:r>
      <w:r>
        <w:t xml:space="preserve">competent authority is the core of any market-based measure. The M&amp;R system is</w:t>
      </w:r>
      <w:r>
        <w:t xml:space="preserve"> </w:t>
      </w:r>
      <w:r>
        <w:t xml:space="preserve">accompanied by requirements to have the emissions verified by an independent and</w:t>
      </w:r>
      <w:r>
        <w:t xml:space="preserve"> </w:t>
      </w:r>
      <w:r>
        <w:t xml:space="preserve">competent third party (“the verifier”), who in turn should be under some form of legal</w:t>
      </w:r>
      <w:r>
        <w:t xml:space="preserve"> </w:t>
      </w:r>
      <w:r>
        <w:t xml:space="preserve">control (usually accomplished by accreditation). Accreditation and Verification (A&amp;V)</w:t>
      </w:r>
      <w:r>
        <w:t xml:space="preserve"> </w:t>
      </w:r>
      <w:r>
        <w:t xml:space="preserve">rules are therefore also required. M&amp;R and A&amp;V rules are collectively referred to as</w:t>
      </w:r>
      <w:r>
        <w:t xml:space="preserve"> </w:t>
      </w:r>
      <w:r>
        <w:t xml:space="preserve">the Monitoring, Reporting, Verification and Accreditation (MRVA) system. Effective</w:t>
      </w:r>
      <w:r>
        <w:t xml:space="preserve"> </w:t>
      </w:r>
      <w:r>
        <w:t xml:space="preserve">enforcement options (penalties) will also be essential.</w:t>
      </w:r>
      <w:r>
        <w:t xml:space="preserve"> </w:t>
      </w:r>
      <w:r>
        <w:t xml:space="preserve">• For efficiency reasons allowances exist in a purely electronic form. All allowance</w:t>
      </w:r>
      <w:r>
        <w:t xml:space="preserve"> </w:t>
      </w:r>
      <w:r>
        <w:t xml:space="preserve">transactions, including issuance, transfers, surrender, and cancellation, are recorded in</w:t>
      </w:r>
      <w:r>
        <w:t xml:space="preserve"> </w:t>
      </w:r>
      <w:r>
        <w:t xml:space="preserve">the ETS Union Registry.</w:t>
      </w:r>
      <w:r>
        <w:t xml:space="preserve"> </w:t>
      </w:r>
      <w:r>
        <w:t xml:space="preserve">• At least one allocation system is required, so that market participants can receive the</w:t>
      </w:r>
      <w:r>
        <w:t xml:space="preserve"> </w:t>
      </w:r>
      <w:r>
        <w:t xml:space="preserve">allowances that they need for compliance. In the EU ETS, auctioning was established</w:t>
      </w:r>
      <w:r>
        <w:t xml:space="preserve"> </w:t>
      </w:r>
      <w:r>
        <w:t xml:space="preserve">as the default method of allocation of allowances from Phase III onwards. Detailed rules</w:t>
      </w:r>
      <w:r>
        <w:t xml:space="preserve"> </w:t>
      </w:r>
      <w:r>
        <w:t xml:space="preserve">were established to ensure that auctions take place in an open, transparent, harmonised</w:t>
      </w:r>
      <w:r>
        <w:t xml:space="preserve"> </w:t>
      </w:r>
      <w:r>
        <w:t xml:space="preserve">and non-discriminatory manner. However, free allocation is still granted to address the</w:t>
      </w:r>
      <w:r>
        <w:t xml:space="preserve"> </w:t>
      </w:r>
      <w:r>
        <w:t xml:space="preserve">risk of carbon leakage. To make this allocation fair, EU-wide rules (based on ex-ante</w:t>
      </w:r>
      <w:r>
        <w:t xml:space="preserve"> </w:t>
      </w:r>
      <w:r>
        <w:t xml:space="preserve">benchmarks) have been put in place.</w:t>
      </w:r>
      <w:r>
        <w:t xml:space="preserve"> </w:t>
      </w:r>
      <w:r>
        <w:t xml:space="preserve">• As from January 2018, emission allowances are classified as financial instruments by</w:t>
      </w:r>
      <w:r>
        <w:t xml:space="preserve"> </w:t>
      </w:r>
      <w:r>
        <w:t xml:space="preserve">the revised Directive on Markets in Financial Instruments (MiFID2).2 This</w:t>
      </w:r>
      <w:r>
        <w:t xml:space="preserve"> </w:t>
      </w:r>
      <w:r>
        <w:t xml:space="preserve">classification constitutes an important element in safeguarding the carbon market from</w:t>
      </w:r>
      <w:r>
        <w:t xml:space="preserve"> </w:t>
      </w:r>
      <w:r>
        <w:t xml:space="preserve">market abuse and other types of market misconduct regulated under the Market Abuse</w:t>
      </w:r>
      <w:r>
        <w:t xml:space="preserve"> </w:t>
      </w:r>
      <w:r>
        <w:t xml:space="preserve">Regulation (MAR). Anti-money laundering safeguards are extended to all segments of</w:t>
      </w:r>
      <w:r>
        <w:t xml:space="preserve"> </w:t>
      </w:r>
      <w:r>
        <w:t xml:space="preserve">the carbon market.</w:t>
      </w:r>
      <w:r>
        <w:t xml:space="preserve"> </w:t>
      </w:r>
      <w:r>
        <w:t xml:space="preserve">1.1.3 The EU ETS and its legislative history</w:t>
      </w:r>
      <w:r>
        <w:t xml:space="preserve"> </w:t>
      </w:r>
      <w:r>
        <w:t xml:space="preserve">The EU ETS is currently in its fourth phase of implementation. It has undergone a series of</w:t>
      </w:r>
      <w:r>
        <w:t xml:space="preserve"> </w:t>
      </w:r>
      <w:r>
        <w:t xml:space="preserve">significant reforms, primarily due to changes in the level of ambition, but also in response to</w:t>
      </w:r>
      <w:r>
        <w:t xml:space="preserve"> </w:t>
      </w:r>
      <w:r>
        <w:t xml:space="preserve">the key lessons learnt from challenging and often unanticipated problems.</w:t>
      </w:r>
      <w:r>
        <w:t xml:space="preserve"> </w:t>
      </w:r>
      <w:r>
        <w:t xml:space="preserve">In Phase I (2005-2007), most allowances were allocated for free with each Member State</w:t>
      </w:r>
      <w:r>
        <w:t xml:space="preserve"> </w:t>
      </w:r>
      <w:r>
        <w:t xml:space="preserve">developing a National Plan3. Phase I was primarily used for testing price formation in the</w:t>
      </w:r>
      <w:r>
        <w:t xml:space="preserve"> </w:t>
      </w:r>
      <w:r>
        <w:t xml:space="preserve">carbon market and to establish the infrastructure necessary for monitoring, reporting and</w:t>
      </w:r>
      <w:r>
        <w:t xml:space="preserve"> </w:t>
      </w:r>
      <w:r>
        <w:t xml:space="preserve">verification (MRV). The cap during this pilot phase was based on estimates, due to insufficient</w:t>
      </w:r>
      <w:r>
        <w:t xml:space="preserve"> </w:t>
      </w:r>
      <w:r>
        <w:t xml:space="preserve">data the emissions of installations. Therefore, the total allocation of allowances exceeded</w:t>
      </w:r>
    </w:p>
    <w:p>
      <w:pPr>
        <w:pStyle w:val="BodyText"/>
      </w:pPr>
      <w:r>
        <w:t xml:space="preserve">2</w:t>
      </w:r>
      <w:r>
        <w:br/>
      </w:r>
      <w:r>
        <w:t xml:space="preserve">Directive - 2014/65 - EN - MIFID II - EUR-Lex</w:t>
      </w:r>
      <w:r>
        <w:t xml:space="preserve"> </w:t>
      </w:r>
      <w:r>
        <w:t xml:space="preserve">3</w:t>
      </w:r>
      <w:r>
        <w:br/>
      </w:r>
      <w:r>
        <w:t xml:space="preserve">National allocation plans - European Commission (europa.eu)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emissions in Phase I, and this led to a collapse in the carbon price in 2007 to zero (as these</w:t>
      </w:r>
      <w:r>
        <w:t xml:space="preserve"> </w:t>
      </w:r>
      <w:r>
        <w:t xml:space="preserve">allowances could not be banked for use in Phase II).</w:t>
      </w:r>
      <w:r>
        <w:br/>
      </w:r>
      <w:r>
        <w:t xml:space="preserve">Phase II (2008 – 2012) expanded the scope in terms of covered greenhouse gases (GHGs),</w:t>
      </w:r>
      <w:r>
        <w:t xml:space="preserve"> </w:t>
      </w:r>
      <w:r>
        <w:t xml:space="preserve">sector (aviation) and countries, and lowered the cap on allowances with respect to 2005.</w:t>
      </w:r>
      <w:r>
        <w:t xml:space="preserve"> </w:t>
      </w:r>
      <w:r>
        <w:t xml:space="preserve">Moreover, Phase II reduced the number of free allowances to around 90%.</w:t>
      </w:r>
      <w:r>
        <w:t xml:space="preserve"> </w:t>
      </w:r>
      <w:r>
        <w:t xml:space="preserve">Phase III (2013-2020) introduced a single EU-wide cap instead of the previous system of</w:t>
      </w:r>
      <w:r>
        <w:t xml:space="preserve"> </w:t>
      </w:r>
      <w:r>
        <w:t xml:space="preserve">national caps; it prioritised auctioning as the main allocation method; it harmonised allocation</w:t>
      </w:r>
      <w:r>
        <w:t xml:space="preserve"> </w:t>
      </w:r>
      <w:r>
        <w:t xml:space="preserve">rules; and it included additional sectors and GHGs.</w:t>
      </w:r>
      <w:r>
        <w:br/>
      </w:r>
      <w:r>
        <w:t xml:space="preserve">The Market Stability Reserve (MSR) was introduced with Decision (EU) 2015/18144 and</w:t>
      </w:r>
      <w:r>
        <w:t xml:space="preserve"> </w:t>
      </w:r>
      <w:r>
        <w:t xml:space="preserve">began operating in 2019 with the purpose of addressing the surplus of allowances that have</w:t>
      </w:r>
      <w:r>
        <w:t xml:space="preserve"> </w:t>
      </w:r>
      <w:r>
        <w:t xml:space="preserve">been building up the ETS market since 2009 and ensuring resilience against market shocks</w:t>
      </w:r>
      <w:r>
        <w:t xml:space="preserve"> </w:t>
      </w:r>
      <w:r>
        <w:t xml:space="preserve">through a flexible supply of allowances. The supply is controlled by absorbing or reducing the</w:t>
      </w:r>
      <w:r>
        <w:t xml:space="preserve"> </w:t>
      </w:r>
      <w:r>
        <w:t xml:space="preserve">number of allowances in the reserve, which reduces or increases the total number of allowances</w:t>
      </w:r>
      <w:r>
        <w:t xml:space="preserve"> </w:t>
      </w:r>
      <w:r>
        <w:t xml:space="preserve">in circulation (TNAC) available in the market.</w:t>
      </w:r>
      <w:r>
        <w:br/>
      </w:r>
      <w:r>
        <w:t xml:space="preserve">Phase IV (2021-2030), through the revised 2018 Directive, established a more ambitious linear</w:t>
      </w:r>
      <w:r>
        <w:t xml:space="preserve"> </w:t>
      </w:r>
      <w:r>
        <w:t xml:space="preserve">reduction factor for GHG emissions, which was increased from 1.74% to 2.2% per from 2021,</w:t>
      </w:r>
      <w:r>
        <w:t xml:space="preserve"> </w:t>
      </w:r>
      <w:r>
        <w:t xml:space="preserve">to achieve a 43% reduction in GHG emissions in the ETS sectors by 2030, compared to 2005</w:t>
      </w:r>
      <w:r>
        <w:t xml:space="preserve"> </w:t>
      </w:r>
      <w:r>
        <w:t xml:space="preserve">levels. New rules for free allocation and provisions for carbon leakage were also established.</w:t>
      </w:r>
      <w:r>
        <w:br/>
      </w:r>
      <w:r>
        <w:t xml:space="preserve">• The provision of free allocation for sectors deemed at risk of carbon leakage was revised</w:t>
      </w:r>
      <w:r>
        <w:t xml:space="preserve"> </w:t>
      </w:r>
      <w:r>
        <w:t xml:space="preserve">to be more targeted and effective.</w:t>
      </w:r>
      <w:r>
        <w:t xml:space="preserve"> </w:t>
      </w:r>
      <w:r>
        <w:t xml:space="preserve">• The benchmarks applied for the free allocation were revised to be more ambitious</w:t>
      </w:r>
      <w:r>
        <w:t xml:space="preserve"> </w:t>
      </w:r>
      <w:r>
        <w:t xml:space="preserve">• An Innovation Fund to provide financial support for projects in the areas of renewable</w:t>
      </w:r>
      <w:r>
        <w:t xml:space="preserve"> </w:t>
      </w:r>
      <w:r>
        <w:t xml:space="preserve">energy sources and carbon capture and storage, as well as a Modernisation Fund for the</w:t>
      </w:r>
      <w:r>
        <w:t xml:space="preserve"> </w:t>
      </w:r>
      <w:r>
        <w:t xml:space="preserve">modernisation of energy systems in lower-income Member States, were also</w:t>
      </w:r>
      <w:r>
        <w:t xml:space="preserve"> </w:t>
      </w:r>
      <w:r>
        <w:t xml:space="preserve">established.</w:t>
      </w:r>
      <w:r>
        <w:t xml:space="preserve"> </w:t>
      </w:r>
      <w:r>
        <w:t xml:space="preserve">• The ambition of the ETS was enhanced further in a revision to the ETS Directive in</w:t>
      </w:r>
      <w:r>
        <w:t xml:space="preserve"> </w:t>
      </w:r>
      <w:r>
        <w:t xml:space="preserve">2023 that increased the ETS reduction target to 62% below 2005 levels, together with</w:t>
      </w:r>
      <w:r>
        <w:t xml:space="preserve"> </w:t>
      </w:r>
      <w:r>
        <w:t xml:space="preserve">other changes to support the increased ambition.</w:t>
      </w:r>
      <w:r>
        <w:br/>
      </w:r>
      <w:r>
        <w:t xml:space="preserve">1.1.4 The EU ETS evaluation and review proposal of 2015</w:t>
      </w:r>
      <w:r>
        <w:t xml:space="preserve"> </w:t>
      </w:r>
      <w:r>
        <w:t xml:space="preserve">In October 2014,the European Council agreed on the 2030 policy framework for climate and</w:t>
      </w:r>
      <w:r>
        <w:t xml:space="preserve"> </w:t>
      </w:r>
      <w:r>
        <w:t xml:space="preserve">energy. In this framework, the European Council endorsed a binding EU target of an at least</w:t>
      </w:r>
      <w:r>
        <w:t xml:space="preserve"> </w:t>
      </w:r>
      <w:r>
        <w:t xml:space="preserve">40% domestic reduction in greenhouse gas emissions by 2030 compared to 1990 levels.</w:t>
      </w:r>
      <w:r>
        <w:br/>
      </w:r>
      <w:r>
        <w:t xml:space="preserve">The framework established that a well-functioning, reformed EU ETS with an instrument to</w:t>
      </w:r>
      <w:r>
        <w:t xml:space="preserve"> </w:t>
      </w:r>
      <w:r>
        <w:t xml:space="preserve">stabilise the market in line with the Commission’s proposal will be the main European</w:t>
      </w:r>
      <w:r>
        <w:t xml:space="preserve"> </w:t>
      </w:r>
      <w:r>
        <w:t xml:space="preserve">instrument to achieve this target and set out a framework of measures in the system. The</w:t>
      </w:r>
      <w:r>
        <w:t xml:space="preserve"> </w:t>
      </w:r>
      <w:r>
        <w:t xml:space="preserve">Commission was invited to implement this framework in concrete policy measures as soon as</w:t>
      </w:r>
      <w:r>
        <w:t xml:space="preserve"> </w:t>
      </w:r>
      <w:r>
        <w:t xml:space="preserve">possible by a revision of the ETS Directive.5</w:t>
      </w:r>
    </w:p>
    <w:p>
      <w:pPr>
        <w:pStyle w:val="BodyText"/>
      </w:pPr>
      <w:r>
        <w:t xml:space="preserve">4</w:t>
      </w:r>
      <w:r>
        <w:br/>
      </w:r>
      <w:r>
        <w:t xml:space="preserve">Decision (EU) 2015/1814 of the European Parliament and of the Council of 6 October 2015 concerning the</w:t>
      </w:r>
      <w:r>
        <w:t xml:space="preserve"> </w:t>
      </w:r>
      <w:r>
        <w:t xml:space="preserve">establishment and operation of a market stability reserve for the Union greenhouse gas emission trading</w:t>
      </w:r>
      <w:r>
        <w:t xml:space="preserve"> </w:t>
      </w:r>
      <w:r>
        <w:t xml:space="preserve">scheme and amending Directive 2003/87/EC</w:t>
      </w:r>
      <w:r>
        <w:t xml:space="preserve"> </w:t>
      </w:r>
      <w:r>
        <w:t xml:space="preserve">5</w:t>
      </w:r>
      <w:r>
        <w:br/>
      </w:r>
      <w:r>
        <w:t xml:space="preserve">European Council (23 and 24 October 2014). Conclusions on 2030 Climate and Energy Policy Framework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An evaluation of the ETS Directive6 was carried out in the first quarter of 2015, which provided</w:t>
      </w:r>
      <w:r>
        <w:t xml:space="preserve"> </w:t>
      </w:r>
      <w:r>
        <w:t xml:space="preserve">inputs and supported the review of the ETS Directive. In July 2015, the European Commission</w:t>
      </w:r>
      <w:r>
        <w:t xml:space="preserve"> </w:t>
      </w:r>
      <w:r>
        <w:t xml:space="preserve">proposed a reform of the EU ETS for the 2021-2030 period, following the guidance set by the</w:t>
      </w:r>
      <w:r>
        <w:t xml:space="preserve"> </w:t>
      </w:r>
      <w:r>
        <w:t xml:space="preserve">October 2014 European Council meeting. After its adoption by Council and Parliament, the</w:t>
      </w:r>
      <w:r>
        <w:t xml:space="preserve"> </w:t>
      </w:r>
      <w:r>
        <w:t xml:space="preserve">revised Directive (EU) 2018/4107 entered into force on 8 April 2018 and set the framework for</w:t>
      </w:r>
      <w:r>
        <w:t xml:space="preserve"> </w:t>
      </w:r>
      <w:r>
        <w:t xml:space="preserve">the fourth trading period (phase) from 2021 to 2030, in line with the EU’s 2030 climate and</w:t>
      </w:r>
      <w:r>
        <w:t xml:space="preserve"> </w:t>
      </w:r>
      <w:r>
        <w:t xml:space="preserve">energy framework.</w:t>
      </w:r>
      <w:r>
        <w:t xml:space="preserve"> </w:t>
      </w:r>
      <w:r>
        <w:t xml:space="preserve">The Directive was further revised in 2023 under the “Fit for 55” package of legislative</w:t>
      </w:r>
      <w:r>
        <w:t xml:space="preserve"> </w:t>
      </w:r>
      <w:r>
        <w:t xml:space="preserve">proposals, in view to achieve climate neutrality in the EU by 2050, including the intermediate</w:t>
      </w:r>
      <w:r>
        <w:t xml:space="preserve"> </w:t>
      </w:r>
      <w:r>
        <w:t xml:space="preserve">target of at least 55% net GHG emissions reductions by 2030. The current evaluation focuses</w:t>
      </w:r>
      <w:r>
        <w:t xml:space="preserve"> </w:t>
      </w:r>
      <w:r>
        <w:t xml:space="preserve">on the ETS Directive in its version after the 2018 review to evaluate the situation before and</w:t>
      </w:r>
      <w:r>
        <w:t xml:space="preserve"> </w:t>
      </w:r>
      <w:r>
        <w:t xml:space="preserve">after the implementation of the new rules of the fourth phase. The 2023 revision is not included</w:t>
      </w:r>
      <w:r>
        <w:t xml:space="preserve"> </w:t>
      </w:r>
      <w:r>
        <w:t xml:space="preserve">in the current evaluation, as there isn’t sufficient data for the assessment (minimum of 3 years-</w:t>
      </w:r>
      <w:r>
        <w:t xml:space="preserve"> </w:t>
      </w:r>
      <w:r>
        <w:t xml:space="preserve">worth of data required by the EU Better Regulation Guidelines8).</w:t>
      </w:r>
      <w:r>
        <w:br/>
      </w:r>
      <w:r>
        <w:t xml:space="preserve">Regarding the MSR, the evaluation focuses on changes following the establishment of the</w:t>
      </w:r>
      <w:r>
        <w:t xml:space="preserve"> </w:t>
      </w:r>
      <w:r>
        <w:t xml:space="preserve">policy instrument in Decision (EU) 2015/1814. The key provisions and subsequent</w:t>
      </w:r>
      <w:r>
        <w:t xml:space="preserve"> </w:t>
      </w:r>
      <w:r>
        <w:t xml:space="preserve">implementing measures of relevance are highlighted for every design element of the ETS</w:t>
      </w:r>
      <w:r>
        <w:t xml:space="preserve"> </w:t>
      </w:r>
      <w:r>
        <w:t xml:space="preserve">within this evaluation report. The rationale for the interventions across different design</w:t>
      </w:r>
      <w:r>
        <w:t xml:space="preserve"> </w:t>
      </w:r>
      <w:r>
        <w:t xml:space="preserve">elements of the ETS are then outlined in detail before the evaluation responds to the specific</w:t>
      </w:r>
      <w:r>
        <w:t xml:space="preserve"> </w:t>
      </w:r>
      <w:r>
        <w:t xml:space="preserve">questions set in the corresponding evaluation matrix (provided in Appendix III).</w:t>
      </w:r>
      <w:r>
        <w:t xml:space="preserve"> </w:t>
      </w:r>
      <w:r>
        <w:t xml:space="preserve">1.2</w:t>
      </w:r>
      <w:r>
        <w:t xml:space="preserve"> </w:t>
      </w:r>
      <w:r>
        <w:t xml:space="preserve">Scope</w:t>
      </w:r>
      <w:r>
        <w:t xml:space="preserve"> </w:t>
      </w:r>
      <w:r>
        <w:t xml:space="preserve">The scope of this evaluation is focused on the ETS Directive in its version after the 2018</w:t>
      </w:r>
      <w:r>
        <w:t xml:space="preserve"> </w:t>
      </w:r>
      <w:r>
        <w:t xml:space="preserve">review, as outlined in the 2015 impact assessment. It addresses for the most part the changes</w:t>
      </w:r>
      <w:r>
        <w:t xml:space="preserve"> </w:t>
      </w:r>
      <w:r>
        <w:t xml:space="preserve">that have been introduced for Phase IV of the EU ETS. The evaluation of the individual ETS</w:t>
      </w:r>
      <w:r>
        <w:t xml:space="preserve"> </w:t>
      </w:r>
      <w:r>
        <w:t xml:space="preserve">components, in addition to the relevant provisions in the ETS Directive, includes also the</w:t>
      </w:r>
      <w:r>
        <w:t xml:space="preserve"> </w:t>
      </w:r>
      <w:r>
        <w:t xml:space="preserve">various implementing or delegated acts adopted following the 2018 review of the ETS</w:t>
      </w:r>
      <w:r>
        <w:t xml:space="preserve"> </w:t>
      </w:r>
      <w:r>
        <w:t xml:space="preserve">Directive that are providing the detailed rules (see Appendix III for each individual ETS</w:t>
      </w:r>
      <w:r>
        <w:t xml:space="preserve"> </w:t>
      </w:r>
      <w:r>
        <w:t xml:space="preserve">component evaluated).)</w:t>
      </w:r>
      <w:r>
        <w:t xml:space="preserve"> </w:t>
      </w:r>
      <w:r>
        <w:t xml:space="preserve">The key aim of this evaluation is to provide an evidence-based assessment of the extent to</w:t>
      </w:r>
      <w:r>
        <w:t xml:space="preserve"> </w:t>
      </w:r>
      <w:r>
        <w:t xml:space="preserve">which the EU ETS:</w:t>
      </w:r>
      <w:r>
        <w:t xml:space="preserve"> </w:t>
      </w:r>
      <w:r>
        <w:t xml:space="preserve">• Is effective in meeting its objectives and delivering the expected results.</w:t>
      </w:r>
      <w:r>
        <w:t xml:space="preserve"> </w:t>
      </w:r>
      <w:r>
        <w:t xml:space="preserve">• Is efficient, in terms of cost-effectiveness and proportionality of costs versus benefits.</w:t>
      </w:r>
      <w:r>
        <w:t xml:space="preserve"> </w:t>
      </w:r>
      <w:r>
        <w:t xml:space="preserve">• Is relevant, in terms of responding to needs.</w:t>
      </w:r>
      <w:r>
        <w:t xml:space="preserve"> </w:t>
      </w:r>
      <w:r>
        <w:t xml:space="preserve">• Is coherent internally and with other EU interventions and international obligations.</w:t>
      </w:r>
      <w:r>
        <w:br/>
      </w:r>
      <w:r>
        <w:t xml:space="preserve">• Has EU added value compared to action by Member States alone.</w:t>
      </w:r>
      <w:r>
        <w:t xml:space="preserve"> </w:t>
      </w:r>
      <w:r>
        <w:t xml:space="preserve">As part of the REFIT programme, this evaluation should also assess the potential for</w:t>
      </w:r>
      <w:r>
        <w:t xml:space="preserve"> </w:t>
      </w:r>
      <w:r>
        <w:t xml:space="preserve">simplification and burden reduction, particularly as part of the efficiency analysis.</w:t>
      </w:r>
    </w:p>
    <w:p>
      <w:pPr>
        <w:pStyle w:val="BodyText"/>
      </w:pPr>
      <w:r>
        <w:t xml:space="preserve">6</w:t>
      </w:r>
      <w:r>
        <w:br/>
      </w:r>
      <w:r>
        <w:t xml:space="preserve">EVALUATION OF THE EU ETS DIRECTIVE Carried out within the project “Support for the Review of</w:t>
      </w:r>
      <w:r>
        <w:t xml:space="preserve"> </w:t>
      </w:r>
      <w:r>
        <w:t xml:space="preserve">the EU Emissions Trading System”, EU ETS Directive Evaluation 2015</w:t>
      </w:r>
      <w:r>
        <w:t xml:space="preserve"> </w:t>
      </w:r>
      <w:r>
        <w:t xml:space="preserve">7</w:t>
      </w:r>
      <w:r>
        <w:br/>
      </w:r>
      <w:r>
        <w:t xml:space="preserve">Directive (EU) 2018/410 of the European Parliament and of the Council of 14 March 2018 amending</w:t>
      </w:r>
      <w:r>
        <w:t xml:space="preserve"> </w:t>
      </w:r>
      <w:r>
        <w:t xml:space="preserve">Directive 2003/87/EC to enhance cost-effective emission reductions and low-carbon investments, and</w:t>
      </w:r>
      <w:r>
        <w:t xml:space="preserve"> </w:t>
      </w:r>
      <w:r>
        <w:t xml:space="preserve">Decision (EU) 2015/1814 (europa.eu)</w:t>
      </w:r>
      <w:r>
        <w:t xml:space="preserve"> </w:t>
      </w:r>
      <w:r>
        <w:t xml:space="preserve">8</w:t>
      </w:r>
      <w:r>
        <w:br/>
      </w:r>
      <w:r>
        <w:t xml:space="preserve">Better regulation: guidelines and toolbox (europa.eu)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The interventions assessed as part of this evaluation include the overall EU ETS9 and the</w:t>
      </w:r>
      <w:r>
        <w:t xml:space="preserve"> </w:t>
      </w:r>
      <w:r>
        <w:t xml:space="preserve">Market Stability Reserve. In addition, the following ETS components that support the</w:t>
      </w:r>
      <w:r>
        <w:t xml:space="preserve"> </w:t>
      </w:r>
      <w:r>
        <w:t xml:space="preserve">implementation of the overall system are evaluated individually, mainly in relation to their</w:t>
      </w:r>
      <w:r>
        <w:t xml:space="preserve"> </w:t>
      </w:r>
      <w:r>
        <w:t xml:space="preserve">effectiveness and efficiency, with the detailed findings presented in Appendix III:</w:t>
      </w:r>
      <w:r>
        <w:t xml:space="preserve"> </w:t>
      </w:r>
      <w:r>
        <w:t xml:space="preserve">• Provision of free allocation to address the risk of carbon leakage.</w:t>
      </w:r>
      <w:r>
        <w:t xml:space="preserve"> </w:t>
      </w:r>
      <w:r>
        <w:t xml:space="preserve">• Monitoring, Reporting, Verification, and Accreditation (MRVA).</w:t>
      </w:r>
      <w:r>
        <w:t xml:space="preserve"> </w:t>
      </w:r>
      <w:r>
        <w:t xml:space="preserve">• Monitoring, Reporting, Verification system for maritime (MRV maritime).</w:t>
      </w:r>
      <w:r>
        <w:br/>
      </w:r>
      <w:r>
        <w:t xml:space="preserve">• Auctioning.</w:t>
      </w:r>
      <w:r>
        <w:t xml:space="preserve"> </w:t>
      </w:r>
      <w:r>
        <w:t xml:space="preserve">• Union Registry.</w:t>
      </w:r>
      <w:r>
        <w:t xml:space="preserve"> </w:t>
      </w:r>
      <w:r>
        <w:t xml:space="preserve">The Innovation Fund and the Modernisation Fund, established by the 2018 review of the ETS</w:t>
      </w:r>
      <w:r>
        <w:t xml:space="preserve"> </w:t>
      </w:r>
      <w:r>
        <w:t xml:space="preserve">Directive, are evaluated separately10.</w:t>
      </w:r>
      <w:r>
        <w:t xml:space="preserve"> </w:t>
      </w:r>
      <w:r>
        <w:t xml:space="preserve">Where results from the analysis in Appendix III are relevant for answering evaluation questions</w:t>
      </w:r>
      <w:r>
        <w:t xml:space="preserve"> </w:t>
      </w:r>
      <w:r>
        <w:t xml:space="preserve">for the EU ETS as a whole, reference is made here to the more detailed sections, instead of</w:t>
      </w:r>
      <w:r>
        <w:t xml:space="preserve"> </w:t>
      </w:r>
      <w:r>
        <w:t xml:space="preserve">repeating those findings. The relevance and EU added value are evaluated only at the aggregate</w:t>
      </w:r>
      <w:r>
        <w:t xml:space="preserve"> </w:t>
      </w:r>
      <w:r>
        <w:t xml:space="preserve">level.</w:t>
      </w:r>
      <w:r>
        <w:t xml:space="preserve"> </w:t>
      </w:r>
      <w:r>
        <w:t xml:space="preserve">This evaluation is based on a literature review, stakeholder interviews and own analysis.</w:t>
      </w:r>
      <w:r>
        <w:t xml:space="preserve"> </w:t>
      </w:r>
      <w:r>
        <w:t xml:space="preserve">However, no specific economic modelling was carried out for this report, but it refers to the ex</w:t>
      </w:r>
      <w:r>
        <w:t xml:space="preserve"> </w:t>
      </w:r>
      <w:r>
        <w:t xml:space="preserve">post economic modelling and econometric analysis available within the existing literature. For</w:t>
      </w:r>
      <w:r>
        <w:t xml:space="preserve"> </w:t>
      </w:r>
      <w:r>
        <w:t xml:space="preserve">additional details on the methodology, see Appendix II.</w:t>
      </w:r>
      <w:r>
        <w:t xml:space="preserve"> </w:t>
      </w:r>
      <w:r>
        <w:t xml:space="preserve">2</w:t>
      </w:r>
      <w:r>
        <w:t xml:space="preserve"> </w:t>
      </w:r>
      <w:r>
        <w:t xml:space="preserve">WHAT WAS THE EXPECTED OUTCOME OF THE INTERVENTION?</w:t>
      </w:r>
      <w:r>
        <w:t xml:space="preserve"> </w:t>
      </w:r>
      <w:r>
        <w:t xml:space="preserve">2.1</w:t>
      </w:r>
      <w:r>
        <w:t xml:space="preserve"> </w:t>
      </w:r>
      <w:r>
        <w:t xml:space="preserve">EU ETS</w:t>
      </w:r>
      <w:r>
        <w:br/>
      </w:r>
      <w:r>
        <w:t xml:space="preserve">2.1.1 Point of comparison for the EU ETS</w:t>
      </w:r>
      <w:r>
        <w:br/>
      </w:r>
      <w:r>
        <w:t xml:space="preserve">As mentioned, in July 2015, the European Commission proposed a reform of the EU ETS for</w:t>
      </w:r>
      <w:r>
        <w:t xml:space="preserve"> </w:t>
      </w:r>
      <w:r>
        <w:t xml:space="preserve">the 2021-2030 period, accompanied by an impact assessment11. That proposal led to the revised</w:t>
      </w:r>
      <w:r>
        <w:t xml:space="preserve"> </w:t>
      </w:r>
      <w:r>
        <w:t xml:space="preserve">EU ETS 2018 Directive12, which entered into force on 8 April 2018 and set the framework for</w:t>
      </w:r>
      <w:r>
        <w:t xml:space="preserve"> </w:t>
      </w:r>
      <w:r>
        <w:t xml:space="preserve">the fourth trading period (phase) from 2021 to 2030, in line with the EU’s 2030 climate and</w:t>
      </w:r>
      <w:r>
        <w:t xml:space="preserve"> </w:t>
      </w:r>
      <w:r>
        <w:t xml:space="preserve">energy framework.</w:t>
      </w:r>
      <w:r>
        <w:t xml:space="preserve"> </w:t>
      </w:r>
      <w:r>
        <w:t xml:space="preserve">The key element of the revised Directive was a more ambitious linear reduction factor for GHG</w:t>
      </w:r>
      <w:r>
        <w:t xml:space="preserve"> </w:t>
      </w:r>
      <w:r>
        <w:t xml:space="preserve">emissions. The proposal determined that to achieve the EU’s target to reduce GHG emissions</w:t>
      </w:r>
      <w:r>
        <w:t xml:space="preserve"> </w:t>
      </w:r>
      <w:r>
        <w:t xml:space="preserve">by at least 40% domestically by 2030, the sectors covered by the EU ETS would need to reduce</w:t>
      </w:r>
      <w:r>
        <w:t xml:space="preserve"> </w:t>
      </w:r>
      <w:r>
        <w:t xml:space="preserve">their emissions by 43% by 2030, compared to 2005 levels.</w:t>
      </w:r>
      <w:r>
        <w:t xml:space="preserve"> </w:t>
      </w:r>
      <w:r>
        <w:t xml:space="preserve">To achieve this target, the linear reduction factor was increased from 1.74% to 2.2% per year</w:t>
      </w:r>
      <w:r>
        <w:t xml:space="preserve"> </w:t>
      </w:r>
      <w:r>
        <w:t xml:space="preserve">from 2021.</w:t>
      </w:r>
    </w:p>
    <w:p>
      <w:pPr>
        <w:pStyle w:val="BodyText"/>
      </w:pPr>
      <w:r>
        <w:t xml:space="preserve">9</w:t>
      </w:r>
      <w:r>
        <w:br/>
      </w:r>
      <w:r>
        <w:t xml:space="preserve">Criteria of coherence is assessed only for the EU ETS in general, while the other criteria are assessed also for</w:t>
      </w:r>
      <w:r>
        <w:t xml:space="preserve"> </w:t>
      </w:r>
      <w:r>
        <w:t xml:space="preserve">the specific components.</w:t>
      </w:r>
      <w:r>
        <w:t xml:space="preserve"> </w:t>
      </w:r>
      <w:r>
        <w:t xml:space="preserve">10 Evaluation of the Innovation Fund’s operation (SWD(2026) 199) and Evaluation on the operating rules of the</w:t>
      </w:r>
      <w:r>
        <w:t xml:space="preserve"> </w:t>
      </w:r>
      <w:r>
        <w:t xml:space="preserve">Modernisation Fund (SWD(2026) 197)</w:t>
      </w:r>
      <w:r>
        <w:t xml:space="preserve"> </w:t>
      </w:r>
      <w:r>
        <w:t xml:space="preserve">11 SWD (2015) 135 final, Impact Assessment accompanying the Proposal for a Directive of the European</w:t>
      </w:r>
      <w:r>
        <w:t xml:space="preserve"> </w:t>
      </w:r>
      <w:r>
        <w:t xml:space="preserve">Parliament and of the Council amending Directive 2003/87/EC to enhance cost-effective emission reductions</w:t>
      </w:r>
      <w:r>
        <w:t xml:space="preserve"> </w:t>
      </w:r>
      <w:r>
        <w:t xml:space="preserve">and low carbon investments</w:t>
      </w:r>
      <w:r>
        <w:t xml:space="preserve"> </w:t>
      </w:r>
      <w:r>
        <w:t xml:space="preserve">12 DIRECTIVE (EU) 2018/410 OF THE EUROPEAN PARLIAMENT AND OF THE COUNCIL of 14 March</w:t>
      </w:r>
      <w:r>
        <w:t xml:space="preserve"> </w:t>
      </w:r>
      <w:r>
        <w:t xml:space="preserve">2018 amending Directive 2003/87/EC to enhance cost-effective emission reductions and low-carbon</w:t>
      </w:r>
      <w:r>
        <w:t xml:space="preserve"> </w:t>
      </w:r>
      <w:r>
        <w:t xml:space="preserve">investments, and Decision (EU) 2015/1814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The auctioning of allowances remained the general rule in Phase IV, with the share of</w:t>
      </w:r>
      <w:r>
        <w:t xml:space="preserve"> </w:t>
      </w:r>
      <w:r>
        <w:t xml:space="preserve">allowances to be auctioned set at 57%, i.e. the same as in Phase III.</w:t>
      </w:r>
      <w:r>
        <w:br/>
      </w:r>
      <w:r>
        <w:t xml:space="preserve">2.1.2 Description of the intervention and its objectives for the EU ETS as a whole</w:t>
      </w:r>
      <w:r>
        <w:t xml:space="preserve"> </w:t>
      </w:r>
      <w:r>
        <w:t xml:space="preserve">Figure 1 provides an overview of the intervention logic for the EU ETS overall. The policy</w:t>
      </w:r>
      <w:r>
        <w:t xml:space="preserve"> </w:t>
      </w:r>
      <w:r>
        <w:t xml:space="preserve">intervention to be evaluated refers to the operation of the EU ETS in general and in relation to</w:t>
      </w:r>
      <w:r>
        <w:t xml:space="preserve"> </w:t>
      </w:r>
      <w:r>
        <w:t xml:space="preserve">key overarching changes following the revision to the ETS Directive in 2018. The extent to</w:t>
      </w:r>
      <w:r>
        <w:t xml:space="preserve"> </w:t>
      </w:r>
      <w:r>
        <w:t xml:space="preserve">which the EU ETS as a whole has delivered the expected outcomes outlined in the intervention</w:t>
      </w:r>
      <w:r>
        <w:t xml:space="preserve"> </w:t>
      </w:r>
      <w:r>
        <w:t xml:space="preserve">logic below will be the subject of the evaluation. Each element of the intervention logic diagram</w:t>
      </w:r>
      <w:r>
        <w:t xml:space="preserve"> </w:t>
      </w:r>
      <w:r>
        <w:t xml:space="preserve">is discussed further in the following subsections.</w:t>
      </w:r>
      <w:r>
        <w:t xml:space="preserve"> </w:t>
      </w:r>
      <w:r>
        <w:t xml:space="preserve">Figure 1: Intervention logic (EU ETS)</w:t>
      </w:r>
    </w:p>
    <w:p>
      <w:pPr>
        <w:pStyle w:val="BodyText"/>
      </w:pPr>
      <w:r>
        <w:t xml:space="preserve">Source:</w:t>
      </w:r>
      <w:r>
        <w:br/>
      </w:r>
      <w:r>
        <w:t xml:space="preserve">Own illustration</w:t>
      </w:r>
      <w:r>
        <w:t xml:space="preserve"> </w:t>
      </w:r>
      <w:r>
        <w:t xml:space="preserve">2.1.2.1</w:t>
      </w:r>
      <w:r>
        <w:t xml:space="preserve"> </w:t>
      </w:r>
      <w:r>
        <w:t xml:space="preserve">Problem to address</w:t>
      </w:r>
      <w:r>
        <w:t xml:space="preserve"> </w:t>
      </w:r>
      <w:r>
        <w:t xml:space="preserve">The main problems to address for the EU ETS overall include the fact that:</w:t>
      </w:r>
      <w:r>
        <w:br/>
      </w:r>
      <w:r>
        <w:t xml:space="preserve">• The ETS was not aligned with the 2030 economy wide GHG reduction target.</w:t>
      </w:r>
      <w:r>
        <w:t xml:space="preserve"> </w:t>
      </w:r>
      <w:r>
        <w:t xml:space="preserve">• There remained a structural supply-demand imbalance in the EU ETS, which was one</w:t>
      </w:r>
      <w:r>
        <w:t xml:space="preserve"> </w:t>
      </w:r>
      <w:r>
        <w:t xml:space="preserve">of several factors13 contributing to a low carbon price signal and therefore reducing the</w:t>
      </w:r>
      <w:r>
        <w:t xml:space="preserve"> </w:t>
      </w:r>
      <w:r>
        <w:t xml:space="preserve">incentives for low-carbon investments This point is addressed in greater detail in</w:t>
      </w:r>
      <w:r>
        <w:t xml:space="preserve"> </w:t>
      </w:r>
      <w:r>
        <w:t xml:space="preserve">Section 2.2.2 on the intervention logic for the MSR.</w:t>
      </w:r>
      <w:r>
        <w:t xml:space="preserve"> </w:t>
      </w:r>
      <w:r>
        <w:t xml:space="preserve">2.1.2.2</w:t>
      </w:r>
      <w:r>
        <w:t xml:space="preserve"> </w:t>
      </w:r>
      <w:r>
        <w:t xml:space="preserve">Objectives</w:t>
      </w:r>
      <w:r>
        <w:t xml:space="preserve"> </w:t>
      </w:r>
      <w:r>
        <w:t xml:space="preserve">Following the previous evaluation in 2015, three specific objectives for the EU ETS overall</w:t>
      </w:r>
      <w:r>
        <w:t xml:space="preserve"> </w:t>
      </w:r>
      <w:r>
        <w:t xml:space="preserve">were outlined in a proposal for amending Directive 2003/87/EC to enhance emission reductions</w:t>
      </w:r>
      <w:r>
        <w:t xml:space="preserve"> </w:t>
      </w:r>
      <w:r>
        <w:t xml:space="preserve">and low carbon investments:14</w:t>
      </w:r>
    </w:p>
    <w:p>
      <w:pPr>
        <w:pStyle w:val="BodyText"/>
      </w:pPr>
      <w:r>
        <w:t xml:space="preserve">13 Other factors including weak or no complementary policies, lower general political importance of climate</w:t>
      </w:r>
      <w:r>
        <w:t xml:space="preserve"> </w:t>
      </w:r>
      <w:r>
        <w:t xml:space="preserve">policies leading to less confidence in the market.</w:t>
      </w:r>
      <w:r>
        <w:t xml:space="preserve"> </w:t>
      </w:r>
      <w:r>
        <w:t xml:space="preserve">14 EUR-Lex - 52015PC0337 - EN - EUR-Lex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• Specific objective 1: “Revise the ETS Directive in a manner to ensure emissions in the</w:t>
      </w:r>
      <w:r>
        <w:t xml:space="preserve"> </w:t>
      </w:r>
      <w:r>
        <w:t xml:space="preserve">EU ETS are reduced by 43% below 2005 levels by 2030.” In so doing, this ensures that</w:t>
      </w:r>
      <w:r>
        <w:t xml:space="preserve"> </w:t>
      </w:r>
      <w:r>
        <w:t xml:space="preserve">the EU ETS contributes to the EU’s climate objectives in the most cost-effective</w:t>
      </w:r>
      <w:r>
        <w:t xml:space="preserve"> </w:t>
      </w:r>
      <w:r>
        <w:t xml:space="preserve">manner.</w:t>
      </w:r>
      <w:r>
        <w:t xml:space="preserve"> </w:t>
      </w:r>
      <w:r>
        <w:t xml:space="preserve">• Specific objective 2: “Promote low-carbon innovation and establish, for industrial</w:t>
      </w:r>
      <w:r>
        <w:t xml:space="preserve"> </w:t>
      </w:r>
      <w:r>
        <w:t xml:space="preserve">sectors, appropriate provisions to address the potential risk of carbon leakage in the</w:t>
      </w:r>
      <w:r>
        <w:t xml:space="preserve"> </w:t>
      </w:r>
      <w:r>
        <w:t xml:space="preserve">absence of comparable climate policy measures in other major economies.” This</w:t>
      </w:r>
      <w:r>
        <w:t xml:space="preserve"> </w:t>
      </w:r>
      <w:r>
        <w:t xml:space="preserve">includes more targeted rules on free allocation that are discussed in more detailed in the</w:t>
      </w:r>
      <w:r>
        <w:t xml:space="preserve"> </w:t>
      </w:r>
      <w:r>
        <w:t xml:space="preserve">intervention logic for carbon leakage (refer to Appendix III, Section 8.3)</w:t>
      </w:r>
      <w:r>
        <w:t xml:space="preserve"> </w:t>
      </w:r>
      <w:r>
        <w:t xml:space="preserve">• Specific objective 3: “Implement further ETS-related aspects of the 2030 climate and</w:t>
      </w:r>
      <w:r>
        <w:t xml:space="preserve"> </w:t>
      </w:r>
      <w:r>
        <w:t xml:space="preserve">energy policy framework.” The system should support innovation and the</w:t>
      </w:r>
      <w:r>
        <w:t xml:space="preserve"> </w:t>
      </w:r>
      <w:r>
        <w:t xml:space="preserve">modernisation of energy systems and industrial processes, thereby contributing to the</w:t>
      </w:r>
      <w:r>
        <w:t xml:space="preserve"> </w:t>
      </w:r>
      <w:r>
        <w:t xml:space="preserve">transition towards a low-carbon economy.</w:t>
      </w:r>
      <w:r>
        <w:t xml:space="preserve"> </w:t>
      </w:r>
      <w:r>
        <w:t xml:space="preserve">2.1.2.3</w:t>
      </w:r>
      <w:r>
        <w:t xml:space="preserve"> </w:t>
      </w:r>
      <w:r>
        <w:t xml:space="preserve">Actions</w:t>
      </w:r>
      <w:r>
        <w:t xml:space="preserve"> </w:t>
      </w:r>
      <w:r>
        <w:t xml:space="preserve">Actions to support the functioning and strengthening of the EU ETS can be grouped into</w:t>
      </w:r>
      <w:r>
        <w:t xml:space="preserve"> </w:t>
      </w:r>
      <w:r>
        <w:t xml:space="preserve">general system aspects and those introduced by the policy intervention.</w:t>
      </w:r>
      <w:r>
        <w:t xml:space="preserve"> </w:t>
      </w:r>
      <w:r>
        <w:t xml:space="preserve">2.1.2.3.1 General aspects</w:t>
      </w:r>
      <w:r>
        <w:t xml:space="preserve"> </w:t>
      </w:r>
      <w:r>
        <w:t xml:space="preserve">• The EU ETS is established, with its scope and emissions cap defined to set the</w:t>
      </w:r>
      <w:r>
        <w:t xml:space="preserve"> </w:t>
      </w:r>
      <w:r>
        <w:t xml:space="preserve">framework for emissions trading.</w:t>
      </w:r>
      <w:r>
        <w:t xml:space="preserve"> </w:t>
      </w:r>
      <w:r>
        <w:t xml:space="preserve">• A supporting infrastructure is in place, including the registry, allocation system, trading</w:t>
      </w:r>
      <w:r>
        <w:t xml:space="preserve"> </w:t>
      </w:r>
      <w:r>
        <w:t xml:space="preserve">mechanisms, and market oversight arrangements.</w:t>
      </w:r>
      <w:r>
        <w:t xml:space="preserve"> </w:t>
      </w:r>
      <w:r>
        <w:t xml:space="preserve">• A compliance system is implemented to ensure that regulated entities meet their</w:t>
      </w:r>
      <w:r>
        <w:t xml:space="preserve"> </w:t>
      </w:r>
      <w:r>
        <w:t xml:space="preserve">obligations through monitoring, reporting, and verification of emissions.</w:t>
      </w:r>
      <w:r>
        <w:t xml:space="preserve"> </w:t>
      </w:r>
      <w:r>
        <w:t xml:space="preserve">• The system is operated, evaluated, and revised regularly to improve effectiveness and</w:t>
      </w:r>
      <w:r>
        <w:t xml:space="preserve"> </w:t>
      </w:r>
      <w:r>
        <w:t xml:space="preserve">respond to evolving circumstances.</w:t>
      </w:r>
      <w:r>
        <w:t xml:space="preserve"> </w:t>
      </w:r>
      <w:r>
        <w:t xml:space="preserve">• A system of free allocation is in place to mitigate the risk of carbon leakage.</w:t>
      </w:r>
      <w:r>
        <w:t xml:space="preserve"> </w:t>
      </w:r>
      <w:r>
        <w:t xml:space="preserve">2.1.2.3.2 Specific aspects under the revised 2018 Directive &amp; MSR Decision</w:t>
      </w:r>
      <w:r>
        <w:t xml:space="preserve"> </w:t>
      </w:r>
      <w:r>
        <w:t xml:space="preserve">• The ambition of the EU ETS is increased by raising the linear reduction factor (LRF)</w:t>
      </w:r>
      <w:r>
        <w:t xml:space="preserve"> </w:t>
      </w:r>
      <w:r>
        <w:t xml:space="preserve">from 1.74% to 2.2%, thereby accelerating the annual reduction in the emissions cap.</w:t>
      </w:r>
      <w:r>
        <w:t xml:space="preserve"> </w:t>
      </w:r>
      <w:r>
        <w:t xml:space="preserve">• The Market Stability Reserve (MSR) began operating in 2019 with the purpose of</w:t>
      </w:r>
      <w:r>
        <w:t xml:space="preserve"> </w:t>
      </w:r>
      <w:r>
        <w:t xml:space="preserve">improving the stability and resilience of the carbon market by addressing the structural</w:t>
      </w:r>
      <w:r>
        <w:t xml:space="preserve"> </w:t>
      </w:r>
      <w:r>
        <w:t xml:space="preserve">imbalance between supply and demand of allowances.</w:t>
      </w:r>
      <w:r>
        <w:t xml:space="preserve"> </w:t>
      </w:r>
      <w:r>
        <w:t xml:space="preserve">• A share of auction revenues is allocated to the newly established Innovation Fund and</w:t>
      </w:r>
      <w:r>
        <w:t xml:space="preserve"> </w:t>
      </w:r>
      <w:r>
        <w:t xml:space="preserve">Modernisation Fund to support the deployment of innovative low-carbon technologies</w:t>
      </w:r>
      <w:r>
        <w:t xml:space="preserve"> </w:t>
      </w:r>
      <w:r>
        <w:t xml:space="preserve">and the modernisation of energy systems in lower-income Member States.</w:t>
      </w:r>
      <w:r>
        <w:t xml:space="preserve"> </w:t>
      </w:r>
      <w:r>
        <w:t xml:space="preserve">2.1.2.4</w:t>
      </w:r>
      <w:r>
        <w:t xml:space="preserve"> </w:t>
      </w:r>
      <w:r>
        <w:t xml:space="preserve">Inputs</w:t>
      </w:r>
      <w:r>
        <w:t xml:space="preserve"> </w:t>
      </w:r>
      <w:r>
        <w:t xml:space="preserve">The inputs identified as necessary for the policy intervention include:</w:t>
      </w:r>
      <w:r>
        <w:t xml:space="preserve"> </w:t>
      </w:r>
      <w:r>
        <w:t xml:space="preserve">• Modelling efforts to estimate the LRF level for the ETS cap as well as the key design</w:t>
      </w:r>
      <w:r>
        <w:t xml:space="preserve"> </w:t>
      </w:r>
      <w:r>
        <w:t xml:space="preserve">parameters for the operation of the MSR.</w:t>
      </w:r>
      <w:r>
        <w:t xml:space="preserve"> </w:t>
      </w:r>
      <w:r>
        <w:t xml:space="preserve">• Human and administrative resources dedicated to monitoring, management and</w:t>
      </w:r>
      <w:r>
        <w:t xml:space="preserve"> </w:t>
      </w:r>
      <w:r>
        <w:t xml:space="preserve">administration of the Innovation and Modernisation funds.</w:t>
      </w:r>
      <w:r>
        <w:t xml:space="preserve"> </w:t>
      </w:r>
      <w:r>
        <w:t xml:space="preserve">2.1.2.5</w:t>
      </w:r>
      <w:r>
        <w:t xml:space="preserve"> </w:t>
      </w:r>
      <w:r>
        <w:t xml:space="preserve">Output</w:t>
      </w:r>
      <w:r>
        <w:t xml:space="preserve"> </w:t>
      </w:r>
      <w:r>
        <w:t xml:space="preserve">The outputs as a direct consequence of policy intervention include: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• An increased pace of reduction in the annual volume of allowances issued, in line with</w:t>
      </w:r>
      <w:r>
        <w:t xml:space="preserve"> </w:t>
      </w:r>
      <w:r>
        <w:t xml:space="preserve">the increased LRF.</w:t>
      </w:r>
      <w:r>
        <w:t xml:space="preserve"> </w:t>
      </w:r>
      <w:r>
        <w:t xml:space="preserve">• A more balanced and resilient carbon market, with improved alignment between the</w:t>
      </w:r>
      <w:r>
        <w:t xml:space="preserve"> </w:t>
      </w:r>
      <w:r>
        <w:t xml:space="preserve">supply and demand of allowances through the functioning of the MSR.</w:t>
      </w:r>
      <w:r>
        <w:t xml:space="preserve"> </w:t>
      </w:r>
      <w:r>
        <w:t xml:space="preserve">• Increased financial support for the development and deployment of innovative low-</w:t>
      </w:r>
      <w:r>
        <w:t xml:space="preserve"> </w:t>
      </w:r>
      <w:r>
        <w:t xml:space="preserve">carbon technologies and projects, enabled by the Innovation Fund and the</w:t>
      </w:r>
      <w:r>
        <w:t xml:space="preserve"> </w:t>
      </w:r>
      <w:r>
        <w:t xml:space="preserve">Modernisation Fund.</w:t>
      </w:r>
      <w:r>
        <w:t xml:space="preserve"> </w:t>
      </w:r>
      <w:r>
        <w:t xml:space="preserve">2.1.2.6</w:t>
      </w:r>
      <w:r>
        <w:t xml:space="preserve"> </w:t>
      </w:r>
      <w:r>
        <w:t xml:space="preserve">Results</w:t>
      </w:r>
      <w:r>
        <w:t xml:space="preserve"> </w:t>
      </w:r>
      <w:r>
        <w:t xml:space="preserve">Following the outputs from the policy intervention it is expected that this will lead to the</w:t>
      </w:r>
      <w:r>
        <w:t xml:space="preserve"> </w:t>
      </w:r>
      <w:r>
        <w:t xml:space="preserve">following results:</w:t>
      </w:r>
      <w:r>
        <w:t xml:space="preserve"> </w:t>
      </w:r>
      <w:r>
        <w:t xml:space="preserve">• A sustained reduction in GHG emissions from sectors covered by the EU ETS.</w:t>
      </w:r>
      <w:r>
        <w:t xml:space="preserve"> </w:t>
      </w:r>
      <w:r>
        <w:t xml:space="preserve">• A more robust and predictable carbon price signal that encourages investments in low-</w:t>
      </w:r>
      <w:r>
        <w:t xml:space="preserve"> </w:t>
      </w:r>
      <w:r>
        <w:t xml:space="preserve">carbon technologies.</w:t>
      </w:r>
      <w:r>
        <w:t xml:space="preserve"> </w:t>
      </w:r>
      <w:r>
        <w:t xml:space="preserve">• Accelerated deployment of clean energy solutions and industrial innovation, supported</w:t>
      </w:r>
      <w:r>
        <w:t xml:space="preserve"> </w:t>
      </w:r>
      <w:r>
        <w:t xml:space="preserve">by targeted funding mechanisms, facilitated by the Innovation Fund.</w:t>
      </w:r>
      <w:r>
        <w:t xml:space="preserve"> </w:t>
      </w:r>
      <w:r>
        <w:t xml:space="preserve">• Enhanced economic and energy transition in less affluent EU regions, facilitated by the</w:t>
      </w:r>
      <w:r>
        <w:t xml:space="preserve"> </w:t>
      </w:r>
      <w:r>
        <w:t xml:space="preserve">Modernisation Fund.</w:t>
      </w:r>
      <w:r>
        <w:t xml:space="preserve"> </w:t>
      </w:r>
      <w:r>
        <w:t xml:space="preserve">2.1.2.7</w:t>
      </w:r>
      <w:r>
        <w:t xml:space="preserve"> </w:t>
      </w:r>
      <w:r>
        <w:t xml:space="preserve">Expected Impacts</w:t>
      </w:r>
      <w:r>
        <w:t xml:space="preserve"> </w:t>
      </w:r>
      <w:r>
        <w:t xml:space="preserve">Because of the results from the policy intervention, it is expected that the following impacts</w:t>
      </w:r>
      <w:r>
        <w:t xml:space="preserve"> </w:t>
      </w:r>
      <w:r>
        <w:t xml:space="preserve">will occur:</w:t>
      </w:r>
      <w:r>
        <w:t xml:space="preserve"> </w:t>
      </w:r>
      <w:r>
        <w:t xml:space="preserve">• Achievement of a 43% reduction in GHG emissions by 2030 in sectors covered by the</w:t>
      </w:r>
      <w:r>
        <w:t xml:space="preserve"> </w:t>
      </w:r>
      <w:r>
        <w:t xml:space="preserve">EU ETS, compared to 2005 levels.</w:t>
      </w:r>
      <w:r>
        <w:t xml:space="preserve"> </w:t>
      </w:r>
      <w:r>
        <w:t xml:space="preserve">• Significant contribution to the EU’s long-term climate objectives.</w:t>
      </w:r>
      <w:r>
        <w:t xml:space="preserve"> </w:t>
      </w:r>
      <w:r>
        <w:t xml:space="preserve">2.1.2.8</w:t>
      </w:r>
      <w:r>
        <w:t xml:space="preserve"> </w:t>
      </w:r>
      <w:r>
        <w:t xml:space="preserve">External factors</w:t>
      </w:r>
      <w:r>
        <w:t xml:space="preserve"> </w:t>
      </w:r>
      <w:r>
        <w:t xml:space="preserve">External factors that may impact the expected impact of the policy intervention include:</w:t>
      </w:r>
      <w:r>
        <w:t xml:space="preserve"> </w:t>
      </w:r>
      <w:r>
        <w:t xml:space="preserve">• Technological developments that can accelerate or delay the availability and cost-</w:t>
      </w:r>
      <w:r>
        <w:t xml:space="preserve"> </w:t>
      </w:r>
      <w:r>
        <w:t xml:space="preserve">effectiveness of low-carbon solutions.</w:t>
      </w:r>
      <w:r>
        <w:t xml:space="preserve"> </w:t>
      </w:r>
      <w:r>
        <w:t xml:space="preserve">• National climate and energy strategies implemented by Member States, which can</w:t>
      </w:r>
      <w:r>
        <w:t xml:space="preserve"> </w:t>
      </w:r>
      <w:r>
        <w:t xml:space="preserve">complement or interact with the EU ETS.</w:t>
      </w:r>
      <w:r>
        <w:t xml:space="preserve"> </w:t>
      </w:r>
      <w:r>
        <w:t xml:space="preserve">• Global energy trends, including fluctuations in energy prices, which may impact fuel</w:t>
      </w:r>
      <w:r>
        <w:t xml:space="preserve"> </w:t>
      </w:r>
      <w:r>
        <w:t xml:space="preserve">switching, investment decisions, and competitiveness.</w:t>
      </w:r>
      <w:r>
        <w:t xml:space="preserve"> </w:t>
      </w:r>
      <w:r>
        <w:t xml:space="preserve">• Political developments and overall stability in the EU and internationally.</w:t>
      </w:r>
      <w:r>
        <w:t xml:space="preserve"> </w:t>
      </w:r>
      <w:r>
        <w:t xml:space="preserve">• Complementary EU-level policies, such as the Effort Sharing Regulation (ESR),</w:t>
      </w:r>
      <w:r>
        <w:t xml:space="preserve"> </w:t>
      </w:r>
      <w:r>
        <w:t xml:space="preserve">Renewable Energy Directive (RED), and Energy Efficiency Directive (EED), which</w:t>
      </w:r>
      <w:r>
        <w:t xml:space="preserve"> </w:t>
      </w:r>
      <w:r>
        <w:t xml:space="preserve">jointly influence emissions reductions in the EU.</w:t>
      </w:r>
      <w:r>
        <w:t xml:space="preserve"> </w:t>
      </w:r>
      <w:r>
        <w:t xml:space="preserve">2.2</w:t>
      </w:r>
      <w:r>
        <w:t xml:space="preserve"> </w:t>
      </w:r>
      <w:r>
        <w:t xml:space="preserve">Market Stability Reserve</w:t>
      </w:r>
      <w:r>
        <w:t xml:space="preserve"> </w:t>
      </w:r>
      <w:r>
        <w:t xml:space="preserve">The Market Stability Reserve (MSR) was introduced at a period when the EU ETS was</w:t>
      </w:r>
      <w:r>
        <w:t xml:space="preserve"> </w:t>
      </w:r>
      <w:r>
        <w:t xml:space="preserve">considered to fall short of its potential to reduce emissions. With the economic crisis of 2010,</w:t>
      </w:r>
      <w:r>
        <w:t xml:space="preserve"> </w:t>
      </w:r>
      <w:r>
        <w:t xml:space="preserve">the inflow of offsets from the Clean Development Mechanism and the initially generous cap in</w:t>
      </w:r>
      <w:r>
        <w:t xml:space="preserve"> </w:t>
      </w:r>
      <w:r>
        <w:t xml:space="preserve">the ETS, cumulated allowance supply exceeded allowance demand. In consequence, EUA</w:t>
      </w:r>
      <w:r>
        <w:t xml:space="preserve"> </w:t>
      </w:r>
      <w:r>
        <w:t xml:space="preserve">prices lingered under 10 EUR until the reform in 2018. Much has changed since then. In recent</w:t>
      </w:r>
      <w:r>
        <w:t xml:space="preserve"> </w:t>
      </w:r>
      <w:r>
        <w:t xml:space="preserve">years, price levels have increased considerably and were approximatively 65 EUR per EUA</w:t>
      </w:r>
      <w:r>
        <w:t xml:space="preserve"> </w:t>
      </w:r>
      <w:r>
        <w:t xml:space="preserve">(ICAP Status Report 2025) on average over 2024, i.e. in ranges where the carbon price has an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actual effect on decarbonisation. Part of this success story is the MSR. However, it is difficult</w:t>
      </w:r>
      <w:r>
        <w:t xml:space="preserve"> </w:t>
      </w:r>
      <w:r>
        <w:t xml:space="preserve">to establish the direct impact of the MSR on the rise in ETS price compared to other reform</w:t>
      </w:r>
      <w:r>
        <w:t xml:space="preserve"> </w:t>
      </w:r>
      <w:r>
        <w:t xml:space="preserve">elements, in particular the strengthening of the cap. Therefore, this evaluation of the MSR aims</w:t>
      </w:r>
      <w:r>
        <w:t xml:space="preserve"> </w:t>
      </w:r>
      <w:r>
        <w:t xml:space="preserve">to disentangle, as much as the available data permits, the different effects of the MSR and its</w:t>
      </w:r>
      <w:r>
        <w:t xml:space="preserve"> </w:t>
      </w:r>
      <w:r>
        <w:t xml:space="preserve">consecutive reforms in the period 2013 to 2024.</w:t>
      </w:r>
      <w:r>
        <w:br/>
      </w:r>
      <w:r>
        <w:t xml:space="preserve">The evaluation of the MSR has at its centre the evaluation of effectiveness, i.e. if the instrument</w:t>
      </w:r>
      <w:r>
        <w:t xml:space="preserve"> </w:t>
      </w:r>
      <w:r>
        <w:t xml:space="preserve">has achieved its objectives as expected. The findings on effectiveness are complemented by an</w:t>
      </w:r>
      <w:r>
        <w:t xml:space="preserve"> </w:t>
      </w:r>
      <w:r>
        <w:t xml:space="preserve">analysis of the MSR’s efficiency, looking at the instrument’s costs and benefits, and coherence,</w:t>
      </w:r>
      <w:r>
        <w:t xml:space="preserve"> </w:t>
      </w:r>
      <w:r>
        <w:t xml:space="preserve">analysing how it interacted with other EU and Member State policies. The evaluation of</w:t>
      </w:r>
      <w:r>
        <w:t xml:space="preserve"> </w:t>
      </w:r>
      <w:r>
        <w:t xml:space="preserve">relevance and EU added value happen at the level of the overall EU ETS as the MSR is mainly</w:t>
      </w:r>
      <w:r>
        <w:t xml:space="preserve"> </w:t>
      </w:r>
      <w:r>
        <w:t xml:space="preserve">a design element of the EU ETS strengthening the system to enforce its place as cornerstone of</w:t>
      </w:r>
      <w:r>
        <w:t xml:space="preserve"> </w:t>
      </w:r>
      <w:r>
        <w:t xml:space="preserve">the EU’s climate policy.</w:t>
      </w:r>
      <w:r>
        <w:br/>
      </w:r>
      <w:r>
        <w:t xml:space="preserve">The purpose of the MSR evaluation is to provide a record of the developments of the past</w:t>
      </w:r>
      <w:r>
        <w:t xml:space="preserve"> </w:t>
      </w:r>
      <w:r>
        <w:t xml:space="preserve">twelve years and extract lessons learned for the future of the EU ETS, as well as for other</w:t>
      </w:r>
      <w:r>
        <w:t xml:space="preserve"> </w:t>
      </w:r>
      <w:r>
        <w:t xml:space="preserve">jurisdictions with ETSs that are considering introducing an instrument like the MSR.</w:t>
      </w:r>
      <w:r>
        <w:br/>
      </w:r>
      <w:r>
        <w:t xml:space="preserve">2.2.1 Point of comparison of the MSR</w:t>
      </w:r>
      <w:r>
        <w:br/>
      </w:r>
      <w:r>
        <w:t xml:space="preserve">The MSR has evolved through distinct policy reforms and been implemented in consecutive</w:t>
      </w:r>
      <w:r>
        <w:t xml:space="preserve"> </w:t>
      </w:r>
      <w:r>
        <w:t xml:space="preserve">steps that enhanced the mechanism over time until today. Concrete thinking around measures</w:t>
      </w:r>
      <w:r>
        <w:t xml:space="preserve"> </w:t>
      </w:r>
      <w:r>
        <w:t xml:space="preserve">to address the imbalance of cumulated supply and demand in the EU ETS evolved in 2013/14</w:t>
      </w:r>
      <w:r>
        <w:t xml:space="preserve"> </w:t>
      </w:r>
      <w:r>
        <w:t xml:space="preserve">with expert consultations and an Impact Assessment discussing potential options. This led a</w:t>
      </w:r>
      <w:r>
        <w:t xml:space="preserve"> </w:t>
      </w:r>
      <w:r>
        <w:t xml:space="preserve">year later to the adoption of the MSR. A comprehensive EU ETS reform in 2018 adjusted the</w:t>
      </w:r>
      <w:r>
        <w:t xml:space="preserve"> </w:t>
      </w:r>
      <w:r>
        <w:t xml:space="preserve">way the MSR was planned to work. The MSR then entered into force in 2019. In 2021, the</w:t>
      </w:r>
      <w:r>
        <w:t xml:space="preserve"> </w:t>
      </w:r>
      <w:r>
        <w:t xml:space="preserve">Commission conducted a review of the instrument. Insights from the review were used for a</w:t>
      </w:r>
      <w:r>
        <w:t xml:space="preserve"> </w:t>
      </w:r>
      <w:r>
        <w:t xml:space="preserve">new reform as part of the Fit for 55 package that was adopted in 2023. This section describes</w:t>
      </w:r>
      <w:r>
        <w:t xml:space="preserve"> </w:t>
      </w:r>
      <w:r>
        <w:t xml:space="preserve">the outcome of the 2014 Impact Assessment, the initially adopted MSR and its different</w:t>
      </w:r>
      <w:r>
        <w:t xml:space="preserve"> </w:t>
      </w:r>
      <w:r>
        <w:t xml:space="preserve">reforms. The first expert consultations on the MSR took place in October 2013 with an</w:t>
      </w:r>
      <w:r>
        <w:t xml:space="preserve"> </w:t>
      </w:r>
      <w:r>
        <w:t xml:space="preserve">announcement in January 2014 that the Commission proposes an MSR to be introduced at the</w:t>
      </w:r>
      <w:r>
        <w:t xml:space="preserve"> </w:t>
      </w:r>
      <w:r>
        <w:t xml:space="preserve">start of Phase IV in 2021 to address the supply-demand imbalance in the EU ETS (see EC</w:t>
      </w:r>
      <w:r>
        <w:t xml:space="preserve"> </w:t>
      </w:r>
      <w:r>
        <w:t xml:space="preserve">Memo/14/39).</w:t>
      </w:r>
      <w:r>
        <w:br/>
      </w:r>
      <w:r>
        <w:t xml:space="preserve">The Impact Assessment concluded that a structural measure that not only attends to the</w:t>
      </w:r>
      <w:r>
        <w:t xml:space="preserve"> </w:t>
      </w:r>
      <w:r>
        <w:t xml:space="preserve">historical surplus, but also to future demand-supply imbalances is necessary, as the TNAC was</w:t>
      </w:r>
      <w:r>
        <w:t xml:space="preserve"> </w:t>
      </w:r>
      <w:r>
        <w:t xml:space="preserve">expected to grow further over Phase III. Accordingly, Option 1 was concluded to be probably</w:t>
      </w:r>
      <w:r>
        <w:t xml:space="preserve"> </w:t>
      </w:r>
      <w:r>
        <w:t xml:space="preserve">insufficient. A combination of a permanent retirement and the introduction of an MSR together,</w:t>
      </w:r>
      <w:r>
        <w:t xml:space="preserve"> </w:t>
      </w:r>
      <w:r>
        <w:t xml:space="preserve">as proposed by Option 3, was deemed the adequate solution to address both the historical</w:t>
      </w:r>
      <w:r>
        <w:t xml:space="preserve"> </w:t>
      </w:r>
      <w:r>
        <w:t xml:space="preserve">surplus and future imbalances.</w:t>
      </w:r>
      <w:r>
        <w:br/>
      </w:r>
      <w:r>
        <w:t xml:space="preserve">2.2.1.1</w:t>
      </w:r>
      <w:r>
        <w:t xml:space="preserve"> </w:t>
      </w:r>
      <w:r>
        <w:t xml:space="preserve">Initial MSR</w:t>
      </w:r>
      <w:r>
        <w:br/>
      </w:r>
      <w:r>
        <w:t xml:space="preserve">The MSR was established by the MSR Decision (EU) 2015/1814 in 2015. The adopted version</w:t>
      </w:r>
      <w:r>
        <w:t xml:space="preserve"> </w:t>
      </w:r>
      <w:r>
        <w:t xml:space="preserve">was closest to Option 2d from the 2014 Impact Assessment, choosing an MSR start year of</w:t>
      </w:r>
      <w:r>
        <w:t xml:space="preserve"> </w:t>
      </w:r>
      <w:r>
        <w:t xml:space="preserve">2019, the middle ground between the two modelled sensitivities of 2017 and 2021. The MSR</w:t>
      </w:r>
      <w:r>
        <w:t xml:space="preserve"> </w:t>
      </w:r>
      <w:r>
        <w:t xml:space="preserve">Decision did not foresee the retirement of allowances, as proposed by the Impact Assessment.</w:t>
      </w:r>
      <w:r>
        <w:br/>
      </w:r>
      <w:r>
        <w:t xml:space="preserve">The adopted MSR Decision implemented some modifications on the exact MSR parameters.</w:t>
      </w:r>
      <w:r>
        <w:t xml:space="preserve"> </w:t>
      </w:r>
      <w:r>
        <w:t xml:space="preserve">The upper threshold decreased from 1,000 to 833 million allowances in circulation. The intake</w:t>
      </w:r>
      <w:r>
        <w:t xml:space="preserve"> </w:t>
      </w:r>
      <w:r>
        <w:t xml:space="preserve">rate was set at 12% which leaves the minimum intake at 100 million allowances, which was</w:t>
      </w:r>
      <w:r>
        <w:t xml:space="preserve"> </w:t>
      </w:r>
      <w:r>
        <w:t xml:space="preserve">equivalent to 10% at an upper threshold of 1,000 million allowances (Article 1 (5)). Release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rate and volume were set at the values of Option 2d from the Impact Assessment (Article 1</w:t>
      </w:r>
      <w:r>
        <w:t xml:space="preserve"> </w:t>
      </w:r>
      <w:r>
        <w:t xml:space="preserve">(6)).</w:t>
      </w:r>
      <w:r>
        <w:t xml:space="preserve"> </w:t>
      </w:r>
      <w:r>
        <w:t xml:space="preserve">2.2.1.2</w:t>
      </w:r>
      <w:r>
        <w:t xml:space="preserve"> </w:t>
      </w:r>
      <w:r>
        <w:t xml:space="preserve">2018 reform</w:t>
      </w:r>
      <w:r>
        <w:t xml:space="preserve"> </w:t>
      </w:r>
      <w:r>
        <w:t xml:space="preserve">Following co-decision, the ETS Directive and MSR Decision were amended in 2018</w:t>
      </w:r>
      <w:r>
        <w:t xml:space="preserve"> </w:t>
      </w:r>
      <w:r>
        <w:t xml:space="preserve">by Directive (EU) 2018/410. This first major revision of the MSR took place in the process of</w:t>
      </w:r>
      <w:r>
        <w:t xml:space="preserve"> </w:t>
      </w:r>
      <w:r>
        <w:t xml:space="preserve">setting the rules for Phase IV of the EU ETS. The reform enacted a doubling of the MSR intake</w:t>
      </w:r>
      <w:r>
        <w:t xml:space="preserve"> </w:t>
      </w:r>
      <w:r>
        <w:t xml:space="preserve">rate from 12% to 24% as well as the release volume from 100 to 200 million allowances for</w:t>
      </w:r>
      <w:r>
        <w:t xml:space="preserve"> </w:t>
      </w:r>
      <w:r>
        <w:t xml:space="preserve">the initial period of 2019 to 2023 (Article 2(1)) to increase the effectiveness of the mechanism</w:t>
      </w:r>
      <w:r>
        <w:t xml:space="preserve"> </w:t>
      </w:r>
      <w:r>
        <w:t xml:space="preserve">in its initial years.</w:t>
      </w:r>
      <w:r>
        <w:t xml:space="preserve"> </w:t>
      </w:r>
      <w:r>
        <w:t xml:space="preserve">The 2018 reform also introduced a mechanism to invalidate allowances stored in the MSR as</w:t>
      </w:r>
      <w:r>
        <w:t xml:space="preserve"> </w:t>
      </w:r>
      <w:r>
        <w:t xml:space="preserve">favoured in the 2014 Impact Assessment. Article 2(2) states that from 2023 allowances in the</w:t>
      </w:r>
      <w:r>
        <w:t xml:space="preserve"> </w:t>
      </w:r>
      <w:r>
        <w:t xml:space="preserve">MSR above a volume of the auction volume of the previous year will be retired. This provision</w:t>
      </w:r>
      <w:r>
        <w:t xml:space="preserve"> </w:t>
      </w:r>
      <w:r>
        <w:t xml:space="preserve">brought the implemented MSR closer to Option 3 from the Impact Assessment as it introduced</w:t>
      </w:r>
      <w:r>
        <w:t xml:space="preserve"> </w:t>
      </w:r>
      <w:r>
        <w:t xml:space="preserve">a permanent retirement of allowances (however, it differs substantially in terms of the volume</w:t>
      </w:r>
      <w:r>
        <w:t xml:space="preserve"> </w:t>
      </w:r>
      <w:r>
        <w:t xml:space="preserve">of retired allowances, as the invalidation mechanism applies not only to the 900 million</w:t>
      </w:r>
      <w:r>
        <w:t xml:space="preserve"> </w:t>
      </w:r>
      <w:r>
        <w:t xml:space="preserve">backloaded allowances, but to the entire volume held in the reserve, including unallocated</w:t>
      </w:r>
      <w:r>
        <w:t xml:space="preserve"> </w:t>
      </w:r>
      <w:r>
        <w:t xml:space="preserve">allowances and those absorbed by the MSR via the intake mechanism). The invalidation</w:t>
      </w:r>
      <w:r>
        <w:t xml:space="preserve"> </w:t>
      </w:r>
      <w:r>
        <w:t xml:space="preserve">mechanism was novel as it enacted an endogenous change to the allowance supply in the EU</w:t>
      </w:r>
      <w:r>
        <w:t xml:space="preserve"> </w:t>
      </w:r>
      <w:r>
        <w:t xml:space="preserve">ETS.</w:t>
      </w:r>
      <w:r>
        <w:t xml:space="preserve"> </w:t>
      </w:r>
      <w:r>
        <w:t xml:space="preserve">2.2.1.3</w:t>
      </w:r>
      <w:r>
        <w:t xml:space="preserve"> </w:t>
      </w:r>
      <w:r>
        <w:t xml:space="preserve">MSR Review 2021</w:t>
      </w:r>
      <w:r>
        <w:t xml:space="preserve"> </w:t>
      </w:r>
      <w:r>
        <w:t xml:space="preserve">The Commission conducted a review of the MSR in 2021 (SWD(2021) 601 final) including a</w:t>
      </w:r>
      <w:r>
        <w:t xml:space="preserve"> </w:t>
      </w:r>
      <w:r>
        <w:t xml:space="preserve">legal review of its effects until 2021 and an impact assessment of future design options. The</w:t>
      </w:r>
      <w:r>
        <w:t xml:space="preserve"> </w:t>
      </w:r>
      <w:r>
        <w:t xml:space="preserve">MSR Review is based on a 2021 Vivid Economics study.</w:t>
      </w:r>
      <w:r>
        <w:t xml:space="preserve"> </w:t>
      </w:r>
      <w:r>
        <w:t xml:space="preserve">The legal review assessed how the TNAC had developed over Phase III and what events and</w:t>
      </w:r>
      <w:r>
        <w:t xml:space="preserve"> </w:t>
      </w:r>
      <w:r>
        <w:t xml:space="preserve">shocks influences the balance of demand and supply in the EU ETS. It also reviewed the effect</w:t>
      </w:r>
      <w:r>
        <w:t xml:space="preserve"> </w:t>
      </w:r>
      <w:r>
        <w:t xml:space="preserve">of the MSR on EU ETS resilience as well as the competitiveness of firms regulated under the</w:t>
      </w:r>
      <w:r>
        <w:t xml:space="preserve"> </w:t>
      </w:r>
      <w:r>
        <w:t xml:space="preserve">EU ETS.</w:t>
      </w:r>
      <w:r>
        <w:br/>
      </w:r>
      <w:r>
        <w:t xml:space="preserve">The MSR Impact Assessment of 2021 assessed how the decreases in demand induced by the</w:t>
      </w:r>
      <w:r>
        <w:t xml:space="preserve"> </w:t>
      </w:r>
      <w:r>
        <w:t xml:space="preserve">phase-out of coal-fired power plants as well as the COVID-19 pandemic are addressed by the</w:t>
      </w:r>
      <w:r>
        <w:t xml:space="preserve"> </w:t>
      </w:r>
      <w:r>
        <w:t xml:space="preserve">MSR under different design options for its future refinement. It corrected all scenarios to reflect</w:t>
      </w:r>
      <w:r>
        <w:t xml:space="preserve"> </w:t>
      </w:r>
      <w:r>
        <w:t xml:space="preserve">net demand from aviation and linking with the Swiss ETS in the TNAC calculation.</w:t>
      </w:r>
      <w:r>
        <w:br/>
      </w:r>
      <w:r>
        <w:t xml:space="preserve">2.2.1.4</w:t>
      </w:r>
      <w:r>
        <w:t xml:space="preserve"> </w:t>
      </w:r>
      <w:r>
        <w:t xml:space="preserve">Fit for 55 reform</w:t>
      </w:r>
      <w:r>
        <w:br/>
      </w:r>
      <w:r>
        <w:t xml:space="preserve">The Fit-for-55 package, as adopted by Directive 2023/959, reformed the MSR in three ways:</w:t>
      </w:r>
      <w:r>
        <w:t xml:space="preserve"> </w:t>
      </w:r>
      <w:r>
        <w:t xml:space="preserve">First, the period for the application of the increased intake rate of 24% was extended to 2030</w:t>
      </w:r>
      <w:r>
        <w:t xml:space="preserve"> </w:t>
      </w:r>
      <w:r>
        <w:t xml:space="preserve">(Article 5) to boost MSR effectiveness beyond the introduction period.</w:t>
      </w:r>
      <w:r>
        <w:br/>
      </w:r>
      <w:r>
        <w:t xml:space="preserve">Second, a buffer zone for MSR intake was established to reduce threshold effects: For a TNAC</w:t>
      </w:r>
      <w:r>
        <w:t xml:space="preserve"> </w:t>
      </w:r>
      <w:r>
        <w:t xml:space="preserve">between 833 and 1096 million allowances, the MSR takes in the number of allowances</w:t>
      </w:r>
      <w:r>
        <w:t xml:space="preserve"> </w:t>
      </w:r>
      <w:r>
        <w:t xml:space="preserve">exceeding 833 million (Article 5). The buffer zone ensures a gradual increase in volume intake.</w:t>
      </w:r>
      <w:r>
        <w:t xml:space="preserve"> </w:t>
      </w:r>
      <w:r>
        <w:t xml:space="preserve">With the previous parameters, intake increased from zero for a TNAC slightly below the</w:t>
      </w:r>
      <w:r>
        <w:t xml:space="preserve"> </w:t>
      </w:r>
      <w:r>
        <w:t xml:space="preserve">threshold to approx. 200 million allowances (24% times, for example, 834 million allowances)</w:t>
      </w:r>
      <w:r>
        <w:t xml:space="preserve"> </w:t>
      </w:r>
      <w:r>
        <w:t xml:space="preserve">for a TNAC slightly above the threshold (here: 834 million allowances). Under the adjusted</w:t>
      </w:r>
      <w:r>
        <w:t xml:space="preserve"> </w:t>
      </w:r>
      <w:r>
        <w:t xml:space="preserve">rules, the intake at a TNAC of 834 million allowances is only one million allowances and from</w:t>
      </w:r>
      <w:r>
        <w:t xml:space="preserve"> </w:t>
      </w:r>
      <w:r>
        <w:t xml:space="preserve">there increases smoothly. At a TNAC of 1096 million allowances, the existing rule is again in</w:t>
      </w:r>
      <w:r>
        <w:t xml:space="preserve"> </w:t>
      </w:r>
      <w:r>
        <w:t xml:space="preserve">force.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Lastly, the invalidation mechanism has been reformed to invalidate all MSR holdings above</w:t>
      </w:r>
      <w:r>
        <w:t xml:space="preserve"> </w:t>
      </w:r>
      <w:r>
        <w:t xml:space="preserve">400 million EUAs from 2024 (Article 5a) to increase clarity and stringency of the allowance</w:t>
      </w:r>
      <w:r>
        <w:t xml:space="preserve"> </w:t>
      </w:r>
      <w:r>
        <w:t xml:space="preserve">retirement. The reform entered into force in 2024.</w:t>
      </w:r>
      <w:r>
        <w:t xml:space="preserve"> </w:t>
      </w:r>
      <w:r>
        <w:t xml:space="preserve">2.2.1.5</w:t>
      </w:r>
      <w:r>
        <w:t xml:space="preserve"> </w:t>
      </w:r>
      <w:r>
        <w:t xml:space="preserve">MSR point of comparison</w:t>
      </w:r>
      <w:r>
        <w:t xml:space="preserve"> </w:t>
      </w:r>
      <w:r>
        <w:t xml:space="preserve">Because of the number of reforms of the MSR, the baseline for evaluation is difficult to</w:t>
      </w:r>
      <w:r>
        <w:t xml:space="preserve"> </w:t>
      </w:r>
      <w:r>
        <w:t xml:space="preserve">determine. The years 2014 to 2017 can be compared to the assessment of Option 2d (with MSR</w:t>
      </w:r>
      <w:r>
        <w:t xml:space="preserve"> </w:t>
      </w:r>
      <w:r>
        <w:t xml:space="preserve">start in 2017 and 2021). With the reforms from 2018 and 2023, the MSR has considerably</w:t>
      </w:r>
      <w:r>
        <w:t xml:space="preserve"> </w:t>
      </w:r>
      <w:r>
        <w:t xml:space="preserve">changed.</w:t>
      </w:r>
      <w:r>
        <w:br/>
      </w:r>
      <w:r>
        <w:t xml:space="preserve">Similarly, the mechanism for permanent retirement envisioned in Option 3 of the 2014 Impact</w:t>
      </w:r>
      <w:r>
        <w:t xml:space="preserve"> </w:t>
      </w:r>
      <w:r>
        <w:t xml:space="preserve">Assessment differs largely from the one implemented in 2023 and further adjusted in 2024.</w:t>
      </w:r>
      <w:r>
        <w:t xml:space="preserve"> </w:t>
      </w:r>
      <w:r>
        <w:t xml:space="preserve">Option 3 consists of retiring 500 million allowances from the 900 million allowances</w:t>
      </w:r>
      <w:r>
        <w:t xml:space="preserve"> </w:t>
      </w:r>
      <w:r>
        <w:t xml:space="preserve">backloaded. That means that instead of returning 300 and 600 million allowances to the auction</w:t>
      </w:r>
      <w:r>
        <w:t xml:space="preserve"> </w:t>
      </w:r>
      <w:r>
        <w:t xml:space="preserve">volumes in 2019 and 2020, only 400 million EUA would have been released, and 500 million</w:t>
      </w:r>
      <w:r>
        <w:t xml:space="preserve"> </w:t>
      </w:r>
      <w:r>
        <w:t xml:space="preserve">EUAs are permanently retired. In contrast, the invalidation mechanism in place does not</w:t>
      </w:r>
      <w:r>
        <w:t xml:space="preserve"> </w:t>
      </w:r>
      <w:r>
        <w:t xml:space="preserve">establish a fixed number of EUAs that would be retired and in practice led to a higher volume</w:t>
      </w:r>
      <w:r>
        <w:t xml:space="preserve"> </w:t>
      </w:r>
      <w:r>
        <w:t xml:space="preserve">of invalidated allowances since it was implemented.</w:t>
      </w:r>
      <w:r>
        <w:t xml:space="preserve"> </w:t>
      </w:r>
      <w:r>
        <w:t xml:space="preserve">Therefore, it must be concluded that there is no appropriate point of comparison in the 2014</w:t>
      </w:r>
      <w:r>
        <w:t xml:space="preserve"> </w:t>
      </w:r>
      <w:r>
        <w:t xml:space="preserve">Impact Assessment for evaluating the MSR functioning in the years 2018 to 2024. Instead, the</w:t>
      </w:r>
      <w:r>
        <w:t xml:space="preserve"> </w:t>
      </w:r>
      <w:r>
        <w:t xml:space="preserve">evaluation will draw upon other existing analyses, particularly the MSR Review of 2021, as</w:t>
      </w:r>
      <w:r>
        <w:t xml:space="preserve"> </w:t>
      </w:r>
      <w:r>
        <w:t xml:space="preserve">points of comparison. From the 2021 MSR Review, the MSR0 scenario can serve as point of</w:t>
      </w:r>
      <w:r>
        <w:t xml:space="preserve"> </w:t>
      </w:r>
      <w:r>
        <w:t xml:space="preserve">comparison for the 2019 implemented MSR that is based on the 2018 reform. The MSR1</w:t>
      </w:r>
      <w:r>
        <w:t xml:space="preserve"> </w:t>
      </w:r>
      <w:r>
        <w:t xml:space="preserve">scenario comes closest to the Fit for 55 reform, although it does not depict a reform of the</w:t>
      </w:r>
      <w:r>
        <w:t xml:space="preserve"> </w:t>
      </w:r>
      <w:r>
        <w:t xml:space="preserve">invalidation mechanism or the introduction of the buffer zone. The reduced upper threshold in</w:t>
      </w:r>
      <w:r>
        <w:t xml:space="preserve"> </w:t>
      </w:r>
      <w:r>
        <w:t xml:space="preserve">this scenario is less problematic as it at least partially matches a downward adjustment of the</w:t>
      </w:r>
      <w:r>
        <w:t xml:space="preserve"> </w:t>
      </w:r>
      <w:r>
        <w:t xml:space="preserve">TNAC in the entire analysis.</w:t>
      </w:r>
      <w:r>
        <w:br/>
      </w:r>
      <w:r>
        <w:t xml:space="preserve">2.2.2 Description of the intervention and its objectives for the MSR</w:t>
      </w:r>
      <w:r>
        <w:t xml:space="preserve"> </w:t>
      </w:r>
      <w:r>
        <w:t xml:space="preserve">Figure 2 provides an overview of the intervention logic to justify the introduction of the Market</w:t>
      </w:r>
      <w:r>
        <w:t xml:space="preserve"> </w:t>
      </w:r>
      <w:r>
        <w:t xml:space="preserve">Stability Reserve. The extent to which the intervention delivered the expected outcomes will</w:t>
      </w:r>
      <w:r>
        <w:t xml:space="preserve"> </w:t>
      </w:r>
      <w:r>
        <w:t xml:space="preserve">be the subject of the evaluation. Each element of the intervention logic diagram below is further</w:t>
      </w:r>
      <w:r>
        <w:t xml:space="preserve"> </w:t>
      </w:r>
      <w:r>
        <w:t xml:space="preserve">discussed in the following subsections.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Figure 2: Intervention logic diagram (MSR)</w:t>
      </w:r>
    </w:p>
    <w:p>
      <w:pPr>
        <w:pStyle w:val="BodyText"/>
      </w:pPr>
      <w:r>
        <w:t xml:space="preserve">Source:</w:t>
      </w:r>
      <w:r>
        <w:br/>
      </w:r>
      <w:r>
        <w:t xml:space="preserve">Own illustration</w:t>
      </w:r>
      <w:r>
        <w:t xml:space="preserve"> </w:t>
      </w:r>
      <w:r>
        <w:t xml:space="preserve">2.2.2.1</w:t>
      </w:r>
      <w:r>
        <w:t xml:space="preserve"> </w:t>
      </w:r>
      <w:r>
        <w:t xml:space="preserve">Problem to address</w:t>
      </w:r>
      <w:r>
        <w:t xml:space="preserve"> </w:t>
      </w:r>
      <w:r>
        <w:t xml:space="preserve">The MSR was adopted to address the large surplus of allowances in the EU ETS prevalent in</w:t>
      </w:r>
      <w:r>
        <w:t xml:space="preserve"> </w:t>
      </w:r>
      <w:r>
        <w:t xml:space="preserve">Phase III. The problem arose in the context of the economic downturn following the crisis of</w:t>
      </w:r>
      <w:r>
        <w:t xml:space="preserve"> </w:t>
      </w:r>
      <w:r>
        <w:t xml:space="preserve">2010 which reduced the demand for allowances with demand being significantly below</w:t>
      </w:r>
      <w:r>
        <w:t xml:space="preserve"> </w:t>
      </w:r>
      <w:r>
        <w:t xml:space="preserve">allowance supply and the allowance surplus banked by market participants building up (EU</w:t>
      </w:r>
      <w:r>
        <w:t xml:space="preserve"> </w:t>
      </w:r>
      <w:r>
        <w:t xml:space="preserve">COM 2014, p.8ff.).</w:t>
      </w:r>
      <w:r>
        <w:br/>
      </w:r>
      <w:r>
        <w:t xml:space="preserve">As a result before the adoption of the MSR Decision in 2015, the EU ETS was perceived as</w:t>
      </w:r>
      <w:r>
        <w:t xml:space="preserve"> </w:t>
      </w:r>
      <w:r>
        <w:t xml:space="preserve">not adequately functioning with allowance prices too low to drive decarbonisation. Alongside</w:t>
      </w:r>
      <w:r>
        <w:t xml:space="preserve"> </w:t>
      </w:r>
      <w:r>
        <w:t xml:space="preserve">the low prices, confidence in the market and the instrument as such was low in the public</w:t>
      </w:r>
      <w:r>
        <w:t xml:space="preserve"> </w:t>
      </w:r>
      <w:r>
        <w:t xml:space="preserve">debate. The initial attempt to drive down the allowance surplus by backloading allowances had</w:t>
      </w:r>
      <w:r>
        <w:t xml:space="preserve"> </w:t>
      </w:r>
      <w:r>
        <w:t xml:space="preserve">not had a sufficient impact.</w:t>
      </w:r>
      <w:r>
        <w:t xml:space="preserve"> </w:t>
      </w:r>
      <w:r>
        <w:t xml:space="preserve">2.2.2.2</w:t>
      </w:r>
      <w:r>
        <w:t xml:space="preserve"> </w:t>
      </w:r>
      <w:r>
        <w:t xml:space="preserve">Objectives</w:t>
      </w:r>
      <w:r>
        <w:t xml:space="preserve"> </w:t>
      </w:r>
      <w:r>
        <w:t xml:space="preserve">The problem to address directly translates into the general objective of the MSR of ensuring</w:t>
      </w:r>
      <w:r>
        <w:t xml:space="preserve"> </w:t>
      </w:r>
      <w:r>
        <w:t xml:space="preserve">the orderly functioning of the EU ETS to achieve its climate objective of reducing GHG</w:t>
      </w:r>
      <w:r>
        <w:t xml:space="preserve"> </w:t>
      </w:r>
      <w:r>
        <w:t xml:space="preserve">emissions in a cost-effective and economically efficient manner. This points to two specific</w:t>
      </w:r>
      <w:r>
        <w:t xml:space="preserve"> </w:t>
      </w:r>
      <w:r>
        <w:t xml:space="preserve">objectives: To reduce the historical surplus and to increase resilience of the EU ETS to future</w:t>
      </w:r>
      <w:r>
        <w:t xml:space="preserve"> </w:t>
      </w:r>
      <w:r>
        <w:t xml:space="preserve">shocks and demand and supply imbalances.</w:t>
      </w:r>
      <w:r>
        <w:br/>
      </w:r>
      <w:r>
        <w:t xml:space="preserve">The first specific objective of reducing the excessive surplus that had structurally built up in</w:t>
      </w:r>
      <w:r>
        <w:t xml:space="preserve"> </w:t>
      </w:r>
      <w:r>
        <w:t xml:space="preserve">the years of the economic crisis and its aftermath can be operationalised as reducing the total</w:t>
      </w:r>
      <w:r>
        <w:t xml:space="preserve"> </w:t>
      </w:r>
      <w:r>
        <w:t xml:space="preserve">number of allowances in circulation (TNAC). The TNAC is the difference between the</w:t>
      </w:r>
      <w:r>
        <w:t xml:space="preserve"> </w:t>
      </w:r>
      <w:r>
        <w:t xml:space="preserve">cumulative supply of allowances since the beginning of the EU ETS reduced by the allowances</w:t>
      </w:r>
      <w:r>
        <w:t xml:space="preserve"> </w:t>
      </w:r>
      <w:r>
        <w:t xml:space="preserve">placed in the Market Stability Reserve and the cumulative number of allowances that left the</w:t>
      </w:r>
      <w:r>
        <w:t xml:space="preserve"> </w:t>
      </w:r>
      <w:r>
        <w:t xml:space="preserve">market because they were used to settle surrender obligations. The TNAC represents the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number of allowances held by market participants, both compliance entities and financial</w:t>
      </w:r>
      <w:r>
        <w:t xml:space="preserve"> </w:t>
      </w:r>
      <w:r>
        <w:t xml:space="preserve">actors.</w:t>
      </w:r>
      <w:r>
        <w:t xml:space="preserve"> </w:t>
      </w:r>
      <w:r>
        <w:t xml:space="preserve">The second specific objective of enhancing future resilience of the EU ETS market consists</w:t>
      </w:r>
      <w:r>
        <w:t xml:space="preserve"> </w:t>
      </w:r>
      <w:r>
        <w:t xml:space="preserve">of three parts. First, the MSR should prevent the build-up of future surpluses (from a 2014</w:t>
      </w:r>
      <w:r>
        <w:t xml:space="preserve"> </w:t>
      </w:r>
      <w:r>
        <w:t xml:space="preserve">perspective). In other words, the MSR should intervene at an early stage in case supply</w:t>
      </w:r>
      <w:r>
        <w:t xml:space="preserve"> </w:t>
      </w:r>
      <w:r>
        <w:t xml:space="preserve">significantly exceeds demand, for instance because of another economic crisis. Second, the</w:t>
      </w:r>
      <w:r>
        <w:t xml:space="preserve"> </w:t>
      </w:r>
      <w:r>
        <w:t xml:space="preserve">MSR should ensure market stability in reaction to shocks. Climate policy needs to function in</w:t>
      </w:r>
      <w:r>
        <w:t xml:space="preserve"> </w:t>
      </w:r>
      <w:r>
        <w:t xml:space="preserve">an environment of economic crises and other shocks. The objective of the MSR is to prevent</w:t>
      </w:r>
      <w:r>
        <w:t xml:space="preserve"> </w:t>
      </w:r>
      <w:r>
        <w:t xml:space="preserve">these shocks from having a destabilising effect on the EU ETS market. Third, the MSR should</w:t>
      </w:r>
      <w:r>
        <w:t xml:space="preserve"> </w:t>
      </w:r>
      <w:r>
        <w:t xml:space="preserve">increase the confidence in the EU ETS and strengthen long-term market expectations. This</w:t>
      </w:r>
      <w:r>
        <w:t xml:space="preserve"> </w:t>
      </w:r>
      <w:r>
        <w:t xml:space="preserve">objective is driven by the notion that by adopting the MSR the EU signals to the market and</w:t>
      </w:r>
      <w:r>
        <w:t xml:space="preserve"> </w:t>
      </w:r>
      <w:r>
        <w:t xml:space="preserve">the general public that it considers the EU ETS as a key instrument for driving decarbonisation</w:t>
      </w:r>
      <w:r>
        <w:t xml:space="preserve"> </w:t>
      </w:r>
      <w:r>
        <w:t xml:space="preserve">in the EU.</w:t>
      </w:r>
      <w:r>
        <w:t xml:space="preserve"> </w:t>
      </w:r>
      <w:r>
        <w:t xml:space="preserve">2.2.2.3</w:t>
      </w:r>
      <w:r>
        <w:t xml:space="preserve"> </w:t>
      </w:r>
      <w:r>
        <w:t xml:space="preserve">Inputs</w:t>
      </w:r>
      <w:r>
        <w:t xml:space="preserve"> </w:t>
      </w:r>
      <w:r>
        <w:t xml:space="preserve">Establishing the MSR and improving upon its design has required human and administrative</w:t>
      </w:r>
      <w:r>
        <w:t xml:space="preserve"> </w:t>
      </w:r>
      <w:r>
        <w:t xml:space="preserve">resources, e.g. for legal and economic analysis.</w:t>
      </w:r>
      <w:r>
        <w:t xml:space="preserve"> </w:t>
      </w:r>
      <w:r>
        <w:t xml:space="preserve">Operating the MSR requires human and administrative resources for monitoring, managing,</w:t>
      </w:r>
      <w:r>
        <w:t xml:space="preserve"> </w:t>
      </w:r>
      <w:r>
        <w:t xml:space="preserve">and administering the reserve. While it did not create additional data needs to calculate the</w:t>
      </w:r>
      <w:r>
        <w:t xml:space="preserve"> </w:t>
      </w:r>
      <w:r>
        <w:t xml:space="preserve">TNAC, and derive the MSR movements from it, a process for the annual communication of the</w:t>
      </w:r>
      <w:r>
        <w:t xml:space="preserve"> </w:t>
      </w:r>
      <w:r>
        <w:t xml:space="preserve">TNAC and the MSR intake needed to be established.</w:t>
      </w:r>
      <w:r>
        <w:br/>
      </w:r>
      <w:r>
        <w:t xml:space="preserve">2.2.2.4</w:t>
      </w:r>
      <w:r>
        <w:t xml:space="preserve"> </w:t>
      </w:r>
      <w:r>
        <w:t xml:space="preserve">Actions</w:t>
      </w:r>
      <w:r>
        <w:t xml:space="preserve"> </w:t>
      </w:r>
      <w:r>
        <w:t xml:space="preserve">The intervention relied on two types of actions. The first set of activities concerned the adoption</w:t>
      </w:r>
      <w:r>
        <w:t xml:space="preserve"> </w:t>
      </w:r>
      <w:r>
        <w:t xml:space="preserve">of the regulatory framework around the establishment and operation of the MSR. This included</w:t>
      </w:r>
      <w:r>
        <w:t xml:space="preserve"> </w:t>
      </w:r>
      <w:r>
        <w:t xml:space="preserve">the formal MSR decision as well as its subsequent amendments. The first amendment to the</w:t>
      </w:r>
      <w:r>
        <w:t xml:space="preserve"> </w:t>
      </w:r>
      <w:r>
        <w:t xml:space="preserve">MSR introduced a mechanism to invalidate allowances in the MSR as well as the temporary</w:t>
      </w:r>
      <w:r>
        <w:t xml:space="preserve"> </w:t>
      </w:r>
      <w:r>
        <w:t xml:space="preserve">increase of the intake rate of 24% instead of 12% from 2019 to 2023 in the 2018 reform of the</w:t>
      </w:r>
      <w:r>
        <w:t xml:space="preserve"> </w:t>
      </w:r>
      <w:r>
        <w:t xml:space="preserve">ETS Directive. The second amendment was part of the Fit for 55 package that reformed</w:t>
      </w:r>
      <w:r>
        <w:t xml:space="preserve"> </w:t>
      </w:r>
      <w:r>
        <w:t xml:space="preserve">fundamental MSR parameters (smoother intake rules for the buffer zone of a TNAC between</w:t>
      </w:r>
      <w:r>
        <w:t xml:space="preserve"> </w:t>
      </w:r>
      <w:r>
        <w:t xml:space="preserve">833 and 1096 million allowances and prolongation of the 24% intake rate until 2030) as well</w:t>
      </w:r>
      <w:r>
        <w:t xml:space="preserve"> </w:t>
      </w:r>
      <w:r>
        <w:t xml:space="preserve">as the invalidation threshold that capped the MSR volume at a fixed level of 400 million</w:t>
      </w:r>
      <w:r>
        <w:t xml:space="preserve"> </w:t>
      </w:r>
      <w:r>
        <w:t xml:space="preserve">allowances.</w:t>
      </w:r>
      <w:r>
        <w:t xml:space="preserve"> </w:t>
      </w:r>
      <w:r>
        <w:t xml:space="preserve">The second set of activities concerns the implementation of the MSR. It consists of the</w:t>
      </w:r>
      <w:r>
        <w:t xml:space="preserve"> </w:t>
      </w:r>
      <w:r>
        <w:t xml:space="preserve">calculation and annual publication of the TNAC and the corresponding MSR movements (i.e. </w:t>
      </w:r>
      <w:r>
        <w:t xml:space="preserve"> </w:t>
      </w:r>
      <w:r>
        <w:t xml:space="preserve">intakes, releases, or invalidations), if any. Based on this calculation, the actual implementation</w:t>
      </w:r>
      <w:r>
        <w:t xml:space="preserve"> </w:t>
      </w:r>
      <w:r>
        <w:t xml:space="preserve">of the MSR can take place that involves moving allowances from the auction volume of a year</w:t>
      </w:r>
      <w:r>
        <w:t xml:space="preserve"> </w:t>
      </w:r>
      <w:r>
        <w:t xml:space="preserve">to the MSR or vice versa, which would then have an impact on the auction volumes for the 12-</w:t>
      </w:r>
      <w:r>
        <w:t xml:space="preserve"> </w:t>
      </w:r>
      <w:r>
        <w:t xml:space="preserve">month period starting in September. It also involves invalidating allowances placed in the MSR</w:t>
      </w:r>
      <w:r>
        <w:t xml:space="preserve"> </w:t>
      </w:r>
      <w:r>
        <w:t xml:space="preserve">if its volume exceeds a certain threshold.</w:t>
      </w:r>
      <w:r>
        <w:t xml:space="preserve"> </w:t>
      </w:r>
      <w:r>
        <w:t xml:space="preserve">2.2.2.5</w:t>
      </w:r>
      <w:r>
        <w:t xml:space="preserve"> </w:t>
      </w:r>
      <w:r>
        <w:t xml:space="preserve">Output</w:t>
      </w:r>
      <w:r>
        <w:t xml:space="preserve"> </w:t>
      </w:r>
      <w:r>
        <w:t xml:space="preserve">An output of an intervention refers to direct outputs of the activities undertaken. In this sense,</w:t>
      </w:r>
      <w:r>
        <w:t xml:space="preserve"> </w:t>
      </w:r>
      <w:r>
        <w:t xml:space="preserve">the MSR has three outputs:</w:t>
      </w:r>
      <w:r>
        <w:br/>
      </w:r>
      <w:r>
        <w:t xml:space="preserve">• First, the volume of auctioned allowances in years of MSR intake are lower than in a</w:t>
      </w:r>
      <w:r>
        <w:t xml:space="preserve"> </w:t>
      </w:r>
      <w:r>
        <w:t xml:space="preserve">counterfactual scenario without the MSR. They are higher in years in which allowances</w:t>
      </w:r>
      <w:r>
        <w:t xml:space="preserve"> </w:t>
      </w:r>
      <w:r>
        <w:t xml:space="preserve">are released from the MSR.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• Second and accordingly, the MSR volume increases or decreases in response to intake</w:t>
      </w:r>
      <w:r>
        <w:t xml:space="preserve"> </w:t>
      </w:r>
      <w:r>
        <w:t xml:space="preserve">or release of allowances.</w:t>
      </w:r>
      <w:r>
        <w:br/>
      </w:r>
      <w:r>
        <w:t xml:space="preserve">• Third, the MSR volume is limited to the invalidation threshold in any given year.</w:t>
      </w:r>
      <w:r>
        <w:t xml:space="preserve"> </w:t>
      </w:r>
      <w:r>
        <w:t xml:space="preserve">2.2.2.6</w:t>
      </w:r>
      <w:r>
        <w:t xml:space="preserve"> </w:t>
      </w:r>
      <w:r>
        <w:t xml:space="preserve">Intended results and impacts</w:t>
      </w:r>
      <w:r>
        <w:t xml:space="preserve"> </w:t>
      </w:r>
      <w:r>
        <w:t xml:space="preserve">There are several intended results from this output.</w:t>
      </w:r>
      <w:r>
        <w:br/>
      </w:r>
      <w:r>
        <w:t xml:space="preserve">• Most importantly, the MSR should achieve a reduction of the historical surplus of</w:t>
      </w:r>
      <w:r>
        <w:t xml:space="preserve"> </w:t>
      </w:r>
      <w:r>
        <w:t xml:space="preserve">allowances.</w:t>
      </w:r>
      <w:r>
        <w:br/>
      </w:r>
      <w:r>
        <w:t xml:space="preserve">• In case of demand shocks, there would be only a limited build-up of a new surplus as</w:t>
      </w:r>
      <w:r>
        <w:t xml:space="preserve"> </w:t>
      </w:r>
      <w:r>
        <w:t xml:space="preserve">the MSR would automatically remove allowances from the auction volumes.</w:t>
      </w:r>
      <w:r>
        <w:br/>
      </w:r>
      <w:r>
        <w:t xml:space="preserve">• Overall, the market would be more stable and resilient in reaction to future demand</w:t>
      </w:r>
      <w:r>
        <w:t xml:space="preserve"> </w:t>
      </w:r>
      <w:r>
        <w:t xml:space="preserve">shocks and the overall confidence in the market would be strengthened.</w:t>
      </w:r>
      <w:r>
        <w:t xml:space="preserve"> </w:t>
      </w:r>
      <w:r>
        <w:t xml:space="preserve">2.2.2.7</w:t>
      </w:r>
      <w:r>
        <w:t xml:space="preserve"> </w:t>
      </w:r>
      <w:r>
        <w:t xml:space="preserve">Unintended results and impacts</w:t>
      </w:r>
      <w:r>
        <w:t xml:space="preserve"> </w:t>
      </w:r>
      <w:r>
        <w:t xml:space="preserve">The MSR potentially led to unintended results and impacts:</w:t>
      </w:r>
      <w:r>
        <w:br/>
      </w:r>
      <w:r>
        <w:t xml:space="preserve">• It increased the complexity of the functioning of the EU ETS, making assessments of</w:t>
      </w:r>
      <w:r>
        <w:t xml:space="preserve"> </w:t>
      </w:r>
      <w:r>
        <w:t xml:space="preserve">future developments regarding supply and demand of allowances as well as allowances</w:t>
      </w:r>
      <w:r>
        <w:t xml:space="preserve"> </w:t>
      </w:r>
      <w:r>
        <w:t xml:space="preserve">prices more challenging.</w:t>
      </w:r>
      <w:r>
        <w:br/>
      </w:r>
      <w:r>
        <w:t xml:space="preserve">• Similarly, it potentially increased the administrative costs for the EU Commission and</w:t>
      </w:r>
      <w:r>
        <w:t xml:space="preserve"> </w:t>
      </w:r>
      <w:r>
        <w:t xml:space="preserve">for EU ETS authorities in Member States.</w:t>
      </w:r>
      <w:r>
        <w:br/>
      </w:r>
      <w:r>
        <w:t xml:space="preserve">2.2.2.8</w:t>
      </w:r>
      <w:r>
        <w:t xml:space="preserve"> </w:t>
      </w:r>
      <w:r>
        <w:t xml:space="preserve">External factors</w:t>
      </w:r>
      <w:r>
        <w:t xml:space="preserve"> </w:t>
      </w:r>
      <w:r>
        <w:t xml:space="preserve">The main external factor relevant for the MSR is the occurrence of external demand shocks.</w:t>
      </w:r>
      <w:r>
        <w:t xml:space="preserve"> </w:t>
      </w:r>
      <w:r>
        <w:t xml:space="preserve">For the MSR evaluation, external demand shocks are assessed with a similar approach to</w:t>
      </w:r>
      <w:r>
        <w:t xml:space="preserve"> </w:t>
      </w:r>
      <w:r>
        <w:t xml:space="preserve">“intended” demand shocks induced by complementary EU or national policies like the phase-</w:t>
      </w:r>
      <w:r>
        <w:t xml:space="preserve"> </w:t>
      </w:r>
      <w:r>
        <w:t xml:space="preserve">out of coal-fired power plants or renewable energy support policies. This builds on a</w:t>
      </w:r>
      <w:r>
        <w:t xml:space="preserve"> </w:t>
      </w:r>
      <w:r>
        <w:t xml:space="preserve">categorisation developed in the 2021 MSR Impact Assessment and the underlying Commission</w:t>
      </w:r>
      <w:r>
        <w:t xml:space="preserve"> </w:t>
      </w:r>
      <w:r>
        <w:t xml:space="preserve">study.</w:t>
      </w:r>
      <w:r>
        <w:br/>
      </w:r>
      <w:r>
        <w:t xml:space="preserve">Like the COVID-19 pandemic in 2020/21, the energy price crisis induced by the Russian</w:t>
      </w:r>
      <w:r>
        <w:t xml:space="preserve"> </w:t>
      </w:r>
      <w:r>
        <w:t xml:space="preserve">invasion of Ukraine in February 2022 and reduced international trade activities in response to</w:t>
      </w:r>
      <w:r>
        <w:t xml:space="preserve"> </w:t>
      </w:r>
      <w:r>
        <w:t xml:space="preserve">a global economic downturn have had significant influence on industrial emissions and</w:t>
      </w:r>
      <w:r>
        <w:t xml:space="preserve"> </w:t>
      </w:r>
      <w:r>
        <w:t xml:space="preserve">electricity demand and in consequence on the demand for EU ETS allowances.</w:t>
      </w:r>
      <w:r>
        <w:t xml:space="preserve"> </w:t>
      </w:r>
      <w:r>
        <w:t xml:space="preserve">2.2.2.9</w:t>
      </w:r>
      <w:r>
        <w:t xml:space="preserve"> </w:t>
      </w:r>
      <w:r>
        <w:t xml:space="preserve">EU/national policies</w:t>
      </w:r>
      <w:r>
        <w:t xml:space="preserve"> </w:t>
      </w:r>
      <w:r>
        <w:t xml:space="preserve">The MSR works in the context of the broader EU climate policy. It is significantly influenced</w:t>
      </w:r>
      <w:r>
        <w:t xml:space="preserve"> </w:t>
      </w:r>
      <w:r>
        <w:t xml:space="preserve">by increased ambition, e.g. through the 55% reduction target until 2030 which translated into</w:t>
      </w:r>
      <w:r>
        <w:t xml:space="preserve"> </w:t>
      </w:r>
      <w:r>
        <w:t xml:space="preserve">a more stringent cap reduction in the EU ETS through an increased linear reduction factor. The</w:t>
      </w:r>
      <w:r>
        <w:t xml:space="preserve"> </w:t>
      </w:r>
      <w:r>
        <w:t xml:space="preserve">cap reform reduced the allowance supply and in consequence the TNAC that drives MSR</w:t>
      </w:r>
      <w:r>
        <w:t xml:space="preserve"> </w:t>
      </w:r>
      <w:r>
        <w:t xml:space="preserve">movements.</w:t>
      </w:r>
      <w:r>
        <w:br/>
      </w:r>
      <w:r>
        <w:t xml:space="preserve">The MSR is also impacted by other changes in the EU ETS design, especially changes</w:t>
      </w:r>
      <w:r>
        <w:t xml:space="preserve"> </w:t>
      </w:r>
      <w:r>
        <w:t xml:space="preserve">regarding the EU ETS scope. This includes the departure of the United Kingdom and its</w:t>
      </w:r>
      <w:r>
        <w:t xml:space="preserve"> </w:t>
      </w:r>
      <w:r>
        <w:t xml:space="preserve">installations, the scope expansion to include the maritime sector as of 2024 and the linking with</w:t>
      </w:r>
      <w:r>
        <w:t xml:space="preserve"> </w:t>
      </w:r>
      <w:r>
        <w:t xml:space="preserve">the Swiss ETS. These events influenced supply and demand of the allowances under the EU</w:t>
      </w:r>
      <w:r>
        <w:t xml:space="preserve"> </w:t>
      </w:r>
      <w:r>
        <w:t xml:space="preserve">ETS.</w:t>
      </w:r>
      <w:r>
        <w:t xml:space="preserve"> </w:t>
      </w:r>
      <w:r>
        <w:t xml:space="preserve">Complementary EU or national policies like the German coal phase-out or renewable energy</w:t>
      </w:r>
      <w:r>
        <w:t xml:space="preserve"> </w:t>
      </w:r>
      <w:r>
        <w:t xml:space="preserve">support policies caused another category of EUA demand shocks interacting with the MSR.</w:t>
      </w:r>
      <w:r>
        <w:t xml:space="preserve"> </w:t>
      </w:r>
      <w:r>
        <w:t xml:space="preserve">These effects are assessed in this evaluation.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To a limited extent, the MSR was also used as vehicle for releasing 27 million allowances to</w:t>
      </w:r>
      <w:r>
        <w:t xml:space="preserve"> </w:t>
      </w:r>
      <w:r>
        <w:t xml:space="preserve">the market to replenish the Innovation Fund to compensate for its contribution to financing the</w:t>
      </w:r>
      <w:r>
        <w:t xml:space="preserve"> </w:t>
      </w:r>
      <w:r>
        <w:t xml:space="preserve">REPowerEU amendment of the Recovery and Resilience Facility, potentially impacting the</w:t>
      </w:r>
      <w:r>
        <w:t xml:space="preserve"> </w:t>
      </w:r>
      <w:r>
        <w:t xml:space="preserve">intended results of the MSR.</w:t>
      </w:r>
      <w:r>
        <w:t xml:space="preserve"> </w:t>
      </w:r>
      <w:r>
        <w:t xml:space="preserve">3</w:t>
      </w:r>
      <w:r>
        <w:t xml:space="preserve"> </w:t>
      </w:r>
      <w:r>
        <w:t xml:space="preserve">HOW HAS THE SITUATION EVOLVED OVER THE EVALUATION PERIOD?</w:t>
      </w:r>
      <w:r>
        <w:t xml:space="preserve"> </w:t>
      </w:r>
      <w:r>
        <w:t xml:space="preserve">Following the 2018 review, the ambition of the ETS cap was enhanced further in a revision to</w:t>
      </w:r>
      <w:r>
        <w:t xml:space="preserve"> </w:t>
      </w:r>
      <w:r>
        <w:t xml:space="preserve">the ETS Directive in 2023 that increased the ETS reduction target to 62% below 2005 levels</w:t>
      </w:r>
      <w:r>
        <w:t xml:space="preserve"> </w:t>
      </w:r>
      <w:r>
        <w:t xml:space="preserve">and made free allocation in some circumstances conditional to additional efforts (i.e. </w:t>
      </w:r>
      <w:r>
        <w:t xml:space="preserve"> </w:t>
      </w:r>
      <w:r>
        <w:t xml:space="preserve">implementing energy audit recommendations or developing and implementing carbon</w:t>
      </w:r>
      <w:r>
        <w:t xml:space="preserve"> </w:t>
      </w:r>
      <w:r>
        <w:t xml:space="preserve">neutrality plans).15 Within this revision, the adoption of the Carbon Border Adjustment</w:t>
      </w:r>
      <w:r>
        <w:t xml:space="preserve"> </w:t>
      </w:r>
      <w:r>
        <w:t xml:space="preserve">Mechanism (CBAM) is taken into account by outlining the phase-out schedule of free</w:t>
      </w:r>
      <w:r>
        <w:t xml:space="preserve"> </w:t>
      </w:r>
      <w:r>
        <w:t xml:space="preserve">allocation for sectors covered by the CBAM (i.e. steel, cement, fertilisers, hydrogen and</w:t>
      </w:r>
      <w:r>
        <w:t xml:space="preserve"> </w:t>
      </w:r>
      <w:r>
        <w:t xml:space="preserve">aluminium) up until 2034. An accompanying targeted review of the MSR prolonged the 24%</w:t>
      </w:r>
      <w:r>
        <w:t xml:space="preserve"> </w:t>
      </w:r>
      <w:r>
        <w:t xml:space="preserve">intake rate until 2030 and included the fine-tuning of certain elements of the mechanism,</w:t>
      </w:r>
      <w:r>
        <w:t xml:space="preserve"> </w:t>
      </w:r>
      <w:r>
        <w:t xml:space="preserve">amongst which introducing a buffer mechanism for intakes, to address potential threshold</w:t>
      </w:r>
      <w:r>
        <w:t xml:space="preserve"> </w:t>
      </w:r>
      <w:r>
        <w:t xml:space="preserve">effects when TNAC is close to the upper threshold.</w:t>
      </w:r>
      <w:r>
        <w:t xml:space="preserve"> </w:t>
      </w:r>
      <w:r>
        <w:t xml:space="preserve">4</w:t>
      </w:r>
      <w:r>
        <w:t xml:space="preserve"> </w:t>
      </w:r>
      <w:r>
        <w:t xml:space="preserve">EVALUATION FINDINGS (ANALYTICAL PART)</w:t>
      </w:r>
      <w:r>
        <w:t xml:space="preserve"> </w:t>
      </w:r>
      <w:r>
        <w:t xml:space="preserve">4.1</w:t>
      </w:r>
      <w:r>
        <w:t xml:space="preserve"> </w:t>
      </w:r>
      <w:r>
        <w:t xml:space="preserve">To what extent was the intervention successful and why?</w:t>
      </w:r>
      <w:r>
        <w:br/>
      </w:r>
      <w:r>
        <w:t xml:space="preserve">4.1.1 EU ETS</w:t>
      </w:r>
      <w:r>
        <w:br/>
      </w:r>
      <w:r>
        <w:t xml:space="preserve">4.1.1.1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effectiveness of the EU ETS in achieving its objectives is evaluated based on the following</w:t>
      </w:r>
      <w:r>
        <w:t xml:space="preserve"> </w:t>
      </w:r>
      <w:r>
        <w:t xml:space="preserve">questions examined under points 4.1.1.1.1 to 4.1.1.1.6.</w:t>
      </w:r>
      <w:r>
        <w:br/>
      </w:r>
      <w:r>
        <w:t xml:space="preserve">4.1.1.1.1 What were the overall emissions reductions associated with the EU</w:t>
      </w:r>
      <w:r>
        <w:t xml:space="preserve"> </w:t>
      </w:r>
      <w:r>
        <w:t xml:space="preserve">ETS sectors?</w:t>
      </w:r>
      <w:r>
        <w:t xml:space="preserve"> </w:t>
      </w:r>
      <w:r>
        <w:t xml:space="preserve">Since its inception in 2005, emissions from stationary installations, including both power and</w:t>
      </w:r>
      <w:r>
        <w:t xml:space="preserve"> </w:t>
      </w:r>
      <w:r>
        <w:t xml:space="preserve">industrial facilities, have decreased by around 50% in 2024 (see Figure 3). Between 2018 and</w:t>
      </w:r>
      <w:r>
        <w:t xml:space="preserve"> </w:t>
      </w:r>
      <w:r>
        <w:t xml:space="preserve">2023, emissions from regulated entities under the EU ETS (covering combustion plants,</w:t>
      </w:r>
      <w:r>
        <w:t xml:space="preserve"> </w:t>
      </w:r>
      <w:r>
        <w:t xml:space="preserve">industry, and aviation) dropped substantially, with most of the reduction driven by the power</w:t>
      </w:r>
      <w:r>
        <w:t xml:space="preserve"> </w:t>
      </w:r>
      <w:r>
        <w:t xml:space="preserve">sector. According to the European Environment Agency (EEA)16, emissions from stationary</w:t>
      </w:r>
      <w:r>
        <w:t xml:space="preserve"> </w:t>
      </w:r>
      <w:r>
        <w:t xml:space="preserve">installations (thus excluding aviation) fell by 16.7% in 2023 compared to 2022, which</w:t>
      </w:r>
      <w:r>
        <w:t xml:space="preserve"> </w:t>
      </w:r>
      <w:r>
        <w:t xml:space="preserve">represents the largest annual emissions reduction in the scheme’s history.</w:t>
      </w:r>
      <w:r>
        <w:br/>
      </w:r>
      <w:r>
        <w:t xml:space="preserve">Focusing only on energy-intensive industries (i.e. stationary installations excluding</w:t>
      </w:r>
      <w:r>
        <w:t xml:space="preserve"> </w:t>
      </w:r>
      <w:r>
        <w:t xml:space="preserve">combustion), emissions fell by 17.1% between 2005 and 2024. At the same time, the EEA</w:t>
      </w:r>
      <w:r>
        <w:t xml:space="preserve"> </w:t>
      </w:r>
      <w:r>
        <w:t xml:space="preserve">found that the combined GVA of energy-intensive industries remained broadly stable while</w:t>
      </w:r>
      <w:r>
        <w:t xml:space="preserve"> </w:t>
      </w:r>
      <w:r>
        <w:t xml:space="preserve">emissions fell, indicating a positive decoupling from economic activity within the sectors.17</w:t>
      </w:r>
    </w:p>
    <w:p>
      <w:pPr>
        <w:pStyle w:val="BodyText"/>
      </w:pPr>
      <w:r>
        <w:t xml:space="preserve">15 Directive - 2023/959 - EN - EUR-Lex</w:t>
      </w:r>
      <w:r>
        <w:t xml:space="preserve"> </w:t>
      </w:r>
      <w:r>
        <w:t xml:space="preserve">16 EEA</w:t>
      </w:r>
      <w:r>
        <w:t xml:space="preserve"> </w:t>
      </w:r>
      <w:r>
        <w:t xml:space="preserve">Greenhouse</w:t>
      </w:r>
      <w:r>
        <w:t xml:space="preserve"> </w:t>
      </w:r>
      <w:r>
        <w:t xml:space="preserve">gas</w:t>
      </w:r>
      <w:r>
        <w:t xml:space="preserve"> </w:t>
      </w:r>
      <w:r>
        <w:t xml:space="preserve">emissions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Emissions</w:t>
      </w:r>
      <w:r>
        <w:t xml:space="preserve"> </w:t>
      </w:r>
      <w:r>
        <w:t xml:space="preserve">Trading</w:t>
      </w:r>
      <w:r>
        <w:t xml:space="preserve"> </w:t>
      </w:r>
      <w:r>
        <w:t xml:space="preserve">System,</w:t>
      </w:r>
      <w:r>
        <w:t xml:space="preserve"> </w:t>
      </w:r>
      <w:r>
        <w:t xml:space="preserve">https://www.eea.europa.eu/en/analysis/indicators/greenhouse-gas-emissions-under-the</w:t>
      </w:r>
      <w:r>
        <w:t xml:space="preserve"> </w:t>
      </w:r>
      <w:r>
        <w:t xml:space="preserve">17 EEA Briefing 01/2026: Zero-pollution, decarbonisation, and circular economy in energy-intensive industries,</w:t>
      </w:r>
      <w:r>
        <w:t xml:space="preserve"> </w:t>
      </w:r>
      <w:r>
        <w:t xml:space="preserve">ISBN: 978-92-9480-753-3 - ISSN: 2467-3196 - Doi: 10.2800/4884883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Figure 3: Comparison of the development of total EU-27 emissions within the EU ETS,</w:t>
      </w:r>
      <w:r>
        <w:t xml:space="preserve"> </w:t>
      </w:r>
      <w:r>
        <w:t xml:space="preserve">disaggregated by activity</w:t>
      </w:r>
    </w:p>
    <w:p>
      <w:pPr>
        <w:pStyle w:val="BodyText"/>
      </w:pPr>
      <w:r>
        <w:t xml:space="preserve">Source: Own illustration based on information from EU Emissions Trading System (ETS) data viewer (EEA)</w:t>
      </w:r>
      <w:r>
        <w:br/>
      </w:r>
      <w:r>
        <w:t xml:space="preserve">The power sector has thus been the primary contributor to decarbonisation. This reflects the</w:t>
      </w:r>
      <w:r>
        <w:t xml:space="preserve"> </w:t>
      </w:r>
      <w:r>
        <w:t xml:space="preserve">fact that free allocation for the power sector has largely been phased out since 2013. Therefore,</w:t>
      </w:r>
      <w:r>
        <w:t xml:space="preserve"> </w:t>
      </w:r>
      <w:r>
        <w:t xml:space="preserve">the carbon price is fully transmitted to the wholesale electricity price. For example, when the</w:t>
      </w:r>
      <w:r>
        <w:t xml:space="preserve"> </w:t>
      </w:r>
      <w:r>
        <w:t xml:space="preserve">marginal producer setting the market price is a fossil fuel power plant, it is expected that the</w:t>
      </w:r>
      <w:r>
        <w:t xml:space="preserve"> </w:t>
      </w:r>
      <w:r>
        <w:t xml:space="preserve">market price also includes the carbon cost of that fuel.18 Evidence of the full cost pass-through</w:t>
      </w:r>
      <w:r>
        <w:t xml:space="preserve"> </w:t>
      </w:r>
      <w:r>
        <w:t xml:space="preserve">of carbon prices to wholesale power prices in Belgium, Germany, Italy, the Netherlands,</w:t>
      </w:r>
      <w:r>
        <w:t xml:space="preserve"> </w:t>
      </w:r>
      <w:r>
        <w:t xml:space="preserve">Scandinavia and the United Kingdom for the period 2008-18 has recently been provided in a</w:t>
      </w:r>
      <w:r>
        <w:t xml:space="preserve"> </w:t>
      </w:r>
      <w:r>
        <w:t xml:space="preserve">study by Bai and Okullo (2023).19</w:t>
      </w:r>
      <w:r>
        <w:br/>
      </w:r>
      <w:r>
        <w:t xml:space="preserve">The power sector has witnessed a sharper decrease in emissions since the start of the EU ETS.</w:t>
      </w:r>
      <w:r>
        <w:t xml:space="preserve"> </w:t>
      </w:r>
      <w:r>
        <w:t xml:space="preserve">The increase between 2020 and 2022 was initially most likely due to the rebound effect</w:t>
      </w:r>
      <w:r>
        <w:t xml:space="preserve"> </w:t>
      </w:r>
      <w:r>
        <w:t xml:space="preserve">following the COVID-19 crisis, but it also reflected the impact of the energy crisis following</w:t>
      </w:r>
      <w:r>
        <w:t xml:space="preserve"> </w:t>
      </w:r>
      <w:r>
        <w:t xml:space="preserve">Russia’s illegal invasion of Ukraine (refer to Section 4.1.1.1.2).</w:t>
      </w:r>
      <w:r>
        <w:br/>
      </w:r>
      <w:r>
        <w:t xml:space="preserve">The overall trend of declining emissions in the EU power sector demonstrates the transition to</w:t>
      </w:r>
      <w:r>
        <w:t xml:space="preserve"> </w:t>
      </w:r>
      <w:r>
        <w:t xml:space="preserve">clean power, which according to Ember20 reached a tipping point in 2025 with wind and solar</w:t>
      </w:r>
    </w:p>
    <w:p>
      <w:pPr>
        <w:pStyle w:val="BodyText"/>
      </w:pPr>
      <w:r>
        <w:t xml:space="preserve">18 European Commission, 2025. “Trends in carbon intensity and the macroeconomic role of the EU Emissions</w:t>
      </w:r>
      <w:r>
        <w:t xml:space="preserve"> </w:t>
      </w:r>
      <w:r>
        <w:t xml:space="preserve">Trading System - Economy and Finance”, https://economy-finance.ec.europa.eu/trends-carbon-intensity-</w:t>
      </w:r>
      <w:r>
        <w:t xml:space="preserve"> </w:t>
      </w:r>
      <w:r>
        <w:t xml:space="preserve">and-macroeconomic-role-eu-emissions-trading-system_en</w:t>
      </w:r>
      <w:r>
        <w:t xml:space="preserve"> </w:t>
      </w:r>
      <w:r>
        <w:t xml:space="preserve">19 Bai, Yiyi &amp; Okullo, Samuel J., 2023.</w:t>
      </w:r>
      <w:r>
        <w:t xml:space="preserve"> </w:t>
      </w:r>
      <w:r>
        <w:t xml:space="preserve">“Drivers and pass-through of the EU ETS price: Evidence from the</w:t>
      </w:r>
      <w:r>
        <w:t xml:space="preserve"> </w:t>
      </w:r>
      <w:r>
        <w:t xml:space="preserve">power sector,”</w:t>
      </w:r>
      <w:r>
        <w:t xml:space="preserve"> </w:t>
      </w:r>
      <w:r>
        <w:t xml:space="preserve">Energy Economics, Elsevier, vol. 123(C).</w:t>
      </w:r>
      <w:r>
        <w:t xml:space="preserve"> </w:t>
      </w:r>
      <w:r>
        <w:t xml:space="preserve">20 Ember</w:t>
      </w:r>
      <w:r>
        <w:t xml:space="preserve"> </w:t>
      </w:r>
      <w:r>
        <w:t xml:space="preserve">Report,</w:t>
      </w:r>
      <w:r>
        <w:t xml:space="preserve"> </w:t>
      </w:r>
      <w:r>
        <w:t xml:space="preserve">2026.</w:t>
      </w:r>
      <w:r>
        <w:t xml:space="preserve"> </w:t>
      </w:r>
      <w:r>
        <w:t xml:space="preserve">“European</w:t>
      </w:r>
      <w:r>
        <w:t xml:space="preserve"> </w:t>
      </w:r>
      <w:r>
        <w:t xml:space="preserve">Electricity</w:t>
      </w:r>
      <w:r>
        <w:t xml:space="preserve"> </w:t>
      </w:r>
      <w:r>
        <w:t xml:space="preserve">Review”,</w:t>
      </w:r>
      <w:r>
        <w:t xml:space="preserve"> </w:t>
      </w:r>
      <w:r>
        <w:t xml:space="preserve">https://ember-</w:t>
      </w:r>
      <w:r>
        <w:t xml:space="preserve"> </w:t>
      </w:r>
      <w:r>
        <w:t xml:space="preserve">energy.org/app/uploads/2026/01/EMBER-Report-European-Electricity-Review-2026.pdf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power generating more electricity than fossil sources for the first time. Indeed, wind and solar</w:t>
      </w:r>
      <w:r>
        <w:t xml:space="preserve"> </w:t>
      </w:r>
      <w:r>
        <w:t xml:space="preserve">accounted for 30.1% of EU electricity in 2025 (841 TWh), whereas all the fossil power sources</w:t>
      </w:r>
      <w:r>
        <w:t xml:space="preserve"> </w:t>
      </w:r>
      <w:r>
        <w:t xml:space="preserve">in the EU accounted for 29% (809 TWh). Between 2020 and 2025 the share of EU power from</w:t>
      </w:r>
      <w:r>
        <w:t xml:space="preserve"> </w:t>
      </w:r>
      <w:r>
        <w:t xml:space="preserve">wind and solar has increased by more than 10 percentage points and this is in stark contrast to</w:t>
      </w:r>
      <w:r>
        <w:t xml:space="preserve"> </w:t>
      </w:r>
      <w:r>
        <w:t xml:space="preserve">electricity generation from fossil fuels, which has declined by almost 8 percentage points over</w:t>
      </w:r>
      <w:r>
        <w:t xml:space="preserve"> </w:t>
      </w:r>
      <w:r>
        <w:t xml:space="preserve">the same period.21</w:t>
      </w:r>
      <w:r>
        <w:br/>
      </w:r>
      <w:r>
        <w:t xml:space="preserve">Emissions reduction from industry (excluding combustion) was mainly driven by the following</w:t>
      </w:r>
      <w:r>
        <w:t xml:space="preserve"> </w:t>
      </w:r>
      <w:r>
        <w:t xml:space="preserve">sectors: production of steel (including activities preliminary to steel production, namely metal</w:t>
      </w:r>
      <w:r>
        <w:t xml:space="preserve"> </w:t>
      </w:r>
      <w:r>
        <w:t xml:space="preserve">ore roasting or sintering, production of ferrous metals, production of coke); production of</w:t>
      </w:r>
      <w:r>
        <w:t xml:space="preserve"> </w:t>
      </w:r>
      <w:r>
        <w:t xml:space="preserve">cement clicker; refining of mineral oil. The more recent decline in industrial emissions is</w:t>
      </w:r>
      <w:r>
        <w:t xml:space="preserve"> </w:t>
      </w:r>
      <w:r>
        <w:t xml:space="preserve">primarily due to lower levels of activity (see also Section 8.3.4) but also reflects, to a lesser</w:t>
      </w:r>
      <w:r>
        <w:t xml:space="preserve"> </w:t>
      </w:r>
      <w:r>
        <w:t xml:space="preserve">extent, improvements in the performance of installations in terms of their specific emissions.</w:t>
      </w:r>
      <w:r>
        <w:t xml:space="preserve"> </w:t>
      </w:r>
      <w:r>
        <w:t xml:space="preserve">Figure 4: Development of total EU-27 emissions within the EU ETS, breakdown of all stationary</w:t>
      </w:r>
      <w:r>
        <w:t xml:space="preserve"> </w:t>
      </w:r>
      <w:r>
        <w:t xml:space="preserve">installations (excl. combustion), by most emitting activities</w:t>
      </w:r>
    </w:p>
    <w:p>
      <w:pPr>
        <w:pStyle w:val="BodyText"/>
      </w:pPr>
      <w:r>
        <w:t xml:space="preserve">Source: Own illustration based on information from EU Emissions Trading System (ETS) data viewer | Maps and</w:t>
      </w:r>
      <w:r>
        <w:t xml:space="preserve"> </w:t>
      </w:r>
      <w:r>
        <w:t xml:space="preserve">charts | European Environment Agency (EEA)</w:t>
      </w:r>
      <w:r>
        <w:br/>
      </w:r>
      <w:r>
        <w:t xml:space="preserve">Feedback from the Open Public Consultation strengthens the validity of the findings. A clear</w:t>
      </w:r>
      <w:r>
        <w:t xml:space="preserve"> </w:t>
      </w:r>
      <w:r>
        <w:t xml:space="preserve">majority of respondents judged the EU ETS to be delivering on its main objective of reducing</w:t>
      </w:r>
      <w:r>
        <w:t xml:space="preserve"> </w:t>
      </w:r>
      <w:r>
        <w:t xml:space="preserve">GHG emissions. About half of the respondents22 considered it moderately effective, nearly one-</w:t>
      </w:r>
      <w:r>
        <w:t xml:space="preserve"> </w:t>
      </w:r>
      <w:r>
        <w:t xml:space="preserve">fifth very effective, while only a small share viewed it as ineffective.</w:t>
      </w:r>
    </w:p>
    <w:p>
      <w:pPr>
        <w:pStyle w:val="BodyText"/>
      </w:pPr>
      <w:r>
        <w:t xml:space="preserve">21 Ibid</w:t>
      </w:r>
      <w:r>
        <w:t xml:space="preserve"> </w:t>
      </w:r>
      <w:r>
        <w:t xml:space="preserve">22 Question: “How effective do you think the ETS Directive has been in achieving its objective to reduce</w:t>
      </w:r>
      <w:r>
        <w:t xml:space="preserve"> </w:t>
      </w:r>
      <w:r>
        <w:t xml:space="preserve">greenhouse gas emissions?”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4.1.1.1.2 To which extent can the emissions reductions (if observed) be</w:t>
      </w:r>
      <w:r>
        <w:t xml:space="preserve"> </w:t>
      </w:r>
      <w:r>
        <w:t xml:space="preserve">attributed to the application of the Directive?</w:t>
      </w:r>
      <w:r>
        <w:t xml:space="preserve"> </w:t>
      </w:r>
      <w:r>
        <w:t xml:space="preserve">In an ideal situation, we would expect to see the following if the application of the Directive</w:t>
      </w:r>
      <w:r>
        <w:t xml:space="preserve"> </w:t>
      </w:r>
      <w:r>
        <w:t xml:space="preserve">was effectively reducing emissions aligned with the cap trajectory.</w:t>
      </w:r>
      <w:r>
        <w:br/>
      </w:r>
      <w:r>
        <w:t xml:space="preserve">• Emissions from ETS sectors would reduce</w:t>
      </w:r>
      <w:r>
        <w:br/>
      </w:r>
      <w:r>
        <w:t xml:space="preserve">• Activity levels from ETS sectors would decouple from emissions</w:t>
      </w:r>
      <w:r>
        <w:br/>
      </w:r>
      <w:r>
        <w:t xml:space="preserve">Such a decoupling of activity from emissions would be a clear indication of the effectiveness</w:t>
      </w:r>
      <w:r>
        <w:t xml:space="preserve"> </w:t>
      </w:r>
      <w:r>
        <w:t xml:space="preserve">of the Directive. While we have observed emission reductions this has, however, not been</w:t>
      </w:r>
      <w:r>
        <w:t xml:space="preserve"> </w:t>
      </w:r>
      <w:r>
        <w:t xml:space="preserve">accompanied by increased levels of activity in recent years (refer to Section 8.3.4.1). It is</w:t>
      </w:r>
      <w:r>
        <w:t xml:space="preserve"> </w:t>
      </w:r>
      <w:r>
        <w:t xml:space="preserve">therefore necessary to try and understand the role of the carbon price signal in influencing the</w:t>
      </w:r>
      <w:r>
        <w:t xml:space="preserve"> </w:t>
      </w:r>
      <w:r>
        <w:t xml:space="preserve">lower levels of activity as opposed to external factors beyond carbon pricing.</w:t>
      </w:r>
      <w:r>
        <w:t xml:space="preserve"> </w:t>
      </w:r>
      <w:r>
        <w:t xml:space="preserve">The starting point for any evaluation into the extent to which the emission reductions observed</w:t>
      </w:r>
      <w:r>
        <w:t xml:space="preserve"> </w:t>
      </w:r>
      <w:r>
        <w:t xml:space="preserve">in the previous section can be attributed to the application of the Directive should involve an</w:t>
      </w:r>
      <w:r>
        <w:t xml:space="preserve"> </w:t>
      </w:r>
      <w:r>
        <w:t xml:space="preserve">initial assessment of the relative exposure of each of the ETS covered sectors to the carbon</w:t>
      </w:r>
      <w:r>
        <w:t xml:space="preserve"> </w:t>
      </w:r>
      <w:r>
        <w:t xml:space="preserve">price signal.</w:t>
      </w:r>
      <w:r>
        <w:br/>
      </w:r>
      <w:r>
        <w:t xml:space="preserve">Relative exposure of each of the ETS covered sectors to the carbon price signal</w:t>
      </w:r>
      <w:r>
        <w:t xml:space="preserve"> </w:t>
      </w:r>
      <w:r>
        <w:t xml:space="preserve">The relative exposure to the carbon price signal reflects both the provision of free allocation to</w:t>
      </w:r>
      <w:r>
        <w:t xml:space="preserve"> </w:t>
      </w:r>
      <w:r>
        <w:t xml:space="preserve">shield against the carbon cost and the cost of abatement to avoid the carbon cost.</w:t>
      </w:r>
      <w:r>
        <w:br/>
      </w:r>
      <w:r>
        <w:t xml:space="preserve">Free allocation to the power sector has been very limited since the start of Phase III with most</w:t>
      </w:r>
      <w:r>
        <w:t xml:space="preserve"> </w:t>
      </w:r>
      <w:r>
        <w:t xml:space="preserve">generators required to purchase allowances to cover their verified emissions. The power sector</w:t>
      </w:r>
      <w:r>
        <w:t xml:space="preserve"> </w:t>
      </w:r>
      <w:r>
        <w:t xml:space="preserve">has therefore been exposed to the carbon price signal, and this has provided an incentive for</w:t>
      </w:r>
      <w:r>
        <w:t xml:space="preserve"> </w:t>
      </w:r>
      <w:r>
        <w:t xml:space="preserve">the uptake of abatement options (i.e. switching from fossil fuels to renewables and using</w:t>
      </w:r>
      <w:r>
        <w:t xml:space="preserve"> </w:t>
      </w:r>
      <w:r>
        <w:t xml:space="preserve">technologies like nuclear and hydropower in electricity generation) to avoid the cost of</w:t>
      </w:r>
      <w:r>
        <w:t xml:space="preserve"> </w:t>
      </w:r>
      <w:r>
        <w:t xml:space="preserve">compliance.</w:t>
      </w:r>
      <w:r>
        <w:br/>
      </w:r>
      <w:r>
        <w:t xml:space="preserve">Emission reductions in the power sector have taken place at a faster rate in comparison to</w:t>
      </w:r>
      <w:r>
        <w:t xml:space="preserve"> </w:t>
      </w:r>
      <w:r>
        <w:t xml:space="preserve">industrial sectors. This resulted from of a combination of policy support, market structure, and</w:t>
      </w:r>
      <w:r>
        <w:t xml:space="preserve"> </w:t>
      </w:r>
      <w:r>
        <w:t xml:space="preserve">technical opportunities. EU and national policies promoting renewable energy, including the</w:t>
      </w:r>
      <w:r>
        <w:t xml:space="preserve"> </w:t>
      </w:r>
      <w:r>
        <w:t xml:space="preserve">RED and national support schemes like feed-in tariffs, premiums, auctions, and, more recently,</w:t>
      </w:r>
      <w:r>
        <w:t xml:space="preserve"> </w:t>
      </w:r>
      <w:r>
        <w:t xml:space="preserve">PPAs, have been decisive in scaling up wind and solar capacity. These structural shifts were</w:t>
      </w:r>
      <w:r>
        <w:t xml:space="preserve"> </w:t>
      </w:r>
      <w:r>
        <w:t xml:space="preserve">reinforced by the functioning of the wholesale power markets. Because the costs of emissions</w:t>
      </w:r>
      <w:r>
        <w:t xml:space="preserve"> </w:t>
      </w:r>
      <w:r>
        <w:t xml:space="preserve">allowance are reflected in the marginal cost of production, electricity generators can pass most</w:t>
      </w:r>
      <w:r>
        <w:t xml:space="preserve"> </w:t>
      </w:r>
      <w:r>
        <w:t xml:space="preserve">of the carbon price through to electricity price.</w:t>
      </w:r>
      <w:r>
        <w:br/>
      </w:r>
      <w:r>
        <w:t xml:space="preserve">Indeed, Liebensteiner &amp; Kimani (2026)23 show evidence of fuel switching from coal to gas in</w:t>
      </w:r>
      <w:r>
        <w:t xml:space="preserve"> </w:t>
      </w:r>
      <w:r>
        <w:t xml:space="preserve">the power sector (i.e. the marginal cost of coal was higher than the marginal cost of gas) from</w:t>
      </w:r>
      <w:r>
        <w:t xml:space="preserve"> </w:t>
      </w:r>
      <w:r>
        <w:t xml:space="preserve">the start of 2019 until mid-2021 driven in part by an increase in the price of EU allowances</w:t>
      </w:r>
      <w:r>
        <w:t xml:space="preserve"> </w:t>
      </w:r>
      <w:r>
        <w:t xml:space="preserve">following reforms to the EU ETS (see Figure 5). However, the energy crisis following Russia’s</w:t>
      </w:r>
      <w:r>
        <w:t xml:space="preserve"> </w:t>
      </w:r>
      <w:r>
        <w:t xml:space="preserve">illegal invasion of Ukraine temporarily reversed this trend between 2022 and 2023 as the</w:t>
      </w:r>
      <w:r>
        <w:t xml:space="preserve"> </w:t>
      </w:r>
      <w:r>
        <w:t xml:space="preserve">marginal cost of natural gas increased significantly and Liebensteiner &amp; Kimani (2026) argue</w:t>
      </w:r>
      <w:r>
        <w:t xml:space="preserve"> </w:t>
      </w:r>
      <w:r>
        <w:t xml:space="preserve">that this is likely to have resulted in a switch back from gas to coal and an increase in GHG</w:t>
      </w:r>
      <w:r>
        <w:t xml:space="preserve"> </w:t>
      </w:r>
      <w:r>
        <w:t xml:space="preserve">emissions. Fuel switching from coal to gas started again post 2023 following the end of the</w:t>
      </w:r>
      <w:r>
        <w:t xml:space="preserve"> </w:t>
      </w:r>
      <w:r>
        <w:t xml:space="preserve">peak of the energy crisis related to Russia’s illegal invasion of Ukraine.</w:t>
      </w:r>
    </w:p>
    <w:p>
      <w:pPr>
        <w:pStyle w:val="BodyText"/>
      </w:pPr>
      <w:r>
        <w:t xml:space="preserve">23 Mario Liebensteiner, Alex Mburu Kimani (2023)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Figure 5: Development of prices and marginal costs in the EU power sector</w:t>
      </w:r>
    </w:p>
    <w:p>
      <w:pPr>
        <w:pStyle w:val="BodyText"/>
      </w:pPr>
      <w:r>
        <w:t xml:space="preserve">Source: Environmental and health costs of Europe’s shift from gas to coal amidst the energy crisis24</w:t>
      </w:r>
      <w:r>
        <w:t xml:space="preserve"> </w:t>
      </w:r>
      <w:r>
        <w:t xml:space="preserve">An important indicator of industry’s exposure to the carbon price signal is to examine the ratio</w:t>
      </w:r>
      <w:r>
        <w:t xml:space="preserve"> </w:t>
      </w:r>
      <w:r>
        <w:t xml:space="preserve">of free allocation to verified emissions.25 At the start of the third phase of the EU ETS, this</w:t>
      </w:r>
      <w:r>
        <w:t xml:space="preserve"> </w:t>
      </w:r>
      <w:r>
        <w:t xml:space="preserve">ratio was very high for all industrial ETS sectors (even higher than the level of reported</w:t>
      </w:r>
      <w:r>
        <w:t xml:space="preserve"> </w:t>
      </w:r>
      <w:r>
        <w:t xml:space="preserve">emissions for some sectors) and, combined with a very low EUA price, resulted in emission</w:t>
      </w:r>
      <w:r>
        <w:t xml:space="preserve"> </w:t>
      </w:r>
      <w:r>
        <w:t xml:space="preserve">trends remaining relatively flat across industrial sectors. However, from the interviews with</w:t>
      </w:r>
      <w:r>
        <w:t xml:space="preserve"> </w:t>
      </w:r>
      <w:r>
        <w:t xml:space="preserve">industrial stakeholders, there was a consensus that free allocation has been effective in</w:t>
      </w:r>
    </w:p>
    <w:p>
      <w:pPr>
        <w:pStyle w:val="BodyText"/>
      </w:pPr>
      <w:r>
        <w:t xml:space="preserve">24 Liebensteiner, Mario and Kimani, Alex Mburu (2023)</w:t>
      </w:r>
      <w:r>
        <w:t xml:space="preserve"> </w:t>
      </w:r>
      <w:r>
        <w:t xml:space="preserve">25 The exact ratio is difficult to calculate for certain sectors such as the iron and steel sector due to the transfer</w:t>
      </w:r>
      <w:r>
        <w:t xml:space="preserve"> </w:t>
      </w:r>
      <w:r>
        <w:t xml:space="preserve">of waste gases from the blast furnace impacting the balance as the waste gas may be emitted elsewhere under</w:t>
      </w:r>
      <w:r>
        <w:t xml:space="preserve"> </w:t>
      </w:r>
      <w:r>
        <w:t xml:space="preserve">other economic activities. For this reason, the balance between verified emissions and free allocation from</w:t>
      </w:r>
      <w:r>
        <w:t xml:space="preserve"> </w:t>
      </w:r>
      <w:r>
        <w:t xml:space="preserve">the EEA Data viewer are not presented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preventing carbon leakage, although many suggested that the effectiveness of free allocation</w:t>
      </w:r>
      <w:r>
        <w:t xml:space="preserve"> </w:t>
      </w:r>
      <w:r>
        <w:t xml:space="preserve">has declined following the Phase IV reforms to free allocation rules (especially with regards to</w:t>
      </w:r>
      <w:r>
        <w:t xml:space="preserve"> </w:t>
      </w:r>
      <w:r>
        <w:t xml:space="preserve">the reduction of the BM values).</w:t>
      </w:r>
      <w:r>
        <w:br/>
      </w:r>
      <w:r>
        <w:t xml:space="preserve">Better targeted benchmarks in Phase IV and provisions to better align free allocation with actual</w:t>
      </w:r>
      <w:r>
        <w:t xml:space="preserve"> </w:t>
      </w:r>
      <w:r>
        <w:t xml:space="preserve">levels of production indicate that the selected benchmarks for Phase IV (2021-25) are in most</w:t>
      </w:r>
      <w:r>
        <w:t xml:space="preserve"> </w:t>
      </w:r>
      <w:r>
        <w:t xml:space="preserve">cases lower than the average emissions for 2021/22 and this indicates that the benchmarks have</w:t>
      </w:r>
      <w:r>
        <w:t xml:space="preserve"> </w:t>
      </w:r>
      <w:r>
        <w:t xml:space="preserve">been set to incentivise further improvements in performance over Phase IV.</w:t>
      </w:r>
      <w:r>
        <w:br/>
      </w:r>
      <w:r>
        <w:t xml:space="preserve">As the share of emissions covered by free allocation has declined in Phase IV due to more</w:t>
      </w:r>
      <w:r>
        <w:t xml:space="preserve"> </w:t>
      </w:r>
      <w:r>
        <w:t xml:space="preserve">ambitious benchmarks this results in many industries suggesting that they are now facing a</w:t>
      </w:r>
      <w:r>
        <w:t xml:space="preserve"> </w:t>
      </w:r>
      <w:r>
        <w:t xml:space="preserve">shortage in allowances. However, approximately 80-90% of the verified emissions of industry</w:t>
      </w:r>
      <w:r>
        <w:t xml:space="preserve"> </w:t>
      </w:r>
      <w:r>
        <w:t xml:space="preserve">have nevertheless remained covered by free allocation at the start of Phase IV of the EU ETS26.</w:t>
      </w:r>
      <w:r>
        <w:t xml:space="preserve"> </w:t>
      </w:r>
      <w:r>
        <w:t xml:space="preserve">Therefore, it is highly unlikely that, despite a considerable increase in the EUA price and</w:t>
      </w:r>
      <w:r>
        <w:t xml:space="preserve"> </w:t>
      </w:r>
      <w:r>
        <w:t xml:space="preserve">changes to the provision of free allocation in Phase IV, it is unlikely that they alone are</w:t>
      </w:r>
      <w:r>
        <w:t xml:space="preserve"> </w:t>
      </w:r>
      <w:r>
        <w:t xml:space="preserve">responsible for the observed reduction in industrial emissions (refer to work undertaken in</w:t>
      </w:r>
      <w:r>
        <w:t xml:space="preserve"> </w:t>
      </w:r>
      <w:r>
        <w:t xml:space="preserve">Section 8.3.4.1). Indeed, it is more likely that the emission reductions observed are primarily</w:t>
      </w:r>
      <w:r>
        <w:t xml:space="preserve"> </w:t>
      </w:r>
      <w:r>
        <w:t xml:space="preserve">driven by a decline in levels of activity across industrial sectors in response to a range of</w:t>
      </w:r>
      <w:r>
        <w:t xml:space="preserve"> </w:t>
      </w:r>
      <w:r>
        <w:t xml:space="preserve">external and unexpected events, unrelated to the ETS. Understanding the factors underlying</w:t>
      </w:r>
      <w:r>
        <w:t xml:space="preserve"> </w:t>
      </w:r>
      <w:r>
        <w:t xml:space="preserve">the decline observed in activity is important for any evaluation to assess the effectiveness of</w:t>
      </w:r>
      <w:r>
        <w:t xml:space="preserve"> </w:t>
      </w:r>
      <w:r>
        <w:t xml:space="preserve">the Directive.</w:t>
      </w:r>
      <w:r>
        <w:br/>
      </w:r>
      <w:r>
        <w:t xml:space="preserve">While free allowances continue to protect industry from a high share of the direct cost of</w:t>
      </w:r>
      <w:r>
        <w:t xml:space="preserve"> </w:t>
      </w:r>
      <w:r>
        <w:t xml:space="preserve">carbon, the extent to which the rising EUA price could have been passed through indirectly via</w:t>
      </w:r>
      <w:r>
        <w:t xml:space="preserve"> </w:t>
      </w:r>
      <w:r>
        <w:t xml:space="preserve">electricity prices may have had a downward effect on the international competitiveness of</w:t>
      </w:r>
      <w:r>
        <w:t xml:space="preserve"> </w:t>
      </w:r>
      <w:r>
        <w:t xml:space="preserve">European producers. Carbon leakage protection measures have, to a certain extent, offset this</w:t>
      </w:r>
      <w:r>
        <w:t xml:space="preserve"> </w:t>
      </w:r>
      <w:r>
        <w:t xml:space="preserve">impact via indirect cost compensation (although ICC does not cover all sectors and is applied</w:t>
      </w:r>
      <w:r>
        <w:t xml:space="preserve"> </w:t>
      </w:r>
      <w:r>
        <w:t xml:space="preserve">differently in the Member States that implement it).</w:t>
      </w:r>
      <w:r>
        <w:br/>
      </w:r>
      <w:r>
        <w:t xml:space="preserve">Based upon extensive interviews with industrial stakeholders during the consultation period, it</w:t>
      </w:r>
      <w:r>
        <w:t xml:space="preserve"> </w:t>
      </w:r>
      <w:r>
        <w:t xml:space="preserve">was frequently explained that the reduction in activity levels has been the primary driver of the</w:t>
      </w:r>
      <w:r>
        <w:t xml:space="preserve"> </w:t>
      </w:r>
      <w:r>
        <w:t xml:space="preserve">observed recent emission reductions. This can be attributed largely to the increase in energy</w:t>
      </w:r>
      <w:r>
        <w:t xml:space="preserve"> </w:t>
      </w:r>
      <w:r>
        <w:t xml:space="preserve">prices observed since the start of Phase IV of the EU ETS as a result of several external events.</w:t>
      </w:r>
      <w:r>
        <w:t xml:space="preserve"> </w:t>
      </w:r>
      <w:r>
        <w:t xml:space="preserve">However, industrial stakeholders indicated that the unilateral nature of the carbon cost has most</w:t>
      </w:r>
      <w:r>
        <w:t xml:space="preserve"> </w:t>
      </w:r>
      <w:r>
        <w:t xml:space="preserve">likely also contributed to a difficult situation in terms of their recent competitiveness.</w:t>
      </w:r>
      <w:r>
        <w:br/>
      </w:r>
      <w:r>
        <w:t xml:space="preserve">Several studies highlight that the EU ETS has largely failed to incentivise breakthrough</w:t>
      </w:r>
      <w:r>
        <w:t xml:space="preserve"> </w:t>
      </w:r>
      <w:r>
        <w:t xml:space="preserve">innovations in these sectors. Carbon prices have remained below the threshold needed to make</w:t>
      </w:r>
      <w:r>
        <w:t xml:space="preserve"> </w:t>
      </w:r>
      <w:r>
        <w:t xml:space="preserve">transformative technologies commercially viable. For example, the various carbon abatement</w:t>
      </w:r>
      <w:r>
        <w:t xml:space="preserve"> </w:t>
      </w:r>
      <w:r>
        <w:t xml:space="preserve">options in the chemical industry can reach up to EUR 500 t/CO227. According to modelling by</w:t>
      </w:r>
      <w:r>
        <w:t xml:space="preserve"> </w:t>
      </w:r>
      <w:r>
        <w:t xml:space="preserve">BloombergNEF, the upper estimates of the required carbon price necessary to make a new-</w:t>
      </w:r>
      <w:r>
        <w:t xml:space="preserve"> </w:t>
      </w:r>
      <w:r>
        <w:t xml:space="preserve">build net-zero technology financially viable exceeded the average EU carbon price in 2021</w:t>
      </w:r>
      <w:r>
        <w:t xml:space="preserve"> </w:t>
      </w:r>
      <w:r>
        <w:t xml:space="preserve">across a range of different abatement options in the aluminium, chemical and steel sectors (see</w:t>
      </w:r>
      <w:r>
        <w:t xml:space="preserve"> </w:t>
      </w:r>
      <w:r>
        <w:t xml:space="preserve">Figure 6)</w:t>
      </w:r>
    </w:p>
    <w:p>
      <w:pPr>
        <w:pStyle w:val="BodyText"/>
      </w:pPr>
      <w:r>
        <w:t xml:space="preserve">26 Own calculations</w:t>
      </w:r>
      <w:r>
        <w:t xml:space="preserve"> </w:t>
      </w:r>
      <w:r>
        <w:t xml:space="preserve">27 Lennard Rekker, Michaela Kesina, Machiel Mulder, 2023, “Carbon abatement in the European chemical</w:t>
      </w:r>
      <w:r>
        <w:t xml:space="preserve"> </w:t>
      </w:r>
      <w:r>
        <w:t xml:space="preserve">industry: assessing the feasibility of abatement technologies by estimating firm-level marginal abatement</w:t>
      </w:r>
      <w:r>
        <w:t xml:space="preserve"> </w:t>
      </w:r>
      <w:r>
        <w:t xml:space="preserve">costs”, https://doi.org/10.1016/j.eneco.2023.106889.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Figure 6: The estimated required carbon price range to make selected abatement options</w:t>
      </w:r>
      <w:r>
        <w:t xml:space="preserve"> </w:t>
      </w:r>
      <w:r>
        <w:t xml:space="preserve">financially viable in the aluminium28, chemicals29 and steel sectors30 compared to the average</w:t>
      </w:r>
      <w:r>
        <w:t xml:space="preserve"> </w:t>
      </w:r>
      <w:r>
        <w:t xml:space="preserve">EU carbon price in 2021</w:t>
      </w:r>
    </w:p>
    <w:p>
      <w:pPr>
        <w:pStyle w:val="BodyText"/>
      </w:pPr>
      <w:r>
        <w:t xml:space="preserve">Note:</w:t>
      </w:r>
      <w:r>
        <w:t xml:space="preserve"> </w:t>
      </w:r>
      <w:r>
        <w:t xml:space="preserve">The average carbon price is based upon the annual average EUA auction price in 2021 accessed via the</w:t>
      </w:r>
      <w:r>
        <w:t xml:space="preserve"> </w:t>
      </w:r>
      <w:r>
        <w:t xml:space="preserve">EEX and converted from EUR to USD using an average conversion exchange rate of 1.18 provided by OFX.31</w:t>
      </w:r>
      <w:r>
        <w:t xml:space="preserve"> </w:t>
      </w:r>
      <w:r>
        <w:t xml:space="preserve">Source: Own illustration based BloombergNEF data</w:t>
      </w:r>
      <w:r>
        <w:t xml:space="preserve"> </w:t>
      </w:r>
      <w:r>
        <w:t xml:space="preserve">There remains, however, a lot of uncertainty with regards to the marginal abatement cost of</w:t>
      </w:r>
      <w:r>
        <w:t xml:space="preserve"> </w:t>
      </w:r>
      <w:r>
        <w:t xml:space="preserve">technological potentials across industry and this was reflected by a reluctance from</w:t>
      </w:r>
      <w:r>
        <w:t xml:space="preserve"> </w:t>
      </w:r>
      <w:r>
        <w:t xml:space="preserve">stakeholders during interviews to provide an exact marginal cost per tonne of abatement.</w:t>
      </w:r>
      <w:r>
        <w:br/>
      </w:r>
      <w:r>
        <w:t xml:space="preserve">However, several stakeholders provided an indicative range of expected marginal abatement</w:t>
      </w:r>
      <w:r>
        <w:t xml:space="preserve"> </w:t>
      </w:r>
      <w:r>
        <w:t xml:space="preserve">costs or explained the abatement options available in more detail.</w:t>
      </w:r>
      <w:r>
        <w:br/>
      </w:r>
      <w:r>
        <w:t xml:space="preserve">• Eurofer noted that “with regards to the abatement costs per tonne for abatement</w:t>
      </w:r>
      <w:r>
        <w:t xml:space="preserve"> </w:t>
      </w:r>
      <w:r>
        <w:t xml:space="preserve">potentials such as hydrogen steel, DRI and CCUS the numbers remain uncertain and</w:t>
      </w:r>
      <w:r>
        <w:t xml:space="preserve"> </w:t>
      </w:r>
      <w:r>
        <w:t xml:space="preserve">potentially out of date now as it does not take into account impact of the recent energy</w:t>
      </w:r>
      <w:r>
        <w:t xml:space="preserve"> </w:t>
      </w:r>
      <w:r>
        <w:t xml:space="preserve">crisis, but figures ranged from 100 to 200 EUR per tonne of abatement.” However, it</w:t>
      </w:r>
      <w:r>
        <w:t xml:space="preserve"> </w:t>
      </w:r>
      <w:r>
        <w:t xml:space="preserve">was also added that a “comparison between the EU carbon price and the abatement</w:t>
      </w:r>
      <w:r>
        <w:t xml:space="preserve"> </w:t>
      </w:r>
      <w:r>
        <w:t xml:space="preserve">costs does not reflect the business reality of investment decisions, which is heavily</w:t>
      </w:r>
      <w:r>
        <w:t xml:space="preserve"> </w:t>
      </w:r>
      <w:r>
        <w:t xml:space="preserve">impacted by the international competition, both on the existing carbon intensive</w:t>
      </w:r>
      <w:r>
        <w:t xml:space="preserve"> </w:t>
      </w:r>
      <w:r>
        <w:t xml:space="preserve">technologies, but also on the low carbon ones as well as on whole value chains.”</w:t>
      </w:r>
      <w:r>
        <w:t xml:space="preserve"> </w:t>
      </w:r>
      <w:r>
        <w:t xml:space="preserve">• Cement Europe stated that “at a minimum, the EUA price would need to reach levels</w:t>
      </w:r>
      <w:r>
        <w:t xml:space="preserve"> </w:t>
      </w:r>
      <w:r>
        <w:t xml:space="preserve">of at least 200 EUR otherwise the cement sector simply does not have the business case</w:t>
      </w:r>
    </w:p>
    <w:p>
      <w:pPr>
        <w:pStyle w:val="BodyText"/>
      </w:pPr>
      <w:r>
        <w:t xml:space="preserve">28 For abatement options in the aluminium sector carbon price refers to what is required to make a new build</w:t>
      </w:r>
      <w:r>
        <w:t xml:space="preserve"> </w:t>
      </w:r>
      <w:r>
        <w:t xml:space="preserve">net zero technology competitive with existing BAU technologies. A range of abatement prices are provided</w:t>
      </w:r>
      <w:r>
        <w:t xml:space="preserve"> </w:t>
      </w:r>
      <w:r>
        <w:t xml:space="preserve">without specifying the year(s) of the required carbon price range.</w:t>
      </w:r>
      <w:r>
        <w:t xml:space="preserve"> </w:t>
      </w:r>
      <w:r>
        <w:t xml:space="preserve">29 For abatement options in the steel sector carbon price refers to what is required to make a new build net zero</w:t>
      </w:r>
      <w:r>
        <w:t xml:space="preserve"> </w:t>
      </w:r>
      <w:r>
        <w:t xml:space="preserve">technology competitive with existing BOF or scrap EAF capacity. 2050 values assume that all technologies</w:t>
      </w:r>
      <w:r>
        <w:t xml:space="preserve"> </w:t>
      </w:r>
      <w:r>
        <w:t xml:space="preserve">have reached NOAK costs.</w:t>
      </w:r>
      <w:r>
        <w:t xml:space="preserve"> </w:t>
      </w:r>
      <w:r>
        <w:t xml:space="preserve">30 For abatement options in the chemicals sector carbon price refers to what is required to make a new build net</w:t>
      </w:r>
      <w:r>
        <w:t xml:space="preserve"> </w:t>
      </w:r>
      <w:r>
        <w:t xml:space="preserve">zero technology competitive with new build BAU technology. 2050 values are provided without a further</w:t>
      </w:r>
      <w:r>
        <w:t xml:space="preserve"> </w:t>
      </w:r>
      <w:r>
        <w:t xml:space="preserve">explanation on how they were derived.</w:t>
      </w:r>
      <w:r>
        <w:t xml:space="preserve"> </w:t>
      </w:r>
      <w:r>
        <w:t xml:space="preserve">31 Yearly average rates - OFX (UK)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for deep decarbonisation without other funding options. So, the implication that arises</w:t>
      </w:r>
      <w:r>
        <w:t xml:space="preserve"> </w:t>
      </w:r>
      <w:r>
        <w:t xml:space="preserve">is that the ETS as currently designed is not sufficient to drive the transformation</w:t>
      </w:r>
      <w:r>
        <w:t xml:space="preserve"> </w:t>
      </w:r>
      <w:r>
        <w:t xml:space="preserve">required with additional reform and most likely without complementary policies to</w:t>
      </w:r>
      <w:r>
        <w:t xml:space="preserve"> </w:t>
      </w:r>
      <w:r>
        <w:t xml:space="preserve">address issues that are beyond the control of the cement sector to influence directly.”</w:t>
      </w:r>
      <w:r>
        <w:t xml:space="preserve"> </w:t>
      </w:r>
      <w:r>
        <w:t xml:space="preserve">• Fertilisers Europe outlined several options, but all are currently associated with</w:t>
      </w:r>
      <w:r>
        <w:t xml:space="preserve"> </w:t>
      </w:r>
      <w:r>
        <w:t xml:space="preserve">challenges undermining their potential uptake:</w:t>
      </w:r>
      <w:r>
        <w:t xml:space="preserve"> </w:t>
      </w:r>
      <w:r>
        <w:t xml:space="preserve">o CCS: Is regarded as the most realistic measure that could become more</w:t>
      </w:r>
      <w:r>
        <w:t xml:space="preserve"> </w:t>
      </w:r>
      <w:r>
        <w:t xml:space="preserve">financially viable with the carbon price rising but there are issues regarding</w:t>
      </w:r>
      <w:r>
        <w:t xml:space="preserve"> </w:t>
      </w:r>
      <w:r>
        <w:t xml:space="preserve">complementary policies that are preventing the uptake of CCS in the fertiliser</w:t>
      </w:r>
      <w:r>
        <w:t xml:space="preserve"> </w:t>
      </w:r>
      <w:r>
        <w:t xml:space="preserve">sector such as planning for CCS plants and the legislative requirements for such</w:t>
      </w:r>
      <w:r>
        <w:t xml:space="preserve"> </w:t>
      </w:r>
      <w:r>
        <w:t xml:space="preserve">plants being set too high from day one.</w:t>
      </w:r>
      <w:r>
        <w:br/>
      </w:r>
      <w:r>
        <w:t xml:space="preserve">o Biomethane: While biomethane potentially could run within the existing</w:t>
      </w:r>
      <w:r>
        <w:t xml:space="preserve"> </w:t>
      </w:r>
      <w:r>
        <w:t xml:space="preserve">production process the cost of biomethane is very high and in insufficient</w:t>
      </w:r>
      <w:r>
        <w:t xml:space="preserve"> </w:t>
      </w:r>
      <w:r>
        <w:t xml:space="preserve">volume to make a shift at scale.</w:t>
      </w:r>
      <w:r>
        <w:br/>
      </w:r>
      <w:r>
        <w:t xml:space="preserve">o Electrification of ammonia production: The increase in production costs</w:t>
      </w:r>
      <w:r>
        <w:t xml:space="preserve"> </w:t>
      </w:r>
      <w:r>
        <w:t xml:space="preserve">(potentially as high as four times the current cost production) is prohibitive and</w:t>
      </w:r>
      <w:r>
        <w:t xml:space="preserve"> </w:t>
      </w:r>
      <w:r>
        <w:t xml:space="preserve">current provision of subsidies insufficient.</w:t>
      </w:r>
      <w:r>
        <w:br/>
      </w:r>
      <w:r>
        <w:t xml:space="preserve">• European Aluminium highlighted the use of an inert anode as an important abatement</w:t>
      </w:r>
      <w:r>
        <w:t xml:space="preserve"> </w:t>
      </w:r>
      <w:r>
        <w:t xml:space="preserve">option for reducing direct emissions but made clear that while technically possible this</w:t>
      </w:r>
      <w:r>
        <w:t xml:space="preserve"> </w:t>
      </w:r>
      <w:r>
        <w:t xml:space="preserve">is not currently available at scale and is unlikely to be a viable option before 2035 and</w:t>
      </w:r>
      <w:r>
        <w:t xml:space="preserve"> </w:t>
      </w:r>
      <w:r>
        <w:t xml:space="preserve">were not prepared to speculate on the cost of abatement. CCS and CCU would represent</w:t>
      </w:r>
      <w:r>
        <w:t xml:space="preserve"> </w:t>
      </w:r>
      <w:r>
        <w:t xml:space="preserve">a fall-back option to the use of an inert anode, but these technologies are expensive to</w:t>
      </w:r>
      <w:r>
        <w:t xml:space="preserve"> </w:t>
      </w:r>
      <w:r>
        <w:t xml:space="preserve">deploy. European Aluminium also refers to the uncertainty currently among their</w:t>
      </w:r>
      <w:r>
        <w:t xml:space="preserve"> </w:t>
      </w:r>
      <w:r>
        <w:t xml:space="preserve">members in deciding upon their investment strategy. Should more money be invested</w:t>
      </w:r>
      <w:r>
        <w:t xml:space="preserve"> </w:t>
      </w:r>
      <w:r>
        <w:t xml:space="preserve">in CCS ready smelting process now or should investment be delayed until the use of</w:t>
      </w:r>
      <w:r>
        <w:t xml:space="preserve"> </w:t>
      </w:r>
      <w:r>
        <w:t xml:space="preserve">inert anodes or even direct air capture are available at scale?</w:t>
      </w:r>
      <w:r>
        <w:br/>
      </w:r>
      <w:r>
        <w:t xml:space="preserve">• Cefic presented the key technologies that would help the chemical sector to reduce</w:t>
      </w:r>
      <w:r>
        <w:t xml:space="preserve"> </w:t>
      </w:r>
      <w:r>
        <w:t xml:space="preserve">GHG emissions. These include:</w:t>
      </w:r>
      <w:r>
        <w:br/>
      </w:r>
      <w:r>
        <w:t xml:space="preserve">o Alternative energy carriers and sources: such as electrification, hydrogen as</w:t>
      </w:r>
      <w:r>
        <w:t xml:space="preserve"> </w:t>
      </w:r>
      <w:r>
        <w:t xml:space="preserve">energy carrier, steam &amp; heat from biomass and Small Modular nuclear Reactors</w:t>
      </w:r>
      <w:r>
        <w:t xml:space="preserve"> </w:t>
      </w:r>
      <w:r>
        <w:t xml:space="preserve">(SMRs)</w:t>
      </w:r>
      <w:r>
        <w:t xml:space="preserve"> </w:t>
      </w:r>
      <w:r>
        <w:t xml:space="preserve">o Circular carbon feedstock to close the carbon loop: using waste, CO2 and bio-</w:t>
      </w:r>
      <w:r>
        <w:t xml:space="preserve"> </w:t>
      </w:r>
      <w:r>
        <w:t xml:space="preserve">based feedstock.</w:t>
      </w:r>
      <w:r>
        <w:br/>
      </w:r>
      <w:r>
        <w:t xml:space="preserve">o Other solutions: Hydrogen from alternative production routes; process</w:t>
      </w:r>
      <w:r>
        <w:t xml:space="preserve"> </w:t>
      </w:r>
      <w:r>
        <w:t xml:space="preserve">optimisation; CO2 capture and storage.</w:t>
      </w:r>
      <w:r>
        <w:br/>
      </w:r>
      <w:r>
        <w:t xml:space="preserve">Cefic declined to provide more detail on the marginal abatement costs for each of the proposed</w:t>
      </w:r>
      <w:r>
        <w:t xml:space="preserve"> </w:t>
      </w:r>
      <w:r>
        <w:t xml:space="preserve">technologies as “it is extremely complex as it depends on the location where the technology</w:t>
      </w:r>
      <w:r>
        <w:t xml:space="preserve"> </w:t>
      </w:r>
      <w:r>
        <w:t xml:space="preserve">project is implemented (i.e. country of implementation) and specificities of the project itself.”</w:t>
      </w:r>
      <w:r>
        <w:t xml:space="preserve"> </w:t>
      </w:r>
      <w:r>
        <w:t xml:space="preserve">An important benefit of including a large number or relatively diverse portfolio of sectors</w:t>
      </w:r>
      <w:r>
        <w:t xml:space="preserve"> </w:t>
      </w:r>
      <w:r>
        <w:t xml:space="preserve">within the coverage of the EU ETS, all with different abatement costs, is that the emissions</w:t>
      </w:r>
      <w:r>
        <w:t xml:space="preserve"> </w:t>
      </w:r>
      <w:r>
        <w:t xml:space="preserve">trading system can self-optimise which emissions can be abated most efficiently in the short-</w:t>
      </w:r>
      <w:r>
        <w:t xml:space="preserve"> </w:t>
      </w:r>
      <w:r>
        <w:t xml:space="preserve">term and medium-term, while sectors with higher abatement costs (or complex abatement</w:t>
      </w:r>
      <w:r>
        <w:t xml:space="preserve"> </w:t>
      </w:r>
      <w:r>
        <w:t xml:space="preserve">solutions) can plan the necessary measures for the long-term.</w:t>
      </w:r>
      <w:r>
        <w:br/>
      </w:r>
      <w:r>
        <w:t xml:space="preserve">Despite the increase in the carbon price in recent years, the marginal cost of many abatement</w:t>
      </w:r>
      <w:r>
        <w:t xml:space="preserve"> </w:t>
      </w:r>
      <w:r>
        <w:t xml:space="preserve">options remained higher across industrial sectors and therefore was insufficient to drive</w:t>
      </w:r>
      <w:r>
        <w:t xml:space="preserve"> </w:t>
      </w:r>
      <w:r>
        <w:t xml:space="preserve">transformative change. Free allocation rules granted to emissions intensive, and trade exposed</w:t>
      </w:r>
      <w:r>
        <w:t xml:space="preserve"> </w:t>
      </w:r>
      <w:r>
        <w:t xml:space="preserve">industries have historically lowered the price signal, thus reducing the incentive to invest in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decarbonisation technologies. Moreover, compared to the power sector, industry was not</w:t>
      </w:r>
      <w:r>
        <w:t xml:space="preserve"> </w:t>
      </w:r>
      <w:r>
        <w:t xml:space="preserve">supported by other policies that encouraged the shift towards low carbon production. Indeed,</w:t>
      </w:r>
      <w:r>
        <w:t xml:space="preserve"> </w:t>
      </w:r>
      <w:r>
        <w:t xml:space="preserve">industrial stakeholders were keen to emphasise that enabling conditions beyond the carbon</w:t>
      </w:r>
      <w:r>
        <w:t xml:space="preserve"> </w:t>
      </w:r>
      <w:r>
        <w:t xml:space="preserve">price needed to also be delivered to encourage investments in low carbon technologies. The</w:t>
      </w:r>
      <w:r>
        <w:t xml:space="preserve"> </w:t>
      </w:r>
      <w:r>
        <w:t xml:space="preserve">impact of changes to the free allocation in Phase IV, including the effects on incentives for</w:t>
      </w:r>
      <w:r>
        <w:t xml:space="preserve"> </w:t>
      </w:r>
      <w:r>
        <w:t xml:space="preserve">abatement, are the focus of the evaluation for the topic of carbon leakage and further assessment</w:t>
      </w:r>
      <w:r>
        <w:t xml:space="preserve"> </w:t>
      </w:r>
      <w:r>
        <w:t xml:space="preserve">on this is provided in Section 8.3.</w:t>
      </w:r>
      <w:r>
        <w:t xml:space="preserve"> </w:t>
      </w:r>
      <w:r>
        <w:t xml:space="preserve">Given that emissions were reduced over time in both the power and industrial sectors and both</w:t>
      </w:r>
      <w:r>
        <w:t xml:space="preserve"> </w:t>
      </w:r>
      <w:r>
        <w:t xml:space="preserve">were exposed (albeit to different extents) to the carbon price signal, the following subsections</w:t>
      </w:r>
      <w:r>
        <w:t xml:space="preserve"> </w:t>
      </w:r>
      <w:r>
        <w:t xml:space="preserve">summarises evidence from the literature that aimed to attribute the role of the EU ETS to the</w:t>
      </w:r>
      <w:r>
        <w:t xml:space="preserve"> </w:t>
      </w:r>
      <w:r>
        <w:t xml:space="preserve">emission reductions observed.</w:t>
      </w:r>
      <w:r>
        <w:br/>
      </w:r>
      <w:r>
        <w:t xml:space="preserve">Impact of the EU ETS on emission reductions in the power sector</w:t>
      </w:r>
      <w:r>
        <w:br/>
      </w:r>
      <w:r>
        <w:t xml:space="preserve">The decline in emissions from the power sector must be considered in the broader context of</w:t>
      </w:r>
      <w:r>
        <w:t xml:space="preserve"> </w:t>
      </w:r>
      <w:r>
        <w:t xml:space="preserve">reduced industrial activity. The more recent downturn in industrial output, driven by the energy</w:t>
      </w:r>
      <w:r>
        <w:t xml:space="preserve"> </w:t>
      </w:r>
      <w:r>
        <w:t xml:space="preserve">crisis, high input costs, and weaker demand in energy-intensive sectors, contributed to a</w:t>
      </w:r>
      <w:r>
        <w:t xml:space="preserve"> </w:t>
      </w:r>
      <w:r>
        <w:t xml:space="preserve">temporary reduction in electricity demand and, therefore, in power sector emissions (see</w:t>
      </w:r>
      <w:r>
        <w:t xml:space="preserve"> </w:t>
      </w:r>
      <w:r>
        <w:t xml:space="preserve">Section 8.3.4 for more details).</w:t>
      </w:r>
      <w:r>
        <w:br/>
      </w:r>
      <w:r>
        <w:t xml:space="preserve">Beyond these cyclical factors, emissions reduction in the power sector has been driven by a</w:t>
      </w:r>
      <w:r>
        <w:t xml:space="preserve"> </w:t>
      </w:r>
      <w:r>
        <w:t xml:space="preserve">combination of the ETS price signal and a set of supporting policies32. The record drop in 2023</w:t>
      </w:r>
      <w:r>
        <w:t xml:space="preserve"> </w:t>
      </w:r>
      <w:r>
        <w:t xml:space="preserve">(-16.7% year-on-year) was driven largely by the accelerated deployment of renewable energy</w:t>
      </w:r>
      <w:r>
        <w:t xml:space="preserve"> </w:t>
      </w:r>
      <w:r>
        <w:t xml:space="preserve">sources in the power sector facilitated by a robust carbon price. The increased uptake in</w:t>
      </w:r>
      <w:r>
        <w:t xml:space="preserve"> </w:t>
      </w:r>
      <w:r>
        <w:t xml:space="preserve">renewable energy sources has been encouraged by different forms of public support schemes,</w:t>
      </w:r>
      <w:r>
        <w:t xml:space="preserve"> </w:t>
      </w:r>
      <w:r>
        <w:t xml:space="preserve">including at the national level. Among the key support schemes, feed-in tariffs and feed-in</w:t>
      </w:r>
      <w:r>
        <w:t xml:space="preserve"> </w:t>
      </w:r>
      <w:r>
        <w:t xml:space="preserve">premiums (including contracts-for-difference) have been implemented to expand renewable</w:t>
      </w:r>
      <w:r>
        <w:t xml:space="preserve"> </w:t>
      </w:r>
      <w:r>
        <w:t xml:space="preserve">energy generation33. Country evidence shows that explicit coal phase-out policies also played</w:t>
      </w:r>
      <w:r>
        <w:t xml:space="preserve"> </w:t>
      </w:r>
      <w:r>
        <w:t xml:space="preserve">a crucial role in emissions reduction via fuel switching. In Germany, for example, auctions for</w:t>
      </w:r>
      <w:r>
        <w:t xml:space="preserve"> </w:t>
      </w:r>
      <w:r>
        <w:t xml:space="preserve">compensated closures retired 10GW of coal capacity between 2020 and 2022 at low cost, while</w:t>
      </w:r>
      <w:r>
        <w:t xml:space="preserve"> </w:t>
      </w:r>
      <w:r>
        <w:t xml:space="preserve">cancelling free allowances34. These policies, combined with the increase in EUA prices,</w:t>
      </w:r>
      <w:r>
        <w:t xml:space="preserve"> </w:t>
      </w:r>
      <w:r>
        <w:t xml:space="preserve">strengthened incentives for fuel switching from coal to gas, and made low-carbon investment</w:t>
      </w:r>
      <w:r>
        <w:t xml:space="preserve"> </w:t>
      </w:r>
      <w:r>
        <w:t xml:space="preserve">more attractive. A recent econometric post-assessment of the ETS35 applies a Bayesian</w:t>
      </w:r>
      <w:r>
        <w:t xml:space="preserve"> </w:t>
      </w:r>
      <w:r>
        <w:t xml:space="preserve">structural time-series model to monthly emissions in 24 Member States, constructing a</w:t>
      </w:r>
      <w:r>
        <w:t xml:space="preserve"> </w:t>
      </w:r>
      <w:r>
        <w:t xml:space="preserve">counterfactual path that controls for fuel prices, demand, weather, renewable generation and</w:t>
      </w:r>
      <w:r>
        <w:t xml:space="preserve"> </w:t>
      </w:r>
      <w:r>
        <w:t xml:space="preserve">an index of overlapping policies and measures. The study attributes a 19% reduction in</w:t>
      </w:r>
      <w:r>
        <w:t xml:space="preserve"> </w:t>
      </w:r>
      <w:r>
        <w:t xml:space="preserve">emissions from the power sector during Phase III to the ETS, net of other drivers.</w:t>
      </w:r>
      <w:r>
        <w:t xml:space="preserve"> </w:t>
      </w:r>
      <w:r>
        <w:t xml:space="preserve">Impact of the EU ETS on emission reductions in industrial sectors</w:t>
      </w:r>
      <w:r>
        <w:t xml:space="preserve"> </w:t>
      </w:r>
      <w:r>
        <w:t xml:space="preserve">The decline in emissions from the power sector must be considered in the broader context of</w:t>
      </w:r>
      <w:r>
        <w:t xml:space="preserve"> </w:t>
      </w:r>
      <w:r>
        <w:t xml:space="preserve">reduced industrial activity. The more recent downturn in industrial output, driven by the energy</w:t>
      </w:r>
    </w:p>
    <w:p>
      <w:pPr>
        <w:pStyle w:val="BodyText"/>
      </w:pPr>
      <w:r>
        <w:t xml:space="preserve">32 REPORT FROM THE COMMISSION TO THE EUROPEAN PARLIAMENT AND THE COUNCIL on the</w:t>
      </w:r>
      <w:r>
        <w:t xml:space="preserve"> </w:t>
      </w:r>
      <w:r>
        <w:t xml:space="preserve">functioning of the European carbon market in 2023, SWD(2024) 264 final</w:t>
      </w:r>
      <w:r>
        <w:t xml:space="preserve"> </w:t>
      </w:r>
      <w:r>
        <w:t xml:space="preserve">33 European Commission, 2023. “The Development of Renewable Energy in the Electricity Market”,</w:t>
      </w:r>
      <w:r>
        <w:t xml:space="preserve"> </w:t>
      </w:r>
      <w:r>
        <w:t xml:space="preserve">https://economy-finance.ec.europa.eu/system/files/2023-06/dp187_en_energy%20markets.pdf</w:t>
      </w:r>
      <w:r>
        <w:t xml:space="preserve"> </w:t>
      </w:r>
      <w:r>
        <w:t xml:space="preserve">34 Silvana Tiedemann, Finn Müller-Hansen, 2022. “Auctions to phase out coal power: Lessons learned from</w:t>
      </w:r>
      <w:r>
        <w:t xml:space="preserve"> </w:t>
      </w:r>
      <w:r>
        <w:t xml:space="preserve">Germany”, https://doi.org/10.1016/j.enpol.2022.113387.</w:t>
      </w:r>
      <w:r>
        <w:t xml:space="preserve"> </w:t>
      </w:r>
      <w:r>
        <w:t xml:space="preserve">35 Ethan Eslahi, Anna Creti, María-Eugenia Sanin, 2025. “Mission accomplished? A post-assessment of EU</w:t>
      </w:r>
      <w:r>
        <w:t xml:space="preserve"> </w:t>
      </w:r>
      <w:r>
        <w:t xml:space="preserve">ETS impact on power sector emissions reduction”, https://doi.org/10.1016/j.ecolecon.2025.108784.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crisis, high input costs, and weaker demand in energy-intensive sectors, contributed to a</w:t>
      </w:r>
      <w:r>
        <w:t xml:space="preserve"> </w:t>
      </w:r>
      <w:r>
        <w:t xml:space="preserve">temporary reduction in electricity demand and, therefore, in power sector emissions (see</w:t>
      </w:r>
      <w:r>
        <w:t xml:space="preserve"> </w:t>
      </w:r>
      <w:r>
        <w:t xml:space="preserve">Section 8.3.4 for more details).</w:t>
      </w:r>
      <w:r>
        <w:br/>
      </w:r>
      <w:r>
        <w:t xml:space="preserve">While the energy crisis is likely to have played an important role in driving the emission</w:t>
      </w:r>
      <w:r>
        <w:t xml:space="preserve"> </w:t>
      </w:r>
      <w:r>
        <w:t xml:space="preserve">reductions that have occurred in recent years across industry, there is evidence of the carbon</w:t>
      </w:r>
      <w:r>
        <w:t xml:space="preserve"> </w:t>
      </w:r>
      <w:r>
        <w:t xml:space="preserve">price also influencing emission reductions. Overall, according to a study by the European</w:t>
      </w:r>
      <w:r>
        <w:t xml:space="preserve"> </w:t>
      </w:r>
      <w:r>
        <w:t xml:space="preserve">Investment Bank36, the observed emissions reduction in regulated entities within the</w:t>
      </w:r>
      <w:r>
        <w:t xml:space="preserve"> </w:t>
      </w:r>
      <w:r>
        <w:t xml:space="preserve">manufacturing sector can be directly attributed to the application of the ETS Directive,</w:t>
      </w:r>
      <w:r>
        <w:t xml:space="preserve"> </w:t>
      </w:r>
      <w:r>
        <w:t xml:space="preserve">especially to the Phase IV revision. The study reveals that the effect of the ETS prices on carbon</w:t>
      </w:r>
      <w:r>
        <w:t xml:space="preserve"> </w:t>
      </w:r>
      <w:r>
        <w:t xml:space="preserve">efficiency and emissions reduction is more pronounced for sectors transitioning away from free</w:t>
      </w:r>
      <w:r>
        <w:t xml:space="preserve"> </w:t>
      </w:r>
      <w:r>
        <w:t xml:space="preserve">allocation and into auctioning. Sectors that lost their carbon leakage status in Phase IV tended</w:t>
      </w:r>
      <w:r>
        <w:t xml:space="preserve"> </w:t>
      </w:r>
      <w:r>
        <w:t xml:space="preserve">to improve their carbon efficiency to a larger extent and tended to have lower direct emissions</w:t>
      </w:r>
      <w:r>
        <w:t xml:space="preserve"> </w:t>
      </w:r>
      <w:r>
        <w:t xml:space="preserve">compared to those that retained carbon leakage status. This suggests that when sectors bear the</w:t>
      </w:r>
      <w:r>
        <w:t xml:space="preserve"> </w:t>
      </w:r>
      <w:r>
        <w:t xml:space="preserve">direct cost of their emissions, the incentives for them to reduce emissions is higher. A 2023</w:t>
      </w:r>
      <w:r>
        <w:t xml:space="preserve"> </w:t>
      </w:r>
      <w:r>
        <w:t xml:space="preserve">study37 confirms that the emissions reduction experienced in Phase III of the ETS is attributed</w:t>
      </w:r>
      <w:r>
        <w:t xml:space="preserve"> </w:t>
      </w:r>
      <w:r>
        <w:t xml:space="preserve">to increasing stringency in the Directive, which led to companies purchasing more EUAs due</w:t>
      </w:r>
      <w:r>
        <w:t xml:space="preserve"> </w:t>
      </w:r>
      <w:r>
        <w:t xml:space="preserve">to a significant reduction in free allocation and stricter enforcement of rules. Incentives to</w:t>
      </w:r>
      <w:r>
        <w:t xml:space="preserve"> </w:t>
      </w:r>
      <w:r>
        <w:t xml:space="preserve">decarbonise within the EU ETS are enhanced when companies are required to purchase</w:t>
      </w:r>
      <w:r>
        <w:t xml:space="preserve"> </w:t>
      </w:r>
      <w:r>
        <w:t xml:space="preserve">allowances instead of receiving them for free. The linear reduction factor, which tightens the</w:t>
      </w:r>
      <w:r>
        <w:t xml:space="preserve"> </w:t>
      </w:r>
      <w:r>
        <w:t xml:space="preserve">path of the emissions cap, furthers enhances this effect by increasing stringency and allowance</w:t>
      </w:r>
      <w:r>
        <w:t xml:space="preserve"> </w:t>
      </w:r>
      <w:r>
        <w:t xml:space="preserve">scarcity.</w:t>
      </w:r>
      <w:r>
        <w:t xml:space="preserve"> </w:t>
      </w:r>
      <w:r>
        <w:t xml:space="preserve">Evidence shows that higher ETS prices have fostered carbon efficiency and emissions</w:t>
      </w:r>
      <w:r>
        <w:t xml:space="preserve"> </w:t>
      </w:r>
      <w:r>
        <w:t xml:space="preserve">reductions within the EU manufacturing sectors. More specifically, the study by the European</w:t>
      </w:r>
      <w:r>
        <w:t xml:space="preserve"> </w:t>
      </w:r>
      <w:r>
        <w:t xml:space="preserve">Investment Bank estimates the elasticity of carbon efficiency and emissions with respect to</w:t>
      </w:r>
      <w:r>
        <w:t xml:space="preserve"> </w:t>
      </w:r>
      <w:r>
        <w:t xml:space="preserve">ETS prices on a panel of manufacturing sectors from 2012 to 2022. Using a difference-in-</w:t>
      </w:r>
      <w:r>
        <w:t xml:space="preserve"> </w:t>
      </w:r>
      <w:r>
        <w:t xml:space="preserve">differences design, the authors conclude that a 1% increase in ETS prices leads to an</w:t>
      </w:r>
      <w:r>
        <w:t xml:space="preserve"> </w:t>
      </w:r>
      <w:r>
        <w:t xml:space="preserve">improvement of carbon efficiency by 0.04% and a decrease in emissions of 0.05% in regulated</w:t>
      </w:r>
      <w:r>
        <w:t xml:space="preserve"> </w:t>
      </w:r>
      <w:r>
        <w:t xml:space="preserve">sectors. This suggests a positive correlation between rising ETS prices and environmental</w:t>
      </w:r>
      <w:r>
        <w:t xml:space="preserve"> </w:t>
      </w:r>
      <w:r>
        <w:t xml:space="preserve">performance. Moreover, the increase in the EUA price during Phase III of the ETS had a</w:t>
      </w:r>
      <w:r>
        <w:t xml:space="preserve"> </w:t>
      </w:r>
      <w:r>
        <w:t xml:space="preserve">statistically significant and substantial impact on the emissions reduction compared to Phase</w:t>
      </w:r>
      <w:r>
        <w:t xml:space="preserve"> </w:t>
      </w:r>
      <w:r>
        <w:t xml:space="preserve">II. More specifically, a study by Bordignon &amp; Gamannossi degl’Innocenti38 employs a quasi-</w:t>
      </w:r>
      <w:r>
        <w:t xml:space="preserve"> </w:t>
      </w:r>
      <w:r>
        <w:t xml:space="preserve">experimental econometric approach based on panel data from 2008 to 2020 to estimate that,</w:t>
      </w:r>
      <w:r>
        <w:t xml:space="preserve"> </w:t>
      </w:r>
      <w:r>
        <w:t xml:space="preserve">for each additional allowance bought, there was a decrease in emissions of approximately 0.5</w:t>
      </w:r>
      <w:r>
        <w:t xml:space="preserve"> </w:t>
      </w:r>
      <w:r>
        <w:t xml:space="preserve">tonnes of CO2-eq. The study conservatively estimated of a total emission emissions reduction</w:t>
      </w:r>
      <w:r>
        <w:t xml:space="preserve"> </w:t>
      </w:r>
      <w:r>
        <w:t xml:space="preserve">in CO2-eq is of 422 Mt, which represents 22.5% of the average yearly EU ETS emissions or</w:t>
      </w:r>
      <w:r>
        <w:t xml:space="preserve"> </w:t>
      </w:r>
      <w:r>
        <w:t xml:space="preserve">4.3% in Phase II. CO2-eq. The significant reduction is attributed to a tightening of ETS</w:t>
      </w:r>
      <w:r>
        <w:t xml:space="preserve"> </w:t>
      </w:r>
      <w:r>
        <w:t xml:space="preserve">regulation.</w:t>
      </w:r>
      <w:r>
        <w:t xml:space="preserve"> </w:t>
      </w:r>
      <w:r>
        <w:t xml:space="preserve">The empirical literature provides growing support for a causal contribution of the EU ETS to</w:t>
      </w:r>
      <w:r>
        <w:t xml:space="preserve"> </w:t>
      </w:r>
      <w:r>
        <w:t xml:space="preserve">emissions reductions in covered sectors, with increasingly robust identification strategies</w:t>
      </w:r>
      <w:r>
        <w:t xml:space="preserve"> </w:t>
      </w:r>
      <w:r>
        <w:t xml:space="preserve">applied over time. Evidence based on long-run aggregate data is provided by Klimko and</w:t>
      </w:r>
    </w:p>
    <w:p>
      <w:pPr>
        <w:pStyle w:val="BodyText"/>
      </w:pPr>
      <w:r>
        <w:t xml:space="preserve">36 European Investment Bank, 2024. “A positive trade-off: Emissions reduction and costs under Phase IV of the</w:t>
      </w:r>
      <w:r>
        <w:t xml:space="preserve"> </w:t>
      </w:r>
      <w:r>
        <w:t xml:space="preserve">Emissions Trading System”,</w:t>
      </w:r>
      <w:r>
        <w:t xml:space="preserve"> </w:t>
      </w:r>
      <w:r>
        <w:t xml:space="preserve">https://www.eib.org/attachments/lucalli/20240297_economics_working_paper_2024_05_en.pdf</w:t>
      </w:r>
      <w:r>
        <w:t xml:space="preserve"> </w:t>
      </w:r>
      <w:r>
        <w:t xml:space="preserve">37 Bordignon, M., &amp; Gamannossi degl’Innocenti, D. (2023). Third Time’s a Charm? Assessing the Impact of</w:t>
      </w:r>
      <w:r>
        <w:t xml:space="preserve"> </w:t>
      </w:r>
      <w:r>
        <w:t xml:space="preserve">the Third Phase of the EU ETS on CO2 Emissions and Performance. https://doi.org/10.3390/su15086394</w:t>
      </w:r>
      <w:r>
        <w:t xml:space="preserve"> </w:t>
      </w:r>
      <w:r>
        <w:t xml:space="preserve">38 Ibid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Hasprová (2025)39, who analyse annual EU27 data covering the period 2005-2022, spanning</w:t>
      </w:r>
      <w:r>
        <w:t xml:space="preserve"> </w:t>
      </w:r>
      <w:r>
        <w:t xml:space="preserve">all four trading phases. Using ordinary least squares (OLS) regressions, the authors relate total</w:t>
      </w:r>
      <w:r>
        <w:t xml:space="preserve"> </w:t>
      </w:r>
      <w:r>
        <w:t xml:space="preserve">ETS-covered CO₂e emissions to macroeconomic variables, including GDP, total and corporate</w:t>
      </w:r>
      <w:r>
        <w:t xml:space="preserve"> </w:t>
      </w:r>
      <w:r>
        <w:t xml:space="preserve">investment, the average EUA market price and a time trend. Their results show a statistically</w:t>
      </w:r>
      <w:r>
        <w:t xml:space="preserve"> </w:t>
      </w:r>
      <w:r>
        <w:t xml:space="preserve">significant negative relationship between allowance prices and emissions, as well as a negative</w:t>
      </w:r>
      <w:r>
        <w:t xml:space="preserve"> </w:t>
      </w:r>
      <w:r>
        <w:t xml:space="preserve">role for corporate investment, suggesting that the ETS price signal and capital adjustment are</w:t>
      </w:r>
      <w:r>
        <w:t xml:space="preserve"> </w:t>
      </w:r>
      <w:r>
        <w:t xml:space="preserve">important drivers of emissions reductions over time. While this approach does not employ a</w:t>
      </w:r>
      <w:r>
        <w:t xml:space="preserve"> </w:t>
      </w:r>
      <w:r>
        <w:t xml:space="preserve">counterfactual or quasi-experimental design and therefore does not allow phase-specific causal</w:t>
      </w:r>
      <w:r>
        <w:t xml:space="preserve"> </w:t>
      </w:r>
      <w:r>
        <w:t xml:space="preserve">estimates, it provides consistent econometric evidence that the ETS has been an important</w:t>
      </w:r>
      <w:r>
        <w:t xml:space="preserve"> </w:t>
      </w:r>
      <w:r>
        <w:t xml:space="preserve">explanatory factor behind the decline in ETS-covered emissions between 2005 and 2022.</w:t>
      </w:r>
      <w:r>
        <w:t xml:space="preserve"> </w:t>
      </w:r>
      <w:r>
        <w:t xml:space="preserve">Stronger causal identification for the EU ETS prior to Phase IV is provided by the European</w:t>
      </w:r>
      <w:r>
        <w:t xml:space="preserve"> </w:t>
      </w:r>
      <w:r>
        <w:t xml:space="preserve">Central Bank (2023)40, who use sector-level panel data covering the period 2000–2016,</w:t>
      </w:r>
      <w:r>
        <w:t xml:space="preserve"> </w:t>
      </w:r>
      <w:r>
        <w:t xml:space="preserve">covering the first three trading phases. Their empirical strategy combines fixed-effects panel</w:t>
      </w:r>
      <w:r>
        <w:t xml:space="preserve"> </w:t>
      </w:r>
      <w:r>
        <w:t xml:space="preserve">regressions with a difference-in-difference-in-difference design, exploiting variation across</w:t>
      </w:r>
      <w:r>
        <w:t xml:space="preserve"> </w:t>
      </w:r>
      <w:r>
        <w:t xml:space="preserve">time, sectors and regions. Specifically, they compare emissions trends in ETS-regulated</w:t>
      </w:r>
      <w:r>
        <w:t xml:space="preserve"> </w:t>
      </w:r>
      <w:r>
        <w:t xml:space="preserve">industries within the EU to the same industries in non-EU regions and to unregulated sectors,</w:t>
      </w:r>
      <w:r>
        <w:t xml:space="preserve"> </w:t>
      </w:r>
      <w:r>
        <w:t xml:space="preserve">therefore constructing a credible counterfactual for emissions developments in the absence of</w:t>
      </w:r>
      <w:r>
        <w:t xml:space="preserve"> </w:t>
      </w:r>
      <w:r>
        <w:t xml:space="preserve">the ETS. The authors estimate an average treatment effect of approximately six percentage</w:t>
      </w:r>
      <w:r>
        <w:t xml:space="preserve"> </w:t>
      </w:r>
      <w:r>
        <w:t xml:space="preserve">points, indicating that emissions declined significantly faster in regulated EU sectors following</w:t>
      </w:r>
      <w:r>
        <w:t xml:space="preserve"> </w:t>
      </w:r>
      <w:r>
        <w:t xml:space="preserve">the introduction and tightening of the ETS than in comparator groups. Although the analysis</w:t>
      </w:r>
      <w:r>
        <w:t xml:space="preserve"> </w:t>
      </w:r>
      <w:r>
        <w:t xml:space="preserve">does not extend into the fourth trading period, it provides robust causal evidence that the ETS</w:t>
      </w:r>
      <w:r>
        <w:t xml:space="preserve"> </w:t>
      </w:r>
      <w:r>
        <w:t xml:space="preserve">accelerated emissions reductions beyond what would have happened in absence of the</w:t>
      </w:r>
      <w:r>
        <w:t xml:space="preserve"> </w:t>
      </w:r>
      <w:r>
        <w:t xml:space="preserve">intervention due to global trends, sectoral restructuring or other contemporaneous policies</w:t>
      </w:r>
      <w:r>
        <w:t xml:space="preserve"> </w:t>
      </w:r>
      <w:r>
        <w:t xml:space="preserve">alone.</w:t>
      </w:r>
      <w:r>
        <w:br/>
      </w:r>
      <w:r>
        <w:t xml:space="preserve">Direct causal evidence for the fourth trading period is provided by Willemaers (2025)41, who</w:t>
      </w:r>
      <w:r>
        <w:t xml:space="preserve"> </w:t>
      </w:r>
      <w:r>
        <w:t xml:space="preserve">focuses specifically on the Phase IV reforms affecting free allocation. The study uses</w:t>
      </w:r>
      <w:r>
        <w:t xml:space="preserve"> </w:t>
      </w:r>
      <w:r>
        <w:t xml:space="preserve">installation-level data from the EU Transaction Log covering the period 2015-2023, capturing</w:t>
      </w:r>
      <w:r>
        <w:t xml:space="preserve"> </w:t>
      </w:r>
      <w:r>
        <w:t xml:space="preserve">both the end of Phase III and the first years of Phase IV implementation. The empirical strategy</w:t>
      </w:r>
      <w:r>
        <w:t xml:space="preserve"> </w:t>
      </w:r>
      <w:r>
        <w:t xml:space="preserve">exploits the exogenous, policy-driven reduction in free allocation that occurred between 2020</w:t>
      </w:r>
      <w:r>
        <w:t xml:space="preserve"> </w:t>
      </w:r>
      <w:r>
        <w:t xml:space="preserve">and 2021 following benchmark updates and a narrower carbon-leakage list. Treatment intensity</w:t>
      </w:r>
      <w:r>
        <w:t xml:space="preserve"> </w:t>
      </w:r>
      <w:r>
        <w:t xml:space="preserve">is defined as the installation-specific loss of free allocation, and causal effects are estimated</w:t>
      </w:r>
      <w:r>
        <w:t xml:space="preserve"> </w:t>
      </w:r>
      <w:r>
        <w:t xml:space="preserve">using a continuous difference-in-differences design with installation and year fixed effects,</w:t>
      </w:r>
      <w:r>
        <w:t xml:space="preserve"> </w:t>
      </w:r>
      <w:r>
        <w:t xml:space="preserve">complemented by an event-study analysis to test for parallel pre-trends. The results show that</w:t>
      </w:r>
      <w:r>
        <w:t xml:space="preserve"> </w:t>
      </w:r>
      <w:r>
        <w:t xml:space="preserve">a 10% reduction in free allocation is associated with roughly 3.5% lower verified emissions in</w:t>
      </w:r>
      <w:r>
        <w:t xml:space="preserve"> </w:t>
      </w:r>
      <w:r>
        <w:t xml:space="preserve">the post-2021 period. This finding provides quantitative evidence that the tightening of</w:t>
      </w:r>
      <w:r>
        <w:t xml:space="preserve"> </w:t>
      </w:r>
      <w:r>
        <w:t xml:space="preserve">effective carbon constraints in Phase IV translated directly into lower emissions at the</w:t>
      </w:r>
      <w:r>
        <w:t xml:space="preserve"> </w:t>
      </w:r>
      <w:r>
        <w:t xml:space="preserve">installation level, strengthening the causal attribution of observed reductions to the Phase IV</w:t>
      </w:r>
      <w:r>
        <w:t xml:space="preserve"> </w:t>
      </w:r>
      <w:r>
        <w:t xml:space="preserve">design of the EU ETS.</w:t>
      </w:r>
    </w:p>
    <w:p>
      <w:pPr>
        <w:pStyle w:val="BodyText"/>
      </w:pPr>
      <w:r>
        <w:t xml:space="preserve">39 Klimko, Hasprovà, 2025. “The impact of the EU ETS on Greenhouse Gas Emissions in the EU from 2005 to</w:t>
      </w:r>
      <w:r>
        <w:t xml:space="preserve"> </w:t>
      </w:r>
      <w:r>
        <w:t xml:space="preserve">2022”, ECONOMICS AND ENVIRONMENT11(92)</w:t>
      </w:r>
      <w:r>
        <w:br/>
      </w:r>
      <w:r>
        <w:t xml:space="preserve">40 ECB Working Paper Series No 2764 / January 2023, Benefits and costs of the ETS in the EU, a lesson learned</w:t>
      </w:r>
      <w:r>
        <w:t xml:space="preserve"> </w:t>
      </w:r>
      <w:r>
        <w:t xml:space="preserve">for the CBAM design https://www.ecb.europa.eu/pub/pdf/scpwps/ecb.wp2764~3ff8cb597b.en.pdf</w:t>
      </w:r>
      <w:r>
        <w:br/>
      </w:r>
      <w:r>
        <w:t xml:space="preserve">41 Arthur Willemaers, 2025. “Cutting Free Allocation Cuts Emissions: Evidence from Phase IV of the EU ETS”</w:t>
      </w:r>
      <w:r>
        <w:t xml:space="preserve"> </w:t>
      </w:r>
      <w:r>
        <w:t xml:space="preserve">(Working Paper). 2025. ⟨hal-05400137⟩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An additional study by the European Central Bank (2026)42 compares the effects of a weaker</w:t>
      </w:r>
      <w:r>
        <w:t xml:space="preserve"> </w:t>
      </w:r>
      <w:r>
        <w:t xml:space="preserve">carbon price signal pre-2017 and of the stronger carbon price signal following the regulatory</w:t>
      </w:r>
      <w:r>
        <w:t xml:space="preserve"> </w:t>
      </w:r>
      <w:r>
        <w:t xml:space="preserve">reforms analysed in this evaluation. The study is based on a sample of over 5000 EU ETS</w:t>
      </w:r>
      <w:r>
        <w:t xml:space="preserve"> </w:t>
      </w:r>
      <w:r>
        <w:t xml:space="preserve">installations, representing approximately 90% of the total verified emissions in the EU ETS.</w:t>
      </w:r>
      <w:r>
        <w:t xml:space="preserve"> </w:t>
      </w:r>
      <w:r>
        <w:t xml:space="preserve">The study concludes that a weak carbon price signal generates little meaningful firm-level</w:t>
      </w:r>
      <w:r>
        <w:t xml:space="preserve"> </w:t>
      </w:r>
      <w:r>
        <w:t xml:space="preserve">response, with the pre-2017 EU ETS emissions largely unchanged among regulated firms.</w:t>
      </w:r>
      <w:r>
        <w:t xml:space="preserve"> </w:t>
      </w:r>
      <w:r>
        <w:t xml:space="preserve">However, the rise in carbon prices after 2017, due to the reform of the EU ETS and the start of</w:t>
      </w:r>
      <w:r>
        <w:t xml:space="preserve"> </w:t>
      </w:r>
      <w:r>
        <w:t xml:space="preserve">the MSR operations resulted in firms exposed to carbon pricing reducing their emissions, while</w:t>
      </w:r>
      <w:r>
        <w:t xml:space="preserve"> </w:t>
      </w:r>
      <w:r>
        <w:t xml:space="preserve">maintaining output and therefore implying efficiency gains rather than output contractions.</w:t>
      </w:r>
      <w:r>
        <w:t xml:space="preserve"> </w:t>
      </w:r>
      <w:r>
        <w:t xml:space="preserve">Thirdly, ECB study finds that the market for corporate control emerges as a channel through</w:t>
      </w:r>
      <w:r>
        <w:t xml:space="preserve"> </w:t>
      </w:r>
      <w:r>
        <w:t xml:space="preserve">which firms realize these efficiency gains, with the high-exposed manufacturing firms</w:t>
      </w:r>
      <w:r>
        <w:t xml:space="preserve"> </w:t>
      </w:r>
      <w:r>
        <w:t xml:space="preserve">significantly increased their acquisitions of green targets after 2017.</w:t>
      </w:r>
      <w:r>
        <w:br/>
      </w:r>
      <w:r>
        <w:t xml:space="preserve">Feedback from respondents in the OPC was mostly aligned with the findings. Many</w:t>
      </w:r>
      <w:r>
        <w:t xml:space="preserve"> </w:t>
      </w:r>
      <w:r>
        <w:t xml:space="preserve">respondents43 pointed to the rise in carbon price in recent years (13% of respondents) and the</w:t>
      </w:r>
      <w:r>
        <w:t xml:space="preserve"> </w:t>
      </w:r>
      <w:r>
        <w:t xml:space="preserve">tightening of the cap for Phase IV (26% of respondents) as concrete evidence of the system’s</w:t>
      </w:r>
      <w:r>
        <w:t xml:space="preserve"> </w:t>
      </w:r>
      <w:r>
        <w:t xml:space="preserve">effectiveness, and several respondents also cited observed emission reductions – particularly</w:t>
      </w:r>
      <w:r>
        <w:t xml:space="preserve"> </w:t>
      </w:r>
      <w:r>
        <w:t xml:space="preserve">in the power sector – as proof that the ETS can drive abatement. At the same time, some</w:t>
      </w:r>
      <w:r>
        <w:t xml:space="preserve"> </w:t>
      </w:r>
      <w:r>
        <w:t xml:space="preserve">stakeholders (7% of respondents) argued that a portion of power-sector cuts stemmed from</w:t>
      </w:r>
      <w:r>
        <w:t xml:space="preserve"> </w:t>
      </w:r>
      <w:r>
        <w:t xml:space="preserve">complementary renewable-energy and coal-exit policies rather than the ETS alone, and a few</w:t>
      </w:r>
      <w:r>
        <w:t xml:space="preserve"> </w:t>
      </w:r>
      <w:r>
        <w:t xml:space="preserve">industry respondents felt that, although prices have risen, they were not high or predictable</w:t>
      </w:r>
      <w:r>
        <w:t xml:space="preserve"> </w:t>
      </w:r>
      <w:r>
        <w:t xml:space="preserve">enough to drive transformative investment. More details on the OPC responses are in the</w:t>
      </w:r>
      <w:r>
        <w:t xml:space="preserve"> </w:t>
      </w:r>
      <w:r>
        <w:t xml:space="preserve">Synopsis Report.</w:t>
      </w:r>
      <w:r>
        <w:t xml:space="preserve"> </w:t>
      </w:r>
      <w:r>
        <w:t xml:space="preserve">4.1.1.1.3 How do the observed effects correspond to the objectives of the</w:t>
      </w:r>
      <w:r>
        <w:t xml:space="preserve"> </w:t>
      </w:r>
      <w:r>
        <w:t xml:space="preserve">Directive?</w:t>
      </w:r>
      <w:r>
        <w:t xml:space="preserve"> </w:t>
      </w:r>
      <w:r>
        <w:t xml:space="preserve">The objective of the ETS Directive is to reduce emissions in a cost-effective way, incentivising</w:t>
      </w:r>
      <w:r>
        <w:t xml:space="preserve"> </w:t>
      </w:r>
      <w:r>
        <w:t xml:space="preserve">firms to invest in low carbon solutions and reducing emissions by putting a price on them. The</w:t>
      </w:r>
      <w:r>
        <w:t xml:space="preserve"> </w:t>
      </w:r>
      <w:r>
        <w:t xml:space="preserve">improvement in carbon efficiency and reduction in emissions is identified as key objective of</w:t>
      </w:r>
      <w:r>
        <w:t xml:space="preserve"> </w:t>
      </w:r>
      <w:r>
        <w:t xml:space="preserve">the ETS. Figure 7 shows the development of verified emissions in relation to the EU ETS cap</w:t>
      </w:r>
      <w:r>
        <w:t xml:space="preserve"> </w:t>
      </w:r>
      <w:r>
        <w:t xml:space="preserve">over time. It shows a consistent downward trend in terms of emissions reductions. Verified</w:t>
      </w:r>
      <w:r>
        <w:t xml:space="preserve"> </w:t>
      </w:r>
      <w:r>
        <w:t xml:space="preserve">emissions were lower than the annual cap in each year of Phase II of the EU ETS but this</w:t>
      </w:r>
      <w:r>
        <w:t xml:space="preserve"> </w:t>
      </w:r>
      <w:r>
        <w:t xml:space="preserve">mainly reflected the onset of the economic recession of 2008/09 that mean that levels of activity</w:t>
      </w:r>
      <w:r>
        <w:t xml:space="preserve"> </w:t>
      </w:r>
      <w:r>
        <w:t xml:space="preserve">were lower than anticipated when the cap was initially set. Therefore, policy interventions (i.e. </w:t>
      </w:r>
      <w:r>
        <w:t xml:space="preserve"> </w:t>
      </w:r>
      <w:r>
        <w:t xml:space="preserve">such as the backloading of allowances or the introduction of the market stability reserve)</w:t>
      </w:r>
      <w:r>
        <w:t xml:space="preserve"> </w:t>
      </w:r>
      <w:r>
        <w:t xml:space="preserve">subsequently managed the balance between the supply and demand of allowances, which</w:t>
      </w:r>
      <w:r>
        <w:t xml:space="preserve"> </w:t>
      </w:r>
      <w:r>
        <w:t xml:space="preserve">increased levels of scarcity as the number of allowances in circulation was lower than verified</w:t>
      </w:r>
      <w:r>
        <w:t xml:space="preserve"> </w:t>
      </w:r>
      <w:r>
        <w:t xml:space="preserve">emissions. Such scarcity has strengthened the carbon price signal over Phase III and especially</w:t>
      </w:r>
      <w:r>
        <w:t xml:space="preserve"> </w:t>
      </w:r>
      <w:r>
        <w:t xml:space="preserve">into Phase IV and provides further incentives for long-term investments in low carbon</w:t>
      </w:r>
      <w:r>
        <w:t xml:space="preserve"> </w:t>
      </w:r>
      <w:r>
        <w:t xml:space="preserve">technologies.</w:t>
      </w:r>
    </w:p>
    <w:p>
      <w:pPr>
        <w:pStyle w:val="BodyText"/>
      </w:pPr>
      <w:r>
        <w:t xml:space="preserve">42 European Central Bank Working Paper Series, No 3253 (2026), “Climate Regulation, firm emissions and</w:t>
      </w:r>
      <w:r>
        <w:t xml:space="preserve"> </w:t>
      </w:r>
      <w:r>
        <w:t xml:space="preserve">green takeovers”, Climate regulation, firm emissions, and green takeovers</w:t>
      </w:r>
      <w:r>
        <w:t xml:space="preserve"> </w:t>
      </w:r>
      <w:r>
        <w:t xml:space="preserve">43 Question: “Please provide specific examples or evidence to support your assessment of effectiveness of the</w:t>
      </w:r>
      <w:r>
        <w:t xml:space="preserve"> </w:t>
      </w:r>
      <w:r>
        <w:t xml:space="preserve">ETS Directive and MSR Decision”, 218 respondents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Figure 7: Evolution of the EU ETS cap from 2005 up until 2030 compared with verified</w:t>
      </w:r>
      <w:r>
        <w:t xml:space="preserve"> </w:t>
      </w:r>
      <w:r>
        <w:t xml:space="preserve">emissions44</w:t>
      </w:r>
    </w:p>
    <w:p>
      <w:pPr>
        <w:pStyle w:val="BodyText"/>
      </w:pPr>
      <w:r>
        <w:t xml:space="preserve">Note: Emissions cap in the EU ETS compared with verified emissions. The figure considers the 2023 revision of</w:t>
      </w:r>
      <w:r>
        <w:t xml:space="preserve"> </w:t>
      </w:r>
      <w:r>
        <w:t xml:space="preserve">the ETS Directive, i.e. rebasing of the cap in 2024 and 2026, including the maritime transport sector in the EU</w:t>
      </w:r>
      <w:r>
        <w:t xml:space="preserve"> </w:t>
      </w:r>
      <w:r>
        <w:t xml:space="preserve">ETS from 2024 and the linear reduction factor of 4.3% in 2024-2027 and 4.4% from 2028. Aviation is not</w:t>
      </w:r>
      <w:r>
        <w:t xml:space="preserve"> </w:t>
      </w:r>
      <w:r>
        <w:t xml:space="preserve">included. Due to changes in scope, the 2005-2007 figures are not directly comparable with the latest ones.</w:t>
      </w:r>
      <w:r>
        <w:br/>
      </w:r>
      <w:r>
        <w:t xml:space="preserve">From 2021, the EU ETS no longer covers installations in the UK, only electricity generators in Northern Ireland.</w:t>
      </w:r>
      <w:r>
        <w:t xml:space="preserve"> </w:t>
      </w:r>
      <w:r>
        <w:t xml:space="preserve">From 2024, verified emissions in the figure also include the maritime sector, hence the 2024 and 2023 emissions</w:t>
      </w:r>
      <w:r>
        <w:t xml:space="preserve"> </w:t>
      </w:r>
      <w:r>
        <w:t xml:space="preserve">are not comparable. Legend: bars (cap), light shaded bars in 2014-2016 (allowances backloaded from auctions),</w:t>
      </w:r>
      <w:r>
        <w:t xml:space="preserve"> </w:t>
      </w:r>
      <w:r>
        <w:t xml:space="preserve">light shaded bars from 2019 (feeds of allowances to the Market Stability Reserve), dark shaded bars from 2024</w:t>
      </w:r>
      <w:r>
        <w:t xml:space="preserve"> </w:t>
      </w:r>
      <w:r>
        <w:t xml:space="preserve">(maritime scope extension), dashed line (verified emissions).</w:t>
      </w:r>
      <w:r>
        <w:t xml:space="preserve"> </w:t>
      </w:r>
      <w:r>
        <w:t xml:space="preserve">Source: Own illustration</w:t>
      </w:r>
      <w:r>
        <w:t xml:space="preserve"> </w:t>
      </w:r>
      <w:r>
        <w:t xml:space="preserve">Evidence from the literature supports the argument that the ETS has been successful in</w:t>
      </w:r>
      <w:r>
        <w:t xml:space="preserve"> </w:t>
      </w:r>
      <w:r>
        <w:t xml:space="preserve">enhancing carbon efficiency in regulated sectors. A study by Dechezleprêtre &amp; al, (2023)45</w:t>
      </w:r>
      <w:r>
        <w:t xml:space="preserve"> </w:t>
      </w:r>
      <w:r>
        <w:t xml:space="preserve">conclude that the EU ETS has been successful in reducing carbon emissions, and at the same</w:t>
      </w:r>
      <w:r>
        <w:t xml:space="preserve"> </w:t>
      </w:r>
      <w:r>
        <w:t xml:space="preserve">time did not impact negatively economic performance and output. Instead, the study finds that</w:t>
      </w:r>
      <w:r>
        <w:t xml:space="preserve"> </w:t>
      </w:r>
      <w:r>
        <w:t xml:space="preserve">the EU ETS led to a statistically significant increase in revenue and fixed assets of regulated</w:t>
      </w:r>
      <w:r>
        <w:t xml:space="preserve"> </w:t>
      </w:r>
      <w:r>
        <w:t xml:space="preserve">firms, and it had no significant impact on profits or employment. This suggests that the system</w:t>
      </w:r>
      <w:r>
        <w:t xml:space="preserve"> </w:t>
      </w:r>
      <w:r>
        <w:t xml:space="preserve">induced investment, which might have increased productivity. Phase IV has effectively</w:t>
      </w:r>
      <w:r>
        <w:t xml:space="preserve"> </w:t>
      </w:r>
      <w:r>
        <w:t xml:space="preserve">accelerated sectors’ reduction of carbon emissions46. The more stringent rules in Phase III</w:t>
      </w:r>
      <w:r>
        <w:t xml:space="preserve"> </w:t>
      </w:r>
      <w:r>
        <w:t xml:space="preserve">contributed to reduced emissions, while having an insignificant negative impact on capital,</w:t>
      </w:r>
      <w:r>
        <w:t xml:space="preserve"> </w:t>
      </w:r>
      <w:r>
        <w:t xml:space="preserve">labour productivity, and output47.</w:t>
      </w:r>
      <w:r>
        <w:t xml:space="preserve"> </w:t>
      </w:r>
      <w:r>
        <w:t xml:space="preserve">In terms of investments incentives, a study by Boungou &amp; Dufau (2024)48 shows that firms in</w:t>
      </w:r>
      <w:r>
        <w:t xml:space="preserve"> </w:t>
      </w:r>
      <w:r>
        <w:t xml:space="preserve">regulated sectors immediately reacted to the Phase IV announcement in the 2015 proposal by</w:t>
      </w:r>
      <w:r>
        <w:t xml:space="preserve"> </w:t>
      </w:r>
      <w:r>
        <w:t xml:space="preserve">increasing their R&amp;D spending, which boosted output competitiveness despite a reduction in</w:t>
      </w:r>
    </w:p>
    <w:p>
      <w:pPr>
        <w:pStyle w:val="BodyText"/>
      </w:pPr>
      <w:r>
        <w:t xml:space="preserve">44 REPORT FROM THE COMMISSION TO THE EUROPEAN PARLIAMENT AND THE COUNCIL on the</w:t>
      </w:r>
      <w:r>
        <w:t xml:space="preserve"> </w:t>
      </w:r>
      <w:r>
        <w:t xml:space="preserve">functioning of the European carbon market in 2024, SWD(2025) 388 final</w:t>
      </w:r>
      <w:r>
        <w:t xml:space="preserve"> </w:t>
      </w:r>
      <w:r>
        <w:t xml:space="preserve">45 Antoine Dechezleprêtre, Daniel Nachtigall, Frank Venmans, 2022. “The joint impact of the European Union</w:t>
      </w:r>
      <w:r>
        <w:t xml:space="preserve"> </w:t>
      </w:r>
      <w:r>
        <w:t xml:space="preserve">emissions</w:t>
      </w:r>
      <w:r>
        <w:t xml:space="preserve"> </w:t>
      </w:r>
      <w:r>
        <w:t xml:space="preserve">trading</w:t>
      </w:r>
      <w:r>
        <w:t xml:space="preserve"> </w:t>
      </w:r>
      <w:r>
        <w:t xml:space="preserve">system</w:t>
      </w:r>
      <w:r>
        <w:t xml:space="preserve"> </w:t>
      </w:r>
      <w:r>
        <w:t xml:space="preserve">on</w:t>
      </w:r>
      <w:r>
        <w:t xml:space="preserve"> </w:t>
      </w:r>
      <w:r>
        <w:t xml:space="preserve">carbon</w:t>
      </w:r>
      <w:r>
        <w:t xml:space="preserve"> </w:t>
      </w:r>
      <w:r>
        <w:t xml:space="preserve">emissions</w:t>
      </w:r>
      <w:r>
        <w:t xml:space="preserve"> </w:t>
      </w:r>
      <w:r>
        <w:t xml:space="preserve">and</w:t>
      </w:r>
      <w:r>
        <w:t xml:space="preserve"> </w:t>
      </w:r>
      <w:r>
        <w:t xml:space="preserve">economic</w:t>
      </w:r>
      <w:r>
        <w:t xml:space="preserve"> </w:t>
      </w:r>
      <w:r>
        <w:t xml:space="preserve">performance”,</w:t>
      </w:r>
      <w:r>
        <w:t xml:space="preserve"> </w:t>
      </w:r>
      <w:r>
        <w:t xml:space="preserve">https://doi.org/10.1016/j.jeem.2022.102758.</w:t>
      </w:r>
      <w:r>
        <w:t xml:space="preserve"> </w:t>
      </w:r>
      <w:r>
        <w:t xml:space="preserve">46 European Investment Bank (2024)</w:t>
      </w:r>
      <w:r>
        <w:t xml:space="preserve"> </w:t>
      </w:r>
      <w:r>
        <w:t xml:space="preserve">47</w:t>
      </w:r>
      <w:r>
        <w:t xml:space="preserve"> </w:t>
      </w:r>
      <w:r>
        <w:t xml:space="preserve">Bordignon, M., &amp; Gamannossi degl’Innocenti, D. (2023)</w:t>
      </w:r>
      <w:r>
        <w:t xml:space="preserve"> </w:t>
      </w:r>
      <w:r>
        <w:t xml:space="preserve">48 Whelsy Boungou, Bastien Dufau, 2024. “EU ETS Phase IV and Industrial performance”,</w:t>
      </w:r>
      <w:r>
        <w:t xml:space="preserve"> </w:t>
      </w:r>
      <w:r>
        <w:t xml:space="preserve">https://doi.org/10.1016/j.econlet.2024.111596.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employment, which has been explained as substitution of labour with more productive capital.</w:t>
      </w:r>
      <w:r>
        <w:t xml:space="preserve"> </w:t>
      </w:r>
      <w:r>
        <w:t xml:space="preserve">Lin &amp; al (2019)49 confirms that the EU ETS is consistent with the Porter Hypothesis, which</w:t>
      </w:r>
      <w:r>
        <w:t xml:space="preserve"> </w:t>
      </w:r>
      <w:r>
        <w:t xml:space="preserve">states that environmental regulation can lead to increased efficiency and reduced costs. More</w:t>
      </w:r>
      <w:r>
        <w:t xml:space="preserve"> </w:t>
      </w:r>
      <w:r>
        <w:t xml:space="preserve">specifically, the study finds that the innovation compensation effect generated by the EU ETS</w:t>
      </w:r>
      <w:r>
        <w:t xml:space="preserve"> </w:t>
      </w:r>
      <w:r>
        <w:t xml:space="preserve">compensates the additional cost imposed on regulated entities, as observed in the pulp-and-</w:t>
      </w:r>
      <w:r>
        <w:t xml:space="preserve"> </w:t>
      </w:r>
      <w:r>
        <w:t xml:space="preserve">paper sector. This outcome is in line with the overarching ETS objectives of reducing emissions</w:t>
      </w:r>
      <w:r>
        <w:t xml:space="preserve"> </w:t>
      </w:r>
      <w:r>
        <w:t xml:space="preserve">while ensuring economic viability.</w:t>
      </w:r>
      <w:r>
        <w:br/>
      </w:r>
      <w:r>
        <w:t xml:space="preserve">The ETS played a role in accelerating the phase-out of coal and has supported incremental</w:t>
      </w:r>
      <w:r>
        <w:t xml:space="preserve"> </w:t>
      </w:r>
      <w:r>
        <w:t xml:space="preserve">innovation, such as improving energy efficiency and increasing patent activity in covered</w:t>
      </w:r>
      <w:r>
        <w:t xml:space="preserve"> </w:t>
      </w:r>
      <w:r>
        <w:t xml:space="preserve">sectors50. Some studies show a modest increase – up to 10% – in patenting in ETS-covered</w:t>
      </w:r>
      <w:r>
        <w:t xml:space="preserve"> </w:t>
      </w:r>
      <w:r>
        <w:t xml:space="preserve">sectors compared to others, particularly for technologies that were near market-ready51.</w:t>
      </w:r>
      <w:r>
        <w:t xml:space="preserve"> </w:t>
      </w:r>
      <w:r>
        <w:t xml:space="preserve">However, the price signal has not been strong or stable enough to drive transformational</w:t>
      </w:r>
      <w:r>
        <w:t xml:space="preserve"> </w:t>
      </w:r>
      <w:r>
        <w:t xml:space="preserve">change, particularly in sectors like steel, cement, or chemicals that require innovation and</w:t>
      </w:r>
      <w:r>
        <w:t xml:space="preserve"> </w:t>
      </w:r>
      <w:r>
        <w:t xml:space="preserve">infrastructure change. While there were examples of the carbon price driving rapid abatement</w:t>
      </w:r>
      <w:r>
        <w:t xml:space="preserve"> </w:t>
      </w:r>
      <w:r>
        <w:t xml:space="preserve">(i.e. the improvements in the specific emissions of adipic acid production), energy intensive</w:t>
      </w:r>
      <w:r>
        <w:t xml:space="preserve"> </w:t>
      </w:r>
      <w:r>
        <w:t xml:space="preserve">production such as hot metal for steel remains very limited. This likely reflects the high share</w:t>
      </w:r>
      <w:r>
        <w:t xml:space="preserve"> </w:t>
      </w:r>
      <w:r>
        <w:t xml:space="preserve">of free allocation that remains available to industry as well as the carbon price not yet reaching</w:t>
      </w:r>
      <w:r>
        <w:t xml:space="preserve"> </w:t>
      </w:r>
      <w:r>
        <w:t xml:space="preserve">a level that would make the more innovative abatement solutions financially viable. For</w:t>
      </w:r>
      <w:r>
        <w:t xml:space="preserve"> </w:t>
      </w:r>
      <w:r>
        <w:t xml:space="preserve">additional details on the effectiveness of the carbon leakage prevention measures, see Appendix</w:t>
      </w:r>
      <w:r>
        <w:t xml:space="preserve"> </w:t>
      </w:r>
      <w:r>
        <w:t xml:space="preserve">III, Section 8.3.4.1.</w:t>
      </w:r>
      <w:r>
        <w:t xml:space="preserve"> </w:t>
      </w:r>
      <w:r>
        <w:t xml:space="preserve">In addition, the impact of the Innovation Fund and Modernisation Fund in incentivising low</w:t>
      </w:r>
      <w:r>
        <w:t xml:space="preserve"> </w:t>
      </w:r>
      <w:r>
        <w:t xml:space="preserve">carbon solutions is assessed in a separate evaluation (SWD(2026) 199) and SWD(2026) 197).</w:t>
      </w:r>
      <w:r>
        <w:t xml:space="preserve"> </w:t>
      </w:r>
      <w:r>
        <w:t xml:space="preserve">4.1.1.1.4 Has the revised ETS Directive been successful in improving the</w:t>
      </w:r>
      <w:r>
        <w:t xml:space="preserve"> </w:t>
      </w:r>
      <w:r>
        <w:t xml:space="preserve">functioning and the resilience of the carbon market by addressing the</w:t>
      </w:r>
      <w:r>
        <w:t xml:space="preserve"> </w:t>
      </w:r>
      <w:r>
        <w:t xml:space="preserve">surplus of allowances (which was identified in Phase III) by strengthening</w:t>
      </w:r>
      <w:r>
        <w:t xml:space="preserve"> </w:t>
      </w:r>
      <w:r>
        <w:t xml:space="preserve">the MSR and increasing the LRF?</w:t>
      </w:r>
      <w:r>
        <w:t xml:space="preserve"> </w:t>
      </w:r>
      <w:r>
        <w:t xml:space="preserve">A surplus of allowances in the carbon market weakens the carbon price signal. The revision of</w:t>
      </w:r>
      <w:r>
        <w:t xml:space="preserve"> </w:t>
      </w:r>
      <w:r>
        <w:t xml:space="preserve">the ETS Directive addressed this issue by strengthening the MSR rules and increasing the LRF,</w:t>
      </w:r>
      <w:r>
        <w:t xml:space="preserve"> </w:t>
      </w:r>
      <w:r>
        <w:t xml:space="preserve">which defines by how much the cap of allowances reduces over time. The effect of these</w:t>
      </w:r>
      <w:r>
        <w:t xml:space="preserve"> </w:t>
      </w:r>
      <w:r>
        <w:t xml:space="preserve">reforms has been increasingly visible. The carbon price rose steadily from around EUR 5/tCO2</w:t>
      </w:r>
      <w:r>
        <w:t xml:space="preserve"> </w:t>
      </w:r>
      <w:r>
        <w:t xml:space="preserve">in 2017 to over EUR 80/tCO2 in 2021, reaching levels that begin to reflect the external cost of</w:t>
      </w:r>
      <w:r>
        <w:t xml:space="preserve"> </w:t>
      </w:r>
      <w:r>
        <w:t xml:space="preserve">emissions more accurately. Although the MSR has helped address some volatility, in Phase III,</w:t>
      </w:r>
      <w:r>
        <w:t xml:space="preserve"> </w:t>
      </w:r>
      <w:r>
        <w:t xml:space="preserve">ETS allowances prices still fluctuated based on external shocks and trading behaviour, which</w:t>
      </w:r>
      <w:r>
        <w:t xml:space="preserve"> </w:t>
      </w:r>
      <w:r>
        <w:t xml:space="preserve">weakened the long-term credibility of the price signal.52 Nearly two thirds of all OPC</w:t>
      </w:r>
      <w:r>
        <w:t xml:space="preserve"> </w:t>
      </w:r>
      <w:r>
        <w:t xml:space="preserve">respondents53 consider the MSR moderately to very effective in addressing the structural</w:t>
      </w:r>
    </w:p>
    <w:p>
      <w:pPr>
        <w:pStyle w:val="BodyText"/>
      </w:pPr>
      <w:r>
        <w:t xml:space="preserve">49 Weiming Lin, Jianling Chen, Yi Zheng, Yongwu Dai, 2021. “Effects of the EU Emission Trading Scheme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of</w:t>
      </w:r>
      <w:r>
        <w:t xml:space="preserve"> </w:t>
      </w:r>
      <w:r>
        <w:t xml:space="preserve">pulp-and-paper</w:t>
      </w:r>
      <w:r>
        <w:t xml:space="preserve"> </w:t>
      </w:r>
      <w:r>
        <w:t xml:space="preserve">industry”,</w:t>
      </w:r>
      <w:r>
        <w:t xml:space="preserve"> </w:t>
      </w:r>
      <w:r>
        <w:t xml:space="preserve">https://doi.org/10.1016/j.forpol.2019.102021.</w:t>
      </w:r>
      <w:r>
        <w:t xml:space="preserve"> </w:t>
      </w:r>
      <w:r>
        <w:t xml:space="preserve">50 Nguyen, P.-V. and Pellerin-Carlin, T., 2021. “The EU ETS: from cornerstone to catalyst”,</w:t>
      </w:r>
      <w:r>
        <w:br/>
      </w:r>
      <w:r>
        <w:t xml:space="preserve">https://institutdelors.eu/en/publications/the-eu-ets-from-cornerstone-to-catalyst/</w:t>
      </w:r>
      <w:r>
        <w:br/>
      </w:r>
      <w:r>
        <w:t xml:space="preserve">51 R. Calel, A. Dechezleprêtre, 2016, Environmental policy and directed technological change: evidence from</w:t>
      </w:r>
      <w:r>
        <w:t xml:space="preserve"> </w:t>
      </w:r>
      <w:r>
        <w:t xml:space="preserve">the European carbon market</w:t>
      </w:r>
      <w:r>
        <w:t xml:space="preserve"> </w:t>
      </w:r>
      <w:r>
        <w:t xml:space="preserve">52 Europea Court of Auditors, Special Report 18 2020, The EU’s Emissions Trading System: free allocation of</w:t>
      </w:r>
      <w:r>
        <w:t xml:space="preserve"> </w:t>
      </w:r>
      <w:r>
        <w:t xml:space="preserve">allowances needed better targeting</w:t>
      </w:r>
      <w:r>
        <w:br/>
      </w:r>
      <w:r>
        <w:t xml:space="preserve">53 Question: “How effective has the MSR Decision been in addressing the structural surplus of allowances that</w:t>
      </w:r>
      <w:r>
        <w:t xml:space="preserve"> </w:t>
      </w:r>
      <w:r>
        <w:t xml:space="preserve">had accumulated in the EU ETS since 2009 (n=282)”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surplus of allowances in the EU ETS, including a majority of both private sector respondents</w:t>
      </w:r>
      <w:r>
        <w:t xml:space="preserve"> </w:t>
      </w:r>
      <w:r>
        <w:t xml:space="preserve">and NGO respondents.</w:t>
      </w:r>
      <w:r>
        <w:br/>
      </w:r>
      <w:r>
        <w:t xml:space="preserve">According to the European Investment Bank (2024)54, the reforms introduced to address the</w:t>
      </w:r>
      <w:r>
        <w:t xml:space="preserve"> </w:t>
      </w:r>
      <w:r>
        <w:t xml:space="preserve">oversupply of allowances have been successful in increasing the carbon price and thus</w:t>
      </w:r>
      <w:r>
        <w:t xml:space="preserve"> </w:t>
      </w:r>
      <w:r>
        <w:t xml:space="preserve">increasing compliance with the EU ETS and reduction in carbon emissions.</w:t>
      </w:r>
      <w:r>
        <w:br/>
      </w:r>
      <w:r>
        <w:t xml:space="preserve">A more detailed analysis on addressing the surplus of allowances via the implementation of</w:t>
      </w:r>
      <w:r>
        <w:t xml:space="preserve"> </w:t>
      </w:r>
      <w:r>
        <w:t xml:space="preserve">MSR is provided in Section 4.1.2.</w:t>
      </w:r>
      <w:r>
        <w:t xml:space="preserve"> </w:t>
      </w:r>
      <w:r>
        <w:t xml:space="preserve">4.1.1.1.5 Has the EU ETS MRVA system supported the overall effectiveness of</w:t>
      </w:r>
      <w:r>
        <w:t xml:space="preserve"> </w:t>
      </w:r>
      <w:r>
        <w:t xml:space="preserve">the EU ETS?</w:t>
      </w:r>
      <w:r>
        <w:t xml:space="preserve"> </w:t>
      </w:r>
      <w:r>
        <w:t xml:space="preserve">The detailed evaluation of the MRVA system presented in Appendix III, Section 8.4 concludes</w:t>
      </w:r>
      <w:r>
        <w:t xml:space="preserve"> </w:t>
      </w:r>
      <w:r>
        <w:t xml:space="preserve">that the MRVA system ensured robust, transparent, consistent, and accurate monitoring and</w:t>
      </w:r>
      <w:r>
        <w:t xml:space="preserve"> </w:t>
      </w:r>
      <w:r>
        <w:t xml:space="preserve">reporting of greenhouse gas emissions from industrial installations and aircraft operators. It</w:t>
      </w:r>
      <w:r>
        <w:t xml:space="preserve"> </w:t>
      </w:r>
      <w:r>
        <w:t xml:space="preserve">examines four main aspects: the accuracy, completeness, and transparency of emissions data,</w:t>
      </w:r>
      <w:r>
        <w:t xml:space="preserve"> </w:t>
      </w:r>
      <w:r>
        <w:t xml:space="preserve">the system’s ability to prevent errors and misreporting,, the effectiveness of the verification</w:t>
      </w:r>
      <w:r>
        <w:t xml:space="preserve"> </w:t>
      </w:r>
      <w:r>
        <w:t xml:space="preserve">and accreditation processes in ensuring reliable data and compliance with EU ETS rules; the</w:t>
      </w:r>
      <w:r>
        <w:t xml:space="preserve"> </w:t>
      </w:r>
      <w:r>
        <w:t xml:space="preserve">extent to which Member States have improved MRVA procedures and how these</w:t>
      </w:r>
      <w:r>
        <w:t xml:space="preserve"> </w:t>
      </w:r>
      <w:r>
        <w:t xml:space="preserve">improvements have influenced overall compliance; and finally, how well the MRVA system</w:t>
      </w:r>
      <w:r>
        <w:t xml:space="preserve"> </w:t>
      </w:r>
      <w:r>
        <w:t xml:space="preserve">has adapted to emerging challenges and what further enhancements could strengthen its</w:t>
      </w:r>
      <w:r>
        <w:t xml:space="preserve"> </w:t>
      </w:r>
      <w:r>
        <w:t xml:space="preserve">effectiveness.</w:t>
      </w:r>
      <w:r>
        <w:br/>
      </w:r>
      <w:r>
        <w:t xml:space="preserve">The MRVA system delivers high harmonisation and accuracy with standard methods used</w:t>
      </w:r>
      <w:r>
        <w:t xml:space="preserve"> </w:t>
      </w:r>
      <w:r>
        <w:t xml:space="preserve">almost universally. The MRVA system ensures that nearly all emissions from activities listed</w:t>
      </w:r>
      <w:r>
        <w:t xml:space="preserve"> </w:t>
      </w:r>
      <w:r>
        <w:t xml:space="preserve">in Annex I of the ETS Directive are monitored and reported, with only marginal delays or</w:t>
      </w:r>
      <w:r>
        <w:t xml:space="preserve"> </w:t>
      </w:r>
      <w:r>
        <w:t xml:space="preserve">omissions. Clarity and consistency of reported data under the EU ETS MRVA remain high,</w:t>
      </w:r>
      <w:r>
        <w:t xml:space="preserve"> </w:t>
      </w:r>
      <w:r>
        <w:t xml:space="preserve">supported by established inspection procedures, though their scope and frequency vary across</w:t>
      </w:r>
      <w:r>
        <w:t xml:space="preserve"> </w:t>
      </w:r>
      <w:r>
        <w:t xml:space="preserve">Member States. Strict approval procedures and harmonised templates ensure a consistent and</w:t>
      </w:r>
      <w:r>
        <w:t xml:space="preserve"> </w:t>
      </w:r>
      <w:r>
        <w:t xml:space="preserve">non-arbitrary application of monitoring methodologies across the EU ETS.</w:t>
      </w:r>
      <w:r>
        <w:br/>
      </w:r>
      <w:r>
        <w:t xml:space="preserve">Verification under the EU ETS ensures that operators apply EU-approved methodologies and</w:t>
      </w:r>
      <w:r>
        <w:t xml:space="preserve"> </w:t>
      </w:r>
      <w:r>
        <w:t xml:space="preserve">emission factors, and that emissions data are independently verified for accuracy. The EU ETS</w:t>
      </w:r>
      <w:r>
        <w:t xml:space="preserve"> </w:t>
      </w:r>
      <w:r>
        <w:t xml:space="preserve">verification system ensures stringency and independence through robust accreditation, annual</w:t>
      </w:r>
      <w:r>
        <w:t xml:space="preserve"> </w:t>
      </w:r>
      <w:r>
        <w:t xml:space="preserve">oversight, and consistently high compliance, though emerging capacity pressures because of</w:t>
      </w:r>
      <w:r>
        <w:t xml:space="preserve"> </w:t>
      </w:r>
      <w:r>
        <w:t xml:space="preserve">the expansion of ETS activities pose risks to the quality of verification. Annual verifier audits</w:t>
      </w:r>
      <w:r>
        <w:t xml:space="preserve"> </w:t>
      </w:r>
      <w:r>
        <w:t xml:space="preserve">provide comprehensive on-site coverage and effectively identify discrepancies, but recent</w:t>
      </w:r>
      <w:r>
        <w:t xml:space="preserve"> </w:t>
      </w:r>
      <w:r>
        <w:t xml:space="preserve">findings suggest room for greater consistency across verifiers. There is a high level of</w:t>
      </w:r>
      <w:r>
        <w:t xml:space="preserve"> </w:t>
      </w:r>
      <w:r>
        <w:t xml:space="preserve">confidence in the system’s integrity and robustness, and competent authorities report that</w:t>
      </w:r>
      <w:r>
        <w:t xml:space="preserve"> </w:t>
      </w:r>
      <w:r>
        <w:t xml:space="preserve">verified data are dependable enough to be used directly for compliance assessments,</w:t>
      </w:r>
      <w:r>
        <w:t xml:space="preserve"> </w:t>
      </w:r>
      <w:r>
        <w:t xml:space="preserve">surrendering the right number of allowances and international greenhouse gas inventories,</w:t>
      </w:r>
      <w:r>
        <w:t xml:space="preserve"> </w:t>
      </w:r>
      <w:r>
        <w:t xml:space="preserve">demonstrating institutional trust in verification outcomes. The accreditation framework under</w:t>
      </w:r>
      <w:r>
        <w:t xml:space="preserve"> </w:t>
      </w:r>
      <w:r>
        <w:t xml:space="preserve">the AVR remains proportionate and robust.</w:t>
      </w:r>
      <w:r>
        <w:br/>
      </w:r>
      <w:r>
        <w:t xml:space="preserve">Overall, the MRVA framework has proven adaptable to the evolving policy and operational</w:t>
      </w:r>
      <w:r>
        <w:t xml:space="preserve"> </w:t>
      </w:r>
      <w:r>
        <w:t xml:space="preserve">challenges that arose over the evaluation period.</w:t>
      </w:r>
    </w:p>
    <w:p>
      <w:pPr>
        <w:pStyle w:val="BodyText"/>
      </w:pPr>
      <w:r>
        <w:t xml:space="preserve">54 European Investment Bank (2024)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4.1.1.1.6 Has the EU ETS auctioning system supported the overall effectiveness</w:t>
      </w:r>
      <w:r>
        <w:t xml:space="preserve"> </w:t>
      </w:r>
      <w:r>
        <w:t xml:space="preserve">of the EU ETS?</w:t>
      </w:r>
      <w:r>
        <w:t xml:space="preserve"> </w:t>
      </w:r>
      <w:r>
        <w:t xml:space="preserve">The EU ETS auction system has been evaluated for its effectiveness in allocating emission</w:t>
      </w:r>
      <w:r>
        <w:t xml:space="preserve"> </w:t>
      </w:r>
      <w:r>
        <w:t xml:space="preserve">allowances transparently and equitably across the EU. It operates in an open manner with well-</w:t>
      </w:r>
      <w:r>
        <w:t xml:space="preserve"> </w:t>
      </w:r>
      <w:r>
        <w:t xml:space="preserve">defined rules and publicly available procedures, providing transparency and predictability for</w:t>
      </w:r>
      <w:r>
        <w:t xml:space="preserve"> </w:t>
      </w:r>
      <w:r>
        <w:t xml:space="preserve">participants. The EEX, the appointed auction platform, manages auctions consistently and</w:t>
      </w:r>
      <w:r>
        <w:t xml:space="preserve"> </w:t>
      </w:r>
      <w:r>
        <w:t xml:space="preserve">effectively for all member states and the EEA countries. To date over 3000 auctions were</w:t>
      </w:r>
      <w:r>
        <w:t xml:space="preserve"> </w:t>
      </w:r>
      <w:r>
        <w:t xml:space="preserve">conducted with minimal cancellations, illustrating its reliability. The ETS auctions raised over</w:t>
      </w:r>
      <w:r>
        <w:t xml:space="preserve"> </w:t>
      </w:r>
      <w:r>
        <w:t xml:space="preserve">169 billion EUR in auction revenue during the period of the evaluation (and over 250 billion</w:t>
      </w:r>
      <w:r>
        <w:t xml:space="preserve"> </w:t>
      </w:r>
      <w:r>
        <w:t xml:space="preserve">EUR in total to date). Auction volumes were calculated accurately, adhering to regulatory</w:t>
      </w:r>
      <w:r>
        <w:t xml:space="preserve"> </w:t>
      </w:r>
      <w:r>
        <w:t xml:space="preserve">requirements. Results are published promptly, providing comprehensive information to</w:t>
      </w:r>
      <w:r>
        <w:t xml:space="preserve"> </w:t>
      </w:r>
      <w:r>
        <w:t xml:space="preserve">stakeholders. Equitable access to allowances is ensured for all eligible parties, including SMEs,</w:t>
      </w:r>
      <w:r>
        <w:t xml:space="preserve"> </w:t>
      </w:r>
      <w:r>
        <w:t xml:space="preserve">although many opt to use intermediaries in the secondary market. The system’s regulatory</w:t>
      </w:r>
      <w:r>
        <w:t xml:space="preserve"> </w:t>
      </w:r>
      <w:r>
        <w:t xml:space="preserve">framework, bolstered by MiFID II and MAR, prevents market manipulation and abuses,</w:t>
      </w:r>
      <w:r>
        <w:t xml:space="preserve"> </w:t>
      </w:r>
      <w:r>
        <w:t xml:space="preserve">maintaining the integrity of the EU ETS. The EEX offers training and support for smaller</w:t>
      </w:r>
      <w:r>
        <w:t xml:space="preserve"> </w:t>
      </w:r>
      <w:r>
        <w:t xml:space="preserve">emitters to encourage participation, contributing to the stable and competitive nature of the</w:t>
      </w:r>
      <w:r>
        <w:t xml:space="preserve"> </w:t>
      </w:r>
      <w:r>
        <w:t xml:space="preserve">auctions. Overall, the auctioning system has successfully achieved its objectives and ensured a</w:t>
      </w:r>
      <w:r>
        <w:t xml:space="preserve"> </w:t>
      </w:r>
      <w:r>
        <w:t xml:space="preserve">balanced distribution among different market participants.</w:t>
      </w:r>
      <w:r>
        <w:t xml:space="preserve"> </w:t>
      </w:r>
      <w:r>
        <w:t xml:space="preserve">4.1.1.1.7 Has the EU ETS registry system supported the overall effectiveness of</w:t>
      </w:r>
      <w:r>
        <w:t xml:space="preserve"> </w:t>
      </w:r>
      <w:r>
        <w:t xml:space="preserve">the EU ETS?</w:t>
      </w:r>
      <w:r>
        <w:t xml:space="preserve"> </w:t>
      </w:r>
      <w:r>
        <w:t xml:space="preserve">The Union Registry has been evaluated for its effectiveness to maintain a reliable and secure</w:t>
      </w:r>
      <w:r>
        <w:t xml:space="preserve"> </w:t>
      </w:r>
      <w:r>
        <w:t xml:space="preserve">IT system for tracking the creation, allocation, surrender and reversal of allowances. From 2018</w:t>
      </w:r>
      <w:r>
        <w:t xml:space="preserve"> </w:t>
      </w:r>
      <w:r>
        <w:t xml:space="preserve">to 2023, the Union was operational 99% of the time and encountered only minor technical</w:t>
      </w:r>
      <w:r>
        <w:t xml:space="preserve"> </w:t>
      </w:r>
      <w:r>
        <w:t xml:space="preserve">interruptions due to scheduled upgrades, and some unexpected technical difficulties in 2020</w:t>
      </w:r>
      <w:r>
        <w:t xml:space="preserve"> </w:t>
      </w:r>
      <w:r>
        <w:t xml:space="preserve">causing temporary unavailability. The Registry effectively provides accurate, up-to-date, and</w:t>
      </w:r>
      <w:r>
        <w:t xml:space="preserve"> </w:t>
      </w:r>
      <w:r>
        <w:t xml:space="preserve">publicly accessible information crucial for ETS reporting, ensuring transparency and</w:t>
      </w:r>
      <w:r>
        <w:t xml:space="preserve"> </w:t>
      </w:r>
      <w:r>
        <w:t xml:space="preserve">accountability and supporting compliance monitoring, market integrity, and informed decision-</w:t>
      </w:r>
      <w:r>
        <w:t xml:space="preserve"> </w:t>
      </w:r>
      <w:r>
        <w:t xml:space="preserve">making. However, a challenge is the limited availability of Legal Entity Identifiers (LEIs) for</w:t>
      </w:r>
      <w:r>
        <w:t xml:space="preserve"> </w:t>
      </w:r>
      <w:r>
        <w:t xml:space="preserve">financial supervisory purposes, though these are being gradually integrated. The technical rules</w:t>
      </w:r>
      <w:r>
        <w:t xml:space="preserve"> </w:t>
      </w:r>
      <w:r>
        <w:t xml:space="preserve">and requirements sufficiently support account holders and representatives.</w:t>
      </w:r>
      <w:r>
        <w:br/>
      </w:r>
      <w:r>
        <w:t xml:space="preserve">Ensuring adequate security has been in focus, with a framework developed to protect data</w:t>
      </w:r>
      <w:r>
        <w:t xml:space="preserve"> </w:t>
      </w:r>
      <w:r>
        <w:t xml:space="preserve">confidentiality and system integrity. Yearly IT Security Plans address potential risks through</w:t>
      </w:r>
      <w:r>
        <w:t xml:space="preserve"> </w:t>
      </w:r>
      <w:r>
        <w:t xml:space="preserve">mitigation strategies. Although historical security measures have been effective, evolving risks,</w:t>
      </w:r>
      <w:r>
        <w:t xml:space="preserve"> </w:t>
      </w:r>
      <w:r>
        <w:t xml:space="preserve">particularly the risks of cyber-attacks and issues like inadequate financial or human resources,</w:t>
      </w:r>
      <w:r>
        <w:t xml:space="preserve"> </w:t>
      </w:r>
      <w:r>
        <w:t xml:space="preserve">underline the need to strengthen the security of the infrastructure and to revise the operating</w:t>
      </w:r>
      <w:r>
        <w:t xml:space="preserve"> </w:t>
      </w:r>
      <w:r>
        <w:t xml:space="preserve">model. Studies and security plans have identified vulnerabilities, recommending additional</w:t>
      </w:r>
      <w:r>
        <w:t xml:space="preserve"> </w:t>
      </w:r>
      <w:r>
        <w:t xml:space="preserve">security measures to adapt to the growing IT risks and market changes.</w:t>
      </w:r>
      <w:r>
        <w:t xml:space="preserve"> </w:t>
      </w:r>
      <w:r>
        <w:t xml:space="preserve">4.1.1.2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efficiency of the EU ETS in achieving its objectives is evaluated based on the following</w:t>
      </w:r>
      <w:r>
        <w:t xml:space="preserve"> </w:t>
      </w:r>
      <w:r>
        <w:t xml:space="preserve">questions:</w:t>
      </w:r>
      <w:r>
        <w:br/>
      </w:r>
      <w:r>
        <w:t xml:space="preserve">4.1.1.2.1 To what extent has the Directive been successful in achieving its</w:t>
      </w:r>
      <w:r>
        <w:t xml:space="preserve"> </w:t>
      </w:r>
      <w:r>
        <w:t xml:space="preserve">objectives compared to alternatives, e.g. command and control measures,</w:t>
      </w:r>
      <w:r>
        <w:t xml:space="preserve"> </w:t>
      </w:r>
      <w:r>
        <w:t xml:space="preserve">taxation?</w:t>
      </w:r>
      <w:r>
        <w:t xml:space="preserve"> </w:t>
      </w:r>
      <w:r>
        <w:t xml:space="preserve">From an efficiency perspective, the ETS Directive has generally been more successful in</w:t>
      </w:r>
      <w:r>
        <w:t xml:space="preserve"> </w:t>
      </w:r>
      <w:r>
        <w:t xml:space="preserve">delivering cost-effective GHG emissions reductions than other regulatory approaches (namely,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command and control measures, and carbon taxes) and, in several respects, compares</w:t>
      </w:r>
      <w:r>
        <w:t xml:space="preserve"> </w:t>
      </w:r>
      <w:r>
        <w:t xml:space="preserve">favourably with carbon taxation.</w:t>
      </w:r>
      <w:r>
        <w:br/>
      </w:r>
      <w:r>
        <w:t xml:space="preserve">Figure 8 illustrates this relationship using a stylised marginal abatement cost curve. The central</w:t>
      </w:r>
      <w:r>
        <w:t xml:space="preserve"> </w:t>
      </w:r>
      <w:r>
        <w:t xml:space="preserve">segment of the curve, where abatement options are more mature and cost-competitive, is well</w:t>
      </w:r>
      <w:r>
        <w:t xml:space="preserve"> </w:t>
      </w:r>
      <w:r>
        <w:t xml:space="preserve">suited to market-based instruments, such as cap-and-trade systems or carbon taxes which</w:t>
      </w:r>
      <w:r>
        <w:t xml:space="preserve"> </w:t>
      </w:r>
      <w:r>
        <w:t xml:space="preserve">equalise marginal abatement costs across the emitters. On the other hand, the left-hand side of</w:t>
      </w:r>
      <w:r>
        <w:t xml:space="preserve"> </w:t>
      </w:r>
      <w:r>
        <w:t xml:space="preserve">the curve shows “locked” low or cost-saving potentials that are hindered by non-price barriers</w:t>
      </w:r>
      <w:r>
        <w:t xml:space="preserve"> </w:t>
      </w:r>
      <w:r>
        <w:t xml:space="preserve">and usually require complementary regulatory measures, efficiency standards, or targeted</w:t>
      </w:r>
      <w:r>
        <w:t xml:space="preserve"> </w:t>
      </w:r>
      <w:r>
        <w:t xml:space="preserve">incentives. At the opposite end, on the right-hand side, sit innovation-intensive or</w:t>
      </w:r>
      <w:r>
        <w:t xml:space="preserve"> </w:t>
      </w:r>
      <w:r>
        <w:t xml:space="preserve">infrastructure-dependent options that require technology-specific support and long-term</w:t>
      </w:r>
      <w:r>
        <w:t xml:space="preserve"> </w:t>
      </w:r>
      <w:r>
        <w:t xml:space="preserve">investment frameworks. The figure also helps to visualise how different policy instruments</w:t>
      </w:r>
      <w:r>
        <w:t xml:space="preserve"> </w:t>
      </w:r>
      <w:r>
        <w:t xml:space="preserve">operate: a cap-and-trade system fixes the total quantity of emissions (i.e. how far an economy</w:t>
      </w:r>
      <w:r>
        <w:t xml:space="preserve"> </w:t>
      </w:r>
      <w:r>
        <w:t xml:space="preserve">moves along the x-axis) and allows the market to determine the corresponding carbon price; a</w:t>
      </w:r>
      <w:r>
        <w:t xml:space="preserve"> </w:t>
      </w:r>
      <w:r>
        <w:t xml:space="preserve">carbon tax fixes the price per tonne and allows the level of abatement to adjust accordingly;</w:t>
      </w:r>
      <w:r>
        <w:t xml:space="preserve"> </w:t>
      </w:r>
      <w:r>
        <w:t xml:space="preserve">command-and-control measures prescribe fixed measures that do not necessarily correspond to</w:t>
      </w:r>
      <w:r>
        <w:t xml:space="preserve"> </w:t>
      </w:r>
      <w:r>
        <w:t xml:space="preserve">the lowest points on the curve, which might result in overall higher costs.</w:t>
      </w:r>
      <w:r>
        <w:t xml:space="preserve"> </w:t>
      </w:r>
      <w:r>
        <w:t xml:space="preserve">Figure 8: Marginal Abatement Cost Curve</w:t>
      </w:r>
      <w:r>
        <w:t xml:space="preserve"> </w:t>
      </w:r>
      <w:r>
        <w:t xml:space="preserve">Source: Öko-Institut55</w:t>
      </w:r>
      <w:r>
        <w:t xml:space="preserve"> </w:t>
      </w:r>
      <w:r>
        <w:t xml:space="preserve">Cap-and-trade systems such as the EU ETS combine the advantages of quality control with</w:t>
      </w:r>
      <w:r>
        <w:t xml:space="preserve"> </w:t>
      </w:r>
      <w:r>
        <w:t xml:space="preserve">market flexibility. The Directive sets a total cap on emissions from covered sectors and</w:t>
      </w:r>
      <w:r>
        <w:t xml:space="preserve"> </w:t>
      </w:r>
      <w:r>
        <w:t xml:space="preserve">distributes allowances, which firms may trade, ensuring that reductions occur where they are</w:t>
      </w:r>
      <w:r>
        <w:t xml:space="preserve"> </w:t>
      </w:r>
      <w:r>
        <w:t xml:space="preserve">cheapest. In theory, according to Stavins (2022)56, if taxes and trading are designed</w:t>
      </w:r>
    </w:p>
    <w:p>
      <w:pPr>
        <w:pStyle w:val="BodyText"/>
      </w:pPr>
      <w:r>
        <w:t xml:space="preserve">55 Öko-Institut, 2010. “Greenhouse gas emissions trading and complementary policies. Developing a smart mix</w:t>
      </w:r>
      <w:r>
        <w:t xml:space="preserve"> </w:t>
      </w:r>
      <w:r>
        <w:t xml:space="preserve">for ambitious climate policies”. Developing an ambitious climate policy mix</w:t>
      </w:r>
      <w:r>
        <w:t xml:space="preserve"> </w:t>
      </w:r>
      <w:r>
        <w:t xml:space="preserve">56</w:t>
      </w:r>
      <w:r>
        <w:t xml:space="preserve"> </w:t>
      </w:r>
      <w:r>
        <w:t xml:space="preserve">Stavins, Robert N., 2022. “The Relative Merits of Carbon Pricing Instruments: Taxes versus Trading”.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Economics</w:t>
      </w:r>
      <w:r>
        <w:t xml:space="preserve"> </w:t>
      </w:r>
      <w:r>
        <w:t xml:space="preserve">and</w:t>
      </w:r>
      <w:r>
        <w:t xml:space="preserve"> </w:t>
      </w:r>
      <w:r>
        <w:t xml:space="preserve">Policy</w:t>
      </w:r>
      <w:r>
        <w:t xml:space="preserve"> </w:t>
      </w:r>
      <w:r>
        <w:t xml:space="preserve">16,</w:t>
      </w:r>
      <w:r>
        <w:t xml:space="preserve"> </w:t>
      </w:r>
      <w:r>
        <w:t xml:space="preserve">no.</w:t>
      </w:r>
      <w:r>
        <w:t xml:space="preserve"> </w:t>
      </w:r>
      <w:r>
        <w:t xml:space="preserve">1</w:t>
      </w:r>
      <w:r>
        <w:t xml:space="preserve"> </w:t>
      </w:r>
      <w:r>
        <w:t xml:space="preserve">(2022):</w:t>
      </w:r>
      <w:r>
        <w:t xml:space="preserve"> </w:t>
      </w:r>
      <w:r>
        <w:t xml:space="preserve">1-21.</w:t>
      </w:r>
      <w:r>
        <w:t xml:space="preserve"> </w:t>
      </w:r>
      <w:r>
        <w:t xml:space="preserve">ttps://www.journals.uchicago.edu/doi/abs/10.1086/717773.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equivalently, they yield the same marginal incentives and aggregate abatement costs. In</w:t>
      </w:r>
      <w:r>
        <w:t xml:space="preserve"> </w:t>
      </w:r>
      <w:r>
        <w:t xml:space="preserve">practice, experience shows that emissions trading has instead achieved larger cost savings</w:t>
      </w:r>
      <w:r>
        <w:t xml:space="preserve"> </w:t>
      </w:r>
      <w:r>
        <w:t xml:space="preserve">compared to command-and-control rules, as in the US SO2 programme57, and that the EU ETS</w:t>
      </w:r>
      <w:r>
        <w:t xml:space="preserve"> </w:t>
      </w:r>
      <w:r>
        <w:t xml:space="preserve">itself has delivered substantial reductions at moderate cost once early design flaws were</w:t>
      </w:r>
      <w:r>
        <w:t xml:space="preserve"> </w:t>
      </w:r>
      <w:r>
        <w:t xml:space="preserve">corrected. Chen &amp; al (2020)58 similarly finds that cap-and-trade can reduce emissions more</w:t>
      </w:r>
      <w:r>
        <w:t xml:space="preserve"> </w:t>
      </w:r>
      <w:r>
        <w:t xml:space="preserve">effectively than a carbon tax when allowance prices are robust, while rewarding firms that</w:t>
      </w:r>
      <w:r>
        <w:t xml:space="preserve"> </w:t>
      </w:r>
      <w:r>
        <w:t xml:space="preserve">develop or adopt cleaner technologies.</w:t>
      </w:r>
      <w:r>
        <w:t xml:space="preserve"> </w:t>
      </w:r>
      <w:r>
        <w:t xml:space="preserve">The efficiency of the EU ETS has been shaped by its market design. Initial over-allocation of</w:t>
      </w:r>
      <w:r>
        <w:t xml:space="preserve"> </w:t>
      </w:r>
      <w:r>
        <w:t xml:space="preserve">permits and price volatility limited abatement incentives in the initial phases. Recognising these</w:t>
      </w:r>
      <w:r>
        <w:t xml:space="preserve"> </w:t>
      </w:r>
      <w:r>
        <w:t xml:space="preserve">shortcomings, the EU gradually improved the ETS. From Phase III onwards, substantial</w:t>
      </w:r>
      <w:r>
        <w:t xml:space="preserve"> </w:t>
      </w:r>
      <w:r>
        <w:t xml:space="preserve">reforms were introduced to improve market functioning and to ensure the credibility of the</w:t>
      </w:r>
      <w:r>
        <w:t xml:space="preserve"> </w:t>
      </w:r>
      <w:r>
        <w:t xml:space="preserve">price signal. Notably, the system moved from decentralised allocation to a centralised EU-wide</w:t>
      </w:r>
      <w:r>
        <w:t xml:space="preserve"> </w:t>
      </w:r>
      <w:r>
        <w:t xml:space="preserve">cap, tightened the supply of allowances, introduced benchmarking for free allocation based on</w:t>
      </w:r>
      <w:r>
        <w:t xml:space="preserve"> </w:t>
      </w:r>
      <w:r>
        <w:t xml:space="preserve">the most efficient installations, and made auctioning the default method for allocating</w:t>
      </w:r>
      <w:r>
        <w:t xml:space="preserve"> </w:t>
      </w:r>
      <w:r>
        <w:t xml:space="preserve">allowances. The 2018 revision of the EU ETS reinforced this outcome by tightening the</w:t>
      </w:r>
      <w:r>
        <w:t xml:space="preserve"> </w:t>
      </w:r>
      <w:r>
        <w:t xml:space="preserve">emissions cap, integrating the MSR to address surplus and price volatility (see Section 4.1.2),</w:t>
      </w:r>
      <w:r>
        <w:t xml:space="preserve"> </w:t>
      </w:r>
      <w:r>
        <w:t xml:space="preserve">and further shifting from free allocation to auctioning and better targeting the allowances still</w:t>
      </w:r>
      <w:r>
        <w:t xml:space="preserve"> </w:t>
      </w:r>
      <w:r>
        <w:t xml:space="preserve">allocated for free, thus improving the carbon price signal and allocative efficiency. The system</w:t>
      </w:r>
      <w:r>
        <w:t xml:space="preserve"> </w:t>
      </w:r>
      <w:r>
        <w:t xml:space="preserve">has also induced innovation and emissions reduction in power generation and industrial</w:t>
      </w:r>
      <w:r>
        <w:t xml:space="preserve"> </w:t>
      </w:r>
      <w:r>
        <w:t xml:space="preserve">processes, an outcome that rigid standards rarely achieve and that carbon taxes have</w:t>
      </w:r>
      <w:r>
        <w:t xml:space="preserve"> </w:t>
      </w:r>
      <w:r>
        <w:t xml:space="preserve">encouraged only when rates were high and predictable59.</w:t>
      </w:r>
      <w:r>
        <w:br/>
      </w:r>
      <w:r>
        <w:t xml:space="preserve">Carbon taxes retain certain advantage, namely offering predictable marginal costs and a simpler</w:t>
      </w:r>
      <w:r>
        <w:t xml:space="preserve"> </w:t>
      </w:r>
      <w:r>
        <w:t xml:space="preserve">legal structure and avoiding the price volatility sometimes seen in allowance markets. Taxes</w:t>
      </w:r>
      <w:r>
        <w:t xml:space="preserve"> </w:t>
      </w:r>
      <w:r>
        <w:t xml:space="preserve">can also raise stable revenue without the complexity of allowance auctions or registries.</w:t>
      </w:r>
      <w:r>
        <w:t xml:space="preserve"> </w:t>
      </w:r>
      <w:r>
        <w:t xml:space="preserve">However, they do not guarantee emissions reduction, and their rates are often diluted for</w:t>
      </w:r>
      <w:r>
        <w:t xml:space="preserve"> </w:t>
      </w:r>
      <w:r>
        <w:t xml:space="preserve">competitiveness or equity reasons, which undermines efficiency. Command-and-control</w:t>
      </w:r>
      <w:r>
        <w:t xml:space="preserve"> </w:t>
      </w:r>
      <w:r>
        <w:t xml:space="preserve">measures remain important where market failures or information problems prevent efficient</w:t>
      </w:r>
      <w:r>
        <w:t xml:space="preserve"> </w:t>
      </w:r>
      <w:r>
        <w:t xml:space="preserve">market responses, but they are widely recognised as inferior as a primary climate instrument</w:t>
      </w:r>
      <w:r>
        <w:t xml:space="preserve"> </w:t>
      </w:r>
      <w:r>
        <w:t xml:space="preserve">because they do not have the cost-minimising potential of trading or taxing60.</w:t>
      </w:r>
      <w:r>
        <w:t xml:space="preserve"> </w:t>
      </w:r>
      <w:r>
        <w:t xml:space="preserve">Overall, the existing evidence from both theoretical and empirical studies suggests that the EU</w:t>
      </w:r>
      <w:r>
        <w:t xml:space="preserve"> </w:t>
      </w:r>
      <w:r>
        <w:t xml:space="preserve">ETS has delivered significant efficiency gains compared with prescriptive regulation and has</w:t>
      </w:r>
      <w:r>
        <w:t xml:space="preserve"> </w:t>
      </w:r>
      <w:r>
        <w:t xml:space="preserve">matched, and often exceeded, the cost-effectiveness of taxation. By aligning abatement across</w:t>
      </w:r>
    </w:p>
    <w:p>
      <w:pPr>
        <w:pStyle w:val="BodyText"/>
      </w:pPr>
      <w:r>
        <w:t xml:space="preserve">57 The sulphur dioxide (SO2) allowance-trading programme established under Title IV of the 1990 Clean Air</w:t>
      </w:r>
      <w:r>
        <w:t xml:space="preserve"> </w:t>
      </w:r>
      <w:r>
        <w:t xml:space="preserve">Act Amendments (CAAA) was the world’s first large-scale pollutant cap-and-trade system. The stated</w:t>
      </w:r>
      <w:r>
        <w:t xml:space="preserve"> </w:t>
      </w:r>
      <w:r>
        <w:t xml:space="preserve">purpose of the Acid Rain Program was to reduce total annual SO2 emissions in the US by ten million tons</w:t>
      </w:r>
      <w:r>
        <w:t xml:space="preserve"> </w:t>
      </w:r>
      <w:r>
        <w:t xml:space="preserve">relative to 1980, when total US emissions were about 26 million tons. In a departure from conventional</w:t>
      </w:r>
      <w:r>
        <w:t xml:space="preserve"> </w:t>
      </w:r>
      <w:r>
        <w:t xml:space="preserve">environmental regulation, the legislation did not prescribe how power plants would reduce their SO2</w:t>
      </w:r>
      <w:r>
        <w:t xml:space="preserve"> </w:t>
      </w:r>
      <w:r>
        <w:t xml:space="preserve">emissions. Instead, with a phase-in beginning in 1995 and culminating in 2000, the statute capped aggregate</w:t>
      </w:r>
      <w:r>
        <w:t xml:space="preserve"> </w:t>
      </w:r>
      <w:r>
        <w:t xml:space="preserve">SO2 emissions at the nation’s 3,200 coal plants and created a market for firms to buy and sell government-</w:t>
      </w:r>
      <w:r>
        <w:t xml:space="preserve"> </w:t>
      </w:r>
      <w:r>
        <w:t xml:space="preserve">issued allowances to emit SO2. By 2007, annual emissions had declined below the programme’s nine-million-</w:t>
      </w:r>
      <w:r>
        <w:t xml:space="preserve"> </w:t>
      </w:r>
      <w:r>
        <w:t xml:space="preserve">ton goal (a 43% reduction from 1990 levels), despite electricity generation from coal-fired power plants</w:t>
      </w:r>
      <w:r>
        <w:t xml:space="preserve"> </w:t>
      </w:r>
      <w:r>
        <w:t xml:space="preserve">increasing more than 26% from 1990-2007 (EPA 2012; EIA 2011). (Stavins, Robert N.</w:t>
      </w:r>
      <w:r>
        <w:t xml:space="preserve"> </w:t>
      </w:r>
      <w:r>
        <w:t xml:space="preserve">“The U.S. Sulphur</w:t>
      </w:r>
      <w:r>
        <w:t xml:space="preserve"> </w:t>
      </w:r>
      <w:r>
        <w:t xml:space="preserve">Dioxide Cap and Trade Programme and Lessons for Climate Policy.”</w:t>
      </w:r>
      <w:r>
        <w:t xml:space="preserve"> </w:t>
      </w:r>
      <w:r>
        <w:t xml:space="preserve">Vox. August 12, 2012.)</w:t>
      </w:r>
      <w:r>
        <w:t xml:space="preserve"> </w:t>
      </w:r>
      <w:r>
        <w:t xml:space="preserve">58 You-hua Chen, Chan Wang, Pu-yan Nie, Zi-rui Chen, 2020 “A clean innovation comparison between carbon</w:t>
      </w:r>
      <w:r>
        <w:t xml:space="preserve"> </w:t>
      </w:r>
      <w:r>
        <w:t xml:space="preserve">tax and cap-and-trade system”, Energy Strategy Reviews, https://doi.org/10.1016/j.esr.2020.100483.</w:t>
      </w:r>
      <w:r>
        <w:t xml:space="preserve"> </w:t>
      </w:r>
      <w:r>
        <w:t xml:space="preserve">59 Ibid</w:t>
      </w:r>
      <w:r>
        <w:t xml:space="preserve"> </w:t>
      </w:r>
      <w:r>
        <w:t xml:space="preserve">60 Stavins, Robert N. (2022)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firms and providing flexibility over time, the Directive has reduced emissions at lower</w:t>
      </w:r>
      <w:r>
        <w:t xml:space="preserve"> </w:t>
      </w:r>
      <w:r>
        <w:t xml:space="preserve">aggregate cost, while also stimulating technological change</w:t>
      </w:r>
      <w:r>
        <w:t xml:space="preserve"> </w:t>
      </w:r>
      <w:r>
        <w:t xml:space="preserve">4.1.1.2.2 To what extent are the costs resulting from the implementation of the</w:t>
      </w:r>
      <w:r>
        <w:t xml:space="preserve"> </w:t>
      </w:r>
      <w:r>
        <w:t xml:space="preserve">Directive proportionate to the changes/effects it has achieved?</w:t>
      </w:r>
      <w:r>
        <w:t xml:space="preserve"> </w:t>
      </w:r>
      <w:r>
        <w:t xml:space="preserve">Cost of free allocation</w:t>
      </w:r>
      <w:r>
        <w:br/>
      </w:r>
      <w:r>
        <w:t xml:space="preserve">The EU ETS has created significant value in the form of allowances by placing a price on the</w:t>
      </w:r>
      <w:r>
        <w:t xml:space="preserve"> </w:t>
      </w:r>
      <w:r>
        <w:t xml:space="preserve">right to pollute. The blue area in Figure 9 provides an estimation of the value of free allocation</w:t>
      </w:r>
      <w:r>
        <w:t xml:space="preserve"> </w:t>
      </w:r>
      <w:r>
        <w:t xml:space="preserve">by multiplying the volume of total free allocation (includes volumes for free allowances</w:t>
      </w:r>
      <w:r>
        <w:t xml:space="preserve"> </w:t>
      </w:r>
      <w:r>
        <w:t xml:space="preserve">allocated under Article 10a(1), Article 10a(7) and Article 10c) for each year by the average</w:t>
      </w:r>
      <w:r>
        <w:t xml:space="preserve"> </w:t>
      </w:r>
      <w:r>
        <w:t xml:space="preserve">annual EEA price. The overall value of the free allocation provided is estimated to be around</w:t>
      </w:r>
      <w:r>
        <w:t xml:space="preserve"> </w:t>
      </w:r>
      <w:r>
        <w:t xml:space="preserve">EUR 195 billion over the 2018-24 period.</w:t>
      </w:r>
      <w:r>
        <w:br/>
      </w:r>
      <w:r>
        <w:t xml:space="preserve">The light green shaded area in Figure 9 shows an estimated value for the allowances used for</w:t>
      </w:r>
      <w:r>
        <w:t xml:space="preserve"> </w:t>
      </w:r>
      <w:r>
        <w:t xml:space="preserve">compliance that were not allocated for free, and this was calculated by subtracting the total</w:t>
      </w:r>
      <w:r>
        <w:t xml:space="preserve"> </w:t>
      </w:r>
      <w:r>
        <w:t xml:space="preserve">verified emissions for the EU-27 by the total free allocation for the EU-27 and then multiplying</w:t>
      </w:r>
      <w:r>
        <w:t xml:space="preserve"> </w:t>
      </w:r>
      <w:r>
        <w:t xml:space="preserve">the difference by the average carbon price for the relevant year based on EEX report data.</w:t>
      </w:r>
      <w:r>
        <w:br/>
      </w:r>
      <w:r>
        <w:t xml:space="preserve">Over the 2018-2024 period, the value of allowances that were assumed to be used for</w:t>
      </w:r>
      <w:r>
        <w:t xml:space="preserve"> </w:t>
      </w:r>
      <w:r>
        <w:t xml:space="preserve">compliance and not allocated for free is estimated to be around EUR 238 billion. The value of</w:t>
      </w:r>
      <w:r>
        <w:t xml:space="preserve"> </w:t>
      </w:r>
      <w:r>
        <w:t xml:space="preserve">the allowances used for compliance that were not allocated for free was then subsequently</w:t>
      </w:r>
      <w:r>
        <w:t xml:space="preserve"> </w:t>
      </w:r>
      <w:r>
        <w:t xml:space="preserve">compared with actual annual data on auctioning revenues from the EEX platform (i.e. refer to</w:t>
      </w:r>
      <w:r>
        <w:t xml:space="preserve"> </w:t>
      </w:r>
      <w:r>
        <w:t xml:space="preserve">the green bars in Figure 9). In practice, operators may not always go to the market for</w:t>
      </w:r>
      <w:r>
        <w:t xml:space="preserve"> </w:t>
      </w:r>
      <w:r>
        <w:t xml:space="preserve">allowances as this will depend on whether they are long or short of allowances and whether</w:t>
      </w:r>
      <w:r>
        <w:t xml:space="preserve"> </w:t>
      </w:r>
      <w:r>
        <w:t xml:space="preserve">they need allowances to cover their emissions (this will vary depending upon the uptake of</w:t>
      </w:r>
      <w:r>
        <w:t xml:space="preserve"> </w:t>
      </w:r>
      <w:r>
        <w:t xml:space="preserve">abatement options as well as external events impacts activity and therefore emissions). The</w:t>
      </w:r>
      <w:r>
        <w:t xml:space="preserve"> </w:t>
      </w:r>
      <w:r>
        <w:t xml:space="preserve">increase in revenues for the auctioning of allowances in recent years has been driven by the</w:t>
      </w:r>
      <w:r>
        <w:t xml:space="preserve"> </w:t>
      </w:r>
      <w:r>
        <w:t xml:space="preserve">strengthening of the carbon price signal over the period.</w:t>
      </w:r>
      <w:r>
        <w:br/>
      </w:r>
      <w:r>
        <w:t xml:space="preserve">In a counterfactual situation whereby all the allowances were auctioned, the value of</w:t>
      </w:r>
      <w:r>
        <w:t xml:space="preserve"> </w:t>
      </w:r>
      <w:r>
        <w:t xml:space="preserve">allowances that were assumed to be used for compliance and not allocated for free over the</w:t>
      </w:r>
      <w:r>
        <w:t xml:space="preserve"> </w:t>
      </w:r>
      <w:r>
        <w:t xml:space="preserve">2018-2024 period would increase to around EUR 433 billion. This valuation assumes that</w:t>
      </w:r>
      <w:r>
        <w:t xml:space="preserve"> </w:t>
      </w:r>
      <w:r>
        <w:t xml:space="preserve">operators do nothing to reduce their exposure to the carbon price, which is unlikely to be the</w:t>
      </w:r>
      <w:r>
        <w:t xml:space="preserve"> </w:t>
      </w:r>
      <w:r>
        <w:t xml:space="preserve">case so the estimation should be viewed as the maximum potential value.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Figure 9: Estimation of the value of allowances compared to actual revenues from auctioning</w:t>
      </w:r>
    </w:p>
    <w:p>
      <w:pPr>
        <w:pStyle w:val="BodyText"/>
      </w:pPr>
      <w:r>
        <w:t xml:space="preserve">Source:</w:t>
      </w:r>
      <w:r>
        <w:br/>
      </w:r>
      <w:r>
        <w:t xml:space="preserve">EEA EU ETS Data viewer (2025), EEX market reports, Own calculation.</w:t>
      </w:r>
      <w:r>
        <w:t xml:space="preserve"> </w:t>
      </w:r>
      <w:r>
        <w:t xml:space="preserve">While free allocation helps shield European industry from competitiveness impacts, it also</w:t>
      </w:r>
      <w:r>
        <w:t xml:space="preserve"> </w:t>
      </w:r>
      <w:r>
        <w:t xml:space="preserve">distorts the carbon price signal by reducing the effective carbon cost faced by firms.6162 Sectors</w:t>
      </w:r>
      <w:r>
        <w:t xml:space="preserve"> </w:t>
      </w:r>
      <w:r>
        <w:t xml:space="preserve">with higher pass-through capacity firms may pass the notional cost of allowances to consumers</w:t>
      </w:r>
      <w:r>
        <w:t xml:space="preserve"> </w:t>
      </w:r>
      <w:r>
        <w:t xml:space="preserve">while still receiving them for free, leading to windfall profits rather than actual emissions</w:t>
      </w:r>
      <w:r>
        <w:t xml:space="preserve"> </w:t>
      </w:r>
      <w:r>
        <w:t xml:space="preserve">reductions or innovation. A report by CE Delft63 identified cost pass through to be the largest</w:t>
      </w:r>
      <w:r>
        <w:t xml:space="preserve"> </w:t>
      </w:r>
      <w:r>
        <w:t xml:space="preserve">driver of windfall profits, with an estimated EUR 26-46 billion after adjusting for market share</w:t>
      </w:r>
      <w:r>
        <w:t xml:space="preserve"> </w:t>
      </w:r>
      <w:r>
        <w:t xml:space="preserve">losses. This study shows that in almost all sectors, the additional profits from cost pass through</w:t>
      </w:r>
      <w:r>
        <w:t xml:space="preserve"> </w:t>
      </w:r>
      <w:r>
        <w:t xml:space="preserve">largely outweighed any loss in profits due to reduced market share. The iron and steel,</w:t>
      </w:r>
      <w:r>
        <w:t xml:space="preserve"> </w:t>
      </w:r>
      <w:r>
        <w:t xml:space="preserve">refineries and cement sectors accrued respectively EUR 16 billion, EUR 12 billion, and EUR</w:t>
      </w:r>
      <w:r>
        <w:t xml:space="preserve"> </w:t>
      </w:r>
      <w:r>
        <w:t xml:space="preserve">7 billion of windfall profits from carbon cost pass through64.</w:t>
      </w:r>
      <w:r>
        <w:br/>
      </w:r>
      <w:r>
        <w:t xml:space="preserve">Although cost pass through helps internalise the cost of carbon, windfall profits arising from</w:t>
      </w:r>
      <w:r>
        <w:t xml:space="preserve"> </w:t>
      </w:r>
      <w:r>
        <w:t xml:space="preserve">free allocation do not necessarily contribute to decarbonisation. Free allocation is considered</w:t>
      </w:r>
      <w:r>
        <w:t xml:space="preserve"> </w:t>
      </w:r>
      <w:r>
        <w:t xml:space="preserve">to be the primary cause of windfall profits under the ETS. As the system matures, a reduction</w:t>
      </w:r>
      <w:r>
        <w:t xml:space="preserve"> </w:t>
      </w:r>
      <w:r>
        <w:t xml:space="preserve">in free allowances, combined with increased auctioning and the full implementation of the EU</w:t>
      </w:r>
      <w:r>
        <w:t xml:space="preserve"> </w:t>
      </w:r>
      <w:r>
        <w:t xml:space="preserve">CBAM is expected to reduce these undue rents and improve the system’s effectiveness, while</w:t>
      </w:r>
      <w:r>
        <w:t xml:space="preserve"> </w:t>
      </w:r>
      <w:r>
        <w:t xml:space="preserve">still shielding industries from international competition. The extent to which the cost of free</w:t>
      </w:r>
      <w:r>
        <w:t xml:space="preserve"> </w:t>
      </w:r>
      <w:r>
        <w:t xml:space="preserve">allocation is considered proportionate will ultimately depend on whether free allocation</w:t>
      </w:r>
      <w:r>
        <w:t xml:space="preserve"> </w:t>
      </w:r>
      <w:r>
        <w:t xml:space="preserve">prevented the relocation of industry due to carbon pricing. There is not yet firm evidence of</w:t>
      </w:r>
    </w:p>
    <w:p>
      <w:pPr>
        <w:pStyle w:val="BodyText"/>
      </w:pPr>
      <w:r>
        <w:t xml:space="preserve">61 Nguyen, P.-V. and Pellerin-Carlin T. (2021)</w:t>
      </w:r>
      <w:r>
        <w:br/>
      </w:r>
      <w:r>
        <w:t xml:space="preserve">62 Scotti, F., Flori, A., Crescenzi, R., &amp; Pammolli, F., 2025. “Demand-pull and technology-push environmental</w:t>
      </w:r>
      <w:r>
        <w:t xml:space="preserve"> </w:t>
      </w:r>
      <w:r>
        <w:t xml:space="preserve">innovation: a policy mix analysis on EU ETS and EU Cohesion Policy”. Climate Policy, 25(2), 153–170.</w:t>
      </w:r>
      <w:r>
        <w:t xml:space="preserve"> </w:t>
      </w:r>
      <w:r>
        <w:t xml:space="preserve">https://doi.org/10.1080/14693062.2024.2366894</w:t>
      </w:r>
      <w:r>
        <w:t xml:space="preserve"> </w:t>
      </w:r>
      <w:r>
        <w:t xml:space="preserve">63 Additional profits of sectors and firms from the EU ETS 2008-2019, Delft, CE Delft, May 2021</w:t>
      </w:r>
      <w:r>
        <w:br/>
      </w:r>
      <w:r>
        <w:t xml:space="preserve">64 However, the cost pass through rates applied in the CE Delft study were based on a range of literature sources</w:t>
      </w:r>
      <w:r>
        <w:t xml:space="preserve"> </w:t>
      </w:r>
      <w:r>
        <w:t xml:space="preserve">that are not accepted by industrial sectors who argued strongly during the stakeholder consultation that their</w:t>
      </w:r>
      <w:r>
        <w:t xml:space="preserve"> </w:t>
      </w:r>
      <w:r>
        <w:t xml:space="preserve">ability to pass through costs were very limited.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carbon leakage occurring at a large scale (refer to Section 8.3.4.1) and industrial stakeholders</w:t>
      </w:r>
      <w:r>
        <w:t xml:space="preserve"> </w:t>
      </w:r>
      <w:r>
        <w:t xml:space="preserve">have also frequently noted during interviews undertaken for the evaluation of the importance</w:t>
      </w:r>
      <w:r>
        <w:t xml:space="preserve"> </w:t>
      </w:r>
      <w:r>
        <w:t xml:space="preserve">of free allocation in limiting the relocation of industry due to carbon pricing.</w:t>
      </w:r>
      <w:r>
        <w:t xml:space="preserve"> </w:t>
      </w:r>
      <w:r>
        <w:t xml:space="preserve">Costs and benefits for different stakeholders - Member States, industry sectors and SMEs</w:t>
      </w:r>
      <w:r>
        <w:t xml:space="preserve"> </w:t>
      </w:r>
      <w:r>
        <w:t xml:space="preserve">The distribution of costs and benefits under the EU ETS varies across Member States, industry</w:t>
      </w:r>
      <w:r>
        <w:t xml:space="preserve"> </w:t>
      </w:r>
      <w:r>
        <w:t xml:space="preserve">sectors, and firm sizes. Member States bear administrative costs related to the operation of</w:t>
      </w:r>
      <w:r>
        <w:t xml:space="preserve"> </w:t>
      </w:r>
      <w:r>
        <w:t xml:space="preserve">national registries, MRV systems, enforcement, and the allocation and auctioning of</w:t>
      </w:r>
      <w:r>
        <w:t xml:space="preserve"> </w:t>
      </w:r>
      <w:r>
        <w:t xml:space="preserve">allowances. At the same time, Member States receive most of the revenues from the auctioning</w:t>
      </w:r>
      <w:r>
        <w:t xml:space="preserve"> </w:t>
      </w:r>
      <w:r>
        <w:t xml:space="preserve">of allowances, which governments can reinvest in climate and energy programmes. Regulated</w:t>
      </w:r>
      <w:r>
        <w:t xml:space="preserve"> </w:t>
      </w:r>
      <w:r>
        <w:t xml:space="preserve">industries face compliance obligations, as they must monitor emissions, surrender allowances,</w:t>
      </w:r>
      <w:r>
        <w:t xml:space="preserve"> </w:t>
      </w:r>
      <w:r>
        <w:t xml:space="preserve">and bear the cost of purchasing permits if free allocation is insufficient. Energy-intensive or</w:t>
      </w:r>
      <w:r>
        <w:t xml:space="preserve"> </w:t>
      </w:r>
      <w:r>
        <w:t xml:space="preserve">trade-exposed sectors often benefit from free allocation, and/or cost compensation for indirect</w:t>
      </w:r>
      <w:r>
        <w:t xml:space="preserve"> </w:t>
      </w:r>
      <w:r>
        <w:t xml:space="preserve">carbon costs, helping to mitigate the competitiveness risks and to reduce the cost imposed on</w:t>
      </w:r>
      <w:r>
        <w:t xml:space="preserve"> </w:t>
      </w:r>
      <w:r>
        <w:t xml:space="preserve">firms. Larger companies can take advantage of economies of scales to spread additional costs,</w:t>
      </w:r>
      <w:r>
        <w:t xml:space="preserve"> </w:t>
      </w:r>
      <w:r>
        <w:t xml:space="preserve">including reporting costs caused by MRV compliance, across greater output, hedge against</w:t>
      </w:r>
      <w:r>
        <w:t xml:space="preserve"> </w:t>
      </w:r>
      <w:r>
        <w:t xml:space="preserve">allowance price volatility, and invest in efficiency or fuel-switching technologies to reduce</w:t>
      </w:r>
      <w:r>
        <w:t xml:space="preserve"> </w:t>
      </w:r>
      <w:r>
        <w:t xml:space="preserve">their emissions and thus the cost of complying with the Directive. SMEs typically face</w:t>
      </w:r>
      <w:r>
        <w:t xml:space="preserve"> </w:t>
      </w:r>
      <w:r>
        <w:t xml:space="preserve">proportionally higher compliance costs because MRV compliance may need to be outsourced</w:t>
      </w:r>
      <w:r>
        <w:t xml:space="preserve"> </w:t>
      </w:r>
      <w:r>
        <w:t xml:space="preserve">and capital for low-carbon investment is generally scarcer. SMEs might gain from ETS</w:t>
      </w:r>
      <w:r>
        <w:t xml:space="preserve"> </w:t>
      </w:r>
      <w:r>
        <w:t xml:space="preserve">flexibility and provisions for smaller firms. SMEs can choose the lowest-cost abatement</w:t>
      </w:r>
      <w:r>
        <w:t xml:space="preserve"> </w:t>
      </w:r>
      <w:r>
        <w:t xml:space="preserve">options, bank or sell surplus allowances if they reduce emissions below their cap, and, in some</w:t>
      </w:r>
      <w:r>
        <w:t xml:space="preserve"> </w:t>
      </w:r>
      <w:r>
        <w:t xml:space="preserve">cases, obtain free allocations or apply for EU or national funds (e.g., Innovation Fund) financed</w:t>
      </w:r>
      <w:r>
        <w:t xml:space="preserve"> </w:t>
      </w:r>
      <w:r>
        <w:t xml:space="preserve">by auction revenues. These elements offer opportunities to offset part of the administrative</w:t>
      </w:r>
      <w:r>
        <w:t xml:space="preserve"> </w:t>
      </w:r>
      <w:r>
        <w:t xml:space="preserve">burden, although access depends on sector eligibility and the firm’s capacity to engage with</w:t>
      </w:r>
      <w:r>
        <w:t xml:space="preserve"> </w:t>
      </w:r>
      <w:r>
        <w:t xml:space="preserve">support mechanisms. At EU level, the European Commission bears administrative and</w:t>
      </w:r>
      <w:r>
        <w:t xml:space="preserve"> </w:t>
      </w:r>
      <w:r>
        <w:t xml:space="preserve">analytical costs associated with the period review of benchmarks and the preparation of the</w:t>
      </w:r>
      <w:r>
        <w:t xml:space="preserve"> </w:t>
      </w:r>
      <w:r>
        <w:t xml:space="preserve">carbon leakage list, as well as for the maintenance and security of the Union Registry. The</w:t>
      </w:r>
      <w:r>
        <w:t xml:space="preserve"> </w:t>
      </w:r>
      <w:r>
        <w:t xml:space="preserve">2018 revision increased these responsibilities by expanding the scope of benchmarking and</w:t>
      </w:r>
      <w:r>
        <w:t xml:space="preserve"> </w:t>
      </w:r>
      <w:r>
        <w:t xml:space="preserve">carbon leakage assessment.</w:t>
      </w:r>
      <w:r>
        <w:t xml:space="preserve"> </w:t>
      </w:r>
      <w:r>
        <w:t xml:space="preserve">Evidence from the Open Public Consultation (available in Annex 2 of the Impact Assessment)</w:t>
      </w:r>
      <w:r>
        <w:t xml:space="preserve"> </w:t>
      </w:r>
      <w:r>
        <w:t xml:space="preserve">shows that most respondents consider the overall cost of implementing the EU ETS to be</w:t>
      </w:r>
      <w:r>
        <w:t xml:space="preserve"> </w:t>
      </w:r>
      <w:r>
        <w:t xml:space="preserve">moderate or good compared with the environmental and market outcomes, although a sizeable</w:t>
      </w:r>
      <w:r>
        <w:t xml:space="preserve"> </w:t>
      </w:r>
      <w:r>
        <w:t xml:space="preserve">minority, especially smaller operators and energy-intensive industries view administrative</w:t>
      </w:r>
      <w:r>
        <w:t xml:space="preserve"> </w:t>
      </w:r>
      <w:r>
        <w:t xml:space="preserve">requirements as burdensome. These perceptions are echoed in the targeted operator survey on</w:t>
      </w:r>
      <w:r>
        <w:t xml:space="preserve"> </w:t>
      </w:r>
      <w:r>
        <w:t xml:space="preserve">free allocation, which found that, compared with Phase III, most installations reported either</w:t>
      </w:r>
      <w:r>
        <w:t xml:space="preserve"> </w:t>
      </w:r>
      <w:r>
        <w:t xml:space="preserve">slightly or significant higher administrative costs when applying for free allocation in Phase</w:t>
      </w:r>
      <w:r>
        <w:t xml:space="preserve"> </w:t>
      </w:r>
      <w:r>
        <w:t xml:space="preserve">IV. The increase was most frequently mentioned by combustion, lime/dolomite, ceramics, and</w:t>
      </w:r>
      <w:r>
        <w:t xml:space="preserve"> </w:t>
      </w:r>
      <w:r>
        <w:t xml:space="preserve">other energy-intensive sectors. Across company sizes, most respondents reported an increase</w:t>
      </w:r>
      <w:r>
        <w:t xml:space="preserve"> </w:t>
      </w:r>
      <w:r>
        <w:t xml:space="preserve">in administrative and compliance costs, but larger installations (&gt;500), which are the most</w:t>
      </w:r>
      <w:r>
        <w:t xml:space="preserve"> </w:t>
      </w:r>
      <w:r>
        <w:t xml:space="preserve">represented size in the survey in terms of responses, more often indicated that costs had</w:t>
      </w:r>
      <w:r>
        <w:t xml:space="preserve"> </w:t>
      </w:r>
      <w:r>
        <w:t xml:space="preserve">increased significantly, while micro-operators (&lt;10 employees) were more likely to either</w:t>
      </w:r>
      <w:r>
        <w:t xml:space="preserve"> </w:t>
      </w:r>
      <w:r>
        <w:t xml:space="preserve">report a slight increase or being unsure.</w:t>
      </w:r>
      <w:r>
        <w:br/>
      </w:r>
      <w:r>
        <w:t xml:space="preserve">In addition to the public consultation, analysis of SME coverage by EU ETS was conducted</w:t>
      </w:r>
      <w:r>
        <w:t xml:space="preserve"> </w:t>
      </w:r>
      <w:r>
        <w:t xml:space="preserve">using the Orbis database (a commercial database that contains economic and financial data on</w:t>
      </w:r>
      <w:r>
        <w:t xml:space="preserve"> </w:t>
      </w:r>
      <w:r>
        <w:t xml:space="preserve">around 600 million companies worldwide) and an ETS matching tool developed by the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European Commission65. This analysis identified companies in the database that are operators</w:t>
      </w:r>
      <w:r>
        <w:t xml:space="preserve"> </w:t>
      </w:r>
      <w:r>
        <w:t xml:space="preserve">of ETS installations, and identified which of these were SMEs, using the official European</w:t>
      </w:r>
      <w:r>
        <w:t xml:space="preserve"> </w:t>
      </w:r>
      <w:r>
        <w:t xml:space="preserve">Commission definitions66. Micro enterprises have fewer than 10 employees and a turnover, or</w:t>
      </w:r>
      <w:r>
        <w:t xml:space="preserve"> </w:t>
      </w:r>
      <w:r>
        <w:t xml:space="preserve">a balance sheet total not exceeding EUR 2 million; small enterprises have fewer than 50</w:t>
      </w:r>
      <w:r>
        <w:t xml:space="preserve"> </w:t>
      </w:r>
      <w:r>
        <w:t xml:space="preserve">employees and a turnover, or a balance sheet total up to EUR 10 million; and medium-sized</w:t>
      </w:r>
      <w:r>
        <w:t xml:space="preserve"> </w:t>
      </w:r>
      <w:r>
        <w:t xml:space="preserve">enterprises have fewer than 250 employees, with a turnover not exceeding EUR 50 million or</w:t>
      </w:r>
      <w:r>
        <w:t xml:space="preserve"> </w:t>
      </w:r>
      <w:r>
        <w:t xml:space="preserve">a balance sheet total not exceeding EUR 43 million. The Orbis database has known limitations</w:t>
      </w:r>
      <w:r>
        <w:t xml:space="preserve"> </w:t>
      </w:r>
      <w:r>
        <w:t xml:space="preserve">(in particular under-representation of small firms and uneven representation across countries)</w:t>
      </w:r>
      <w:r>
        <w:t xml:space="preserve"> </w:t>
      </w:r>
      <w:r>
        <w:t xml:space="preserve">but was nevertheless considered the best tool available for conducting analysis of the corporate</w:t>
      </w:r>
      <w:r>
        <w:t xml:space="preserve"> </w:t>
      </w:r>
      <w:r>
        <w:t xml:space="preserve">structure of ETS operators (as opposed to the size of their installations).</w:t>
      </w:r>
      <w:r>
        <w:t xml:space="preserve"> </w:t>
      </w:r>
      <w:r>
        <w:t xml:space="preserve">The analysis identified 7,685 operators of stationary ETS installations and found that 26% of</w:t>
      </w:r>
      <w:r>
        <w:t xml:space="preserve"> </w:t>
      </w:r>
      <w:r>
        <w:t xml:space="preserve">these were SMEs. Most of these were medium-sized enterprises (19%) rather than small (6%)</w:t>
      </w:r>
      <w:r>
        <w:t xml:space="preserve"> </w:t>
      </w:r>
      <w:r>
        <w:t xml:space="preserve">or micro (2%). It also found that the ceramics sector had the highest proportion of SMEs, in</w:t>
      </w:r>
      <w:r>
        <w:t xml:space="preserve"> </w:t>
      </w:r>
      <w:r>
        <w:t xml:space="preserve">particular micro and small enterprises, as Figure 10 shows.</w:t>
      </w:r>
      <w:r>
        <w:t xml:space="preserve"> </w:t>
      </w:r>
      <w:r>
        <w:t xml:space="preserve">Figure 10: Number of ETS operators per sector and company size identified in Orbis analysis</w:t>
      </w:r>
    </w:p>
    <w:p>
      <w:pPr>
        <w:pStyle w:val="BodyText"/>
      </w:pPr>
      <w:r>
        <w:t xml:space="preserve">Source: Own calculation</w:t>
      </w:r>
      <w:r>
        <w:t xml:space="preserve"> </w:t>
      </w:r>
      <w:r>
        <w:t xml:space="preserve">To improve the proportionality and reduce compliance costs across stakeholder groups, the</w:t>
      </w:r>
      <w:r>
        <w:t xml:space="preserve"> </w:t>
      </w:r>
      <w:r>
        <w:t xml:space="preserve">2018 ETS Directive introduced targeted interventions addressing administrative and financial</w:t>
      </w:r>
      <w:r>
        <w:t xml:space="preserve"> </w:t>
      </w:r>
      <w:r>
        <w:t xml:space="preserve">burdens. Article 10(4) requires that auctioning rules guarantee full, fair, and equitable access</w:t>
      </w:r>
      <w:r>
        <w:t xml:space="preserve"> </w:t>
      </w:r>
      <w:r>
        <w:t xml:space="preserve">for SMEs and small emitters and ensure that participation remains cost-efficient and does not</w:t>
      </w:r>
      <w:r>
        <w:t xml:space="preserve"> </w:t>
      </w:r>
      <w:r>
        <w:t xml:space="preserve">impose undue administrative costs. Article 27a(1) further allows Member States to exclude</w:t>
      </w:r>
      <w:r>
        <w:t xml:space="preserve"> </w:t>
      </w:r>
      <w:r>
        <w:t xml:space="preserve">very small installations from the ETS, namely those emitting less than 2500 tonne/CO2-eq</w:t>
      </w:r>
      <w:r>
        <w:t xml:space="preserve"> </w:t>
      </w:r>
      <w:r>
        <w:t xml:space="preserve">annually, or operating for less than 300 hours per year, provided that adequate measures are in</w:t>
      </w:r>
    </w:p>
    <w:p>
      <w:pPr>
        <w:pStyle w:val="BodyText"/>
      </w:pPr>
      <w:r>
        <w:t xml:space="preserve">65 European Commission, “Matching the EU Transaction Log to the Orbis database” https://single-market-</w:t>
      </w:r>
      <w:r>
        <w:t xml:space="preserve"> </w:t>
      </w:r>
      <w:r>
        <w:t xml:space="preserve">economy.ec.europa.eu/single-market/chief-economist-business-intelligence-unit/analytical-work/single-</w:t>
      </w:r>
      <w:r>
        <w:t xml:space="preserve"> </w:t>
      </w:r>
      <w:r>
        <w:t xml:space="preserve">market-industry-and-competitiveness/matching-eu-transaction-log-orbis-database_en</w:t>
      </w:r>
      <w:r>
        <w:t xml:space="preserve"> </w:t>
      </w:r>
      <w:r>
        <w:t xml:space="preserve">66 Commission Recommendation of 6 May 2003 concerning the definition of micro, small and medium-sized</w:t>
      </w:r>
      <w:r>
        <w:t xml:space="preserve"> </w:t>
      </w:r>
      <w:r>
        <w:t xml:space="preserve">enterprises. ELI: http://data.europa.eu/eli/reco/2003/361/oj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place, and thus avoiding disproportionate compliance costs. Introduced prior to the 2018</w:t>
      </w:r>
      <w:r>
        <w:t xml:space="preserve"> </w:t>
      </w:r>
      <w:r>
        <w:t xml:space="preserve">revision, Article 27(1) continues to allow Member States to exclude installations emitting less</w:t>
      </w:r>
      <w:r>
        <w:t xml:space="preserve"> </w:t>
      </w:r>
      <w:r>
        <w:t xml:space="preserve">than 25,000 tCO2e per year provided they are subject to equivalent national emission reduction</w:t>
      </w:r>
      <w:r>
        <w:t xml:space="preserve"> </w:t>
      </w:r>
      <w:r>
        <w:t xml:space="preserve">measures.</w:t>
      </w:r>
      <w:r>
        <w:t xml:space="preserve"> </w:t>
      </w:r>
      <w:r>
        <w:t xml:space="preserve">The Orbis analysis mentioned above was undertaken in 2025, after the 2018 revision. This</w:t>
      </w:r>
      <w:r>
        <w:t xml:space="preserve"> </w:t>
      </w:r>
      <w:r>
        <w:t xml:space="preserve">implies that the SMEs identified are either operating installations with capacities above the</w:t>
      </w:r>
      <w:r>
        <w:t xml:space="preserve"> </w:t>
      </w:r>
      <w:r>
        <w:t xml:space="preserve">thresholds of Art 27 / Art 27a, or that the Member States where they are located have chosen</w:t>
      </w:r>
      <w:r>
        <w:t xml:space="preserve"> </w:t>
      </w:r>
      <w:r>
        <w:t xml:space="preserve">not to exercise the exemptions permitted by these articles.</w:t>
      </w:r>
      <w:r>
        <w:br/>
      </w:r>
      <w:r>
        <w:t xml:space="preserve">Overall, the provisions introduced by the 2018 revision aim to streamline administration,</w:t>
      </w:r>
      <w:r>
        <w:t xml:space="preserve"> </w:t>
      </w:r>
      <w:r>
        <w:t xml:space="preserve">enhance cost-effectiveness, and ensure that the burden of participating in the EU ETS better</w:t>
      </w:r>
      <w:r>
        <w:t xml:space="preserve"> </w:t>
      </w:r>
      <w:r>
        <w:t xml:space="preserve">reflects each stakeholder’s capacity and exposure to competitive pressure.</w:t>
      </w:r>
      <w:r>
        <w:t xml:space="preserve"> </w:t>
      </w:r>
      <w:r>
        <w:t xml:space="preserve">4.1.1.2.3 Has the monitoring, reporting and verification of greenhouse gas</w:t>
      </w:r>
      <w:r>
        <w:t xml:space="preserve"> </w:t>
      </w:r>
      <w:r>
        <w:t xml:space="preserve">emissions covered by the EU ETS been carried out cost effectively and are</w:t>
      </w:r>
      <w:r>
        <w:t xml:space="preserve"> </w:t>
      </w:r>
      <w:r>
        <w:t xml:space="preserve">there any apparent options for simplification with a view to reduce</w:t>
      </w:r>
      <w:r>
        <w:t xml:space="preserve"> </w:t>
      </w:r>
      <w:r>
        <w:t xml:space="preserve">administrative burden on relevant stakeholders?</w:t>
      </w:r>
      <w:r>
        <w:t xml:space="preserve"> </w:t>
      </w:r>
      <w:r>
        <w:t xml:space="preserve">The detailed evaluation of the MRVA system presented in Appendix III, Section 8.4. concludes</w:t>
      </w:r>
      <w:r>
        <w:t xml:space="preserve"> </w:t>
      </w:r>
      <w:r>
        <w:t xml:space="preserve">that MRVA costs are not perceived to have increased significantly between Phase III and Phase</w:t>
      </w:r>
      <w:r>
        <w:t xml:space="preserve"> </w:t>
      </w:r>
      <w:r>
        <w:t xml:space="preserve">IV although reported costs associated with MRVA are higher than previously identified. Based</w:t>
      </w:r>
      <w:r>
        <w:t xml:space="preserve"> </w:t>
      </w:r>
      <w:r>
        <w:t xml:space="preserve">on a standard cost methodology, total costs for all operators of stationary installations range</w:t>
      </w:r>
      <w:r>
        <w:t xml:space="preserve"> </w:t>
      </w:r>
      <w:r>
        <w:t xml:space="preserve">from EUR 0.2 – 0.9 billion per year. When expressed as cost per tonne of emissions, this gives</w:t>
      </w:r>
      <w:r>
        <w:t xml:space="preserve"> </w:t>
      </w:r>
      <w:r>
        <w:t xml:space="preserve">a range of 0.2 to 0.8 euro/tonne CO2.67 These costs per tonne CO2 are higher than in the 2016</w:t>
      </w:r>
      <w:r>
        <w:t xml:space="preserve"> </w:t>
      </w:r>
      <w:r>
        <w:t xml:space="preserve">administrative cost study,68 which gave an average of EUR 0.16 per tonne CO2. This cost</w:t>
      </w:r>
      <w:r>
        <w:t xml:space="preserve"> </w:t>
      </w:r>
      <w:r>
        <w:t xml:space="preserve">increase can be explained by inflation, increases in labour costs and the inclusion of some costs</w:t>
      </w:r>
      <w:r>
        <w:t xml:space="preserve"> </w:t>
      </w:r>
      <w:r>
        <w:t xml:space="preserve">for free allocation in the estimates. However, it is also possible that some efficiencies, for</w:t>
      </w:r>
      <w:r>
        <w:t xml:space="preserve"> </w:t>
      </w:r>
      <w:r>
        <w:t xml:space="preserve">example through implementing standard tools, more harmonisation between Member States</w:t>
      </w:r>
      <w:r>
        <w:t xml:space="preserve"> </w:t>
      </w:r>
      <w:r>
        <w:t xml:space="preserve">and improving guidance, may have been offset by additional requirements in some areas such</w:t>
      </w:r>
      <w:r>
        <w:t xml:space="preserve"> </w:t>
      </w:r>
      <w:r>
        <w:t xml:space="preserve">as those related to the requirement of the operator to demonstrate compliance of biomass fuels</w:t>
      </w:r>
      <w:r>
        <w:t xml:space="preserve"> </w:t>
      </w:r>
      <w:r>
        <w:t xml:space="preserve">with sustainability and greenhouse gas savings criteria laid down in the Renewable Energy</w:t>
      </w:r>
      <w:r>
        <w:t xml:space="preserve"> </w:t>
      </w:r>
      <w:r>
        <w:t xml:space="preserve">Directive. Even though some stakeholders indicated that the requirements related to metering</w:t>
      </w:r>
      <w:r>
        <w:t xml:space="preserve"> </w:t>
      </w:r>
      <w:r>
        <w:t xml:space="preserve">for stationary installations have become more cost intensive, there is no clear reason for that</w:t>
      </w:r>
      <w:r>
        <w:t xml:space="preserve"> </w:t>
      </w:r>
      <w:r>
        <w:t xml:space="preserve">emanating from the regulation. Compared to 2016 the rules on measurement of fuel</w:t>
      </w:r>
      <w:r>
        <w:t xml:space="preserve"> </w:t>
      </w:r>
      <w:r>
        <w:t xml:space="preserve">consumption or material production have not changed significantly. However, these costs</w:t>
      </w:r>
      <w:r>
        <w:t xml:space="preserve"> </w:t>
      </w:r>
      <w:r>
        <w:t xml:space="preserve">remain small per unit of emissions.</w:t>
      </w:r>
      <w:r>
        <w:br/>
      </w:r>
      <w:r>
        <w:t xml:space="preserve">Aircraft operators generally face smaller MRVA costs per unit of emissions than operators of</w:t>
      </w:r>
      <w:r>
        <w:t xml:space="preserve"> </w:t>
      </w:r>
      <w:r>
        <w:t xml:space="preserve">stationary installations, except for verification fees. The relatively more straightforward</w:t>
      </w:r>
      <w:r>
        <w:t xml:space="preserve"> </w:t>
      </w:r>
      <w:r>
        <w:t xml:space="preserve">monitoring and reporting requirements for the aviation sector contribute to lower costs and</w:t>
      </w:r>
      <w:r>
        <w:t xml:space="preserve"> </w:t>
      </w:r>
      <w:r>
        <w:t xml:space="preserve">fewer days staff-time for MRVA activities. Based on 378 active aircraft operators, total costs</w:t>
      </w:r>
      <w:r>
        <w:t xml:space="preserve"> </w:t>
      </w:r>
      <w:r>
        <w:t xml:space="preserve">ranged from EUR 12 – 20 million. With total emissions of the aviation sector of 54 MtCO2 in</w:t>
      </w:r>
      <w:r>
        <w:t xml:space="preserve"> </w:t>
      </w:r>
      <w:r>
        <w:t xml:space="preserve">202369, the costs range from EUR 0.2 - 0.4 per tonne CO2. The fact that verification fees are</w:t>
      </w:r>
      <w:r>
        <w:t xml:space="preserve"> </w:t>
      </w:r>
      <w:r>
        <w:t xml:space="preserve">similar to those for stationary installations is in itself not strange but the fact that the number</w:t>
      </w:r>
      <w:r>
        <w:t xml:space="preserve"> </w:t>
      </w:r>
      <w:r>
        <w:t xml:space="preserve">of days spent on the verification also shows an increase is surprising as the rules in 2023 have</w:t>
      </w:r>
      <w:r>
        <w:t xml:space="preserve"> </w:t>
      </w:r>
      <w:r>
        <w:t xml:space="preserve">not changed significantly since 2016.</w:t>
      </w:r>
    </w:p>
    <w:p>
      <w:pPr>
        <w:pStyle w:val="BodyText"/>
      </w:pPr>
      <w:r>
        <w:t xml:space="preserve">67 Based on total emissions from stationary installations in 2023 taken from Article 21 reporting.</w:t>
      </w:r>
      <w:r>
        <w:br/>
      </w:r>
      <w:r>
        <w:t xml:space="preserve">68 Evaluation of EU ETS Monitoring, Reporting and Verification Administration Costs, 2016</w:t>
      </w:r>
      <w:r>
        <w:br/>
      </w:r>
      <w:r>
        <w:t xml:space="preserve">69 Data provided under Article 21 reporting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While the reported costs for competent authorities responsible for administering MRV</w:t>
      </w:r>
      <w:r>
        <w:t xml:space="preserve"> </w:t>
      </w:r>
      <w:r>
        <w:t xml:space="preserve">procedures are higher than previous studies, with total cost estimates based on survey results</w:t>
      </w:r>
      <w:r>
        <w:t xml:space="preserve"> </w:t>
      </w:r>
      <w:r>
        <w:t xml:space="preserve">are in a range of 7 – 13 million euro,70 these are small relative to MRV costs for operators of</w:t>
      </w:r>
      <w:r>
        <w:t xml:space="preserve"> </w:t>
      </w:r>
      <w:r>
        <w:t xml:space="preserve">stationary installations.</w:t>
      </w:r>
      <w:r>
        <w:br/>
      </w:r>
      <w:r>
        <w:t xml:space="preserve">MRVA costs identified as an issue by both stationary installations and aircraft operators but,</w:t>
      </w:r>
      <w:r>
        <w:t xml:space="preserve"> </w:t>
      </w:r>
      <w:r>
        <w:t xml:space="preserve">for most responding to the survey, they still represent a relatively small proportion of the overall</w:t>
      </w:r>
      <w:r>
        <w:t xml:space="preserve"> </w:t>
      </w:r>
      <w:r>
        <w:t xml:space="preserve">ETS compliance costs. The difference in costs between different types for stationary</w:t>
      </w:r>
      <w:r>
        <w:t xml:space="preserve"> </w:t>
      </w:r>
      <w:r>
        <w:t xml:space="preserve">installations reflect the complexity of the industrial process covered and the level of emissions.</w:t>
      </w:r>
      <w:r>
        <w:t xml:space="preserve"> </w:t>
      </w:r>
      <w:r>
        <w:t xml:space="preserve">Installations in the chemicals, oil refining, and cement sectors generally incur per installation</w:t>
      </w:r>
      <w:r>
        <w:t xml:space="preserve"> </w:t>
      </w:r>
      <w:r>
        <w:t xml:space="preserve">costs above the average. This is likely attributable to the greater complexity of processes and/or</w:t>
      </w:r>
      <w:r>
        <w:t xml:space="preserve"> </w:t>
      </w:r>
      <w:r>
        <w:t xml:space="preserve">higher emission levels typically associated with these sectors. The MRVA requirements for</w:t>
      </w:r>
      <w:r>
        <w:t xml:space="preserve"> </w:t>
      </w:r>
      <w:r>
        <w:t xml:space="preserve">installations in these areas account for both the complexity and scale of operations to ensure</w:t>
      </w:r>
      <w:r>
        <w:t xml:space="preserve"> </w:t>
      </w:r>
      <w:r>
        <w:t xml:space="preserve">accurate emissions reporting and uphold environmental integrity. Using a standard cost</w:t>
      </w:r>
      <w:r>
        <w:t xml:space="preserve"> </w:t>
      </w:r>
      <w:r>
        <w:t xml:space="preserve">approach, the cost per tonne of CO2 for refining and cement sectors are on the lower side</w:t>
      </w:r>
      <w:r>
        <w:t xml:space="preserve"> </w:t>
      </w:r>
      <w:r>
        <w:t xml:space="preserve">because of the higher emissions. Minerals and glass and pulp and paper report relatively high</w:t>
      </w:r>
      <w:r>
        <w:t xml:space="preserve"> </w:t>
      </w:r>
      <w:r>
        <w:t xml:space="preserve">costs per tonne of CO2. In pulp and paper, there are a high percentage of installations that use</w:t>
      </w:r>
      <w:r>
        <w:t xml:space="preserve"> </w:t>
      </w:r>
      <w:r>
        <w:t xml:space="preserve">biomass (50% and 29% respectively)71, which adds complexity to the MRV processes due to</w:t>
      </w:r>
      <w:r>
        <w:t xml:space="preserve"> </w:t>
      </w:r>
      <w:r>
        <w:t xml:space="preserve">the need to demonstrate compliance with the sustainability and greenhouse gas savings criteria</w:t>
      </w:r>
      <w:r>
        <w:t xml:space="preserve"> </w:t>
      </w:r>
      <w:r>
        <w:t xml:space="preserve">laid down in the RED II Directive.</w:t>
      </w:r>
      <w:r>
        <w:t xml:space="preserve"> </w:t>
      </w:r>
      <w:r>
        <w:t xml:space="preserve">Smaller installations bear relatively higher costs per unit of emissions than the larger</w:t>
      </w:r>
      <w:r>
        <w:t xml:space="preserve"> </w:t>
      </w:r>
      <w:r>
        <w:t xml:space="preserve">installations, despite efforts to simplify requirements for these installations. The smallest</w:t>
      </w:r>
      <w:r>
        <w:t xml:space="preserve"> </w:t>
      </w:r>
      <w:r>
        <w:t xml:space="preserve">installations report relatively high equipment costs. The costs per tonne of CO2 decrease as the</w:t>
      </w:r>
      <w:r>
        <w:t xml:space="preserve"> </w:t>
      </w:r>
      <w:r>
        <w:t xml:space="preserve">size of the installation increases, with small installations reporting particularly high costs per</w:t>
      </w:r>
      <w:r>
        <w:t xml:space="preserve"> </w:t>
      </w:r>
      <w:r>
        <w:t xml:space="preserve">tonne. This was also found in the 2016 report on administrative costs, with Category A</w:t>
      </w:r>
      <w:r>
        <w:t xml:space="preserve"> </w:t>
      </w:r>
      <w:r>
        <w:t xml:space="preserve">installations facing costs per tonne CO2 around 50 times that of Category C.7273 In the current</w:t>
      </w:r>
      <w:r>
        <w:t xml:space="preserve"> </w:t>
      </w:r>
      <w:r>
        <w:t xml:space="preserve">study, the difference between these two categories is about the same or narrower depending on</w:t>
      </w:r>
      <w:r>
        <w:t xml:space="preserve"> </w:t>
      </w:r>
      <w:r>
        <w:t xml:space="preserve">the approach taken in the estimates. Over the years several measures were taken to simplify the</w:t>
      </w:r>
      <w:r>
        <w:t xml:space="preserve"> </w:t>
      </w:r>
      <w:r>
        <w:t xml:space="preserve">monitoring requirements for the smaller installations whilst ensuring the environmental</w:t>
      </w:r>
      <w:r>
        <w:t xml:space="preserve"> </w:t>
      </w:r>
      <w:r>
        <w:t xml:space="preserve">integrity and robustness of monitoring and reporting. Installations of low emissions can apply</w:t>
      </w:r>
      <w:r>
        <w:t xml:space="preserve"> </w:t>
      </w:r>
      <w:r>
        <w:t xml:space="preserve">less strict monitoring requirements in accordance with Article 47 of the MRR. Category A</w:t>
      </w:r>
      <w:r>
        <w:t xml:space="preserve"> </w:t>
      </w:r>
      <w:r>
        <w:t xml:space="preserve">installations are not required to meet the highest tiers. Conditions have been included in</w:t>
      </w:r>
      <w:r>
        <w:t xml:space="preserve"> </w:t>
      </w:r>
      <w:r>
        <w:t xml:space="preserve">legislation to allow to waive site visits for smaller and simple situations with low verification</w:t>
      </w:r>
      <w:r>
        <w:t xml:space="preserve"> </w:t>
      </w:r>
      <w:r>
        <w:t xml:space="preserve">risks. All these measures, including the increased use of templates, IT systems and guidance,</w:t>
      </w:r>
      <w:r>
        <w:t xml:space="preserve"> </w:t>
      </w:r>
      <w:r>
        <w:t xml:space="preserve">have facilitated the implementation of MRV and made the system more effective. Nevertheless,</w:t>
      </w:r>
    </w:p>
    <w:p>
      <w:pPr>
        <w:pStyle w:val="BodyText"/>
      </w:pPr>
      <w:r>
        <w:t xml:space="preserve">70 There are 31 competent authorities, 27 Member States plus Iceland, Liechtenstein, Northern Ireland and</w:t>
      </w:r>
      <w:r>
        <w:t xml:space="preserve"> </w:t>
      </w:r>
      <w:r>
        <w:t xml:space="preserve">Norway. The competent authority in Liechtenstein is not very active as only two installations were included</w:t>
      </w:r>
      <w:r>
        <w:t xml:space="preserve"> </w:t>
      </w:r>
      <w:r>
        <w:t xml:space="preserve">in the EU ETS in the period 2021-2023. In the fourth trading period these installations are no longer in the</w:t>
      </w:r>
      <w:r>
        <w:t xml:space="preserve"> </w:t>
      </w:r>
      <w:r>
        <w:t xml:space="preserve">EU ETS.</w:t>
      </w:r>
      <w:r>
        <w:t xml:space="preserve"> </w:t>
      </w:r>
      <w:r>
        <w:t xml:space="preserve">71 European Commission: Directorate-General for Climate Action, 2024. “Application of the European Union</w:t>
      </w:r>
      <w:r>
        <w:t xml:space="preserve"> </w:t>
      </w:r>
      <w:r>
        <w:t xml:space="preserve">Emissions Trading Directive – Analysis of national responses under Article 21 of the EU ETS Directive</w:t>
      </w:r>
      <w:r>
        <w:t xml:space="preserve"> </w:t>
      </w:r>
      <w:r>
        <w:t xml:space="preserve">(reported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2023)”,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 https://data.europa.eu/doi/10.2834/662983662983</w:t>
      </w:r>
      <w:r>
        <w:t xml:space="preserve"> </w:t>
      </w:r>
      <w:r>
        <w:t xml:space="preserve">72 Category A includes installations with emissions lower than 50 000 tonnes of CO2eq. A sub-set of this</w:t>
      </w:r>
      <w:r>
        <w:t xml:space="preserve"> </w:t>
      </w:r>
      <w:r>
        <w:t xml:space="preserve">category are installations with emissions below 25 000 tonnes of CO2eq, called installations with low</w:t>
      </w:r>
      <w:r>
        <w:t xml:space="preserve"> </w:t>
      </w:r>
      <w:r>
        <w:t xml:space="preserve">emissions. Category B includes installations with emissions more and equal to 50 000 and less and equal to</w:t>
      </w:r>
      <w:r>
        <w:t xml:space="preserve"> </w:t>
      </w:r>
      <w:r>
        <w:t xml:space="preserve">500 000 tonnes of CO2eq. Category C includes installations with emissions higher than 500 000 tonnes of</w:t>
      </w:r>
      <w:r>
        <w:t xml:space="preserve"> </w:t>
      </w:r>
      <w:r>
        <w:t xml:space="preserve">CO2eq</w:t>
      </w:r>
      <w:r>
        <w:t xml:space="preserve"> </w:t>
      </w:r>
      <w:r>
        <w:t xml:space="preserve">73 Evaluation of EU ETS Monitoring, Reporting and Verification Administration Costs, 2016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smaller installations still report higher costs: to some extent because of the use of biomass, or</w:t>
      </w:r>
      <w:r>
        <w:t xml:space="preserve"> </w:t>
      </w:r>
      <w:r>
        <w:t xml:space="preserve">because smaller installations do not always have simple monitoring requirements or robust</w:t>
      </w:r>
      <w:r>
        <w:t xml:space="preserve"> </w:t>
      </w:r>
      <w:r>
        <w:t xml:space="preserve">MRV procedures.</w:t>
      </w:r>
      <w:r>
        <w:t xml:space="preserve"> </w:t>
      </w:r>
      <w:r>
        <w:t xml:space="preserve">Stakeholders in the EU ETS feel that efficiency in the MRVA system could be improved and</w:t>
      </w:r>
      <w:r>
        <w:t xml:space="preserve"> </w:t>
      </w:r>
      <w:r>
        <w:t xml:space="preserve">brought forward ideas, through the survey, interview and the reality check workshop. Most of</w:t>
      </w:r>
      <w:r>
        <w:t xml:space="preserve"> </w:t>
      </w:r>
      <w:r>
        <w:t xml:space="preserve">these suggestions for improvement related to the free allocation process as allocation</w:t>
      </w:r>
      <w:r>
        <w:t xml:space="preserve"> </w:t>
      </w:r>
      <w:r>
        <w:t xml:space="preserve">benchmark rules are perceived to be complex and require often additional costs.</w:t>
      </w:r>
      <w:r>
        <w:br/>
      </w:r>
      <w:r>
        <w:t xml:space="preserve">The options for improvements and streamlining related to the MRV of emissions identified by</w:t>
      </w:r>
      <w:r>
        <w:t xml:space="preserve"> </w:t>
      </w:r>
      <w:r>
        <w:t xml:space="preserve">respondents to the survey and OPC broadly fall into the following categories:</w:t>
      </w:r>
      <w:r>
        <w:t xml:space="preserve"> </w:t>
      </w:r>
      <w:r>
        <w:t xml:space="preserve">• Changes to the requirements for site visits for verification.</w:t>
      </w:r>
      <w:r>
        <w:br/>
      </w:r>
      <w:r>
        <w:t xml:space="preserve">• Changes to deadlines of reporting and less frequent verifications.</w:t>
      </w:r>
      <w:r>
        <w:t xml:space="preserve"> </w:t>
      </w:r>
      <w:r>
        <w:t xml:space="preserve">• Greater harmonisation on interpretation of materiality risk.</w:t>
      </w:r>
      <w:r>
        <w:t xml:space="preserve"> </w:t>
      </w:r>
      <w:r>
        <w:t xml:space="preserve">• Harmonising EU ETS/RED/Waste Framework Directive requirements.</w:t>
      </w:r>
      <w:r>
        <w:br/>
      </w:r>
      <w:r>
        <w:t xml:space="preserve">• Standardised opt-out provisions</w:t>
      </w:r>
      <w:r>
        <w:t xml:space="preserve"> </w:t>
      </w:r>
      <w:r>
        <w:t xml:space="preserve">• Less strict MRV requirements for installations that have stable emissions and strong</w:t>
      </w:r>
      <w:r>
        <w:t xml:space="preserve"> </w:t>
      </w:r>
      <w:r>
        <w:t xml:space="preserve">compliance records.</w:t>
      </w:r>
      <w:r>
        <w:t xml:space="preserve"> </w:t>
      </w:r>
      <w:r>
        <w:t xml:space="preserve">• Relaxing requirement on monitoring accuracy.</w:t>
      </w:r>
      <w:r>
        <w:br/>
      </w:r>
      <w:r>
        <w:t xml:space="preserve">• Further simplifications for small installations.</w:t>
      </w:r>
      <w:r>
        <w:br/>
      </w:r>
      <w:r>
        <w:t xml:space="preserve">• More timely provision of guidance and templates.</w:t>
      </w:r>
      <w:r>
        <w:br/>
      </w:r>
      <w:r>
        <w:t xml:space="preserve">• More streamlining with the Industrial Emissions Directive (IED).</w:t>
      </w:r>
      <w:r>
        <w:t xml:space="preserve"> </w:t>
      </w:r>
      <w:r>
        <w:t xml:space="preserve">• Greater consistency in templates and IT tools across jurisdictions.</w:t>
      </w:r>
      <w:r>
        <w:br/>
      </w:r>
      <w:r>
        <w:t xml:space="preserve">• Better alignment between EU ETS and CORSIA.</w:t>
      </w:r>
      <w:r>
        <w:br/>
      </w:r>
      <w:r>
        <w:t xml:space="preserve">• Simplification of procedures for competent authorities.</w:t>
      </w:r>
      <w:r>
        <w:t xml:space="preserve"> </w:t>
      </w:r>
      <w:r>
        <w:t xml:space="preserve">While potentially providing some efficiencies, many of the options have implications for</w:t>
      </w:r>
      <w:r>
        <w:t xml:space="preserve"> </w:t>
      </w:r>
      <w:r>
        <w:t xml:space="preserve">environmental effectiveness or legal/practical implications that need more consideration. The</w:t>
      </w:r>
      <w:r>
        <w:t xml:space="preserve"> </w:t>
      </w:r>
      <w:r>
        <w:t xml:space="preserve">MRVA system has already been streamlined and simplified as it has developed, motivated by</w:t>
      </w:r>
      <w:r>
        <w:t xml:space="preserve"> </w:t>
      </w:r>
      <w:r>
        <w:t xml:space="preserve">increasing cost efficiency but also improving equal treatment. Nevertheless, there are likely</w:t>
      </w:r>
      <w:r>
        <w:t xml:space="preserve"> </w:t>
      </w:r>
      <w:r>
        <w:t xml:space="preserve">still further opportunities for improving efficiency that could be considered. Both survey and</w:t>
      </w:r>
      <w:r>
        <w:t xml:space="preserve"> </w:t>
      </w:r>
      <w:r>
        <w:t xml:space="preserve">consultation results from the ETS and MSR evaluation indicate that Phase IV reforms</w:t>
      </w:r>
      <w:r>
        <w:t xml:space="preserve"> </w:t>
      </w:r>
      <w:r>
        <w:t xml:space="preserve">strengthened traceability and consistency, but stakeholders felt that it did not totally deliver on</w:t>
      </w:r>
      <w:r>
        <w:t xml:space="preserve"> </w:t>
      </w:r>
      <w:r>
        <w:t xml:space="preserve">simplification, leaving administrative burden a key concern for future MRVA improvements.</w:t>
      </w:r>
      <w:r>
        <w:t xml:space="preserve"> </w:t>
      </w:r>
      <w:r>
        <w:t xml:space="preserve">From the suggested improvements no options stand out as priorities for regulatory change</w:t>
      </w:r>
      <w:r>
        <w:t xml:space="preserve"> </w:t>
      </w:r>
      <w:r>
        <w:t xml:space="preserve">within EU ETS, but some need more consideration as to whether they might be incorporated</w:t>
      </w:r>
      <w:r>
        <w:t xml:space="preserve"> </w:t>
      </w:r>
      <w:r>
        <w:t xml:space="preserve">in regulatory change in future or whether other actions, such as clarified guidance or additional</w:t>
      </w:r>
      <w:r>
        <w:t xml:space="preserve"> </w:t>
      </w:r>
      <w:r>
        <w:t xml:space="preserve">training, are needed. These include:</w:t>
      </w:r>
      <w:r>
        <w:t xml:space="preserve"> </w:t>
      </w:r>
      <w:r>
        <w:t xml:space="preserve">• Simplifications in the requirements for installations emitting less than 50 kilotons CO2</w:t>
      </w:r>
      <w:r>
        <w:t xml:space="preserve"> </w:t>
      </w:r>
      <w:r>
        <w:t xml:space="preserve">with very simple monitoring methodologies and low inherent and control risks. Most</w:t>
      </w:r>
      <w:r>
        <w:t xml:space="preserve"> </w:t>
      </w:r>
      <w:r>
        <w:t xml:space="preserve">simplifications are already accommodated in the Monitoring and Reporting Regulation</w:t>
      </w:r>
      <w:r>
        <w:t xml:space="preserve"> </w:t>
      </w:r>
      <w:r>
        <w:t xml:space="preserve">and low risks in simple and small installation often require less extensive verification</w:t>
      </w:r>
      <w:r>
        <w:t xml:space="preserve"> </w:t>
      </w:r>
      <w:r>
        <w:t xml:space="preserve">approaches.</w:t>
      </w:r>
      <w:r>
        <w:br/>
      </w:r>
      <w:r>
        <w:t xml:space="preserve">• Simplification of uncertainty requirements smaller source streams and allowing a wider</w:t>
      </w:r>
      <w:r>
        <w:t xml:space="preserve"> </w:t>
      </w:r>
      <w:r>
        <w:t xml:space="preserve">application of default values for the emission factors and calorific value for certain</w:t>
      </w:r>
      <w:r>
        <w:t xml:space="preserve"> </w:t>
      </w:r>
      <w:r>
        <w:t xml:space="preserve">fuels. Generally, the current MRR already allows simplification on uncertainty</w:t>
      </w:r>
      <w:r>
        <w:t xml:space="preserve"> </w:t>
      </w:r>
      <w:r>
        <w:t xml:space="preserve">assessment and the application of default values for commercially standard fuels. But</w:t>
      </w:r>
      <w:r>
        <w:t xml:space="preserve"> </w:t>
      </w:r>
      <w:r>
        <w:t xml:space="preserve">further research may reveal additional opportunities for simplification.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• Further streamlining procedures or reporting requirements between IED, EU ETS and</w:t>
      </w:r>
      <w:r>
        <w:t xml:space="preserve"> </w:t>
      </w:r>
      <w:r>
        <w:t xml:space="preserve">other legislation, regarding the reporting requirements to avoid overlap in reporting</w:t>
      </w:r>
      <w:r>
        <w:t xml:space="preserve"> </w:t>
      </w:r>
      <w:r>
        <w:t xml:space="preserve">data.</w:t>
      </w:r>
      <w:r>
        <w:br/>
      </w:r>
      <w:r>
        <w:t xml:space="preserve">• Simplification through digitalisation. Digital technology is already being used to</w:t>
      </w:r>
      <w:r>
        <w:t xml:space="preserve"> </w:t>
      </w:r>
      <w:r>
        <w:t xml:space="preserve">improve efficiency and accuracy but there is still untapped potential. Various tools have</w:t>
      </w:r>
      <w:r>
        <w:t xml:space="preserve"> </w:t>
      </w:r>
      <w:r>
        <w:t xml:space="preserve">been developed and implemented to help improve efficiency of the MRVA system and</w:t>
      </w:r>
      <w:r>
        <w:t xml:space="preserve"> </w:t>
      </w:r>
      <w:r>
        <w:t xml:space="preserve">increase the accuracy of reported data. Templates have been developed by the European</w:t>
      </w:r>
      <w:r>
        <w:t xml:space="preserve"> </w:t>
      </w:r>
      <w:r>
        <w:t xml:space="preserve">Commission for monitoring plans, emission reports, verification reports and</w:t>
      </w:r>
      <w:r>
        <w:t xml:space="preserve"> </w:t>
      </w:r>
      <w:r>
        <w:t xml:space="preserve">improvement reports (for installations and aviation).74 Additionally, the European</w:t>
      </w:r>
      <w:r>
        <w:t xml:space="preserve"> </w:t>
      </w:r>
      <w:r>
        <w:t xml:space="preserve">Commission has developed an IT tool called ETS Reporting Tool MRV (ERT),</w:t>
      </w:r>
      <w:r>
        <w:t xml:space="preserve"> </w:t>
      </w:r>
      <w:r>
        <w:t xml:space="preserve">designed to facilitate the submission of monitoring plans, emission reports, verification</w:t>
      </w:r>
      <w:r>
        <w:t xml:space="preserve"> </w:t>
      </w:r>
      <w:r>
        <w:t xml:space="preserve">reports, and improvement reports. This tool helps streamline reporting to reduce</w:t>
      </w:r>
      <w:r>
        <w:t xml:space="preserve"> </w:t>
      </w:r>
      <w:r>
        <w:t xml:space="preserve">administrative burden and improve the accuracy of reporting and increase compliance</w:t>
      </w:r>
      <w:r>
        <w:t xml:space="preserve"> </w:t>
      </w:r>
      <w:r>
        <w:t xml:space="preserve">of installations. The ERT is a web-based platform offering advanced features for all</w:t>
      </w:r>
      <w:r>
        <w:t xml:space="preserve"> </w:t>
      </w:r>
      <w:r>
        <w:t xml:space="preserve">stakeholders and applies to sectors covered by the EU ETS.75 In the survey, around half</w:t>
      </w:r>
      <w:r>
        <w:t xml:space="preserve"> </w:t>
      </w:r>
      <w:r>
        <w:t xml:space="preserve">of the competent authorities responding have implemented the ERT. Of those that have</w:t>
      </w:r>
      <w:r>
        <w:t xml:space="preserve"> </w:t>
      </w:r>
      <w:r>
        <w:t xml:space="preserve">more than half reported that it had improved efficiency and quality of reporting</w:t>
      </w:r>
      <w:r>
        <w:t xml:space="preserve"> </w:t>
      </w:r>
      <w:r>
        <w:t xml:space="preserve">significantly or slightly. Fewer competent authorities in the survey reported having</w:t>
      </w:r>
      <w:r>
        <w:t xml:space="preserve"> </w:t>
      </w:r>
      <w:r>
        <w:t xml:space="preserve">developed their own IT system but those that had reported that it had improved</w:t>
      </w:r>
      <w:r>
        <w:t xml:space="preserve"> </w:t>
      </w:r>
      <w:r>
        <w:t xml:space="preserve">efficiency</w:t>
      </w:r>
      <w:r>
        <w:br/>
      </w:r>
      <w:r>
        <w:t xml:space="preserve">4.1.1.2.4 Has the auctioning system been an efficient way of allocating ETS</w:t>
      </w:r>
      <w:r>
        <w:t xml:space="preserve"> </w:t>
      </w:r>
      <w:r>
        <w:t xml:space="preserve">allowances?</w:t>
      </w:r>
      <w:r>
        <w:br/>
      </w:r>
      <w:r>
        <w:t xml:space="preserve">The auctioning system for ETS allowances is considered a more efficient way of allocating</w:t>
      </w:r>
      <w:r>
        <w:t xml:space="preserve"> </w:t>
      </w:r>
      <w:r>
        <w:t xml:space="preserve">allowances, especially when compared to free allocation. Auctioning provides a market-based</w:t>
      </w:r>
      <w:r>
        <w:t xml:space="preserve"> </w:t>
      </w:r>
      <w:r>
        <w:t xml:space="preserve">approach that ensures allowances are allocated to those who value them most, reducing risks</w:t>
      </w:r>
      <w:r>
        <w:t xml:space="preserve"> </w:t>
      </w:r>
      <w:r>
        <w:t xml:space="preserve">like over-allocation and windfall profits. Additionally, auctioning generates revenues for</w:t>
      </w:r>
      <w:r>
        <w:t xml:space="preserve"> </w:t>
      </w:r>
      <w:r>
        <w:t xml:space="preserve">governments that can be utilized for climate change mitigation and adaptation efforts. It has</w:t>
      </w:r>
      <w:r>
        <w:t xml:space="preserve"> </w:t>
      </w:r>
      <w:r>
        <w:t xml:space="preserve">shown effectiveness in reducing emissions more significantly than free allocation, due to</w:t>
      </w:r>
      <w:r>
        <w:t xml:space="preserve"> </w:t>
      </w:r>
      <w:r>
        <w:t xml:space="preserve">stronger incentives for companies to invest in abatement measures. Another advantage is the</w:t>
      </w:r>
      <w:r>
        <w:t xml:space="preserve"> </w:t>
      </w:r>
      <w:r>
        <w:t xml:space="preserve">reduction of market manipulation and enhancement of transparency, essential for a functional</w:t>
      </w:r>
      <w:r>
        <w:t xml:space="preserve"> </w:t>
      </w:r>
      <w:r>
        <w:t xml:space="preserve">emissions trading scheme. Despite administrative and financial resources required for</w:t>
      </w:r>
      <w:r>
        <w:t xml:space="preserve"> </w:t>
      </w:r>
      <w:r>
        <w:t xml:space="preserve">auctioning, such as selecting the auction platform and managing procedures, it is less resource-</w:t>
      </w:r>
      <w:r>
        <w:t xml:space="preserve"> </w:t>
      </w:r>
      <w:r>
        <w:t xml:space="preserve">intensive compared with tasks associated with free allocation, like setting benchmarks and</w:t>
      </w:r>
      <w:r>
        <w:t xml:space="preserve"> </w:t>
      </w:r>
      <w:r>
        <w:t xml:space="preserve">reporting activity levels. The differences in auction clearing prices compared to secondary</w:t>
      </w:r>
      <w:r>
        <w:t xml:space="preserve"> </w:t>
      </w:r>
      <w:r>
        <w:t xml:space="preserve">market prices have been minor, indicating competitiveness of the auctioning process. Overall,</w:t>
      </w:r>
      <w:r>
        <w:t xml:space="preserve"> </w:t>
      </w:r>
      <w:r>
        <w:t xml:space="preserve">auctioning has successfully adapted to changing requirements and increased revenues for</w:t>
      </w:r>
      <w:r>
        <w:t xml:space="preserve"> </w:t>
      </w:r>
      <w:r>
        <w:t xml:space="preserve">environmental initiatives. Though SMEs face participation barriers due to costs, they can</w:t>
      </w:r>
      <w:r>
        <w:t xml:space="preserve"> </w:t>
      </w:r>
      <w:r>
        <w:t xml:space="preserve">access allowances through intermediaries or the secondary market.</w:t>
      </w:r>
      <w:r>
        <w:br/>
      </w:r>
      <w:r>
        <w:t xml:space="preserve">4.1.1.2.5 Has the Registry system been operating in a cost-efficient way?</w:t>
      </w:r>
      <w:r>
        <w:br/>
      </w:r>
      <w:r>
        <w:t xml:space="preserve">The Union Registry displays robust operational efficiency supplemented by security measures.</w:t>
      </w:r>
      <w:r>
        <w:t xml:space="preserve"> </w:t>
      </w:r>
      <w:r>
        <w:t xml:space="preserve">However, it faces ongoing challenges due to evolving cybersecurity threats and resource</w:t>
      </w:r>
      <w:r>
        <w:t xml:space="preserve"> </w:t>
      </w:r>
      <w:r>
        <w:t xml:space="preserve">limitations. Recommendations have been made to enhance security measures and reconsider</w:t>
      </w:r>
    </w:p>
    <w:p>
      <w:pPr>
        <w:pStyle w:val="BodyText"/>
      </w:pPr>
      <w:r>
        <w:t xml:space="preserve">74 European Commission, “Monitoring Reporting and Verification”. https://climate.ec.europa.eu/eu-action/eu-</w:t>
      </w:r>
      <w:r>
        <w:t xml:space="preserve"> </w:t>
      </w:r>
      <w:r>
        <w:t xml:space="preserve">emissions-trading-system-eu-ets/monitoring-reporting-and-verification-eu-ets-emissions_en#tab-0-1</w:t>
      </w:r>
      <w:r>
        <w:t xml:space="preserve"> </w:t>
      </w:r>
      <w:r>
        <w:t xml:space="preserve">75 Ibid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its business model to better align with financial market frameworks to ensure the integrity of</w:t>
      </w:r>
      <w:r>
        <w:t xml:space="preserve"> </w:t>
      </w:r>
      <w:r>
        <w:t xml:space="preserve">the European carbon market.</w:t>
      </w:r>
      <w:r>
        <w:br/>
      </w:r>
      <w:r>
        <w:t xml:space="preserve">The Registry system’s cost efficiency can also be evaluated based on the fees charged by</w:t>
      </w:r>
      <w:r>
        <w:t xml:space="preserve"> </w:t>
      </w:r>
      <w:r>
        <w:t xml:space="preserve">Member States and the annual costs of operating and maintaining the Registry incurred by the</w:t>
      </w:r>
      <w:r>
        <w:t xml:space="preserve"> </w:t>
      </w:r>
      <w:r>
        <w:t xml:space="preserve">Central Administrator (European Commission). Overall, the Registry system has significant</w:t>
      </w:r>
      <w:r>
        <w:t xml:space="preserve"> </w:t>
      </w:r>
      <w:r>
        <w:t xml:space="preserve">variations in fees across Member States and insufficient resources to protect the confidentiality</w:t>
      </w:r>
      <w:r>
        <w:t xml:space="preserve"> </w:t>
      </w:r>
      <w:r>
        <w:t xml:space="preserve">and integrity of the system by the Central Administrator. Different studies proposed a new</w:t>
      </w:r>
      <w:r>
        <w:t xml:space="preserve"> </w:t>
      </w:r>
      <w:r>
        <w:t xml:space="preserve">operating model to address these issues, with an estimated investment of EUR 32.8 million per</w:t>
      </w:r>
      <w:r>
        <w:t xml:space="preserve"> </w:t>
      </w:r>
      <w:r>
        <w:t xml:space="preserve">year. This investment represents only 0.00016% of the assets held in the Union Registry and</w:t>
      </w:r>
      <w:r>
        <w:t xml:space="preserve"> </w:t>
      </w:r>
      <w:r>
        <w:t xml:space="preserve">would ensure the integrity and security of the system and integrity of the European carbon</w:t>
      </w:r>
      <w:r>
        <w:t xml:space="preserve"> </w:t>
      </w:r>
      <w:r>
        <w:t xml:space="preserve">market.</w:t>
      </w:r>
      <w:r>
        <w:t xml:space="preserve"> </w:t>
      </w:r>
      <w:r>
        <w:t xml:space="preserve">4.1.1.3</w:t>
      </w:r>
      <w:r>
        <w:t xml:space="preserve"> </w:t>
      </w:r>
      <w:r>
        <w:t xml:space="preserve">Coherence</w:t>
      </w:r>
      <w:r>
        <w:t xml:space="preserve"> </w:t>
      </w:r>
      <w:r>
        <w:t xml:space="preserve">4.1.1.3.1 To what extent is the Directive coherent with other EU policies, such</w:t>
      </w:r>
      <w:r>
        <w:t xml:space="preserve"> </w:t>
      </w:r>
      <w:r>
        <w:t xml:space="preserve">as those related to renewable energy, energy efficiency, state aid, etc.?</w:t>
      </w:r>
      <w:r>
        <w:br/>
      </w:r>
      <w:r>
        <w:t xml:space="preserve">The EU ETS has evolved to improve coherence both across EU instruments and within its own</w:t>
      </w:r>
      <w:r>
        <w:t xml:space="preserve"> </w:t>
      </w:r>
      <w:r>
        <w:t xml:space="preserve">regulatory architecture, although some tensions remain. Externally, complementary EU-level</w:t>
      </w:r>
      <w:r>
        <w:t xml:space="preserve"> </w:t>
      </w:r>
      <w:r>
        <w:t xml:space="preserve">policies such as the Renewable Energy Directive (RED) and the Energy Efficiency Directive</w:t>
      </w:r>
      <w:r>
        <w:t xml:space="preserve"> </w:t>
      </w:r>
      <w:r>
        <w:t xml:space="preserve">(EED) have contributed significantly to decarbonising the power sector, which is one of the</w:t>
      </w:r>
      <w:r>
        <w:t xml:space="preserve"> </w:t>
      </w:r>
      <w:r>
        <w:t xml:space="preserve">ETS’s main coverage areas, by reducing fossil fuel-based electricity generation and overall</w:t>
      </w:r>
      <w:r>
        <w:t xml:space="preserve"> </w:t>
      </w:r>
      <w:r>
        <w:t xml:space="preserve">energy demand. While these outcomes align with the broader objective of emissions reduction,</w:t>
      </w:r>
      <w:r>
        <w:t xml:space="preserve"> </w:t>
      </w:r>
      <w:r>
        <w:t xml:space="preserve">in practice these overlapping policies have also undermined the ETS price signal by reducing</w:t>
      </w:r>
      <w:r>
        <w:t xml:space="preserve"> </w:t>
      </w:r>
      <w:r>
        <w:t xml:space="preserve">demand for ETS allowances, especially prior to the reform of the ETS cap adjustment</w:t>
      </w:r>
      <w:r>
        <w:t xml:space="preserve"> </w:t>
      </w:r>
      <w:r>
        <w:t xml:space="preserve">mechanism. This exposed to a degree of external incoherence, where complementary policies</w:t>
      </w:r>
      <w:r>
        <w:t xml:space="preserve"> </w:t>
      </w:r>
      <w:r>
        <w:t xml:space="preserve">aimed at a common goal (emissions reduction) operated in ways that were not fully integrated</w:t>
      </w:r>
      <w:r>
        <w:t xml:space="preserve"> </w:t>
      </w:r>
      <w:r>
        <w:t xml:space="preserve">with the market logic of the ETS.</w:t>
      </w:r>
      <w:r>
        <w:br/>
      </w:r>
      <w:r>
        <w:t xml:space="preserve">The 2018 revision addressed overall coherence through the integrated modelling that</w:t>
      </w:r>
      <w:r>
        <w:t xml:space="preserve"> </w:t>
      </w:r>
      <w:r>
        <w:t xml:space="preserve">underpinned the 2030 climate and energy framework. The Impact Assessment supporting</w:t>
      </w:r>
      <w:r>
        <w:t xml:space="preserve"> </w:t>
      </w:r>
      <w:r>
        <w:t xml:space="preserve">Directive (EU) 2018/410 used modelling to test combined policy scenarios for GHG</w:t>
      </w:r>
      <w:r>
        <w:t xml:space="preserve"> </w:t>
      </w:r>
      <w:r>
        <w:t xml:space="preserve">reductions, renewable energy, and energy efficiency, ensuring that the ETS cap and trajectory</w:t>
      </w:r>
      <w:r>
        <w:t xml:space="preserve"> </w:t>
      </w:r>
      <w:r>
        <w:t xml:space="preserve">and allowance supply mechanism were consistent with parallel objectives in the RED and EED.</w:t>
      </w:r>
      <w:r>
        <w:t xml:space="preserve"> </w:t>
      </w:r>
      <w:r>
        <w:t xml:space="preserve">The scenario identified as the most coherent, which combines a 40% GHG emissions reduction</w:t>
      </w:r>
      <w:r>
        <w:t xml:space="preserve"> </w:t>
      </w:r>
      <w:r>
        <w:t xml:space="preserve">target with moderate renewables and energy efficiency measures, was found to deliver the</w:t>
      </w:r>
      <w:r>
        <w:t xml:space="preserve"> </w:t>
      </w:r>
      <w:r>
        <w:t xml:space="preserve">targets at the lowest macroeconomic cost in terms of GDP.</w:t>
      </w:r>
      <w:r>
        <w:br/>
      </w:r>
      <w:r>
        <w:t xml:space="preserve">The introduction of the MSR in 2019 helped to address the long-criticised waterbed effect by</w:t>
      </w:r>
      <w:r>
        <w:t xml:space="preserve"> </w:t>
      </w:r>
      <w:r>
        <w:t xml:space="preserve">allowing allowance supply to respond to changes in demand, including those induced by</w:t>
      </w:r>
      <w:r>
        <w:t xml:space="preserve"> </w:t>
      </w:r>
      <w:r>
        <w:t xml:space="preserve">overlapping policies like RED and EED. In principle, this enables real emissions reductions by</w:t>
      </w:r>
      <w:r>
        <w:t xml:space="preserve"> </w:t>
      </w:r>
      <w:r>
        <w:t xml:space="preserve">cancelling unused allowances. Moreover, by linking the volume of auctioned allowances to the</w:t>
      </w:r>
      <w:r>
        <w:t xml:space="preserve"> </w:t>
      </w:r>
      <w:r>
        <w:t xml:space="preserve">total number of allowances in circulation (TNAC) and introducing automatic invalidation of</w:t>
      </w:r>
      <w:r>
        <w:t xml:space="preserve"> </w:t>
      </w:r>
      <w:r>
        <w:t xml:space="preserve">persistent surpluses, the post-2018 system allows the effective supply of allowances to adjust</w:t>
      </w:r>
      <w:r>
        <w:t xml:space="preserve"> </w:t>
      </w:r>
      <w:r>
        <w:t xml:space="preserve">to market conditions and to policy-driven changes in demand.</w:t>
      </w:r>
      <w:r>
        <w:t xml:space="preserve"> </w:t>
      </w:r>
      <w:r>
        <w:t xml:space="preserve">However, as argued by Willner &amp; Perino (2022)76, the MSR has introduced new layers of</w:t>
      </w:r>
      <w:r>
        <w:t xml:space="preserve"> </w:t>
      </w:r>
      <w:r>
        <w:t xml:space="preserve">complexity: while it responds effectively to unforeseen shocks, its interaction with anticipated</w:t>
      </w:r>
    </w:p>
    <w:p>
      <w:pPr>
        <w:pStyle w:val="BodyText"/>
      </w:pPr>
      <w:r>
        <w:t xml:space="preserve">76 Willner, M., &amp; Perino, G., 2022. “Beyond Control: Policy Incoherence of the EU Emissions Trading</w:t>
      </w:r>
      <w:r>
        <w:t xml:space="preserve"> </w:t>
      </w:r>
      <w:r>
        <w:t xml:space="preserve">System”. Politics and Governance, 10(1), 256-264. https://doi.org/10.17645/pag.v10i1.4797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policy changes can dampen abatement incentives in the short term and complicate</w:t>
      </w:r>
      <w:r>
        <w:t xml:space="preserve"> </w:t>
      </w:r>
      <w:r>
        <w:t xml:space="preserve">predictability. Overall, coherence has improved since 2018, but the system’s dynamics have</w:t>
      </w:r>
      <w:r>
        <w:t xml:space="preserve"> </w:t>
      </w:r>
      <w:r>
        <w:t xml:space="preserve">become more intricate, underscoring the importance of maintaining transparency in the MSR</w:t>
      </w:r>
      <w:r>
        <w:t xml:space="preserve"> </w:t>
      </w:r>
      <w:r>
        <w:t xml:space="preserve">functioning and periodically reviewing its parameters to ensure continued effectiveness and</w:t>
      </w:r>
      <w:r>
        <w:t xml:space="preserve"> </w:t>
      </w:r>
      <w:r>
        <w:t xml:space="preserve">coherence.</w:t>
      </w:r>
      <w:r>
        <w:t xml:space="preserve"> </w:t>
      </w:r>
      <w:r>
        <w:t xml:space="preserve">In the Open Public Consultation, respondents were asked to express their view on the external</w:t>
      </w:r>
      <w:r>
        <w:t xml:space="preserve"> </w:t>
      </w:r>
      <w:r>
        <w:t xml:space="preserve">coherence of the EU ETS and MSR. Most respondents agreed that the EU ETS and MSR were</w:t>
      </w:r>
      <w:r>
        <w:t xml:space="preserve"> </w:t>
      </w:r>
      <w:r>
        <w:t xml:space="preserve">coherent, to varying extents. Nevertheless, feedback from the stakeholder consultation stressed</w:t>
      </w:r>
      <w:r>
        <w:t xml:space="preserve"> </w:t>
      </w:r>
      <w:r>
        <w:t xml:space="preserve">that, despite reforms such as the MSR and updated free allocation rules, ensuring both internal</w:t>
      </w:r>
      <w:r>
        <w:t xml:space="preserve"> </w:t>
      </w:r>
      <w:r>
        <w:t xml:space="preserve">and external coherence remains a continuing challenge, particularly in relation to interactions</w:t>
      </w:r>
      <w:r>
        <w:t xml:space="preserve"> </w:t>
      </w:r>
      <w:r>
        <w:t xml:space="preserve">with other EU climate and energy policies, and international frameworks.</w:t>
      </w:r>
      <w:r>
        <w:t xml:space="preserve"> </w:t>
      </w:r>
      <w:r>
        <w:t xml:space="preserve">4.1.1.3.2 To what extent are the various elements of the Directive (such as free</w:t>
      </w:r>
      <w:r>
        <w:t xml:space="preserve"> </w:t>
      </w:r>
      <w:r>
        <w:t xml:space="preserve">allocation, carbon leakage, innovation support) coherent with one</w:t>
      </w:r>
      <w:r>
        <w:t xml:space="preserve"> </w:t>
      </w:r>
      <w:r>
        <w:t xml:space="preserve">another?</w:t>
      </w:r>
      <w:r>
        <w:t xml:space="preserve"> </w:t>
      </w:r>
      <w:r>
        <w:t xml:space="preserve">Internally, the Directive has made efforts to balance environmental integrity with</w:t>
      </w:r>
      <w:r>
        <w:t xml:space="preserve"> </w:t>
      </w:r>
      <w:r>
        <w:t xml:space="preserve">competitiveness and fairness. A key example is free allocation, which, while a deviation from</w:t>
      </w:r>
      <w:r>
        <w:t xml:space="preserve"> </w:t>
      </w:r>
      <w:r>
        <w:t xml:space="preserve">the polluter-pays principle, remains justified as a transitional measure to address the risk of</w:t>
      </w:r>
      <w:r>
        <w:t xml:space="preserve"> </w:t>
      </w:r>
      <w:r>
        <w:t xml:space="preserve">carbon leakage. Although free allocation might weaken the carbon price signal by preventing</w:t>
      </w:r>
      <w:r>
        <w:t xml:space="preserve"> </w:t>
      </w:r>
      <w:r>
        <w:t xml:space="preserve">operators from being fully exposed to the carbon price, more targeted allocation based on</w:t>
      </w:r>
      <w:r>
        <w:t xml:space="preserve"> </w:t>
      </w:r>
      <w:r>
        <w:t xml:space="preserve">updated benchmarks and declining free allocation shares have improved its internal coherence.</w:t>
      </w:r>
      <w:r>
        <w:t xml:space="preserve"> </w:t>
      </w:r>
      <w:r>
        <w:t xml:space="preserve">In this way, free allocation can be understood not as a contradiction to the ETS logic, but as a</w:t>
      </w:r>
      <w:r>
        <w:t xml:space="preserve"> </w:t>
      </w:r>
      <w:r>
        <w:t xml:space="preserve">pragmatic safeguard that supports the broader policy goals of EU climate leadership and</w:t>
      </w:r>
      <w:r>
        <w:t xml:space="preserve"> </w:t>
      </w:r>
      <w:r>
        <w:t xml:space="preserve">industrial resilience. Similarly, the MRVA framework enforces internal coherence by ensuring</w:t>
      </w:r>
      <w:r>
        <w:t xml:space="preserve"> </w:t>
      </w:r>
      <w:r>
        <w:t xml:space="preserve">that emissions are measured accurately, transparently, and homogeneously across all sectors</w:t>
      </w:r>
      <w:r>
        <w:t xml:space="preserve"> </w:t>
      </w:r>
      <w:r>
        <w:t xml:space="preserve">and Member States. This high level of data integrity is essential to maintain trust in the cap-</w:t>
      </w:r>
      <w:r>
        <w:t xml:space="preserve"> </w:t>
      </w:r>
      <w:r>
        <w:t xml:space="preserve">and-trade system, as it ensures that allowances correspond to real-world emissions, and that</w:t>
      </w:r>
      <w:r>
        <w:t xml:space="preserve"> </w:t>
      </w:r>
      <w:r>
        <w:t xml:space="preserve">policy adjustments are based on verifiable outcomes. In this sense, the MRVA is not just a</w:t>
      </w:r>
      <w:r>
        <w:t xml:space="preserve"> </w:t>
      </w:r>
      <w:r>
        <w:t xml:space="preserve">technical pillar to the ETS, but a central element that enables the system to effectively meet its</w:t>
      </w:r>
      <w:r>
        <w:t xml:space="preserve"> </w:t>
      </w:r>
      <w:r>
        <w:t xml:space="preserve">climate objectives effectively.</w:t>
      </w:r>
      <w:r>
        <w:br/>
      </w:r>
      <w:r>
        <w:t xml:space="preserve">Auctioning and the use of auction revenues are key elements supporting internal coherence.</w:t>
      </w:r>
      <w:r>
        <w:t xml:space="preserve"> </w:t>
      </w:r>
      <w:r>
        <w:t xml:space="preserve">Auctioning reflects the polluter-pays-principle and ensures that carbon costs are internalised</w:t>
      </w:r>
      <w:r>
        <w:t xml:space="preserve"> </w:t>
      </w:r>
      <w:r>
        <w:t xml:space="preserve">by operating firms, while the revenues generated complement free allocation. These revenues</w:t>
      </w:r>
      <w:r>
        <w:t xml:space="preserve"> </w:t>
      </w:r>
      <w:r>
        <w:t xml:space="preserve">finance instruments such as the Innovation Fund (Article 10a(8)), which supports investment</w:t>
      </w:r>
      <w:r>
        <w:t xml:space="preserve"> </w:t>
      </w:r>
      <w:r>
        <w:t xml:space="preserve">in industrial decarbonisation and low-carbon technologies, the Modernisation Fund (Article</w:t>
      </w:r>
      <w:r>
        <w:t xml:space="preserve"> </w:t>
      </w:r>
      <w:r>
        <w:t xml:space="preserve">10d), which supports the modernisation of energy systems and the improvement of energy</w:t>
      </w:r>
      <w:r>
        <w:t xml:space="preserve"> </w:t>
      </w:r>
      <w:r>
        <w:t xml:space="preserve">efficiency of the lowest-income Member States. Together, these mechanisms support a</w:t>
      </w:r>
      <w:r>
        <w:t xml:space="preserve"> </w:t>
      </w:r>
      <w:r>
        <w:t xml:space="preserve">coherent package of incentives for innovation and decarbonisation, and safeguards to support</w:t>
      </w:r>
      <w:r>
        <w:t xml:space="preserve"> </w:t>
      </w:r>
      <w:r>
        <w:t xml:space="preserve">competitiveness, therefore reinforcing the objective of cost-effective emissions reduction of</w:t>
      </w:r>
      <w:r>
        <w:t xml:space="preserve"> </w:t>
      </w:r>
      <w:r>
        <w:t xml:space="preserve">the ETS.</w:t>
      </w:r>
      <w:r>
        <w:t xml:space="preserve"> </w:t>
      </w:r>
      <w:r>
        <w:t xml:space="preserve">4.1.1.3.3 To what extent is the Directive coherent with international climate</w:t>
      </w:r>
      <w:r>
        <w:t xml:space="preserve"> </w:t>
      </w:r>
      <w:r>
        <w:t xml:space="preserve">policies and obligations?</w:t>
      </w:r>
      <w:r>
        <w:t xml:space="preserve"> </w:t>
      </w:r>
      <w:r>
        <w:t xml:space="preserve">In terms of alignment with international objectives, the EU ETS is explicitly framed as a central</w:t>
      </w:r>
      <w:r>
        <w:t xml:space="preserve"> </w:t>
      </w:r>
      <w:r>
        <w:t xml:space="preserve">instrument for achieving the EU’s commitments to the Paris Agreement, including its NDCs</w:t>
      </w:r>
      <w:r>
        <w:t xml:space="preserve"> </w:t>
      </w:r>
      <w:r>
        <w:t xml:space="preserve">(Nationally Determined Contribution). While the EU ETS is the central tool for reducing</w:t>
      </w:r>
      <w:r>
        <w:t xml:space="preserve"> </w:t>
      </w:r>
      <w:r>
        <w:t xml:space="preserve">emissions in power, industry, aviation – which together account for around 40% of EU’s total</w:t>
      </w:r>
      <w:r>
        <w:t xml:space="preserve"> </w:t>
      </w:r>
      <w:r>
        <w:t xml:space="preserve">GHG output – its scope during the evaluated period did not cover emissions from maritime,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buildings and road transport, land use, and agriculture. Indeed, the ETS alone was not designed</w:t>
      </w:r>
      <w:r>
        <w:t xml:space="preserve"> </w:t>
      </w:r>
      <w:r>
        <w:t xml:space="preserve">to deliver on its own the EU’s full climate ambition, including the 2030 target of at least 55%</w:t>
      </w:r>
      <w:r>
        <w:t xml:space="preserve"> </w:t>
      </w:r>
      <w:r>
        <w:t xml:space="preserve">emission reductions and the goal of climate neutrality by 2050. Additional policies such as the</w:t>
      </w:r>
      <w:r>
        <w:t xml:space="preserve"> </w:t>
      </w:r>
      <w:r>
        <w:t xml:space="preserve">Effort Sharing Regulation, the introduction of the maritime sector in the EU ETS, and a newly</w:t>
      </w:r>
      <w:r>
        <w:t xml:space="preserve"> </w:t>
      </w:r>
      <w:r>
        <w:t xml:space="preserve">approved second ETS (EU ETS 2), which will cover buildings and road transport from 2028,</w:t>
      </w:r>
      <w:r>
        <w:t xml:space="preserve"> </w:t>
      </w:r>
      <w:r>
        <w:t xml:space="preserve">have been developed or are already in place. Together, these instruments are intended to form</w:t>
      </w:r>
      <w:r>
        <w:t xml:space="preserve"> </w:t>
      </w:r>
      <w:r>
        <w:t xml:space="preserve">a more comprehensive and coherent policy framework capable of supporting the EU’s 2030</w:t>
      </w:r>
      <w:r>
        <w:t xml:space="preserve"> </w:t>
      </w:r>
      <w:r>
        <w:t xml:space="preserve">targets and the longer-term objective of climate neutrality by 2050.</w:t>
      </w:r>
      <w:r>
        <w:t xml:space="preserve"> </w:t>
      </w:r>
      <w:r>
        <w:t xml:space="preserve">4.1.2 Market Stability Reserve</w:t>
      </w:r>
      <w:r>
        <w:t xml:space="preserve"> </w:t>
      </w:r>
      <w:r>
        <w:t xml:space="preserve">4.1.2.1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evaluation of the effectiveness of the MSR focuses on how successful the instrument has</w:t>
      </w:r>
      <w:r>
        <w:t xml:space="preserve"> </w:t>
      </w:r>
      <w:r>
        <w:t xml:space="preserve">been in achieving and progressing towards its objectives. It uses where possible quantitative</w:t>
      </w:r>
      <w:r>
        <w:t xml:space="preserve"> </w:t>
      </w:r>
      <w:r>
        <w:t xml:space="preserve">analysis complemented by qualitative assessments from existing studies and academic</w:t>
      </w:r>
      <w:r>
        <w:t xml:space="preserve"> </w:t>
      </w:r>
      <w:r>
        <w:t xml:space="preserve">literature as well as stakeholder interviews. The evaluation focuses on two aspects of</w:t>
      </w:r>
      <w:r>
        <w:t xml:space="preserve"> </w:t>
      </w:r>
      <w:r>
        <w:t xml:space="preserve">effectiveness: whether the MSR achieved its objectives, considering effectiveness in a broad</w:t>
      </w:r>
      <w:r>
        <w:t xml:space="preserve"> </w:t>
      </w:r>
      <w:r>
        <w:t xml:space="preserve">sense; and, evaluating effectiveness in a narrow sense, it compares the expected effects of the</w:t>
      </w:r>
      <w:r>
        <w:t xml:space="preserve"> </w:t>
      </w:r>
      <w:r>
        <w:t xml:space="preserve">instrument against the actual effects and developments in the EU ETS. Expected effects are</w:t>
      </w:r>
      <w:r>
        <w:t xml:space="preserve"> </w:t>
      </w:r>
      <w:r>
        <w:t xml:space="preserve">those identified in the MSR Impact Assessment (IA) from 2014 for the years 2013 to 2017. For</w:t>
      </w:r>
      <w:r>
        <w:t xml:space="preserve"> </w:t>
      </w:r>
      <w:r>
        <w:t xml:space="preserve">the years following the 2018 reform, the evaluation draws from the 2021 MSR Review. For a</w:t>
      </w:r>
      <w:r>
        <w:t xml:space="preserve"> </w:t>
      </w:r>
      <w:r>
        <w:t xml:space="preserve">detailed outline of MSR reforms and a discussion of the suitable points of comparison, see</w:t>
      </w:r>
      <w:r>
        <w:t xml:space="preserve"> </w:t>
      </w:r>
      <w:r>
        <w:t xml:space="preserve">Section 2.2.</w:t>
      </w:r>
      <w:r>
        <w:br/>
      </w:r>
      <w:r>
        <w:t xml:space="preserve">In addition, the invalidation mechanism introduced in 2018 and reforms under the Fit for 55</w:t>
      </w:r>
      <w:r>
        <w:t xml:space="preserve"> </w:t>
      </w:r>
      <w:r>
        <w:t xml:space="preserve">package is also evaluated, as well as the price developments over the evaluation period together</w:t>
      </w:r>
      <w:r>
        <w:t xml:space="preserve"> </w:t>
      </w:r>
      <w:r>
        <w:t xml:space="preserve">with price drops related to shocks and other events, assessing the role of the MSR for long- and</w:t>
      </w:r>
      <w:r>
        <w:t xml:space="preserve"> </w:t>
      </w:r>
      <w:r>
        <w:t xml:space="preserve">short-term price changes. Closely related to the development of price is the question of how</w:t>
      </w:r>
      <w:r>
        <w:t xml:space="preserve"> </w:t>
      </w:r>
      <w:r>
        <w:t xml:space="preserve">the MSR has been able to increase confidence in the allowance market, the EU ETS as</w:t>
      </w:r>
      <w:r>
        <w:t xml:space="preserve"> </w:t>
      </w:r>
      <w:r>
        <w:t xml:space="preserve">instrument and the regulatory commitment of the EU and the Member States to a strong carbon</w:t>
      </w:r>
      <w:r>
        <w:t xml:space="preserve"> </w:t>
      </w:r>
      <w:r>
        <w:t xml:space="preserve">market. This question is evaluated in the same subsection.</w:t>
      </w:r>
      <w:r>
        <w:br/>
      </w:r>
      <w:r>
        <w:t xml:space="preserve">4.1.2.1.1 Achievement of objectives</w:t>
      </w:r>
      <w:r>
        <w:t xml:space="preserve"> </w:t>
      </w:r>
      <w:r>
        <w:t xml:space="preserve">4.1.2.1.1.1 Approach of evaluating achievement of objectives</w:t>
      </w:r>
      <w:r>
        <w:t xml:space="preserve"> </w:t>
      </w:r>
      <w:r>
        <w:t xml:space="preserve">Effectiveness in a broad sense evaluates whether the MSR has achieved its stated objectives.</w:t>
      </w:r>
      <w:r>
        <w:t xml:space="preserve"> </w:t>
      </w:r>
      <w:r>
        <w:t xml:space="preserve">The first specific objective of the MSR is to reduce the excessive historical surplus that built</w:t>
      </w:r>
      <w:r>
        <w:t xml:space="preserve"> </w:t>
      </w:r>
      <w:r>
        <w:t xml:space="preserve">up before the adoption of the MSR. The starting year of the evaluation is 2012, i.e. the base</w:t>
      </w:r>
      <w:r>
        <w:t xml:space="preserve"> </w:t>
      </w:r>
      <w:r>
        <w:t xml:space="preserve">year of the 2014 IA, which featured a calculated TNAC at the end of the year of 1,750 million</w:t>
      </w:r>
      <w:r>
        <w:t xml:space="preserve"> </w:t>
      </w:r>
      <w:r>
        <w:t xml:space="preserve">EUA. Of these, 917 million EUAs, i.e. the volume above the MSR’s upper threshold of 833</w:t>
      </w:r>
      <w:r>
        <w:t xml:space="preserve"> </w:t>
      </w:r>
      <w:r>
        <w:t xml:space="preserve">million, can be considered as excess historical surplus. The MSR was effective in achieving its</w:t>
      </w:r>
      <w:r>
        <w:t xml:space="preserve"> </w:t>
      </w:r>
      <w:r>
        <w:t xml:space="preserve">first objective if it reduced the TNAC by this volume.</w:t>
      </w:r>
      <w:r>
        <w:t xml:space="preserve"> </w:t>
      </w:r>
      <w:r>
        <w:t xml:space="preserve">The second specific objective of the MSR is to mitigate the build-up of any new surplus caused</w:t>
      </w:r>
      <w:r>
        <w:t xml:space="preserve"> </w:t>
      </w:r>
      <w:r>
        <w:t xml:space="preserve">by supply and demand imbalances. For the effectiveness evaluation, an undesired build-up is</w:t>
      </w:r>
      <w:r>
        <w:t xml:space="preserve"> </w:t>
      </w:r>
      <w:r>
        <w:t xml:space="preserve">defined as any increase of the TNAC from 2013 onwards. The second objective targets supply</w:t>
      </w:r>
      <w:r>
        <w:t xml:space="preserve"> </w:t>
      </w:r>
      <w:r>
        <w:t xml:space="preserve">and demand imbalances in general, i.e. not just situations in which supply exceeds demand in</w:t>
      </w:r>
      <w:r>
        <w:t xml:space="preserve"> </w:t>
      </w:r>
      <w:r>
        <w:t xml:space="preserve">response to unforeseen events or shocks but also situations of exceptional scarcity in which</w:t>
      </w:r>
      <w:r>
        <w:t xml:space="preserve"> </w:t>
      </w:r>
      <w:r>
        <w:t xml:space="preserve">demand exceeds supply. As there is not yet a situation of the latter type of imbalance in the</w:t>
      </w:r>
      <w:r>
        <w:t xml:space="preserve"> </w:t>
      </w:r>
      <w:r>
        <w:t xml:space="preserve">market, the evaluation focusses on the build-up of TNAC between 2013 and 2024 and how the</w:t>
      </w:r>
      <w:r>
        <w:t xml:space="preserve"> </w:t>
      </w:r>
      <w:r>
        <w:t xml:space="preserve">MSR was able to mitigate this.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To assess the effects of the MSR on the TNAC and the achievement of the second objective,</w:t>
      </w:r>
      <w:r>
        <w:t xml:space="preserve"> </w:t>
      </w:r>
      <w:r>
        <w:t xml:space="preserve">the actual TNAC is compared to an ex-post baseline, a simplified hypothetical counterfactual</w:t>
      </w:r>
      <w:r>
        <w:t xml:space="preserve"> </w:t>
      </w:r>
      <w:r>
        <w:t xml:space="preserve">scenario without the MSR constructed after the fact. For this purpose, the operational MSR</w:t>
      </w:r>
      <w:r>
        <w:t xml:space="preserve"> </w:t>
      </w:r>
      <w:r>
        <w:t xml:space="preserve">intakes77 of each year are added to the reported TNAC, re-adding the supply that has been</w:t>
      </w:r>
      <w:r>
        <w:t xml:space="preserve"> </w:t>
      </w:r>
      <w:r>
        <w:t xml:space="preserve">reduced because of the MSR (see Figure 11 below). This approach, however, neglects any</w:t>
      </w:r>
      <w:r>
        <w:t xml:space="preserve"> </w:t>
      </w:r>
      <w:r>
        <w:t xml:space="preserve">dynamic effects of the MSR on the allowance demand, i.e. the verified emissions, and in turn</w:t>
      </w:r>
      <w:r>
        <w:t xml:space="preserve"> </w:t>
      </w:r>
      <w:r>
        <w:t xml:space="preserve">on MSR intake and allowance supply in individual years. A strengthened EUA price or</w:t>
      </w:r>
      <w:r>
        <w:t xml:space="preserve"> </w:t>
      </w:r>
      <w:r>
        <w:t xml:space="preserve">increased scarcity in the market would be expected to result in reduced emissions and hence</w:t>
      </w:r>
      <w:r>
        <w:t xml:space="preserve"> </w:t>
      </w:r>
      <w:r>
        <w:t xml:space="preserve">allowance demand. This then would increase the TNAC and MSR intake. In consequence, the</w:t>
      </w:r>
      <w:r>
        <w:t xml:space="preserve"> </w:t>
      </w:r>
      <w:r>
        <w:t xml:space="preserve">ex-post baseline overestimates the TNAC in the absence of the MSR and hence MSR</w:t>
      </w:r>
      <w:r>
        <w:t xml:space="preserve"> </w:t>
      </w:r>
      <w:r>
        <w:t xml:space="preserve">effectiveness. However, this dynamic effect on allowance demand is unlikely to be dominant,</w:t>
      </w:r>
      <w:r>
        <w:t xml:space="preserve"> </w:t>
      </w:r>
      <w:r>
        <w:t xml:space="preserve">and the ex-post baseline can be considered the robust way to assess the effect of the MSR on</w:t>
      </w:r>
      <w:r>
        <w:t xml:space="preserve"> </w:t>
      </w:r>
      <w:r>
        <w:t xml:space="preserve">the TNAC.</w:t>
      </w:r>
      <w:r>
        <w:br/>
      </w:r>
      <w:r>
        <w:t xml:space="preserve">4.1.2.1.1.2 Development of demand, supply, and TNAC</w:t>
      </w:r>
      <w:r>
        <w:t xml:space="preserve"> </w:t>
      </w:r>
      <w:r>
        <w:t xml:space="preserve">As the objectives of the MSR focus on the number of allowances in circulation, this section</w:t>
      </w:r>
      <w:r>
        <w:t xml:space="preserve"> </w:t>
      </w:r>
      <w:r>
        <w:t xml:space="preserve">starts with a description of demand and supply of allowances in each year after the baseline</w:t>
      </w:r>
      <w:r>
        <w:t xml:space="preserve"> </w:t>
      </w:r>
      <w:r>
        <w:t xml:space="preserve">year 2012 to assess how the TNAC, which is the accumulation of supply and demand</w:t>
      </w:r>
      <w:r>
        <w:t xml:space="preserve"> </w:t>
      </w:r>
      <w:r>
        <w:t xml:space="preserve">imbalances over time, has developed. For each year, main regulatory and economic events that</w:t>
      </w:r>
      <w:r>
        <w:t xml:space="preserve"> </w:t>
      </w:r>
      <w:r>
        <w:t xml:space="preserve">influenced supply or demand are explained. Figure 11 shows the annual figures for demand</w:t>
      </w:r>
      <w:r>
        <w:t xml:space="preserve"> </w:t>
      </w:r>
      <w:r>
        <w:t xml:space="preserve">and supply of allowances and the development of the TNAC78. It also presents the ex-post</w:t>
      </w:r>
      <w:r>
        <w:t xml:space="preserve"> </w:t>
      </w:r>
      <w:r>
        <w:t xml:space="preserve">baseline as point of comparison of the MSR effects. Between 2012 and 2018, before the start</w:t>
      </w:r>
      <w:r>
        <w:t xml:space="preserve"> </w:t>
      </w:r>
      <w:r>
        <w:t xml:space="preserve">of the MSR operations in 2019, the TNAC decreased from 1,750 to 1,655 million EUA (in part</w:t>
      </w:r>
      <w:r>
        <w:t xml:space="preserve"> </w:t>
      </w:r>
      <w:r>
        <w:t xml:space="preserve">due to backloading). From the start of the MSR to the end of 2024, TNAC decreased to 1,148</w:t>
      </w:r>
      <w:r>
        <w:t xml:space="preserve"> </w:t>
      </w:r>
      <w:r>
        <w:t xml:space="preserve">million EUA.</w:t>
      </w:r>
    </w:p>
    <w:p>
      <w:pPr>
        <w:pStyle w:val="BodyText"/>
      </w:pPr>
      <w:r>
        <w:t xml:space="preserve">77 The official MSR intake as published in the annual TNAC Communications refer to an intake from September</w:t>
      </w:r>
      <w:r>
        <w:t xml:space="preserve"> </w:t>
      </w:r>
      <w:r>
        <w:t xml:space="preserve">of a year t+1 to August in t+2 for a TNAC in year t. We use the term operational MSR intake as the intake</w:t>
      </w:r>
      <w:r>
        <w:t xml:space="preserve"> </w:t>
      </w:r>
      <w:r>
        <w:t xml:space="preserve">for a calendar year.</w:t>
      </w:r>
      <w:r>
        <w:br/>
      </w:r>
      <w:r>
        <w:t xml:space="preserve">78 Note that the evaluation focuses on emissions from and allowances used by stationary installations only as</w:t>
      </w:r>
      <w:r>
        <w:t xml:space="preserve"> </w:t>
      </w:r>
      <w:r>
        <w:t xml:space="preserve">the TNAC is based on these, leaving aside allowance supply and verified emissions for aviation.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Figure 11: Demand, supply79, and TNAC from 2017 to 2024.</w:t>
      </w:r>
    </w:p>
    <w:p>
      <w:pPr>
        <w:pStyle w:val="BodyText"/>
      </w:pPr>
      <w:r>
        <w:t xml:space="preserve">Source: Own illustration</w:t>
      </w:r>
      <w:r>
        <w:t xml:space="preserve"> </w:t>
      </w:r>
      <w:r>
        <w:t xml:space="preserve">There are no official TNAC announcements for the period 2013-2016 and so this period is not</w:t>
      </w:r>
      <w:r>
        <w:t xml:space="preserve"> </w:t>
      </w:r>
      <w:r>
        <w:t xml:space="preserve">included in the figure above. However, apart from 2013, verified emissions for stationary</w:t>
      </w:r>
      <w:r>
        <w:t xml:space="preserve"> </w:t>
      </w:r>
      <w:r>
        <w:t xml:space="preserve">installations were higher than or at least at par with allowance supply in the EU ETS. That</w:t>
      </w:r>
      <w:r>
        <w:t xml:space="preserve"> </w:t>
      </w:r>
      <w:r>
        <w:t xml:space="preserve">means, even before the MSR went into force, the number of banked allowances in the EU ETS</w:t>
      </w:r>
      <w:r>
        <w:t xml:space="preserve"> </w:t>
      </w:r>
      <w:r>
        <w:t xml:space="preserve">was decreasing. In 2018, the TNAC was 95 million EUA lower than in 2012 after the following</w:t>
      </w:r>
      <w:r>
        <w:t xml:space="preserve"> </w:t>
      </w:r>
      <w:r>
        <w:t xml:space="preserve">developments:</w:t>
      </w:r>
      <w:r>
        <w:t xml:space="preserve"> </w:t>
      </w:r>
      <w:r>
        <w:t xml:space="preserve">• One of the major contributors to the decrease in TNAC was the backloading of 900</w:t>
      </w:r>
      <w:r>
        <w:t xml:space="preserve"> </w:t>
      </w:r>
      <w:r>
        <w:t xml:space="preserve">allowances between 2014 and 2016. It is reasonable to assume that 2018 TNAC levels</w:t>
      </w:r>
      <w:r>
        <w:t xml:space="preserve"> </w:t>
      </w:r>
      <w:r>
        <w:t xml:space="preserve">would have been above 2012 levels in the absence of this intervention. While the</w:t>
      </w:r>
      <w:r>
        <w:t xml:space="preserve"> </w:t>
      </w:r>
      <w:r>
        <w:t xml:space="preserve">backloading of allowances did not have a noticeable effect on allowance prices, it was</w:t>
      </w:r>
      <w:r>
        <w:t xml:space="preserve"> </w:t>
      </w:r>
      <w:r>
        <w:t xml:space="preserve">effective in reducing the surplus of allowances in the market.</w:t>
      </w:r>
      <w:r>
        <w:br/>
      </w:r>
      <w:r>
        <w:t xml:space="preserve">• Another element that contributed to TNAC reduction was the decrease of offset inflow</w:t>
      </w:r>
      <w:r>
        <w:t xml:space="preserve"> </w:t>
      </w:r>
      <w:r>
        <w:t xml:space="preserve">in the EU ETS. The rules for offset use for EU ETS compliance became considerably</w:t>
      </w:r>
      <w:r>
        <w:t xml:space="preserve"> </w:t>
      </w:r>
      <w:r>
        <w:t xml:space="preserve">more stringent from Phase II (2008-2012) to Phase III (2013-2020). In Phase III, newly</w:t>
      </w:r>
      <w:r>
        <w:t xml:space="preserve"> </w:t>
      </w:r>
      <w:r>
        <w:t xml:space="preserve">generated carbon credits were required to originate only from projects in least</w:t>
      </w:r>
      <w:r>
        <w:t xml:space="preserve"> </w:t>
      </w:r>
      <w:r>
        <w:t xml:space="preserve">developed countries. Credits from industrial gas projects were excluded altogether,</w:t>
      </w:r>
      <w:r>
        <w:t xml:space="preserve"> </w:t>
      </w:r>
      <w:r>
        <w:t xml:space="preserve">although carbon credits issued until 2012 could still be used for compliance in 2013</w:t>
      </w:r>
      <w:r>
        <w:t xml:space="preserve"> </w:t>
      </w:r>
      <w:r>
        <w:t xml:space="preserve">and 2014. (ICAP Status Report 2024) Hence, offset supply spiked in 2012 with 493</w:t>
      </w:r>
      <w:r>
        <w:t xml:space="preserve"> </w:t>
      </w:r>
      <w:r>
        <w:t xml:space="preserve">million credits, was still considerable in 2013 and 2014 (129 and 247 million credits,</w:t>
      </w:r>
      <w:r>
        <w:t xml:space="preserve"> </w:t>
      </w:r>
      <w:r>
        <w:t xml:space="preserve">respectively) and dropped below 30 million credits for each year between 2015 and</w:t>
      </w:r>
      <w:r>
        <w:t xml:space="preserve"> </w:t>
      </w:r>
      <w:r>
        <w:t xml:space="preserve">2020.</w:t>
      </w:r>
      <w:r>
        <w:t xml:space="preserve"> </w:t>
      </w:r>
      <w:r>
        <w:t xml:space="preserve">In 2017, demand exceeded supply by 39 million EUA. In 2018, the difference between</w:t>
      </w:r>
      <w:r>
        <w:t xml:space="preserve"> </w:t>
      </w:r>
      <w:r>
        <w:t xml:space="preserve">allowance supply and verified emissions was marginal. By then, allowance supply had dropped</w:t>
      </w:r>
      <w:r>
        <w:t xml:space="preserve"> </w:t>
      </w:r>
      <w:r>
        <w:t xml:space="preserve">sufficiently to be at par with verified emissions without any additional cap adjustments.</w:t>
      </w:r>
      <w:r>
        <w:t xml:space="preserve"> </w:t>
      </w:r>
      <w:r>
        <w:t xml:space="preserve">Verified emissions were relatively stable in this period, indicating the absence of any major</w:t>
      </w:r>
      <w:r>
        <w:t xml:space="preserve"> </w:t>
      </w:r>
      <w:r>
        <w:t xml:space="preserve">demand shocks but also low progress on decarbonisation.</w:t>
      </w:r>
    </w:p>
    <w:p>
      <w:pPr>
        <w:pStyle w:val="BodyText"/>
      </w:pPr>
      <w:r>
        <w:t xml:space="preserve">79 Ex-ante supply is decreasing over time following the cap reduction. Ex-post supply reflects adjustments for</w:t>
      </w:r>
      <w:r>
        <w:t xml:space="preserve"> </w:t>
      </w:r>
      <w:r>
        <w:t xml:space="preserve">e.g. MSR intake, Brexit from 2021, and scope expansion to the maritime sector from 2024.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3000</w:t>
      </w:r>
      <w:r>
        <w:t xml:space="preserve"> </w:t>
      </w:r>
      <w:r>
        <w:t xml:space="preserve">3500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M EUAs</w:t>
      </w:r>
      <w:r>
        <w:t xml:space="preserve"> </w:t>
      </w:r>
      <w:r>
        <w:t xml:space="preserve">Supply of EUAs</w:t>
      </w:r>
      <w:r>
        <w:t xml:space="preserve"> </w:t>
      </w:r>
      <w:r>
        <w:t xml:space="preserve">Demand of EUAs</w:t>
      </w:r>
      <w:r>
        <w:t xml:space="preserve"> </w:t>
      </w:r>
      <w:r>
        <w:t xml:space="preserve">TNAC</w:t>
      </w:r>
      <w:r>
        <w:t xml:space="preserve"> </w:t>
      </w:r>
      <w:r>
        <w:t xml:space="preserve">Ex-post baseline</w:t>
      </w:r>
      <w:r>
        <w:t xml:space="preserve"> </w:t>
      </w:r>
      <w:r>
        <w:t xml:space="preserve">Cumulated</w:t>
      </w:r>
      <w:r>
        <w:t xml:space="preserve"> </w:t>
      </w:r>
      <w:r>
        <w:t xml:space="preserve">MSR intake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The MSR started operating in 2019. Figure 12 below presents the operational MSR intake, the</w:t>
      </w:r>
      <w:r>
        <w:t xml:space="preserve"> </w:t>
      </w:r>
      <w:r>
        <w:t xml:space="preserve">resulting change in TNAC as well as a hypothetical change in TNAC in the ex-post baseline</w:t>
      </w:r>
      <w:r>
        <w:t xml:space="preserve"> </w:t>
      </w:r>
      <w:r>
        <w:t xml:space="preserve">scenario without the MSR. The latter is the sum of change in TNAC and MSR intake.</w:t>
      </w:r>
      <w:r>
        <w:br/>
      </w:r>
      <w:r>
        <w:t xml:space="preserve">Figure 12: MSR intake; actual and ex-post baseline changes in TNAC</w:t>
      </w:r>
    </w:p>
    <w:p>
      <w:pPr>
        <w:pStyle w:val="BodyText"/>
      </w:pPr>
      <w:r>
        <w:t xml:space="preserve">Source: Own illustration</w:t>
      </w:r>
      <w:r>
        <w:t xml:space="preserve"> </w:t>
      </w:r>
      <w:r>
        <w:t xml:space="preserve">This shows that in its first year and including an MSR intake of 367 million EUAs, allowance</w:t>
      </w:r>
      <w:r>
        <w:t xml:space="preserve"> </w:t>
      </w:r>
      <w:r>
        <w:t xml:space="preserve">demand, i.e. verified emissions, exceeded supply by 269 million. It is very likely that the TNAC</w:t>
      </w:r>
      <w:r>
        <w:t xml:space="preserve"> </w:t>
      </w:r>
      <w:r>
        <w:t xml:space="preserve">would have increased in the absence of the MSR (ex-post baseline scenario).</w:t>
      </w:r>
      <w:r>
        <w:br/>
      </w:r>
      <w:r>
        <w:t xml:space="preserve">The pandemic year of 2020 brought an unanticipated demand shock which contributed to</w:t>
      </w:r>
      <w:r>
        <w:t xml:space="preserve"> </w:t>
      </w:r>
      <w:r>
        <w:t xml:space="preserve">adding 194 million EUA to the TNAC, even in the presence of the MSR. This is caused by the</w:t>
      </w:r>
      <w:r>
        <w:t xml:space="preserve"> </w:t>
      </w:r>
      <w:r>
        <w:t xml:space="preserve">restrained economic activity and a drop in verified emissions from 1,562 to 1,352 Mt EUA</w:t>
      </w:r>
      <w:r>
        <w:t xml:space="preserve"> </w:t>
      </w:r>
      <w:r>
        <w:t xml:space="preserve">from 2019 to 2020. At the same time, EUA supply to the market increased from 1,293 to 1,546</w:t>
      </w:r>
      <w:r>
        <w:t xml:space="preserve"> </w:t>
      </w:r>
      <w:r>
        <w:t xml:space="preserve">Mt EUA when the suspended UK auctions and free allocations in 2019 were compensated for</w:t>
      </w:r>
      <w:r>
        <w:t xml:space="preserve"> </w:t>
      </w:r>
      <w:r>
        <w:t xml:space="preserve">in 2020.80 In total, the TNAC thus increased in 2020 despite an MSR intake of 376 million</w:t>
      </w:r>
      <w:r>
        <w:t xml:space="preserve"> </w:t>
      </w:r>
      <w:r>
        <w:t xml:space="preserve">EUA. Part of this increase in TNAC occurred due to the shift of supply from 2019 to 2020, i.e. </w:t>
      </w:r>
      <w:r>
        <w:t xml:space="preserve"> </w:t>
      </w:r>
      <w:r>
        <w:t xml:space="preserve">the TNAC decrease in 2019 would have been lower in the absence of this effect.</w:t>
      </w:r>
      <w:r>
        <w:t xml:space="preserve"> </w:t>
      </w:r>
      <w:r>
        <w:t xml:space="preserve">The following years 2021-2023 saw again a decline in TNAC (blue bars), with the help of MSR</w:t>
      </w:r>
      <w:r>
        <w:t xml:space="preserve"> </w:t>
      </w:r>
      <w:r>
        <w:t xml:space="preserve">intakes above 300 million EUA per year (green bars). The years 2021 and 2022 featured similar</w:t>
      </w:r>
      <w:r>
        <w:t xml:space="preserve"> </w:t>
      </w:r>
      <w:r>
        <w:t xml:space="preserve">levels of verified emissions as 2020. Here the economic recovery after the pandemic increased</w:t>
      </w:r>
      <w:r>
        <w:t xml:space="preserve"> </w:t>
      </w:r>
      <w:r>
        <w:t xml:space="preserve">emissions but the withdrawal from UK entities from the EU ETS reduced them. Allowance</w:t>
      </w:r>
      <w:r>
        <w:t xml:space="preserve"> </w:t>
      </w:r>
      <w:r>
        <w:t xml:space="preserve">supply was below verified emissions with the help of the MSR, leading to a considerable TNAC</w:t>
      </w:r>
      <w:r>
        <w:t xml:space="preserve"> </w:t>
      </w:r>
      <w:r>
        <w:t xml:space="preserve">decrease. The Russian invasion of Ukraine in February 2022 and the energy price crisis led</w:t>
      </w:r>
      <w:r>
        <w:t xml:space="preserve"> </w:t>
      </w:r>
      <w:r>
        <w:t xml:space="preserve">then to another economic downturn accompanied by a drop in verified emissions in 2023 and</w:t>
      </w:r>
      <w:r>
        <w:t xml:space="preserve"> </w:t>
      </w:r>
      <w:r>
        <w:t xml:space="preserve">2024. At the same time, verified emissions were at par with allowance supply, leading to</w:t>
      </w:r>
      <w:r>
        <w:t xml:space="preserve"> </w:t>
      </w:r>
      <w:r>
        <w:t xml:space="preserve">marginal changes in 2023 and 2024, respectively.</w:t>
      </w:r>
    </w:p>
    <w:p>
      <w:pPr>
        <w:pStyle w:val="BodyText"/>
      </w:pPr>
      <w:r>
        <w:t xml:space="preserve">80 DG CLIMA, 2020. “Lifting the suspension of UK-related processes in the Union Registry of the EU ETS,</w:t>
      </w:r>
      <w:r>
        <w:t xml:space="preserve"> </w:t>
      </w:r>
      <w:r>
        <w:t xml:space="preserve">news article 31 January 2020”, https://climate.ec.europa.eu/news-your-voice/news/lifting-suspension-uk-</w:t>
      </w:r>
      <w:r>
        <w:t xml:space="preserve"> </w:t>
      </w:r>
      <w:r>
        <w:t xml:space="preserve">related-processes-union-registry-eu-ets-2020-01-31_en</w:t>
      </w:r>
      <w:r>
        <w:t xml:space="preserve"> </w:t>
      </w:r>
      <w:r>
        <w:t xml:space="preserve">-400</w:t>
      </w:r>
      <w:r>
        <w:t xml:space="preserve"> </w:t>
      </w:r>
      <w:r>
        <w:t xml:space="preserve">-200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400</w:t>
      </w:r>
      <w:r>
        <w:t xml:space="preserve"> </w:t>
      </w:r>
      <w:r>
        <w:t xml:space="preserve">600</w:t>
      </w:r>
      <w:r>
        <w:t xml:space="preserve"> </w:t>
      </w:r>
      <w:r>
        <w:t xml:space="preserve">800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M EUAs</w:t>
      </w:r>
      <w:r>
        <w:t xml:space="preserve"> </w:t>
      </w:r>
      <w:r>
        <w:t xml:space="preserve">Operational MSR intake</w:t>
      </w:r>
      <w:r>
        <w:t xml:space="preserve"> </w:t>
      </w:r>
      <w:r>
        <w:t xml:space="preserve">Change in TNAC</w:t>
      </w:r>
      <w:r>
        <w:t xml:space="preserve"> </w:t>
      </w:r>
      <w:r>
        <w:t xml:space="preserve">Change in TNAC w</w:t>
      </w:r>
      <w:r>
        <w:t xml:space="preserve">MSR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4.1.2.1.1.3 Conclusion on historical surplus (until 2012) and new surplus (added between 2013</w:t>
      </w:r>
      <w:r>
        <w:t xml:space="preserve"> </w:t>
      </w:r>
      <w:r>
        <w:t xml:space="preserve">and 2024)</w:t>
      </w:r>
      <w:r>
        <w:t xml:space="preserve"> </w:t>
      </w:r>
      <w:r>
        <w:t xml:space="preserve">Considering the base year for this evaluation is 2012, the starting volume of TNAC is 1,750</w:t>
      </w:r>
      <w:r>
        <w:t xml:space="preserve"> </w:t>
      </w:r>
      <w:r>
        <w:t xml:space="preserve">million EUA. Given this starting value, everything above the MSR upper threshold of 833</w:t>
      </w:r>
      <w:r>
        <w:t xml:space="preserve"> </w:t>
      </w:r>
      <w:r>
        <w:t xml:space="preserve">million EUA was assessed as being excessive historical surplus. Hence, there was an excess</w:t>
      </w:r>
      <w:r>
        <w:t xml:space="preserve"> </w:t>
      </w:r>
      <w:r>
        <w:t xml:space="preserve">historical surplus of 917 million EUA in 2012. Since the MSR started operating in 2019, its</w:t>
      </w:r>
      <w:r>
        <w:t xml:space="preserve"> </w:t>
      </w:r>
      <w:r>
        <w:t xml:space="preserve">total operational intake until 2024 was 2,058 million EUA. This volume exceeded, together</w:t>
      </w:r>
      <w:r>
        <w:t xml:space="preserve"> </w:t>
      </w:r>
      <w:r>
        <w:t xml:space="preserve">with the 900 million EUA from backloading in 2014 to 2016, the excess historical surplus by</w:t>
      </w:r>
      <w:r>
        <w:t xml:space="preserve"> </w:t>
      </w:r>
      <w:r>
        <w:t xml:space="preserve">far. It can be concluded that the MSR successfully achieved its first objective of reducing the</w:t>
      </w:r>
      <w:r>
        <w:t xml:space="preserve"> </w:t>
      </w:r>
      <w:r>
        <w:t xml:space="preserve">historical surplus in the allowance market.</w:t>
      </w:r>
      <w:r>
        <w:br/>
      </w:r>
      <w:r>
        <w:t xml:space="preserve">The second objective of the MSR targets new surplus that built up between 2013 and 2024.</w:t>
      </w:r>
      <w:r>
        <w:t xml:space="preserve"> </w:t>
      </w:r>
      <w:r>
        <w:t xml:space="preserve">From the perspective of 2012, this can be considered as future surplus. We can define additional</w:t>
      </w:r>
      <w:r>
        <w:t xml:space="preserve"> </w:t>
      </w:r>
      <w:r>
        <w:t xml:space="preserve">surplus as any increase in TNAC, resulting from an imbalance of demand and supply over the</w:t>
      </w:r>
      <w:r>
        <w:t xml:space="preserve"> </w:t>
      </w:r>
      <w:r>
        <w:t xml:space="preserve">evaluation period. Figure 13 below shows how in aggregate the MSR intake of 2,058 million</w:t>
      </w:r>
      <w:r>
        <w:t xml:space="preserve"> </w:t>
      </w:r>
      <w:r>
        <w:t xml:space="preserve">EUA exceeded the initial TNAC of 1,750 million EUA. However, the TNAC would have</w:t>
      </w:r>
      <w:r>
        <w:t xml:space="preserve"> </w:t>
      </w:r>
      <w:r>
        <w:t xml:space="preserve">increased by 1,456 million EUA in a simplified ex-post baseline scenario, leading to an actual</w:t>
      </w:r>
      <w:r>
        <w:t xml:space="preserve"> </w:t>
      </w:r>
      <w:r>
        <w:t xml:space="preserve">TNAC in 2024 of 1,148 million EUA. In other words, the MSR intake did not fully cover the</w:t>
      </w:r>
      <w:r>
        <w:t xml:space="preserve"> </w:t>
      </w:r>
      <w:r>
        <w:t xml:space="preserve">new demand-supply imbalance that built up between 2013 and 2024, as the TNAC of 1,148</w:t>
      </w:r>
      <w:r>
        <w:t xml:space="preserve"> </w:t>
      </w:r>
      <w:r>
        <w:t xml:space="preserve">million EUA in 2024 was still above the targeted level of 833 million EUA. While the</w:t>
      </w:r>
      <w:r>
        <w:t xml:space="preserve"> </w:t>
      </w:r>
      <w:r>
        <w:t xml:space="preserve">significant drop in TNAC since 2012 is a success, it did not fully tackle subsequent demand-</w:t>
      </w:r>
      <w:r>
        <w:t xml:space="preserve"> </w:t>
      </w:r>
      <w:r>
        <w:t xml:space="preserve">supply imbalances. In consequence, the MSR achieved its second objective albeit only</w:t>
      </w:r>
      <w:r>
        <w:t xml:space="preserve"> </w:t>
      </w:r>
      <w:r>
        <w:t xml:space="preserve">partially.</w:t>
      </w:r>
      <w:r>
        <w:br/>
      </w:r>
      <w:r>
        <w:t xml:space="preserve">Figure 13: Aggregate development of TNAC between 2012 and 2024</w:t>
      </w:r>
    </w:p>
    <w:p>
      <w:pPr>
        <w:pStyle w:val="BodyText"/>
      </w:pPr>
      <w:r>
        <w:t xml:space="preserve">Source: Own illustration</w:t>
      </w:r>
      <w:r>
        <w:t xml:space="preserve"> </w:t>
      </w:r>
      <w:r>
        <w:t xml:space="preserve">Part of this overall success needs to be attributed to the backloading of 900 million allowances</w:t>
      </w:r>
      <w:r>
        <w:t xml:space="preserve"> </w:t>
      </w:r>
      <w:r>
        <w:t xml:space="preserve">between 2014 and 2016 that were later transferred to the MSR and subsequently invalidated.</w:t>
      </w:r>
      <w:r>
        <w:t xml:space="preserve"> </w:t>
      </w:r>
      <w:r>
        <w:t xml:space="preserve">The backloaded allowances consequently did not return to the market, as initially planned.</w:t>
      </w:r>
      <w:r>
        <w:t xml:space="preserve"> </w:t>
      </w:r>
      <w:r>
        <w:t xml:space="preserve">Without this measure, the build-up of new surplus would have been higher.</w:t>
      </w:r>
      <w:r>
        <w:t xml:space="preserve"> </w:t>
      </w:r>
      <w:r>
        <w:t xml:space="preserve">Looking at individual years, apart from 2020 and 2024 since the MSR entered into force, the</w:t>
      </w:r>
      <w:r>
        <w:t xml:space="preserve"> </w:t>
      </w:r>
      <w:r>
        <w:t xml:space="preserve">operational MSR intake exceeded the reduction in TNAC. It is hence likely that without the</w:t>
      </w:r>
      <w:r>
        <w:t xml:space="preserve"> </w:t>
      </w:r>
      <w:r>
        <w:t xml:space="preserve">MSR, the TNAC would have increased in these years, so the demand-supply imbalance would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have increased. With the MSR, TNAC levels decreased, although the target level of 833 million</w:t>
      </w:r>
      <w:r>
        <w:t xml:space="preserve"> </w:t>
      </w:r>
      <w:r>
        <w:t xml:space="preserve">has not been reached yet.</w:t>
      </w:r>
      <w:r>
        <w:br/>
      </w:r>
      <w:r>
        <w:t xml:space="preserve">In a counterfactual baseline, allowance supply was still above verified emissions between 2019</w:t>
      </w:r>
      <w:r>
        <w:t xml:space="preserve"> </w:t>
      </w:r>
      <w:r>
        <w:t xml:space="preserve">and 2024. It is likely that emissions reductions induced by climate policy measures (e.g. an</w:t>
      </w:r>
      <w:r>
        <w:t xml:space="preserve"> </w:t>
      </w:r>
      <w:r>
        <w:t xml:space="preserve">increase of renewable capacity) and unanticipated demand shocks (e.g. economic downturns)</w:t>
      </w:r>
      <w:r>
        <w:t xml:space="preserve"> </w:t>
      </w:r>
      <w:r>
        <w:t xml:space="preserve">reduced verified emissions by more than the amount that the Linear Reduction Factor has</w:t>
      </w:r>
      <w:r>
        <w:t xml:space="preserve"> </w:t>
      </w:r>
      <w:r>
        <w:t xml:space="preserve">reduced the cap over the same period. When supply exceeds demand in a given year, by</w:t>
      </w:r>
      <w:r>
        <w:t xml:space="preserve"> </w:t>
      </w:r>
      <w:r>
        <w:t xml:space="preserve">construction the MSR only removes a part of the imbalance (i.e. 24% with the current intake</w:t>
      </w:r>
      <w:r>
        <w:t xml:space="preserve"> </w:t>
      </w:r>
      <w:r>
        <w:t xml:space="preserve">rate) as long as it is outside the buffer zone. Once the TNAC is between 833 and 1096 million</w:t>
      </w:r>
      <w:r>
        <w:t xml:space="preserve"> </w:t>
      </w:r>
      <w:r>
        <w:t xml:space="preserve">EUA, all new surplus is transferred to the MSR which ensures per construction full</w:t>
      </w:r>
      <w:r>
        <w:t xml:space="preserve"> </w:t>
      </w:r>
      <w:r>
        <w:t xml:space="preserve">effectiveness. Above the buffer zone, the MSR is by design delayed in its effectiveness and as</w:t>
      </w:r>
      <w:r>
        <w:t xml:space="preserve"> </w:t>
      </w:r>
      <w:r>
        <w:t xml:space="preserve">long as TNAC builds up the MSR can only be partially effective in addressing demand-supply</w:t>
      </w:r>
      <w:r>
        <w:t xml:space="preserve"> </w:t>
      </w:r>
      <w:r>
        <w:t xml:space="preserve">imbalances.</w:t>
      </w:r>
      <w:r>
        <w:br/>
      </w:r>
      <w:r>
        <w:t xml:space="preserve">4.1.2.1.1 Comparison of actual outcome to baseline assessment</w:t>
      </w:r>
      <w:r>
        <w:t xml:space="preserve"> </w:t>
      </w:r>
      <w:r>
        <w:t xml:space="preserve">4.1.2.1.1.1 Approach for evaluating actual versus expected MSR effects</w:t>
      </w:r>
      <w:r>
        <w:t xml:space="preserve"> </w:t>
      </w:r>
      <w:r>
        <w:t xml:space="preserve">The second part of the effectiveness evaluation analyses if the effects of the MSR occurred as</w:t>
      </w:r>
      <w:r>
        <w:t xml:space="preserve"> </w:t>
      </w:r>
      <w:r>
        <w:t xml:space="preserve">expected when the mechanism was designed in the early 2010s and whether unforeseen</w:t>
      </w:r>
      <w:r>
        <w:t xml:space="preserve"> </w:t>
      </w:r>
      <w:r>
        <w:t xml:space="preserve">developments or unintended effects leading to a higher or lower TNAC or to the MSR behaving</w:t>
      </w:r>
      <w:r>
        <w:t xml:space="preserve"> </w:t>
      </w:r>
      <w:r>
        <w:t xml:space="preserve">in a different way have since occurred. For this, actual EU ETS data should in theory be</w:t>
      </w:r>
      <w:r>
        <w:t xml:space="preserve"> </w:t>
      </w:r>
      <w:r>
        <w:t xml:space="preserve">compared to a baseline describing a scenario set up before the adoption of the instrument.</w:t>
      </w:r>
      <w:r>
        <w:br/>
      </w:r>
      <w:r>
        <w:t xml:space="preserve">The main baseline should in general come from the impact assessment of a policy. In this case,</w:t>
      </w:r>
      <w:r>
        <w:t xml:space="preserve"> </w:t>
      </w:r>
      <w:r>
        <w:t xml:space="preserve">the Commission undertook an impact assessment for the MSR in 2014. It modelled different</w:t>
      </w:r>
      <w:r>
        <w:t xml:space="preserve"> </w:t>
      </w:r>
      <w:r>
        <w:t xml:space="preserve">scenarios and options for the adoption of the MSR described in Section 2.2. The next section</w:t>
      </w:r>
      <w:r>
        <w:t xml:space="preserve"> </w:t>
      </w:r>
      <w:r>
        <w:t xml:space="preserve">compares actual market outcome in the period from 2014 to 2017 to the assessment of Option</w:t>
      </w:r>
      <w:r>
        <w:t xml:space="preserve"> </w:t>
      </w:r>
      <w:r>
        <w:t xml:space="preserve">2d in the IA (with MSR start in 2017 and 2021). Because of the substantive reforms between</w:t>
      </w:r>
      <w:r>
        <w:t xml:space="preserve"> </w:t>
      </w:r>
      <w:r>
        <w:t xml:space="preserve">2018 and 2023, the design of the MSR has changed considerably. This makes it impossible to</w:t>
      </w:r>
      <w:r>
        <w:t xml:space="preserve"> </w:t>
      </w:r>
      <w:r>
        <w:t xml:space="preserve">identify a suitable point of comparison in the 2014 IA to evaluate the MSR performance in the</w:t>
      </w:r>
      <w:r>
        <w:t xml:space="preserve"> </w:t>
      </w:r>
      <w:r>
        <w:t xml:space="preserve">years 2018 to 2024. Instead, the evaluation will draw upon other existing analyses, particularly</w:t>
      </w:r>
      <w:r>
        <w:t xml:space="preserve"> </w:t>
      </w:r>
      <w:r>
        <w:t xml:space="preserve">the MSR Review in 2021, as points of comparison. Section 4.1.2.1.2.3 compares the market</w:t>
      </w:r>
      <w:r>
        <w:t xml:space="preserve"> </w:t>
      </w:r>
      <w:r>
        <w:t xml:space="preserve">outcome of 2021 to 2024 to the scenario in the 2021 MSR Review which hence serves as an</w:t>
      </w:r>
      <w:r>
        <w:t xml:space="preserve"> </w:t>
      </w:r>
      <w:r>
        <w:t xml:space="preserve">alternative point of comparison.</w:t>
      </w:r>
      <w:r>
        <w:br/>
      </w:r>
      <w:r>
        <w:t xml:space="preserve">4.1.2.1.1.2 Comparison of actual outcome to baseline from 2014 Impact Assessment</w:t>
      </w:r>
      <w:r>
        <w:t xml:space="preserve"> </w:t>
      </w:r>
      <w:r>
        <w:t xml:space="preserve">While the scenarios modelling the MSR options from the 2014 IA are not helpful for evaluating</w:t>
      </w:r>
      <w:r>
        <w:t xml:space="preserve"> </w:t>
      </w:r>
      <w:r>
        <w:t xml:space="preserve">the MSR that has been implemented in 2019, the IA offers several important insights on the</w:t>
      </w:r>
      <w:r>
        <w:t xml:space="preserve"> </w:t>
      </w:r>
      <w:r>
        <w:t xml:space="preserve">expected effects of the MSR and thus helps evaluating its conception and identifying where</w:t>
      </w:r>
      <w:r>
        <w:t xml:space="preserve"> </w:t>
      </w:r>
      <w:r>
        <w:t xml:space="preserve">assumptions in 2013/14 did not turn out to be valid. One example is the reference scenario used</w:t>
      </w:r>
      <w:r>
        <w:t xml:space="preserve"> </w:t>
      </w:r>
      <w:r>
        <w:t xml:space="preserve">in the IA.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Figure 14: Reference scenario from 2014 IA versus actual emissions</w:t>
      </w:r>
      <w:r>
        <w:br/>
      </w:r>
      <w:r>
        <w:t xml:space="preserve">Source: Own illustration</w:t>
      </w:r>
      <w:r>
        <w:t xml:space="preserve"> </w:t>
      </w:r>
      <w:r>
        <w:t xml:space="preserve">The reference scenario from the 2014 Impact Assessment presents a scenario that fully</w:t>
      </w:r>
      <w:r>
        <w:t xml:space="preserve"> </w:t>
      </w:r>
      <w:r>
        <w:t xml:space="preserve">implements all existing policies, including backloading, renewable energy targets, emission</w:t>
      </w:r>
      <w:r>
        <w:t xml:space="preserve"> </w:t>
      </w:r>
      <w:r>
        <w:t xml:space="preserve">reduction targets for 2020 (20%) and 2030 (40%) and the implementation of the Energy</w:t>
      </w:r>
      <w:r>
        <w:t xml:space="preserve"> </w:t>
      </w:r>
      <w:r>
        <w:t xml:space="preserve">Efficiency Directive. It depicts a world without the MSR that is more ambitious regarding the</w:t>
      </w:r>
      <w:r>
        <w:t xml:space="preserve"> </w:t>
      </w:r>
      <w:r>
        <w:t xml:space="preserve">implementation of climate policies compared to the 2014 IA baseline scenario (IA 2014, p. </w:t>
      </w:r>
      <w:r>
        <w:t xml:space="preserve"> </w:t>
      </w:r>
      <w:r>
        <w:t xml:space="preserve">8ff.). The reference scenario is hence a better point of comparison for the evaluation than the</w:t>
      </w:r>
      <w:r>
        <w:t xml:space="preserve"> </w:t>
      </w:r>
      <w:r>
        <w:t xml:space="preserve">baseline scenario, as it is closer to the actual EU climate policy ambition in the evaluation</w:t>
      </w:r>
      <w:r>
        <w:t xml:space="preserve"> </w:t>
      </w:r>
      <w:r>
        <w:t xml:space="preserve">period.</w:t>
      </w:r>
      <w:r>
        <w:t xml:space="preserve"> </w:t>
      </w:r>
      <w:r>
        <w:t xml:space="preserve">Figure 14 compares the emissions profile under the reference scenario with the actual verified</w:t>
      </w:r>
      <w:r>
        <w:t xml:space="preserve"> </w:t>
      </w:r>
      <w:r>
        <w:t xml:space="preserve">emissions (incl. a small number of voluntary allowance cancellations which are accounted for</w:t>
      </w:r>
      <w:r>
        <w:t xml:space="preserve"> </w:t>
      </w:r>
      <w:r>
        <w:t xml:space="preserve">together). It is striking that the emissions path from the reference scenario significantly</w:t>
      </w:r>
      <w:r>
        <w:t xml:space="preserve"> </w:t>
      </w:r>
      <w:r>
        <w:t xml:space="preserve">overestimates emissions in the EU ETS. In 2024, emissions were around 45% below the</w:t>
      </w:r>
      <w:r>
        <w:t xml:space="preserve"> </w:t>
      </w:r>
      <w:r>
        <w:t xml:space="preserve">expectations in the reference scenario. That means, emission reductions were much higher than</w:t>
      </w:r>
      <w:r>
        <w:t xml:space="preserve"> </w:t>
      </w:r>
      <w:r>
        <w:t xml:space="preserve">expected. This likely results from a combination of three types of unanticipated developments:</w:t>
      </w:r>
      <w:r>
        <w:t xml:space="preserve"> </w:t>
      </w:r>
      <w:r>
        <w:t xml:space="preserve">First, the expectation of increased ambition of the EU ETS in the lead up to the adoption of the</w:t>
      </w:r>
      <w:r>
        <w:t xml:space="preserve"> </w:t>
      </w:r>
      <w:r>
        <w:t xml:space="preserve">European Climate Law and the Fit for 55 package led to a stronger signal for emissions</w:t>
      </w:r>
      <w:r>
        <w:t xml:space="preserve"> </w:t>
      </w:r>
      <w:r>
        <w:t xml:space="preserve">reductions through an increased EUA price already in 2018 (see subsection on prices</w:t>
      </w:r>
      <w:r>
        <w:t xml:space="preserve"> </w:t>
      </w:r>
      <w:r>
        <w:t xml:space="preserve">below).The expectation was then confirmed when the higher linear reduction factors were</w:t>
      </w:r>
      <w:r>
        <w:t xml:space="preserve"> </w:t>
      </w:r>
      <w:r>
        <w:t xml:space="preserve">implemented in 2021 and 2024. Second and related to increased ambition, other climate</w:t>
      </w:r>
      <w:r>
        <w:t xml:space="preserve"> </w:t>
      </w:r>
      <w:r>
        <w:t xml:space="preserve">policies to decarbonise the EU ETS sectors, especially in the power sector, reduced emissions</w:t>
      </w:r>
      <w:r>
        <w:t xml:space="preserve"> </w:t>
      </w:r>
      <w:r>
        <w:t xml:space="preserve">more than expected. Third, political and economic events like Brexit, the COVID-19 pandemic</w:t>
      </w:r>
      <w:r>
        <w:t xml:space="preserve"> </w:t>
      </w:r>
      <w:r>
        <w:t xml:space="preserve">and the energy price crisis reduced emissions significantly. Note that even in years of high</w:t>
      </w:r>
      <w:r>
        <w:t xml:space="preserve"> </w:t>
      </w:r>
      <w:r>
        <w:t xml:space="preserve">economic activity (e.g. in 2015 or 2018), emissions declined more than expected. The 2021</w:t>
      </w:r>
      <w:r>
        <w:t xml:space="preserve"> </w:t>
      </w:r>
      <w:r>
        <w:t xml:space="preserve">MSR Review calculates that the annual cap decline rate between 2013 to 2019 was 1.95%,</w:t>
      </w:r>
      <w:r>
        <w:t xml:space="preserve"> </w:t>
      </w:r>
      <w:r>
        <w:t xml:space="preserve">compared to a decline of verified emissions of 3.57%, attributing this mainly to policies</w:t>
      </w:r>
      <w:r>
        <w:t xml:space="preserve"> </w:t>
      </w:r>
      <w:r>
        <w:t xml:space="preserve">inducing a decrease in emissions from electricity and heat (Vivid 2021, p.35). In a way, this</w:t>
      </w:r>
      <w:r>
        <w:t xml:space="preserve"> </w:t>
      </w:r>
      <w:r>
        <w:t xml:space="preserve">positive development of unexpected emissions reduction contributed to the fact that there is</w:t>
      </w:r>
      <w:r>
        <w:t xml:space="preserve"> </w:t>
      </w:r>
      <w:r>
        <w:t xml:space="preserve">still a remaining demand-supply imbalance in the EU ETS.</w:t>
      </w:r>
      <w:r>
        <w:br/>
      </w:r>
      <w:r>
        <w:t xml:space="preserve">It is important to underline that the objective of the MSR is to strengthen and stabilise the EU</w:t>
      </w:r>
      <w:r>
        <w:t xml:space="preserve"> </w:t>
      </w:r>
      <w:r>
        <w:t xml:space="preserve">ETS but not necessarily to increase its ambition. If the MSR contributed to strengthening</w:t>
      </w:r>
      <w:r>
        <w:t xml:space="preserve"> </w:t>
      </w:r>
      <w:r>
        <w:t xml:space="preserve">-</w:t>
      </w:r>
      <w:r>
        <w:t xml:space="preserve"> </w:t>
      </w:r>
      <w:r>
        <w:t xml:space="preserve">500</w:t>
      </w:r>
      <w:r>
        <w:t xml:space="preserve"> </w:t>
      </w:r>
      <w:r>
        <w:t xml:space="preserve">1.000</w:t>
      </w:r>
      <w:r>
        <w:t xml:space="preserve"> </w:t>
      </w:r>
      <w:r>
        <w:t xml:space="preserve">1.500</w:t>
      </w:r>
      <w:r>
        <w:t xml:space="preserve"> </w:t>
      </w:r>
      <w:r>
        <w:t xml:space="preserve">2.000</w:t>
      </w:r>
      <w:r>
        <w:t xml:space="preserve"> </w:t>
      </w:r>
      <w:r>
        <w:t xml:space="preserve">2.500</w:t>
      </w:r>
      <w:r>
        <w:t xml:space="preserve"> </w:t>
      </w:r>
      <w:r>
        <w:t xml:space="preserve">2013 2014 2015 2016 2017 2018 2019 2020 2021 2022 2023 2024</w:t>
      </w:r>
      <w:r>
        <w:t xml:space="preserve"> </w:t>
      </w:r>
      <w:r>
        <w:t xml:space="preserve">Reference scenario 2014 IA</w:t>
      </w:r>
      <w:r>
        <w:t xml:space="preserve"> </w:t>
      </w:r>
      <w:r>
        <w:t xml:space="preserve">with 40% target</w:t>
      </w:r>
      <w:r>
        <w:t xml:space="preserve"> </w:t>
      </w:r>
      <w:r>
        <w:t xml:space="preserve">Verified emissions and</w:t>
      </w:r>
      <w:r>
        <w:t xml:space="preserve"> </w:t>
      </w:r>
      <w:r>
        <w:t xml:space="preserve">cancellations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confidence into the EU ETS and supporting EUA prices, it led to lower verified emissions</w:t>
      </w:r>
      <w:r>
        <w:t xml:space="preserve"> </w:t>
      </w:r>
      <w:r>
        <w:t xml:space="preserve">thereby potentially reducing its own activity. Because emissions levels decreased and are below</w:t>
      </w:r>
      <w:r>
        <w:t xml:space="preserve"> </w:t>
      </w:r>
      <w:r>
        <w:t xml:space="preserve">the allowance supply even in 2024, TNAC levels are still above the MSR upper threshold of</w:t>
      </w:r>
      <w:r>
        <w:t xml:space="preserve"> </w:t>
      </w:r>
      <w:r>
        <w:t xml:space="preserve">833 million EUA and hence the MSR only partially achieved its second objective. For the 2014</w:t>
      </w:r>
      <w:r>
        <w:t xml:space="preserve"> </w:t>
      </w:r>
      <w:r>
        <w:t xml:space="preserve">IA, it can be concluded that the reference scenario underestimated the problem to be addressed</w:t>
      </w:r>
      <w:r>
        <w:t xml:space="preserve"> </w:t>
      </w:r>
      <w:r>
        <w:t xml:space="preserve">by the MSR and in consequence expected a more pronounced MSR effect.</w:t>
      </w:r>
      <w:r>
        <w:t xml:space="preserve"> </w:t>
      </w:r>
      <w:r>
        <w:t xml:space="preserve">Figure 3 in the 2014 IA shows the expectation that both allowance supply and demand will</w:t>
      </w:r>
      <w:r>
        <w:t xml:space="preserve"> </w:t>
      </w:r>
      <w:r>
        <w:t xml:space="preserve">decline at a relatively low rate in the reference scenario with demand exceeding supply from</w:t>
      </w:r>
      <w:r>
        <w:t xml:space="preserve"> </w:t>
      </w:r>
      <w:r>
        <w:t xml:space="preserve">2022 and the total surplus accordingly increasing slowly until 2022 and decreasing afterwards</w:t>
      </w:r>
      <w:r>
        <w:t xml:space="preserve"> </w:t>
      </w:r>
      <w:r>
        <w:t xml:space="preserve">(see 2014 IA, p. 9). The focus of the MSR design was in consequence on the excess historical</w:t>
      </w:r>
      <w:r>
        <w:t xml:space="preserve"> </w:t>
      </w:r>
      <w:r>
        <w:t xml:space="preserve">surplus and not on future demand-supply imbalances. However, both demand and supply</w:t>
      </w:r>
      <w:r>
        <w:t xml:space="preserve"> </w:t>
      </w:r>
      <w:r>
        <w:t xml:space="preserve">decreased at a faster rate than expected. The latter materialised through an increase of the</w:t>
      </w:r>
      <w:r>
        <w:t xml:space="preserve"> </w:t>
      </w:r>
      <w:r>
        <w:t xml:space="preserve">Linear Reduction Factor from 1.74 to 2.2 in the 2018 reform and to 4.3/4.4 in the Fit for 55</w:t>
      </w:r>
      <w:r>
        <w:t xml:space="preserve"> </w:t>
      </w:r>
      <w:r>
        <w:t xml:space="preserve">reform. Both effects increased the relevance of future demand-supply imbalances compared to</w:t>
      </w:r>
      <w:r>
        <w:t xml:space="preserve"> </w:t>
      </w:r>
      <w:r>
        <w:t xml:space="preserve">the excess historical supply. The starting point for the 2014 IA did not consider these</w:t>
      </w:r>
      <w:r>
        <w:t xml:space="preserve"> </w:t>
      </w:r>
      <w:r>
        <w:t xml:space="preserve">unexpected developments.</w:t>
      </w:r>
      <w:r>
        <w:br/>
      </w:r>
      <w:r>
        <w:t xml:space="preserve">As a result of the overestimation of verified emissions in the reference scenario, the actual</w:t>
      </w:r>
      <w:r>
        <w:t xml:space="preserve"> </w:t>
      </w:r>
      <w:r>
        <w:t xml:space="preserve">TNAC was higher than in the modelled scenarios from the 2014 IA – in the range of 15% to</w:t>
      </w:r>
      <w:r>
        <w:t xml:space="preserve"> </w:t>
      </w:r>
      <w:r>
        <w:t xml:space="preserve">20% for the years 2014 to 2016. For 2017, TNAC is around 1,450 million EUA if the MSR is</w:t>
      </w:r>
      <w:r>
        <w:t xml:space="preserve"> </w:t>
      </w:r>
      <w:r>
        <w:t xml:space="preserve">implemented in Phase III (2017) and 1,550 million EUA if in Phase IV (2021) in the Option</w:t>
      </w:r>
      <w:r>
        <w:t xml:space="preserve"> </w:t>
      </w:r>
      <w:r>
        <w:t xml:space="preserve">2d scenario that serves as a point of comparison for this evaluation. When the MSR started</w:t>
      </w:r>
      <w:r>
        <w:t xml:space="preserve"> </w:t>
      </w:r>
      <w:r>
        <w:t xml:space="preserve">operating in 2019, the actual TNAC was 1,655 million EUA. This was even though the</w:t>
      </w:r>
      <w:r>
        <w:t xml:space="preserve"> </w:t>
      </w:r>
      <w:r>
        <w:t xml:space="preserve">implemented intake rate at 24% was higher than what was proposed by Option 2d (100 million</w:t>
      </w:r>
      <w:r>
        <w:t xml:space="preserve"> </w:t>
      </w:r>
      <w:r>
        <w:t xml:space="preserve">EUA if TNAC is above 1,000 million EUA, i.e. ≤ 10%). The observed TNAC remained high</w:t>
      </w:r>
      <w:r>
        <w:t xml:space="preserve"> </w:t>
      </w:r>
      <w:r>
        <w:t xml:space="preserve">despite the relatively low prices between 2013 and 2017 which imply a low incentive to reduce</w:t>
      </w:r>
      <w:r>
        <w:t xml:space="preserve"> </w:t>
      </w:r>
      <w:r>
        <w:t xml:space="preserve">emissions and in consequence high verified emissions. Both reduce the TNAC at a given level</w:t>
      </w:r>
      <w:r>
        <w:t xml:space="preserve"> </w:t>
      </w:r>
      <w:r>
        <w:t xml:space="preserve">of allowance supply. These were the circumstances under which the MSR became operational</w:t>
      </w:r>
      <w:r>
        <w:t xml:space="preserve"> </w:t>
      </w:r>
      <w:r>
        <w:t xml:space="preserve">in 2019.</w:t>
      </w:r>
      <w:r>
        <w:br/>
      </w:r>
      <w:r>
        <w:t xml:space="preserve">Note that MSR elements can take effect long before they become operational as each reform</w:t>
      </w:r>
      <w:r>
        <w:t xml:space="preserve"> </w:t>
      </w:r>
      <w:r>
        <w:t xml:space="preserve">changes expectations of EUA prices and in consequence mitigation behaviour. The MSR likely</w:t>
      </w:r>
      <w:r>
        <w:t xml:space="preserve"> </w:t>
      </w:r>
      <w:r>
        <w:t xml:space="preserve">had an effect before it entered into operation in 2019. This effect was however not considered</w:t>
      </w:r>
      <w:r>
        <w:t xml:space="preserve"> </w:t>
      </w:r>
      <w:r>
        <w:t xml:space="preserve">in the quantitative analysis of the 2014 IA. The modelled Option 2d with a start in 2021 should</w:t>
      </w:r>
      <w:r>
        <w:t xml:space="preserve"> </w:t>
      </w:r>
      <w:r>
        <w:t xml:space="preserve">have display effects already in 2017 due to the anticipation of market participants. It is likely</w:t>
      </w:r>
      <w:r>
        <w:t xml:space="preserve"> </w:t>
      </w:r>
      <w:r>
        <w:t xml:space="preserve">that the verified emissions and TNAC in 2017 were influenced by this anticipatory effect.</w:t>
      </w:r>
      <w:r>
        <w:t xml:space="preserve"> </w:t>
      </w:r>
      <w:r>
        <w:t xml:space="preserve">4.1.2.1.1.3 Summary of findings on MSR effectiveness from Vivid study for 2018-2024</w:t>
      </w:r>
      <w:r>
        <w:br/>
      </w:r>
      <w:r>
        <w:t xml:space="preserve">As explained in the point of comparison analysis of the MSR above, the years 2018 to 2024</w:t>
      </w:r>
      <w:r>
        <w:t xml:space="preserve"> </w:t>
      </w:r>
      <w:r>
        <w:t xml:space="preserve">cannot be compared to the 2014 IA as the 2018 reform fundamentally changed the instrument</w:t>
      </w:r>
      <w:r>
        <w:t xml:space="preserve"> </w:t>
      </w:r>
      <w:r>
        <w:t xml:space="preserve">compared to what was assessed in the IA. In the absence of a point of comparison, this</w:t>
      </w:r>
      <w:r>
        <w:t xml:space="preserve"> </w:t>
      </w:r>
      <w:r>
        <w:t xml:space="preserve">evaluation draws on the conclusions from the 2021 MSR Review (SWD(2021) 601 final) based</w:t>
      </w:r>
      <w:r>
        <w:t xml:space="preserve"> </w:t>
      </w:r>
      <w:r>
        <w:t xml:space="preserve">on a 2021 Vivid Economics study.</w:t>
      </w:r>
      <w:r>
        <w:br/>
      </w:r>
      <w:r>
        <w:t xml:space="preserve">The 2021 MSR Review has two elements. First, a backward-looking perspective for the years</w:t>
      </w:r>
      <w:r>
        <w:t xml:space="preserve"> </w:t>
      </w:r>
      <w:r>
        <w:t xml:space="preserve">2018-2020 for which the review assessed how the MSR has performed drawing on the</w:t>
      </w:r>
      <w:r>
        <w:t xml:space="preserve"> </w:t>
      </w:r>
      <w:r>
        <w:t xml:space="preserve">conclusion of the legal review (Annex 7 of SWD(2021) 601 final) as well as Section 3.2 in the</w:t>
      </w:r>
      <w:r>
        <w:t xml:space="preserve"> </w:t>
      </w:r>
      <w:r>
        <w:t xml:space="preserve">study by Vivid Economics. In essence, the MSR Review confirmed the finding that the MSR</w:t>
      </w:r>
      <w:r>
        <w:t xml:space="preserve"> </w:t>
      </w:r>
      <w:r>
        <w:t xml:space="preserve">successfully addressed the historical surplus, already in its first years of intake in 2019 and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2020. In line with this assessment, it identifies the overestimation of verified emissions as an</w:t>
      </w:r>
      <w:r>
        <w:t xml:space="preserve"> </w:t>
      </w:r>
      <w:r>
        <w:t xml:space="preserve">obstacle to the reduction of TNAC to the target levels and hence to MSR effectiveness.</w:t>
      </w:r>
      <w:r>
        <w:br/>
      </w:r>
      <w:r>
        <w:t xml:space="preserve">Second, the 2021 MSR Review has a forward-looking section modelling future scenarios of</w:t>
      </w:r>
      <w:r>
        <w:t xml:space="preserve"> </w:t>
      </w:r>
      <w:r>
        <w:t xml:space="preserve">MSR developments given political and economic events and shocks. Chapter 4 and 5 of the</w:t>
      </w:r>
      <w:r>
        <w:t xml:space="preserve"> </w:t>
      </w:r>
      <w:r>
        <w:t xml:space="preserve">Vivid Economics (2021) study discuss future risks for the MSR and design options to improve</w:t>
      </w:r>
      <w:r>
        <w:t xml:space="preserve"> </w:t>
      </w:r>
      <w:r>
        <w:t xml:space="preserve">the functioning of the MSR which feed into an impact assessment of future MSR design in</w:t>
      </w:r>
      <w:r>
        <w:t xml:space="preserve"> </w:t>
      </w:r>
      <w:r>
        <w:t xml:space="preserve">Annex 8 of the official MSR Review. The forward-looking analysis from the 2021 MSR</w:t>
      </w:r>
      <w:r>
        <w:t xml:space="preserve"> </w:t>
      </w:r>
      <w:r>
        <w:t xml:space="preserve">Review can serve as alternative point of comparison for the evaluation of the years 2021 to</w:t>
      </w:r>
      <w:r>
        <w:t xml:space="preserve"> </w:t>
      </w:r>
      <w:r>
        <w:t xml:space="preserve">2024: the baseline scenario represents the MSR as implemented in 2019 based on the outcome</w:t>
      </w:r>
      <w:r>
        <w:t xml:space="preserve"> </w:t>
      </w:r>
      <w:r>
        <w:t xml:space="preserve">of the 2018 reform.</w:t>
      </w:r>
      <w:r>
        <w:t xml:space="preserve"> </w:t>
      </w:r>
      <w:r>
        <w:t xml:space="preserve">The 2021 MSR Review raises the point that an inadequate TNAC calculation interferes with</w:t>
      </w:r>
      <w:r>
        <w:t xml:space="preserve"> </w:t>
      </w:r>
      <w:r>
        <w:t xml:space="preserve">the MSR effectiveness (see Vivid 2021, 54ff.). It highlights that the net demand from aviation</w:t>
      </w:r>
      <w:r>
        <w:t xml:space="preserve"> </w:t>
      </w:r>
      <w:r>
        <w:t xml:space="preserve">and linking with the Swiss ETS overestimates the TNAC, i.e. the number of allowances that</w:t>
      </w:r>
      <w:r>
        <w:t xml:space="preserve"> </w:t>
      </w:r>
      <w:r>
        <w:t xml:space="preserve">are available to the market is lower than the calculated and published TNAC. In consequence,</w:t>
      </w:r>
      <w:r>
        <w:t xml:space="preserve"> </w:t>
      </w:r>
      <w:r>
        <w:t xml:space="preserve">the Review infers that the MSR intake was higher than it would have been with a corrected</w:t>
      </w:r>
      <w:r>
        <w:t xml:space="preserve"> </w:t>
      </w:r>
      <w:r>
        <w:t xml:space="preserve">TNAC. The study authors hence correct the TNAC start value in 2019 for the baseline scenario</w:t>
      </w:r>
      <w:r>
        <w:t xml:space="preserve"> </w:t>
      </w:r>
      <w:r>
        <w:t xml:space="preserve">for their impact assessment (see Vivid 2021 baseline). As the official TNAC has not yet been</w:t>
      </w:r>
      <w:r>
        <w:t xml:space="preserve"> </w:t>
      </w:r>
      <w:r>
        <w:t xml:space="preserve">corrected, the current analysis adjusted the modelling results from the 2021 MSR Review by</w:t>
      </w:r>
      <w:r>
        <w:t xml:space="preserve"> </w:t>
      </w:r>
      <w:r>
        <w:t xml:space="preserve">adding a constant term that reflects the 2019 TNAC correction conducted by Vivid Economics</w:t>
      </w:r>
      <w:r>
        <w:t xml:space="preserve"> </w:t>
      </w:r>
      <w:r>
        <w:t xml:space="preserve">(labelled as “w/o TNAC correction”).</w:t>
      </w:r>
      <w:r>
        <w:br/>
      </w:r>
      <w:r>
        <w:t xml:space="preserve">Figure 15: TNAC 2018 to 2024: Official data versus baseline and MSR1 from 2021 MSR Review</w:t>
      </w:r>
      <w:r>
        <w:t xml:space="preserve"> </w:t>
      </w:r>
      <w:r>
        <w:t xml:space="preserve">Source: Own illustration</w:t>
      </w:r>
      <w:r>
        <w:t xml:space="preserve"> </w:t>
      </w:r>
      <w:r>
        <w:t xml:space="preserve">The baseline and the MSR1 scenario in the 2021 MSR Review can serve as alternative points</w:t>
      </w:r>
      <w:r>
        <w:t xml:space="preserve"> </w:t>
      </w:r>
      <w:r>
        <w:t xml:space="preserve">of comparison for the MSR evaluation (see Subsection 2.2 above for a detailed description of</w:t>
      </w:r>
      <w:r>
        <w:t xml:space="preserve"> </w:t>
      </w:r>
      <w:r>
        <w:t xml:space="preserve">the modelled scenarios). Figure 15 presents the official TNAC and the modelled TNAC for the</w:t>
      </w:r>
      <w:r>
        <w:t xml:space="preserve"> </w:t>
      </w:r>
      <w:r>
        <w:t xml:space="preserve">years 2018 to 2024. For the years 2020 and 2021, the effect of the COVID-19 pandemic leading</w:t>
      </w:r>
      <w:r>
        <w:t xml:space="preserve"> </w:t>
      </w:r>
      <w:r>
        <w:t xml:space="preserve">to reduced verified emissions is visible. In consequence, the model results underestimate the</w:t>
      </w:r>
      <w:r>
        <w:t xml:space="preserve"> </w:t>
      </w:r>
      <w:r>
        <w:t xml:space="preserve">TNAC significantly.</w:t>
      </w:r>
      <w:r>
        <w:t xml:space="preserve"> </w:t>
      </w:r>
      <w:r>
        <w:t xml:space="preserve">A similar phenomenon can be observed for 2024. In response to the energy price crisis and the</w:t>
      </w:r>
      <w:r>
        <w:t xml:space="preserve"> </w:t>
      </w:r>
      <w:r>
        <w:t xml:space="preserve">induced economic downturn, as well as high levels of electricity from renewable energy</w:t>
      </w:r>
      <w:r>
        <w:t xml:space="preserve"> </w:t>
      </w:r>
      <w:r>
        <w:t xml:space="preserve">sources, verified emissions decreased significantly in 2023 and 2024. This led to an increase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400</w:t>
      </w:r>
      <w:r>
        <w:t xml:space="preserve"> </w:t>
      </w:r>
      <w:r>
        <w:t xml:space="preserve">600</w:t>
      </w:r>
      <w:r>
        <w:t xml:space="preserve"> </w:t>
      </w:r>
      <w:r>
        <w:t xml:space="preserve">800</w:t>
      </w:r>
      <w:r>
        <w:t xml:space="preserve"> </w:t>
      </w:r>
      <w:r>
        <w:t xml:space="preserve">1000</w:t>
      </w:r>
      <w:r>
        <w:t xml:space="preserve"> </w:t>
      </w:r>
      <w:r>
        <w:t xml:space="preserve">1200</w:t>
      </w:r>
      <w:r>
        <w:t xml:space="preserve"> </w:t>
      </w:r>
      <w:r>
        <w:t xml:space="preserve">1400</w:t>
      </w:r>
      <w:r>
        <w:t xml:space="preserve"> </w:t>
      </w:r>
      <w:r>
        <w:t xml:space="preserve">1600</w:t>
      </w:r>
      <w:r>
        <w:t xml:space="preserve"> </w:t>
      </w:r>
      <w:r>
        <w:t xml:space="preserve">1800</w:t>
      </w:r>
      <w:r>
        <w:t xml:space="preserve"> </w:t>
      </w:r>
      <w:r>
        <w:t xml:space="preserve">2000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M EUAs</w:t>
      </w:r>
      <w:r>
        <w:t xml:space="preserve"> </w:t>
      </w:r>
      <w:r>
        <w:t xml:space="preserve">Official TNAC</w:t>
      </w:r>
      <w:r>
        <w:t xml:space="preserve"> </w:t>
      </w:r>
      <w:r>
        <w:t xml:space="preserve">Vivid 2021 baseline</w:t>
      </w:r>
      <w:r>
        <w:t xml:space="preserve"> </w:t>
      </w:r>
      <w:r>
        <w:t xml:space="preserve">Vivid 2021 baseline w/o TNAC correction</w:t>
      </w:r>
      <w:r>
        <w:t xml:space="preserve"> </w:t>
      </w:r>
      <w:r>
        <w:t xml:space="preserve">Vivid 2021 MSR1 w/o TNAC correction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in the TNAC that was unexpected from the perspective of the 2021 MSR Review. The model</w:t>
      </w:r>
      <w:r>
        <w:t xml:space="preserve"> </w:t>
      </w:r>
      <w:r>
        <w:t xml:space="preserve">results match the actual TNAC in 2022 and 2023. In 2022, the economic recovery after the</w:t>
      </w:r>
      <w:r>
        <w:t xml:space="preserve"> </w:t>
      </w:r>
      <w:r>
        <w:t xml:space="preserve">pandemic matched expectations of such recovery. Note that the modelling results lead to the</w:t>
      </w:r>
      <w:r>
        <w:t xml:space="preserve"> </w:t>
      </w:r>
      <w:r>
        <w:t xml:space="preserve">dynamic effects of an increased TNAC in 2022 and 2023 in the MSR1 scenario (green line)</w:t>
      </w:r>
      <w:r>
        <w:t xml:space="preserve"> </w:t>
      </w:r>
      <w:r>
        <w:t xml:space="preserve">compared to the 2021 MSR Review baseline (blue line). Because market entities anticipate an</w:t>
      </w:r>
      <w:r>
        <w:t xml:space="preserve"> </w:t>
      </w:r>
      <w:r>
        <w:t xml:space="preserve">MSR reform to be implemented in 2024, prices increase even before that reflecting this</w:t>
      </w:r>
      <w:r>
        <w:t xml:space="preserve"> </w:t>
      </w:r>
      <w:r>
        <w:t xml:space="preserve">anticipation, leading to earlier emissions reductions and in consequence a higher TNAC.</w:t>
      </w:r>
      <w:r>
        <w:t xml:space="preserve"> </w:t>
      </w:r>
      <w:r>
        <w:t xml:space="preserve">4.1.2.1.2 Effectiveness of invalidation mechanism</w:t>
      </w:r>
      <w:r>
        <w:t xml:space="preserve"> </w:t>
      </w:r>
      <w:r>
        <w:t xml:space="preserve">As described previously, the 2014 Impact Assessment did consider introducing an MSR</w:t>
      </w:r>
      <w:r>
        <w:t xml:space="preserve"> </w:t>
      </w:r>
      <w:r>
        <w:t xml:space="preserve">together with a permanent retirement of an absolute number of allowances from the</w:t>
      </w:r>
      <w:r>
        <w:t xml:space="preserve"> </w:t>
      </w:r>
      <w:r>
        <w:t xml:space="preserve">backloading volume in Option 3. However, the in 2015 adopted MSR did not include</w:t>
      </w:r>
      <w:r>
        <w:t xml:space="preserve"> </w:t>
      </w:r>
      <w:r>
        <w:t xml:space="preserve">comparable design features and opted for a cap-neutral mechanism, limited to shifting</w:t>
      </w:r>
      <w:r>
        <w:t xml:space="preserve"> </w:t>
      </w:r>
      <w:r>
        <w:t xml:space="preserve">allowance supply over time. Only in 2018, when the EU ETS required further strengthening,</w:t>
      </w:r>
      <w:r>
        <w:t xml:space="preserve"> </w:t>
      </w:r>
      <w:r>
        <w:t xml:space="preserve">the adopted reform of the MSR included an invalidation mechanism, restricting the MSR</w:t>
      </w:r>
      <w:r>
        <w:t xml:space="preserve"> </w:t>
      </w:r>
      <w:r>
        <w:t xml:space="preserve">volume to the auction volume of the previous year and invalidating all allowances above that</w:t>
      </w:r>
      <w:r>
        <w:t xml:space="preserve"> </w:t>
      </w:r>
      <w:r>
        <w:t xml:space="preserve">threshold, starting in 2023. With the Fit for 55 reform, the threshold was then changed from a</w:t>
      </w:r>
      <w:r>
        <w:t xml:space="preserve"> </w:t>
      </w:r>
      <w:r>
        <w:t xml:space="preserve">dynamic threshold to the fixed level of 400 million allowances that cap the MSR volume.</w:t>
      </w:r>
      <w:r>
        <w:br/>
      </w:r>
      <w:r>
        <w:t xml:space="preserve">Option 3 in the 2014 IA is not a useful point of comparison for the implemented invalidation</w:t>
      </w:r>
      <w:r>
        <w:t xml:space="preserve"> </w:t>
      </w:r>
      <w:r>
        <w:t xml:space="preserve">mechanism. The substantial difference is that the permanent retirement proposed in the IA</w:t>
      </w:r>
      <w:r>
        <w:t xml:space="preserve"> </w:t>
      </w:r>
      <w:r>
        <w:t xml:space="preserve">envisioned a retirement of a fixed number of allowances (500 million EUA) at a fixed point in</w:t>
      </w:r>
      <w:r>
        <w:t xml:space="preserve"> </w:t>
      </w:r>
      <w:r>
        <w:t xml:space="preserve">time (in 2019 and 2020) (IA 2014, p.37). The introduced mechanism in turn implemented an</w:t>
      </w:r>
      <w:r>
        <w:t xml:space="preserve"> </w:t>
      </w:r>
      <w:r>
        <w:t xml:space="preserve">automatic, rule-based process for retirement without prescribing volume and timing (apart from</w:t>
      </w:r>
      <w:r>
        <w:t xml:space="preserve"> </w:t>
      </w:r>
      <w:r>
        <w:t xml:space="preserve">the start year 2023). Accordingly, the scenarios in the 2014 IA cannot be compared to the actual</w:t>
      </w:r>
      <w:r>
        <w:t xml:space="preserve"> </w:t>
      </w:r>
      <w:r>
        <w:t xml:space="preserve">invalidations. At the time of adoption in 2018, there was no impact assessment estimating the</w:t>
      </w:r>
      <w:r>
        <w:t xml:space="preserve"> </w:t>
      </w:r>
      <w:r>
        <w:t xml:space="preserve">number of allowances that would be invalidated given the new mechanism. Only the 2021</w:t>
      </w:r>
      <w:r>
        <w:t xml:space="preserve"> </w:t>
      </w:r>
      <w:r>
        <w:t xml:space="preserve">MSR Review conducted by a consortium around Vivid Economics modelled scenarios for the</w:t>
      </w:r>
      <w:r>
        <w:t xml:space="preserve"> </w:t>
      </w:r>
      <w:r>
        <w:t xml:space="preserve">impact of the invalidation mechanism that can serve as point of comparison for the evaluation.</w:t>
      </w:r>
      <w:r>
        <w:t xml:space="preserve"> </w:t>
      </w:r>
      <w:r>
        <w:t xml:space="preserve">It analysed two concrete configurations in four scenarios: the scenarios Baseline and MSR1</w:t>
      </w:r>
      <w:r>
        <w:t xml:space="preserve"> </w:t>
      </w:r>
      <w:r>
        <w:t xml:space="preserve">modelled the 2018 configuration of the invalidation mechanism, and MSR2 and MSR3</w:t>
      </w:r>
      <w:r>
        <w:t xml:space="preserve"> </w:t>
      </w:r>
      <w:r>
        <w:t xml:space="preserve">modelled invalidation above an MSR volume of 700 million EUA starting in 2024.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Figure 16: MSR volume and respective invalidations</w:t>
      </w:r>
      <w:r>
        <w:t xml:space="preserve"> </w:t>
      </w:r>
      <w:r>
        <w:t xml:space="preserve">Source: Own illustration</w:t>
      </w:r>
      <w:r>
        <w:t xml:space="preserve"> </w:t>
      </w:r>
      <w:r>
        <w:t xml:space="preserve">Figure 16 presents the MSR holdings before and after invalidations and the respective</w:t>
      </w:r>
      <w:r>
        <w:t xml:space="preserve"> </w:t>
      </w:r>
      <w:r>
        <w:t xml:space="preserve">invalidation volumes in the three operational years of the invalidation mechanism. 3,167</w:t>
      </w:r>
      <w:r>
        <w:t xml:space="preserve"> </w:t>
      </w:r>
      <w:r>
        <w:t xml:space="preserve">million allowances were invalidated so far in 2023, 2024, and at the beginning of 2025. In</w:t>
      </w:r>
      <w:r>
        <w:t xml:space="preserve"> </w:t>
      </w:r>
      <w:r>
        <w:t xml:space="preserve">2023, the 2018 configuration of the invalidation mechanism was still in force setting the</w:t>
      </w:r>
      <w:r>
        <w:t xml:space="preserve"> </w:t>
      </w:r>
      <w:r>
        <w:t xml:space="preserve">volume of invalidated allowances to the auction volume in the EU ETS in 2022. For 2024 and</w:t>
      </w:r>
      <w:r>
        <w:t xml:space="preserve"> </w:t>
      </w:r>
      <w:r>
        <w:t xml:space="preserve">2025, the new configuration had been adopted, invalidating all allowances above an MSR</w:t>
      </w:r>
      <w:r>
        <w:t xml:space="preserve"> </w:t>
      </w:r>
      <w:r>
        <w:t xml:space="preserve">volume of 400 million EUA. Complementing the invalidation volumes, the graph shows how</w:t>
      </w:r>
      <w:r>
        <w:t xml:space="preserve"> </w:t>
      </w:r>
      <w:r>
        <w:t xml:space="preserve">the MSR volume increases throughout the years as a result of additional MSR intake.</w:t>
      </w:r>
      <w:r>
        <w:br/>
      </w:r>
      <w:r>
        <w:t xml:space="preserve">For 2023, the 2021 MSR Review estimated a lower invalidation of around 2,100 million EUA</w:t>
      </w:r>
      <w:r>
        <w:t xml:space="preserve"> </w:t>
      </w:r>
      <w:r>
        <w:t xml:space="preserve">(against the 2,515 million EUA actually invalidated). The gap can likely be attributed to the</w:t>
      </w:r>
      <w:r>
        <w:t xml:space="preserve"> </w:t>
      </w:r>
      <w:r>
        <w:t xml:space="preserve">expectation of an economic recovery after the COVID-19 pandemic that would have led to</w:t>
      </w:r>
      <w:r>
        <w:t xml:space="preserve"> </w:t>
      </w:r>
      <w:r>
        <w:t xml:space="preserve">higher emission levels, a lower TNAC and in consequence less MSR intake and invalidations.</w:t>
      </w:r>
      <w:r>
        <w:t xml:space="preserve"> </w:t>
      </w:r>
      <w:r>
        <w:t xml:space="preserve">Another part of the explanation might be that the 2023 configuration of the invalidation</w:t>
      </w:r>
      <w:r>
        <w:t xml:space="preserve"> </w:t>
      </w:r>
      <w:r>
        <w:t xml:space="preserve">mechanism had an unintended self-amplifying effect: A high TNAC in 2021 led to more MSR</w:t>
      </w:r>
      <w:r>
        <w:t xml:space="preserve"> </w:t>
      </w:r>
      <w:r>
        <w:t xml:space="preserve">intake in 2022. This in turn reduced auction levels and led to a higher invalidation volume.</w:t>
      </w:r>
      <w:r>
        <w:t xml:space="preserve"> </w:t>
      </w:r>
      <w:r>
        <w:t xml:space="preserve">The invalidations in 2024 and 2025 are in all scenarios of the 2021 Vivid study between 200</w:t>
      </w:r>
      <w:r>
        <w:t xml:space="preserve"> </w:t>
      </w:r>
      <w:r>
        <w:t xml:space="preserve">and 350 million EUA. Invalidations above a fixed MSR volume of 700 million EUA led to</w:t>
      </w:r>
      <w:r>
        <w:t xml:space="preserve"> </w:t>
      </w:r>
      <w:r>
        <w:t xml:space="preserve">slightly lower invalidations compared to the 2018 configuration. Actual invalidation in 2024</w:t>
      </w:r>
      <w:r>
        <w:t xml:space="preserve"> </w:t>
      </w:r>
      <w:r>
        <w:t xml:space="preserve">was higher than in the modelled scenarios as the adopted 400 million EUA maximum MSR</w:t>
      </w:r>
      <w:r>
        <w:t xml:space="preserve"> </w:t>
      </w:r>
      <w:r>
        <w:t xml:space="preserve">volume is more ambitious than the modelled 700 million EUA maximum.</w:t>
      </w:r>
      <w:r>
        <w:br/>
      </w:r>
      <w:r>
        <w:t xml:space="preserve">While the exact figures of invalidation differ between actual market outcome and the 2021</w:t>
      </w:r>
      <w:r>
        <w:t xml:space="preserve"> </w:t>
      </w:r>
      <w:r>
        <w:t xml:space="preserve">MSR Review, the invalidation mechanism works as expected. It follows the set rules for a</w:t>
      </w:r>
      <w:r>
        <w:t xml:space="preserve"> </w:t>
      </w:r>
      <w:r>
        <w:t xml:space="preserve">process of automatic invalidations which left by design no leeway for political or other</w:t>
      </w:r>
      <w:r>
        <w:t xml:space="preserve"> </w:t>
      </w:r>
      <w:r>
        <w:t xml:space="preserve">interferences. The design as rule-based mechanism that, for instance, did not rely on further</w:t>
      </w:r>
      <w:r>
        <w:t xml:space="preserve"> </w:t>
      </w:r>
      <w:r>
        <w:t xml:space="preserve">political approval before an invalidation takes place led to an effective mechanism that works</w:t>
      </w:r>
      <w:r>
        <w:t xml:space="preserve"> </w:t>
      </w:r>
      <w:r>
        <w:t xml:space="preserve">as planned.</w:t>
      </w:r>
      <w:r>
        <w:t xml:space="preserve"> </w:t>
      </w:r>
      <w:r>
        <w:t xml:space="preserve">400</w:t>
      </w:r>
      <w:r>
        <w:t xml:space="preserve"> </w:t>
      </w:r>
      <w:r>
        <w:t xml:space="preserve">2515</w:t>
      </w:r>
      <w:r>
        <w:t xml:space="preserve"> </w:t>
      </w:r>
      <w:r>
        <w:t xml:space="preserve">382</w:t>
      </w:r>
      <w:r>
        <w:t xml:space="preserve"> </w:t>
      </w:r>
      <w:r>
        <w:t xml:space="preserve">271</w:t>
      </w:r>
      <w:r>
        <w:t xml:space="preserve"> </w:t>
      </w:r>
      <w:r>
        <w:t xml:space="preserve">3001</w:t>
      </w:r>
      <w:r>
        <w:t xml:space="preserve"> </w:t>
      </w:r>
      <w:r>
        <w:t xml:space="preserve">486</w:t>
      </w:r>
      <w:r>
        <w:t xml:space="preserve"> </w:t>
      </w:r>
      <w:r>
        <w:t xml:space="preserve">782</w:t>
      </w:r>
      <w:r>
        <w:t xml:space="preserve"> </w:t>
      </w:r>
      <w:r>
        <w:t xml:space="preserve">400</w:t>
      </w:r>
      <w:r>
        <w:t xml:space="preserve"> </w:t>
      </w:r>
      <w:r>
        <w:t xml:space="preserve">671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3000</w:t>
      </w:r>
      <w:r>
        <w:t xml:space="preserve"> </w:t>
      </w:r>
      <w:r>
        <w:t xml:space="preserve">3500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M EUAs</w:t>
      </w:r>
      <w:r>
        <w:t xml:space="preserve"> </w:t>
      </w:r>
      <w:r>
        <w:t xml:space="preserve">Invalidations</w:t>
      </w:r>
      <w:r>
        <w:t xml:space="preserve"> </w:t>
      </w:r>
      <w:r>
        <w:t xml:space="preserve">MSR volume before/after invalidation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It is more difficult to assess the effectiveness of the invalidation mechanism in terms of</w:t>
      </w:r>
      <w:r>
        <w:t xml:space="preserve"> </w:t>
      </w:r>
      <w:r>
        <w:t xml:space="preserve">achieving its set objective, mainly because the invalidation mechanism has no official</w:t>
      </w:r>
      <w:r>
        <w:t xml:space="preserve"> </w:t>
      </w:r>
      <w:r>
        <w:t xml:space="preserve">standalone objective but must be evaluated as part of the MSR. In terms of the MSR objectives</w:t>
      </w:r>
      <w:r>
        <w:t xml:space="preserve"> </w:t>
      </w:r>
      <w:r>
        <w:t xml:space="preserve">of reducing the historical surplus and preventing the build-up of future surplus, it can be pointed</w:t>
      </w:r>
      <w:r>
        <w:t xml:space="preserve"> </w:t>
      </w:r>
      <w:r>
        <w:t xml:space="preserve">out that the invalidation mechanism did not have any direct effect on allowance supply up until</w:t>
      </w:r>
      <w:r>
        <w:t xml:space="preserve"> </w:t>
      </w:r>
      <w:r>
        <w:t xml:space="preserve">now. The invalidation mechanism only reduces the allowances in the reserve and consequently</w:t>
      </w:r>
      <w:r>
        <w:t xml:space="preserve"> </w:t>
      </w:r>
      <w:r>
        <w:t xml:space="preserve">the allowance supply in times in which the TNAC reaches the lower threshold of 400 million</w:t>
      </w:r>
      <w:r>
        <w:t xml:space="preserve"> </w:t>
      </w:r>
      <w:r>
        <w:t xml:space="preserve">EUA. Only then, it limits the number of allowances that is released from the reserve and</w:t>
      </w:r>
      <w:r>
        <w:t xml:space="preserve"> </w:t>
      </w:r>
      <w:r>
        <w:t xml:space="preserve">reinjected into the market and shortens the reinjection period. The invalidation mechanism will</w:t>
      </w:r>
      <w:r>
        <w:t xml:space="preserve"> </w:t>
      </w:r>
      <w:r>
        <w:t xml:space="preserve">not have any direct effect on the number of allowances in the market before that. Note that the</w:t>
      </w:r>
      <w:r>
        <w:t xml:space="preserve"> </w:t>
      </w:r>
      <w:r>
        <w:t xml:space="preserve">absence of direct effects, i.e. invalidations, until now does not mean that the invalidation</w:t>
      </w:r>
      <w:r>
        <w:t xml:space="preserve"> </w:t>
      </w:r>
      <w:r>
        <w:t xml:space="preserve">mechanism has not been effective, as short-term direct effects were never intended.</w:t>
      </w:r>
      <w:r>
        <w:br/>
      </w:r>
      <w:r>
        <w:t xml:space="preserve">There has been, however, an indirect effect of the invalidation on today’s prices and abatement</w:t>
      </w:r>
      <w:r>
        <w:t xml:space="preserve"> </w:t>
      </w:r>
      <w:r>
        <w:t xml:space="preserve">behaviour, which is difficult to assess quantitatively. The invalidation reduces cumulative</w:t>
      </w:r>
      <w:r>
        <w:t xml:space="preserve"> </w:t>
      </w:r>
      <w:r>
        <w:t xml:space="preserve">allowance supply that will be available over the next decades in the EU ETS. This increases</w:t>
      </w:r>
      <w:r>
        <w:t xml:space="preserve"> </w:t>
      </w:r>
      <w:r>
        <w:t xml:space="preserve">overall scarcity in the market leading to higher prices both in the future and today, if market</w:t>
      </w:r>
      <w:r>
        <w:t xml:space="preserve"> </w:t>
      </w:r>
      <w:r>
        <w:t xml:space="preserve">actors have a sufficiently long planning horizon. However, this effect is relatively low</w:t>
      </w:r>
      <w:r>
        <w:t xml:space="preserve"> </w:t>
      </w:r>
      <w:r>
        <w:t xml:space="preserve">compared to adjustments of the linear reduction factor (LRF), i.e. the general ambition of the</w:t>
      </w:r>
      <w:r>
        <w:t xml:space="preserve"> </w:t>
      </w:r>
      <w:r>
        <w:t xml:space="preserve">EU ETS, which has a more immediate impact on the supply of allowances. Bocklet et al. </w:t>
      </w:r>
      <w:r>
        <w:t xml:space="preserve"> </w:t>
      </w:r>
      <w:r>
        <w:t xml:space="preserve">(2019)81 find that the increase of the LRF from 1.74 to 2.2 had a 4.5 times stronger effect on</w:t>
      </w:r>
      <w:r>
        <w:t xml:space="preserve"> </w:t>
      </w:r>
      <w:r>
        <w:t xml:space="preserve">the overall allowance supply than the invalidation mechanism in the 2018 reform. However,</w:t>
      </w:r>
      <w:r>
        <w:t xml:space="preserve"> </w:t>
      </w:r>
      <w:r>
        <w:t xml:space="preserve">the invalidation of 3,167 million allowances between 2023 and 2025 is equivalent to 23.4% of</w:t>
      </w:r>
      <w:r>
        <w:t xml:space="preserve"> </w:t>
      </w:r>
      <w:r>
        <w:t xml:space="preserve">the allowances supply in Phase III (2013 to 2020) and hence not negligible.</w:t>
      </w:r>
      <w:r>
        <w:br/>
      </w:r>
      <w:r>
        <w:t xml:space="preserve">The introduction of the invalidation mechanism induced a fundamental shift. While the 2015</w:t>
      </w:r>
      <w:r>
        <w:t xml:space="preserve"> </w:t>
      </w:r>
      <w:r>
        <w:t xml:space="preserve">MSR was potentially cap-neutral in the long-term (by allowing to shift the allowance supply</w:t>
      </w:r>
      <w:r>
        <w:t xml:space="preserve"> </w:t>
      </w:r>
      <w:r>
        <w:t xml:space="preserve">across time for use in a later period), the invalidation of allowances meant an endogenous</w:t>
      </w:r>
      <w:r>
        <w:t xml:space="preserve"> </w:t>
      </w:r>
      <w:r>
        <w:t xml:space="preserve">adjustment of allowance supply and a reduction of allowances available in the EU ETS. One</w:t>
      </w:r>
      <w:r>
        <w:t xml:space="preserve"> </w:t>
      </w:r>
      <w:r>
        <w:t xml:space="preserve">of the strongest effects from the introduction of the invalidation mechanism was probably the</w:t>
      </w:r>
      <w:r>
        <w:t xml:space="preserve"> </w:t>
      </w:r>
      <w:r>
        <w:t xml:space="preserve">one signalling that the EU was committed to a stringent and ambitious instrument,</w:t>
      </w:r>
      <w:r>
        <w:t xml:space="preserve"> </w:t>
      </w:r>
      <w:r>
        <w:t xml:space="preserve">automatically, i.e. without the need of further political approval, invalidating excess allowances</w:t>
      </w:r>
      <w:r>
        <w:t xml:space="preserve"> </w:t>
      </w:r>
      <w:r>
        <w:t xml:space="preserve">that could potentially weaken the market. As discussed above, the 2018 and the Fit for 55</w:t>
      </w:r>
      <w:r>
        <w:t xml:space="preserve"> </w:t>
      </w:r>
      <w:r>
        <w:t xml:space="preserve">reform were effective in providing a strong signal. Especially the 2018 reform showed that “the</w:t>
      </w:r>
      <w:r>
        <w:t xml:space="preserve"> </w:t>
      </w:r>
      <w:r>
        <w:t xml:space="preserve">doctor cared for the patient” as some interviewed stakeholders put it. However, the reduction</w:t>
      </w:r>
      <w:r>
        <w:t xml:space="preserve"> </w:t>
      </w:r>
      <w:r>
        <w:t xml:space="preserve">of EU ETS auction volumes was rated by 36% of stakeholders as the most important MSR</w:t>
      </w:r>
      <w:r>
        <w:t xml:space="preserve"> </w:t>
      </w:r>
      <w:r>
        <w:t xml:space="preserve">feature contributing to the MSR’s effectiveness compared to 11% that consider the invalidation</w:t>
      </w:r>
      <w:r>
        <w:t xml:space="preserve"> </w:t>
      </w:r>
      <w:r>
        <w:t xml:space="preserve">mechanism to be the most important MSR feature.</w:t>
      </w:r>
      <w:r>
        <w:t xml:space="preserve"> </w:t>
      </w:r>
      <w:r>
        <w:t xml:space="preserve">4.1.2.1.3 Evaluation of price developments and market confidence</w:t>
      </w:r>
      <w:r>
        <w:t xml:space="preserve"> </w:t>
      </w:r>
      <w:r>
        <w:t xml:space="preserve">4.1.2.1.3.1 Annual price levels</w:t>
      </w:r>
      <w:r>
        <w:br/>
      </w:r>
      <w:r>
        <w:t xml:space="preserve">While the emphasis of the MSR’s second specific objective of enhancing future resilience of</w:t>
      </w:r>
      <w:r>
        <w:t xml:space="preserve"> </w:t>
      </w:r>
      <w:r>
        <w:t xml:space="preserve">the EU ETS market is on preventing the build-up of new surplus, as discussed in the previous</w:t>
      </w:r>
      <w:r>
        <w:t xml:space="preserve"> </w:t>
      </w:r>
      <w:r>
        <w:t xml:space="preserve">subsection, it also points to stabilising price developments and increasing confidence in the</w:t>
      </w:r>
      <w:r>
        <w:t xml:space="preserve"> </w:t>
      </w:r>
      <w:r>
        <w:t xml:space="preserve">market. This subsection takes a closer look at these components of EU ETS resilience.</w:t>
      </w:r>
    </w:p>
    <w:p>
      <w:pPr>
        <w:pStyle w:val="BodyText"/>
      </w:pPr>
      <w:r>
        <w:t xml:space="preserve">81 Johanna Bocklet, Martin Hintermayer, Lukas Schmidt, Theresa Wildgrube, 2019. “The reformed EU ETS -</w:t>
      </w:r>
      <w:r>
        <w:t xml:space="preserve"> </w:t>
      </w:r>
      <w:r>
        <w:t xml:space="preserve">Intertemporal emission trading with restricted banking”, https://doi.org/10.1016/j.eneco.2019.104486.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Figure 17 shows the development of EUA prices over the evaluation period. Two periods can</w:t>
      </w:r>
      <w:r>
        <w:t xml:space="preserve"> </w:t>
      </w:r>
      <w:r>
        <w:t xml:space="preserve">be distinguished. Between 2013 and 2017, EUA prices remained under EUR 10 . Hence, neither</w:t>
      </w:r>
      <w:r>
        <w:t xml:space="preserve"> </w:t>
      </w:r>
      <w:r>
        <w:t xml:space="preserve">the discussions around the design of the MSR, the adoption of the MSR Decision in 2015 nor</w:t>
      </w:r>
      <w:r>
        <w:t xml:space="preserve"> </w:t>
      </w:r>
      <w:r>
        <w:t xml:space="preserve">the backloading of allowances from 2014 to 2016 did lead to noticeable price increases that</w:t>
      </w:r>
      <w:r>
        <w:t xml:space="preserve"> </w:t>
      </w:r>
      <w:r>
        <w:t xml:space="preserve">could be interpreted as an indicator of increasing confidence. Forward-looking market</w:t>
      </w:r>
      <w:r>
        <w:t xml:space="preserve"> </w:t>
      </w:r>
      <w:r>
        <w:t xml:space="preserve">participants adjust their behaviour based on their expectations of future prices. If the market</w:t>
      </w:r>
      <w:r>
        <w:t xml:space="preserve"> </w:t>
      </w:r>
      <w:r>
        <w:t xml:space="preserve">expected a price increase for 2019 (when the MSR became operational) already at the time</w:t>
      </w:r>
      <w:r>
        <w:t xml:space="preserve"> </w:t>
      </w:r>
      <w:r>
        <w:t xml:space="preserve">when the MSR was announced or adopted, this would have had also an effect on prices at that</w:t>
      </w:r>
      <w:r>
        <w:t xml:space="preserve"> </w:t>
      </w:r>
      <w:r>
        <w:t xml:space="preserve">time, i.e. in 2015. The reason is that EUAs can be banked, so it makes sense to buy them at a</w:t>
      </w:r>
      <w:r>
        <w:t xml:space="preserve"> </w:t>
      </w:r>
      <w:r>
        <w:t xml:space="preserve">lower price in 2015 if prices are expected to increase in 2019. However, neither verified</w:t>
      </w:r>
      <w:r>
        <w:t xml:space="preserve"> </w:t>
      </w:r>
      <w:r>
        <w:t xml:space="preserve">emissions nor price levels reacted strongly to the initial announcement of the MSR in January</w:t>
      </w:r>
      <w:r>
        <w:t xml:space="preserve"> </w:t>
      </w:r>
      <w:r>
        <w:t xml:space="preserve">2014 or its adoption in March 2015. This indicates that the market might not have expected the</w:t>
      </w:r>
      <w:r>
        <w:t xml:space="preserve"> </w:t>
      </w:r>
      <w:r>
        <w:t xml:space="preserve">2015 MSR to have a substantial effect. This can be partially explained by the fact that the initial</w:t>
      </w:r>
      <w:r>
        <w:t xml:space="preserve"> </w:t>
      </w:r>
      <w:r>
        <w:t xml:space="preserve">MSR only shifted the supply of allowances to the future by reducing auction levels in the short</w:t>
      </w:r>
      <w:r>
        <w:t xml:space="preserve"> </w:t>
      </w:r>
      <w:r>
        <w:t xml:space="preserve">run and increasing them at a later stage. The overall allowances supply did not change. This</w:t>
      </w:r>
      <w:r>
        <w:t xml:space="preserve"> </w:t>
      </w:r>
      <w:r>
        <w:t xml:space="preserve">only changed with the introduction of the invalidation mechanism in 2018 which was further</w:t>
      </w:r>
      <w:r>
        <w:t xml:space="preserve"> </w:t>
      </w:r>
      <w:r>
        <w:t xml:space="preserve">strengthened by the Fit for 55, reform, proposed in 2021.</w:t>
      </w:r>
      <w:r>
        <w:t xml:space="preserve"> </w:t>
      </w:r>
      <w:r>
        <w:t xml:space="preserve">Figure 17: Annual average EUA prices</w:t>
      </w:r>
    </w:p>
    <w:p>
      <w:pPr>
        <w:pStyle w:val="BodyText"/>
      </w:pPr>
      <w:r>
        <w:t xml:space="preserve">Source: Enerdata</w:t>
      </w:r>
      <w:r>
        <w:t xml:space="preserve"> </w:t>
      </w:r>
      <w:r>
        <w:t xml:space="preserve">Another explanation why the MSR adoption in 2015 had no significant effect is the potential</w:t>
      </w:r>
      <w:r>
        <w:t xml:space="preserve"> </w:t>
      </w:r>
      <w:r>
        <w:t xml:space="preserve">short-sightedness of market participants. Quemin and Trotignon (2021) modelled rolling</w:t>
      </w:r>
      <w:r>
        <w:t xml:space="preserve"> </w:t>
      </w:r>
      <w:r>
        <w:t xml:space="preserve">horizons in the context of the EU ETS and concluded that a horizon of a 12 years can explain</w:t>
      </w:r>
      <w:r>
        <w:t xml:space="preserve"> </w:t>
      </w:r>
      <w:r>
        <w:t xml:space="preserve">best the market behaviour between 2008 and 2017.82 Similarly, Bocklet and Hintermayer</w:t>
      </w:r>
      <w:r>
        <w:t xml:space="preserve"> </w:t>
      </w:r>
      <w:r>
        <w:t xml:space="preserve">(2020) find that a planning horizon of ten years explains best the EUA prices in Phase III.83</w:t>
      </w:r>
      <w:r>
        <w:t xml:space="preserve"> </w:t>
      </w:r>
      <w:r>
        <w:t xml:space="preserve">While these horizons might suggest that an introduction of the MSR five years after its initial</w:t>
      </w:r>
      <w:r>
        <w:t xml:space="preserve"> </w:t>
      </w:r>
      <w:r>
        <w:t xml:space="preserve">announcement can be foreseen even by shortsighted market participants, the exact mechanisms</w:t>
      </w:r>
      <w:r>
        <w:t xml:space="preserve"> </w:t>
      </w:r>
      <w:r>
        <w:t xml:space="preserve">of myopia are not fully understood. Furthermore, carbon market analysts generally observe</w:t>
      </w:r>
      <w:r>
        <w:t xml:space="preserve"> </w:t>
      </w:r>
      <w:r>
        <w:t xml:space="preserve">short-sighted behaviour from market participants in the carbon market.</w:t>
      </w:r>
    </w:p>
    <w:p>
      <w:pPr>
        <w:pStyle w:val="BodyText"/>
      </w:pPr>
      <w:r>
        <w:t xml:space="preserve">82 Quemin &amp; Trotignon, 2021. “Emissions trading with rolling horizons”, Journal of Economic Dynamics and</w:t>
      </w:r>
      <w:r>
        <w:t xml:space="preserve"> </w:t>
      </w:r>
      <w:r>
        <w:t xml:space="preserve">Control, Volume 125, April 2021, 104099.</w:t>
      </w:r>
      <w:r>
        <w:t xml:space="preserve"> </w:t>
      </w:r>
      <w:r>
        <w:t xml:space="preserve">83 Bocklet &amp; Hintermayer, 2020. “How does the EU ETS reform impact allowance prices? The role of myopia,</w:t>
      </w:r>
      <w:r>
        <w:t xml:space="preserve"> </w:t>
      </w:r>
      <w:r>
        <w:t xml:space="preserve">hedging requirements and the Hotelling rule”. EWI Working Paper, 20/01.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2013</w:t>
      </w:r>
      <w:r>
        <w:t xml:space="preserve"> </w:t>
      </w:r>
      <w:r>
        <w:t xml:space="preserve">2015</w:t>
      </w:r>
      <w:r>
        <w:t xml:space="preserve"> </w:t>
      </w:r>
      <w:r>
        <w:t xml:space="preserve">2017</w:t>
      </w:r>
      <w:r>
        <w:t xml:space="preserve"> </w:t>
      </w:r>
      <w:r>
        <w:t xml:space="preserve">2019</w:t>
      </w:r>
      <w:r>
        <w:t xml:space="preserve"> </w:t>
      </w:r>
      <w:r>
        <w:t xml:space="preserve">2021</w:t>
      </w:r>
      <w:r>
        <w:t xml:space="preserve"> </w:t>
      </w:r>
      <w:r>
        <w:t xml:space="preserve">2023</w:t>
      </w:r>
      <w:r>
        <w:t xml:space="preserve"> </w:t>
      </w:r>
      <w:r>
        <w:t xml:space="preserve">2025</w:t>
      </w:r>
      <w:r>
        <w:t xml:space="preserve"> </w:t>
      </w:r>
      <w:r>
        <w:t xml:space="preserve">EUR/tCO2e</w:t>
      </w:r>
      <w:r>
        <w:t xml:space="preserve"> </w:t>
      </w:r>
      <w:r>
        <w:t xml:space="preserve">EUA price (EUR/tCO2e)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Only with the 2018 reform that increased the Linear Reduction Factor and adjusted the MSR</w:t>
      </w:r>
      <w:r>
        <w:t xml:space="preserve"> </w:t>
      </w:r>
      <w:r>
        <w:t xml:space="preserve">including the adoption of the invalidation mechanism, prices began to increase significantly.</w:t>
      </w:r>
      <w:r>
        <w:t xml:space="preserve"> </w:t>
      </w:r>
      <w:r>
        <w:t xml:space="preserve">In 2018, price levels reached EUR 15.8 per tCO2e, almost tripling compared to the EUR 5.8</w:t>
      </w:r>
      <w:r>
        <w:t xml:space="preserve"> </w:t>
      </w:r>
      <w:r>
        <w:t xml:space="preserve">per tCO2e in 2017. Prices further increased to EUR 24.9 per tCO2e in 2019, holding this level</w:t>
      </w:r>
      <w:r>
        <w:t xml:space="preserve"> </w:t>
      </w:r>
      <w:r>
        <w:t xml:space="preserve">with an average of EUR 24.8 per tCO2e during the pandemic year of 2020. Linked to the</w:t>
      </w:r>
      <w:r>
        <w:t xml:space="preserve"> </w:t>
      </w:r>
      <w:r>
        <w:t xml:space="preserve">proposal of the Fit for 55 reform, prices increased substantially in both 2021 and 2022 to 53.7</w:t>
      </w:r>
      <w:r>
        <w:t xml:space="preserve"> </w:t>
      </w:r>
      <w:r>
        <w:t xml:space="preserve">and EUR 80.8 per tCO2e, respectively. They remained high in 2023 with an average of 83.5</w:t>
      </w:r>
      <w:r>
        <w:t xml:space="preserve"> </w:t>
      </w:r>
      <w:r>
        <w:t xml:space="preserve">EUR per tCO2e. Prices dropped toEUR 65.9 per tCO2e in 2024, likely because of the economic</w:t>
      </w:r>
      <w:r>
        <w:t xml:space="preserve"> </w:t>
      </w:r>
      <w:r>
        <w:t xml:space="preserve">downturn and, at the same time, record renewables that led to lower verified emissions in 2023</w:t>
      </w:r>
      <w:r>
        <w:t xml:space="preserve"> </w:t>
      </w:r>
      <w:r>
        <w:t xml:space="preserve">and 2024.</w:t>
      </w:r>
      <w:r>
        <w:br/>
      </w:r>
      <w:r>
        <w:t xml:space="preserve">The 2018 reform and the Fit for 55 reform proposed in 2021 had a significant effect on EUA</w:t>
      </w:r>
      <w:r>
        <w:t xml:space="preserve"> </w:t>
      </w:r>
      <w:r>
        <w:t xml:space="preserve">prices. Academic research using EU ETS modelling shows that the price increases can mainly</w:t>
      </w:r>
      <w:r>
        <w:t xml:space="preserve"> </w:t>
      </w:r>
      <w:r>
        <w:t xml:space="preserve">be explained by the increased Linear Reduction Factor with the MSR reforms having only a</w:t>
      </w:r>
      <w:r>
        <w:t xml:space="preserve"> </w:t>
      </w:r>
      <w:r>
        <w:t xml:space="preserve">small fundamental effect (see for instance Bocklet et al. (2019)84 and Wildgrube (2023)85).</w:t>
      </w:r>
      <w:r>
        <w:t xml:space="preserve"> </w:t>
      </w:r>
      <w:r>
        <w:t xml:space="preserve">However, several stakeholders mentioned in interviews that they perceive the MSR as part of</w:t>
      </w:r>
      <w:r>
        <w:t xml:space="preserve"> </w:t>
      </w:r>
      <w:r>
        <w:t xml:space="preserve">a package, which increased confidence and strengthened market prices in the EU ETS.</w:t>
      </w:r>
      <w:r>
        <w:br/>
      </w:r>
      <w:r>
        <w:t xml:space="preserve">The Vivid Economics (2021) study also confirms that the MSR and backloading helped restore</w:t>
      </w:r>
      <w:r>
        <w:t xml:space="preserve"> </w:t>
      </w:r>
      <w:r>
        <w:t xml:space="preserve">EUA prices from low historical levels induced by a historical build-up of allowance supply.</w:t>
      </w:r>
      <w:r>
        <w:t xml:space="preserve"> </w:t>
      </w:r>
      <w:r>
        <w:t xml:space="preserve">This is in line with the results from the open public consultation in which respondents</w:t>
      </w:r>
      <w:r>
        <w:t xml:space="preserve"> </w:t>
      </w:r>
      <w:r>
        <w:t xml:space="preserve">frequently referred to the MSR and its effectiveness in addressing the structural surplus in the</w:t>
      </w:r>
      <w:r>
        <w:t xml:space="preserve"> </w:t>
      </w:r>
      <w:r>
        <w:t xml:space="preserve">EU ETS as key factor for the increase of the carbon price (mentioned several times, especially</w:t>
      </w:r>
      <w:r>
        <w:t xml:space="preserve"> </w:t>
      </w:r>
      <w:r>
        <w:t xml:space="preserve">by NGOs) as well as for the increase of market liquidity and mitigation of price volatility</w:t>
      </w:r>
      <w:r>
        <w:t xml:space="preserve"> </w:t>
      </w:r>
      <w:r>
        <w:t xml:space="preserve">(mentioned especially by companies and business associations). The Vivid study acknowledges</w:t>
      </w:r>
      <w:r>
        <w:t xml:space="preserve"> </w:t>
      </w:r>
      <w:r>
        <w:t xml:space="preserve">that the price increases cannot be only attributed to the MSR but to the broader set of EU ETS</w:t>
      </w:r>
      <w:r>
        <w:t xml:space="preserve"> </w:t>
      </w:r>
      <w:r>
        <w:t xml:space="preserve">reform elements in 2018 (the study was completed before the Fit for 55 reform proposal).</w:t>
      </w:r>
      <w:r>
        <w:br/>
      </w:r>
      <w:r>
        <w:t xml:space="preserve">4.1.2.1.3.2 MSR and price shocks</w:t>
      </w:r>
      <w:r>
        <w:t xml:space="preserve"> </w:t>
      </w:r>
      <w:r>
        <w:t xml:space="preserve">Part of the MSR’s objective to increase the resilience of the EU ETS is how the MSR interacts</w:t>
      </w:r>
      <w:r>
        <w:t xml:space="preserve"> </w:t>
      </w:r>
      <w:r>
        <w:t xml:space="preserve">with allowances prices in the presence of shocks and crises. During the five operational years</w:t>
      </w:r>
      <w:r>
        <w:t xml:space="preserve"> </w:t>
      </w:r>
      <w:r>
        <w:t xml:space="preserve">that are subject of this evaluation, the MSR had several opportunities to prove its effectiveness</w:t>
      </w:r>
      <w:r>
        <w:t xml:space="preserve"> </w:t>
      </w:r>
      <w:r>
        <w:t xml:space="preserve">in improving the resilience of the EU ETS against crises and shocks. We identify at least there</w:t>
      </w:r>
      <w:r>
        <w:t xml:space="preserve"> </w:t>
      </w:r>
      <w:r>
        <w:t xml:space="preserve">major economic and policy shocks:</w:t>
      </w:r>
      <w:r>
        <w:t xml:space="preserve"> </w:t>
      </w:r>
      <w:r>
        <w:t xml:space="preserve">1. Brexit and the shift of UK’s share of EUA supply from 2019 to 2020</w:t>
      </w:r>
      <w:r>
        <w:t xml:space="preserve"> </w:t>
      </w:r>
      <w:r>
        <w:t xml:space="preserve">2. COVID-19 pandemic in 2020/21</w:t>
      </w:r>
      <w:r>
        <w:t xml:space="preserve"> </w:t>
      </w:r>
      <w:r>
        <w:t xml:space="preserve">3. Energy price crisis in 2021 to 2023</w:t>
      </w:r>
      <w:r>
        <w:t xml:space="preserve"> </w:t>
      </w:r>
      <w:r>
        <w:t xml:space="preserve">The evaluation focuses on assessing if the MSR contributed to mitigating price crashes. For</w:t>
      </w:r>
      <w:r>
        <w:t xml:space="preserve"> </w:t>
      </w:r>
      <w:r>
        <w:t xml:space="preserve">this, we need to look at price changes with higher frequency. We can potentially rely on the</w:t>
      </w:r>
      <w:r>
        <w:t xml:space="preserve"> </w:t>
      </w:r>
      <w:r>
        <w:t xml:space="preserve">legal definition of undesired price developments from Article 29a of the ETS Directive. It refers</w:t>
      </w:r>
      <w:r>
        <w:t xml:space="preserve"> </w:t>
      </w:r>
      <w:r>
        <w:t xml:space="preserve">to price increases in which the average price over a period of six months is 2.4 times higher</w:t>
      </w:r>
      <w:r>
        <w:t xml:space="preserve"> </w:t>
      </w:r>
      <w:r>
        <w:t xml:space="preserve">than the preceding two-year reference period. The mechanism, however, looks at unexpected</w:t>
      </w:r>
      <w:r>
        <w:t xml:space="preserve"> </w:t>
      </w:r>
      <w:r>
        <w:t xml:space="preserve">price increases instead of price crashes. The latter seems to be more short term in character.</w:t>
      </w:r>
      <w:r>
        <w:t xml:space="preserve"> </w:t>
      </w:r>
      <w:r>
        <w:t xml:space="preserve">For the purpose of this evaluation, a price crash is defined as any substantial decrease of auction</w:t>
      </w:r>
    </w:p>
    <w:p>
      <w:pPr>
        <w:pStyle w:val="BodyText"/>
      </w:pPr>
      <w:r>
        <w:t xml:space="preserve">84 Bocklet, Hintermayer, Schmidt, and Wildgrube, 2019. “The reformed EU ETS - Intertemporal emission</w:t>
      </w:r>
      <w:r>
        <w:t xml:space="preserve"> </w:t>
      </w:r>
      <w:r>
        <w:t xml:space="preserve">trading with restricted banking”. Energy Economics, page 104486.</w:t>
      </w:r>
      <w:r>
        <w:t xml:space="preserve"> </w:t>
      </w:r>
      <w:r>
        <w:t xml:space="preserve">85 Wildgrube, 2023. “Fit for 55? An assessment of the effectiveness of the EU COM’s reform proposal for the</w:t>
      </w:r>
      <w:r>
        <w:t xml:space="preserve"> </w:t>
      </w:r>
      <w:r>
        <w:t xml:space="preserve">EU ETS”. Zeitschrift für Energiewirtschaft 47, 52–65 (2023).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clearing prices within a one-month period. Section 4.1.1.1.2 presents more granular price graph</w:t>
      </w:r>
      <w:r>
        <w:t xml:space="preserve"> </w:t>
      </w:r>
      <w:r>
        <w:t xml:space="preserve">showing such price drops.</w:t>
      </w:r>
      <w:r>
        <w:t xml:space="preserve"> </w:t>
      </w:r>
      <w:r>
        <w:t xml:space="preserve">The shift of supply of UK EUA from 2019 to 2020 did not lead to any visible repercussions on</w:t>
      </w:r>
      <w:r>
        <w:t xml:space="preserve"> </w:t>
      </w:r>
      <w:r>
        <w:t xml:space="preserve">the EUA primary market. This probably indicates that, while supply of UK EUA was paused</w:t>
      </w:r>
      <w:r>
        <w:t xml:space="preserve"> </w:t>
      </w:r>
      <w:r>
        <w:t xml:space="preserve">by the end of 2018 as a result of Brexit negotiations, there was confidence in the market that a</w:t>
      </w:r>
      <w:r>
        <w:t xml:space="preserve"> </w:t>
      </w:r>
      <w:r>
        <w:t xml:space="preserve">transition would be handled carefully in case the UK would leave the EU ETS. In particular, a</w:t>
      </w:r>
      <w:r>
        <w:t xml:space="preserve"> </w:t>
      </w:r>
      <w:r>
        <w:t xml:space="preserve">potential market disruption could have been caused by a temporary over- or undersupply of</w:t>
      </w:r>
      <w:r>
        <w:t xml:space="preserve"> </w:t>
      </w:r>
      <w:r>
        <w:t xml:space="preserve">allowances in the EU ETS if UK entities still had to surrender allowances but supply of UK</w:t>
      </w:r>
      <w:r>
        <w:t xml:space="preserve"> </w:t>
      </w:r>
      <w:r>
        <w:t xml:space="preserve">EUAs ceased or if surrender obligations phased out but UK EUAs were still supplied to the</w:t>
      </w:r>
      <w:r>
        <w:t xml:space="preserve"> </w:t>
      </w:r>
      <w:r>
        <w:t xml:space="preserve">market. These scenarios seem to have been assessed as unlikely by the market participants. The</w:t>
      </w:r>
      <w:r>
        <w:t xml:space="preserve"> </w:t>
      </w:r>
      <w:r>
        <w:t xml:space="preserve">shift of supply in itself is not problematic. Even short-sighted market participants would</w:t>
      </w:r>
      <w:r>
        <w:t xml:space="preserve"> </w:t>
      </w:r>
      <w:r>
        <w:t xml:space="preserve">anticipate an increase in the following year and keep their market behaviour unchanged. From</w:t>
      </w:r>
      <w:r>
        <w:t xml:space="preserve"> </w:t>
      </w:r>
      <w:r>
        <w:t xml:space="preserve">2021 onwards, the exit of the UK from the EU ETS was permanently implemented with an</w:t>
      </w:r>
      <w:r>
        <w:t xml:space="preserve"> </w:t>
      </w:r>
      <w:r>
        <w:t xml:space="preserve">adjustment of the supply of allowances (see Decision 2020/1722) and of the MSR intake (see</w:t>
      </w:r>
      <w:r>
        <w:t xml:space="preserve"> </w:t>
      </w:r>
      <w:r>
        <w:t xml:space="preserve">Commission Notice 2020/C 428 I/01). From this moment, surrender obligations for UK entities</w:t>
      </w:r>
      <w:r>
        <w:t xml:space="preserve"> </w:t>
      </w:r>
      <w:r>
        <w:t xml:space="preserve">also ceased.</w:t>
      </w:r>
      <w:r>
        <w:t xml:space="preserve"> </w:t>
      </w:r>
      <w:r>
        <w:t xml:space="preserve">The COVID-19 pandemic led to a price drop from EUR 24.64 per tCO2e on 24 February 2020</w:t>
      </w:r>
      <w:r>
        <w:t xml:space="preserve"> </w:t>
      </w:r>
      <w:r>
        <w:t xml:space="preserve">to a low of 14.60 EUR/EUA on 23 March 2020, clearly related to the first lockdown and the</w:t>
      </w:r>
      <w:r>
        <w:t xml:space="preserve"> </w:t>
      </w:r>
      <w:r>
        <w:t xml:space="preserve">uncertainties around the economic implications of the pandemic. Prices recovered by June 2020</w:t>
      </w:r>
      <w:r>
        <w:t xml:space="preserve"> </w:t>
      </w:r>
      <w:r>
        <w:t xml:space="preserve">and increased steadily over the remainder of the pandemic, reaching the milestone of EUR 50</w:t>
      </w:r>
      <w:r>
        <w:t xml:space="preserve"> </w:t>
      </w:r>
      <w:r>
        <w:t xml:space="preserve">per tCO2e in May 2021.</w:t>
      </w:r>
      <w:r>
        <w:br/>
      </w:r>
      <w:r>
        <w:t xml:space="preserve">The energy price crisis from 2021 to 2023 saw significant price drops within a month on two</w:t>
      </w:r>
      <w:r>
        <w:t xml:space="preserve"> </w:t>
      </w:r>
      <w:r>
        <w:t xml:space="preserve">occasions after a period of sustained price increases after the announcement of the Fit for 55</w:t>
      </w:r>
      <w:r>
        <w:t xml:space="preserve"> </w:t>
      </w:r>
      <w:r>
        <w:t xml:space="preserve">reform proposal. Most notably, the auction price decreased from EUR 97.51 per tCO2e on 8</w:t>
      </w:r>
      <w:r>
        <w:t xml:space="preserve"> </w:t>
      </w:r>
      <w:r>
        <w:t xml:space="preserve">February 2022 to EUR 57.91 per tCO2e as a result to the Russian invasion of Ukraine on 24</w:t>
      </w:r>
      <w:r>
        <w:t xml:space="preserve"> </w:t>
      </w:r>
      <w:r>
        <w:t xml:space="preserve">February 2022. The price recovered over the summer to see another price drop from EUR 97.50</w:t>
      </w:r>
      <w:r>
        <w:t xml:space="preserve"> </w:t>
      </w:r>
      <w:r>
        <w:t xml:space="preserve">per tCO2e on 22 August 2022 to EUR 65.21 per tCO2e on 9 September 2022 related to high</w:t>
      </w:r>
      <w:r>
        <w:t xml:space="preserve"> </w:t>
      </w:r>
      <w:r>
        <w:t xml:space="preserve">gas prices after the shutdown of the Nord Stream 1 pipeline in late August and its final closure</w:t>
      </w:r>
      <w:r>
        <w:t xml:space="preserve"> </w:t>
      </w:r>
      <w:r>
        <w:t xml:space="preserve">in September 2022.86 In the power sector high gas prices tend to induce a shift to coal-fired</w:t>
      </w:r>
      <w:r>
        <w:t xml:space="preserve"> </w:t>
      </w:r>
      <w:r>
        <w:t xml:space="preserve">power generation, leading to higher emissions and hence higher demand and EUA prices. In</w:t>
      </w:r>
      <w:r>
        <w:t xml:space="preserve"> </w:t>
      </w:r>
      <w:r>
        <w:t xml:space="preserve">August/September 2022, the expectation of market participants seems to have been rather a</w:t>
      </w:r>
      <w:r>
        <w:t xml:space="preserve"> </w:t>
      </w:r>
      <w:r>
        <w:t xml:space="preserve">downturn of industrial production in response to the high gas prices, leading to lower emissions</w:t>
      </w:r>
      <w:r>
        <w:t xml:space="preserve"> </w:t>
      </w:r>
      <w:r>
        <w:t xml:space="preserve">and EUA prices. This price drop was potentially exacerbated by speculations around potential</w:t>
      </w:r>
      <w:r>
        <w:t xml:space="preserve"> </w:t>
      </w:r>
      <w:r>
        <w:t xml:space="preserve">political interventions to relieve pressure from high energy prices by increasing allowance87</w:t>
      </w:r>
      <w:r>
        <w:t xml:space="preserve"> </w:t>
      </w:r>
      <w:r>
        <w:t xml:space="preserve">The Commission requested the European Securities and Markets Authority (ESMA) to conduct</w:t>
      </w:r>
      <w:r>
        <w:t xml:space="preserve"> </w:t>
      </w:r>
      <w:r>
        <w:t xml:space="preserve">an in-depth enquire into the trading of emission allowances. This enquiry did not find any major</w:t>
      </w:r>
      <w:r>
        <w:t xml:space="preserve"> </w:t>
      </w:r>
      <w:r>
        <w:t xml:space="preserve">issues as regards the transparency and integrity of the trading emission allowances that ETS</w:t>
      </w:r>
      <w:r>
        <w:t xml:space="preserve"> </w:t>
      </w:r>
      <w:r>
        <w:t xml:space="preserve">prices reflect market fundamentals88.</w:t>
      </w:r>
      <w:r>
        <w:br/>
      </w:r>
      <w:r>
        <w:t xml:space="preserve">A second related price drop took place between 16 November and 15 December 2023 where</w:t>
      </w:r>
      <w:r>
        <w:t xml:space="preserve"> </w:t>
      </w:r>
      <w:r>
        <w:t xml:space="preserve">prices decreased from EUR 79.00 to EUR 66.60 per tCO2e. Analysts attributed this price drop</w:t>
      </w:r>
    </w:p>
    <w:p>
      <w:pPr>
        <w:pStyle w:val="BodyText"/>
      </w:pPr>
      <w:r>
        <w:t xml:space="preserve">86 See for instance https://www.politico.eu/article/gazprom-announces-nord-stream-stoppage/.</w:t>
      </w:r>
      <w:r>
        <w:t xml:space="preserve"> </w:t>
      </w:r>
      <w:r>
        <w:t xml:space="preserve">87 Carbon Pulse, 2022. “Euro Markets: EUAs slide to six-month low amid prospect of additional supply”, 5</w:t>
      </w:r>
      <w:r>
        <w:t xml:space="preserve"> </w:t>
      </w:r>
      <w:r>
        <w:t xml:space="preserve">September 2022, https://carbon-pulse.com/171157/.</w:t>
      </w:r>
      <w:r>
        <w:t xml:space="preserve"> </w:t>
      </w:r>
      <w:r>
        <w:t xml:space="preserve">88 European Securities and Markets Authority, 2022. “Final Report on EU emission allowances and derivatives</w:t>
      </w:r>
      <w:r>
        <w:t xml:space="preserve"> </w:t>
      </w:r>
      <w:r>
        <w:t xml:space="preserve">thereof”, ref ESMA70-445-38, 28 March 2022.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to be predominantly caused by additional auctioning to finance REPowerEU.89 The</w:t>
      </w:r>
      <w:r>
        <w:t xml:space="preserve"> </w:t>
      </w:r>
      <w:r>
        <w:t xml:space="preserve">REPowerEU strategy was designed to reduce energy dependence from Russian imports and</w:t>
      </w:r>
      <w:r>
        <w:t xml:space="preserve"> </w:t>
      </w:r>
      <w:r>
        <w:t xml:space="preserve">mitigate the economic downturn caused by high energy prices since the Russian war of</w:t>
      </w:r>
      <w:r>
        <w:t xml:space="preserve"> </w:t>
      </w:r>
      <w:r>
        <w:t xml:space="preserve">aggression on Ukraine starting in February 2022.90 To contribute to finance the REPowerEU</w:t>
      </w:r>
      <w:r>
        <w:t xml:space="preserve"> </w:t>
      </w:r>
      <w:r>
        <w:t xml:space="preserve">amendment of the Recovery and Resilience Facility (RRF),) the EU decided in Regulation</w:t>
      </w:r>
      <w:r>
        <w:t xml:space="preserve"> </w:t>
      </w:r>
      <w:r>
        <w:t xml:space="preserve">(EU) 2023/435 to frontload the sale of EUAs from 2027-30 to 2023-26, thereby increasing</w:t>
      </w:r>
      <w:r>
        <w:t xml:space="preserve"> </w:t>
      </w:r>
      <w:r>
        <w:t xml:space="preserve">auction levels in the EU ETS in the short-term. This was implemented in the secondary</w:t>
      </w:r>
      <w:r>
        <w:t xml:space="preserve"> </w:t>
      </w:r>
      <w:r>
        <w:t xml:space="preserve">legislation amending the EU ETS Auctioning Regulation 1031/2010 adopted on 17 October</w:t>
      </w:r>
      <w:r>
        <w:t xml:space="preserve"> </w:t>
      </w:r>
      <w:r>
        <w:t xml:space="preserve">2023 which financed REPowerEU mainly frontloading allowances from the Innovation Fund</w:t>
      </w:r>
      <w:r>
        <w:t xml:space="preserve"> </w:t>
      </w:r>
      <w:r>
        <w:t xml:space="preserve">and Members States’ auctioning volumes, with only a very small amount taken from the MSR</w:t>
      </w:r>
      <w:r>
        <w:t xml:space="preserve"> </w:t>
      </w:r>
      <w:r>
        <w:t xml:space="preserve">to partly replenish the Innovation Fund.91 For 2023, the additional auction volume was 38.4</w:t>
      </w:r>
      <w:r>
        <w:t xml:space="preserve"> </w:t>
      </w:r>
      <w:r>
        <w:t xml:space="preserve">million EUA. While this is a relatively low share of the total supply of allowances of 1,064</w:t>
      </w:r>
      <w:r>
        <w:t xml:space="preserve"> </w:t>
      </w:r>
      <w:r>
        <w:t xml:space="preserve">million, the confusion between the initial proposal and the adopted legislation and the</w:t>
      </w:r>
      <w:r>
        <w:t xml:space="preserve"> </w:t>
      </w:r>
      <w:r>
        <w:t xml:space="preserve">signalling effect around the potential market intervention led to a significant price drop. In</w:t>
      </w:r>
      <w:r>
        <w:t xml:space="preserve"> </w:t>
      </w:r>
      <w:r>
        <w:t xml:space="preserve">other words, the price drop was not caused by the actual intervention leading to a change of</w:t>
      </w:r>
      <w:r>
        <w:t xml:space="preserve"> </w:t>
      </w:r>
      <w:r>
        <w:t xml:space="preserve">fundamental price drivers but rather the perceived increase in regulatory uncertainty. Several</w:t>
      </w:r>
      <w:r>
        <w:t xml:space="preserve"> </w:t>
      </w:r>
      <w:r>
        <w:t xml:space="preserve">position papers submitted as part of the open public consultation expressed that they see using</w:t>
      </w:r>
      <w:r>
        <w:t xml:space="preserve"> </w:t>
      </w:r>
      <w:r>
        <w:t xml:space="preserve">the MSR as financing tool as undermining the EU ETS’s effectiveness and credibility,</w:t>
      </w:r>
      <w:r>
        <w:t xml:space="preserve"> </w:t>
      </w:r>
      <w:r>
        <w:t xml:space="preserve">potentially distorting price signals. This perception stems from the initial proposal instead of</w:t>
      </w:r>
      <w:r>
        <w:t xml:space="preserve"> </w:t>
      </w:r>
      <w:r>
        <w:t xml:space="preserve">the actual adopted legislation.</w:t>
      </w:r>
      <w:r>
        <w:br/>
      </w:r>
      <w:r>
        <w:t xml:space="preserve">The three instances of unanticipated price drops in the context of the pandemic and the energy</w:t>
      </w:r>
      <w:r>
        <w:t xml:space="preserve"> </w:t>
      </w:r>
      <w:r>
        <w:t xml:space="preserve">price crisis in February and November 2022 as well as in November 2023 happened at short</w:t>
      </w:r>
      <w:r>
        <w:t xml:space="preserve"> </w:t>
      </w:r>
      <w:r>
        <w:t xml:space="preserve">notice. The frequency of MSR intervention is too low to immediately react. The MSR is</w:t>
      </w:r>
      <w:r>
        <w:t xml:space="preserve"> </w:t>
      </w:r>
      <w:r>
        <w:t xml:space="preserve">constructed in a way that it reduces supply starting from September for a demand-supply</w:t>
      </w:r>
      <w:r>
        <w:t xml:space="preserve"> </w:t>
      </w:r>
      <w:r>
        <w:t xml:space="preserve">imbalance in the previous year, i.e., if a demand shock occurs in January, the MSR starts</w:t>
      </w:r>
      <w:r>
        <w:t xml:space="preserve"> </w:t>
      </w:r>
      <w:r>
        <w:t xml:space="preserve">reacting 21 months later. However, market participants can anticipate that the rule-based MSR</w:t>
      </w:r>
      <w:r>
        <w:t xml:space="preserve"> </w:t>
      </w:r>
      <w:r>
        <w:t xml:space="preserve">will react at that time through an automatic mechanism that does not depend on a further</w:t>
      </w:r>
      <w:r>
        <w:t xml:space="preserve"> </w:t>
      </w:r>
      <w:r>
        <w:t xml:space="preserve">decision by the regulator. As such, the MSR contributes to stabilising the market in the event</w:t>
      </w:r>
      <w:r>
        <w:t xml:space="preserve"> </w:t>
      </w:r>
      <w:r>
        <w:t xml:space="preserve">of a shock even when its actual intake of the ensuing surplus is not immediate.</w:t>
      </w:r>
      <w:r>
        <w:t xml:space="preserve"> </w:t>
      </w:r>
      <w:r>
        <w:t xml:space="preserve">Note that while the years since the start of operations of the MSR in 2019 have experienced</w:t>
      </w:r>
      <w:r>
        <w:t xml:space="preserve"> </w:t>
      </w:r>
      <w:r>
        <w:t xml:space="preserve">several economic and political turbulences, both the 2022 and the 2024 ESMA Market Report</w:t>
      </w:r>
      <w:r>
        <w:t xml:space="preserve"> </w:t>
      </w:r>
      <w:r>
        <w:t xml:space="preserve">on EU carbon markets92 did not identify any relevant problems regarding the functioning of</w:t>
      </w:r>
      <w:r>
        <w:t xml:space="preserve"> </w:t>
      </w:r>
      <w:r>
        <w:t xml:space="preserve">the EU ETS, with historical and intraday volatility at low levels and even declining from 2022</w:t>
      </w:r>
      <w:r>
        <w:t xml:space="preserve"> </w:t>
      </w:r>
      <w:r>
        <w:t xml:space="preserve">to 2023. The 2022 ESMA report points out the EUA markets resemble markets for energy</w:t>
      </w:r>
      <w:r>
        <w:t xml:space="preserve"> </w:t>
      </w:r>
      <w:r>
        <w:t xml:space="preserve">commodities in terms of volatility, which by nature also reacted to the economic and political</w:t>
      </w:r>
      <w:r>
        <w:t xml:space="preserve"> </w:t>
      </w:r>
      <w:r>
        <w:t xml:space="preserve">developments described above.</w:t>
      </w:r>
      <w:r>
        <w:br/>
      </w:r>
      <w:r>
        <w:t xml:space="preserve">4.1.2.1.3.3 MSR and market confidence</w:t>
      </w:r>
      <w:r>
        <w:t xml:space="preserve"> </w:t>
      </w:r>
      <w:r>
        <w:t xml:space="preserve">The discussion of price drops in the previous subsections shows that EUA prices are also driven</w:t>
      </w:r>
      <w:r>
        <w:t xml:space="preserve"> </w:t>
      </w:r>
      <w:r>
        <w:t xml:space="preserve">by factors beyond market fundamentals. There are a number of intangible factors that we</w:t>
      </w:r>
      <w:r>
        <w:t xml:space="preserve"> </w:t>
      </w:r>
      <w:r>
        <w:t xml:space="preserve">bundle, analyse and evaluate here under the umbrella of market confidence.</w:t>
      </w:r>
    </w:p>
    <w:p>
      <w:pPr>
        <w:pStyle w:val="BodyText"/>
      </w:pPr>
      <w:r>
        <w:t xml:space="preserve">89 For instance, Homaio: https://www.homaio.com/post/why-did-eua-prices-fall-so-much-at-the-end-of-2023-</w:t>
      </w:r>
      <w:r>
        <w:t xml:space="preserve"> </w:t>
      </w:r>
      <w:r>
        <w:t xml:space="preserve">and-the-begining-of-2024</w:t>
      </w:r>
      <w:r>
        <w:t xml:space="preserve"> </w:t>
      </w:r>
      <w:r>
        <w:t xml:space="preserve">90 https://ec.europa.eu/commission/presscorner/detail/en/ip_22_7717</w:t>
      </w:r>
      <w:r>
        <w:t xml:space="preserve"> </w:t>
      </w:r>
      <w:r>
        <w:t xml:space="preserve">91 https://veyt.com/articles/title-eua-sale-for-repowereu-reaches-eur2-bn/</w:t>
      </w:r>
      <w:r>
        <w:t xml:space="preserve"> </w:t>
      </w:r>
      <w:r>
        <w:t xml:space="preserve">92 Market Report on EU carbon markets – 2024, ESMA50-43599798-10379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Stephan Salant raised in an academic paper from 2016 that the EU ETS was ailed by regulatory</w:t>
      </w:r>
      <w:r>
        <w:t xml:space="preserve"> </w:t>
      </w:r>
      <w:r>
        <w:t xml:space="preserve">uncertainty and potential policy interventions depressing prices.93 Confidence in the instrument</w:t>
      </w:r>
      <w:r>
        <w:t xml:space="preserve"> </w:t>
      </w:r>
      <w:r>
        <w:t xml:space="preserve">has much improved since then, which ultimately shows in increased allowance prices. Most</w:t>
      </w:r>
      <w:r>
        <w:t xml:space="preserve"> </w:t>
      </w:r>
      <w:r>
        <w:t xml:space="preserve">stakeholders interviewed for this evaluation confirmed that confidence in the market increased</w:t>
      </w:r>
      <w:r>
        <w:t xml:space="preserve"> </w:t>
      </w:r>
      <w:r>
        <w:t xml:space="preserve">as a result of the package of reform elements. While the individual effect of the MSR on</w:t>
      </w:r>
      <w:r>
        <w:t xml:space="preserve"> </w:t>
      </w:r>
      <w:r>
        <w:t xml:space="preserve">confidence cannot be assessed, stakeholders perceive the MSR as an integral part of the reform</w:t>
      </w:r>
      <w:r>
        <w:t xml:space="preserve"> </w:t>
      </w:r>
      <w:r>
        <w:t xml:space="preserve">package.</w:t>
      </w:r>
      <w:r>
        <w:br/>
      </w:r>
      <w:r>
        <w:t xml:space="preserve">There is however a second element of how the MSR influenced confidence in the market.</w:t>
      </w:r>
      <w:r>
        <w:t xml:space="preserve"> </w:t>
      </w:r>
      <w:r>
        <w:t xml:space="preserve">Stakeholders raised in the conducted interviews that the MSR is complex and not fully</w:t>
      </w:r>
      <w:r>
        <w:t xml:space="preserve"> </w:t>
      </w:r>
      <w:r>
        <w:t xml:space="preserve">understood by market participants. This might lead to reduced relevance of market</w:t>
      </w:r>
      <w:r>
        <w:t xml:space="preserve"> </w:t>
      </w:r>
      <w:r>
        <w:t xml:space="preserve">fundamentals compared to intangible factors when market developments become more difficult</w:t>
      </w:r>
      <w:r>
        <w:t xml:space="preserve"> </w:t>
      </w:r>
      <w:r>
        <w:t xml:space="preserve">to assess. The efficiency evaluation in Section 4.1.2.2 will further assess the topic of</w:t>
      </w:r>
      <w:r>
        <w:t xml:space="preserve"> </w:t>
      </w:r>
      <w:r>
        <w:t xml:space="preserve">complexity.</w:t>
      </w:r>
      <w:r>
        <w:br/>
      </w:r>
      <w:r>
        <w:t xml:space="preserve">4.1.2.1.4 Response to evaluation questions on effectiveness</w:t>
      </w:r>
      <w:r>
        <w:t xml:space="preserve"> </w:t>
      </w:r>
      <w:r>
        <w:t xml:space="preserve">1a. Did the MSR reduce the total number of allowances in circulation as expected?</w:t>
      </w:r>
      <w:r>
        <w:t xml:space="preserve"> </w:t>
      </w:r>
      <w:r>
        <w:t xml:space="preserve">Yes, the MSR reduced the TNAC, and its high level caused by historical demand-supply</w:t>
      </w:r>
      <w:r>
        <w:t xml:space="preserve"> </w:t>
      </w:r>
      <w:r>
        <w:t xml:space="preserve">imbalances as expected. It did this quicker than expected as the intake rate was higher that</w:t>
      </w:r>
      <w:r>
        <w:t xml:space="preserve"> </w:t>
      </w:r>
      <w:r>
        <w:t xml:space="preserve">envisioned by the 2014 Impact assessment. Stakeholders confirm this assessment: 64% find in</w:t>
      </w:r>
      <w:r>
        <w:t xml:space="preserve"> </w:t>
      </w:r>
      <w:r>
        <w:t xml:space="preserve">the OPC that the MSR has been moderately or very effective in addressing the structural surplus</w:t>
      </w:r>
      <w:r>
        <w:t xml:space="preserve"> </w:t>
      </w:r>
      <w:r>
        <w:t xml:space="preserve">in the EU ETS that has been accumulating since 2009.</w:t>
      </w:r>
      <w:r>
        <w:br/>
      </w:r>
      <w:r>
        <w:t xml:space="preserve">1b. Has the MSR mitigated the build-up of a new surplus?</w:t>
      </w:r>
      <w:r>
        <w:br/>
      </w:r>
      <w:r>
        <w:t xml:space="preserve">The MSR could mitigate the build-up of a new surplus but could not fully absorb it. Due to a</w:t>
      </w:r>
      <w:r>
        <w:t xml:space="preserve"> </w:t>
      </w:r>
      <w:r>
        <w:t xml:space="preserve">substantial build-up of new surplus in the evaluation period between 2013 and 2024, the TNAC</w:t>
      </w:r>
      <w:r>
        <w:t xml:space="preserve"> </w:t>
      </w:r>
      <w:r>
        <w:t xml:space="preserve">is still at a level of 1,148 million EUA, substantially above the target value of 833 million EUA.</w:t>
      </w:r>
      <w:r>
        <w:t xml:space="preserve"> </w:t>
      </w:r>
      <w:r>
        <w:t xml:space="preserve">The underlying reason for this is that verified emissions declined at a faster rate than expected</w:t>
      </w:r>
      <w:r>
        <w:t xml:space="preserve"> </w:t>
      </w:r>
      <w:r>
        <w:t xml:space="preserve">and allowance supply did not decrease at the same rate.</w:t>
      </w:r>
      <w:r>
        <w:br/>
      </w:r>
      <w:r>
        <w:t xml:space="preserve">1c. For shocks between 2019 and 2024, has the MSR contributed to mitigating price crashes?</w:t>
      </w:r>
      <w:r>
        <w:br/>
      </w:r>
      <w:r>
        <w:t xml:space="preserve">Over the evaluation period, the EUA prices increased significantly as a result of different</w:t>
      </w:r>
      <w:r>
        <w:t xml:space="preserve"> </w:t>
      </w:r>
      <w:r>
        <w:t xml:space="preserve">reforms improving the EU ETS. Stakeholders perceive the elements of the EU ETS reform as</w:t>
      </w:r>
      <w:r>
        <w:t xml:space="preserve"> </w:t>
      </w:r>
      <w:r>
        <w:t xml:space="preserve">blended package. The MSR was one important element of reform among others that</w:t>
      </w:r>
      <w:r>
        <w:t xml:space="preserve"> </w:t>
      </w:r>
      <w:r>
        <w:t xml:space="preserve">strengthened the EU ETS.</w:t>
      </w:r>
      <w:r>
        <w:t xml:space="preserve"> </w:t>
      </w:r>
      <w:r>
        <w:t xml:space="preserve">In the six years in which the MSR is now operating, the market saw a number of price drops.</w:t>
      </w:r>
      <w:r>
        <w:t xml:space="preserve"> </w:t>
      </w:r>
      <w:r>
        <w:t xml:space="preserve">The MSR mechanism is constructed in a way that it reacts only delayed to shocks and other</w:t>
      </w:r>
      <w:r>
        <w:t xml:space="preserve"> </w:t>
      </w:r>
      <w:r>
        <w:t xml:space="preserve">events. Hence no direct link between price drops and the effect of the MSR can be established.</w:t>
      </w:r>
      <w:r>
        <w:t xml:space="preserve"> </w:t>
      </w:r>
      <w:r>
        <w:t xml:space="preserve">However, as the MSR strengthened confidence in the EU ETS, it had an overall strengthening</w:t>
      </w:r>
      <w:r>
        <w:t xml:space="preserve"> </w:t>
      </w:r>
      <w:r>
        <w:t xml:space="preserve">effect on allowance prices.</w:t>
      </w:r>
      <w:r>
        <w:t xml:space="preserve"> </w:t>
      </w:r>
      <w:r>
        <w:t xml:space="preserve">1d. Has the MSR increased confidence into the EU ETS as main driver for long-term</w:t>
      </w:r>
      <w:r>
        <w:t xml:space="preserve"> </w:t>
      </w:r>
      <w:r>
        <w:t xml:space="preserve">decarbonisation in the EU?</w:t>
      </w:r>
      <w:r>
        <w:br/>
      </w:r>
      <w:r>
        <w:t xml:space="preserve">While the individual effect of the MSR on confidence cannot be assessed, stakeholders perceive</w:t>
      </w:r>
      <w:r>
        <w:t xml:space="preserve"> </w:t>
      </w:r>
      <w:r>
        <w:t xml:space="preserve">the MSR as an integral part of the reform package that led to a strengthening of the market.</w:t>
      </w:r>
    </w:p>
    <w:p>
      <w:pPr>
        <w:pStyle w:val="BodyText"/>
      </w:pPr>
      <w:r>
        <w:t xml:space="preserve">93 Salant, 2016. “What ails the European Union’s emissions trading system?” Journal of Environmental</w:t>
      </w:r>
      <w:r>
        <w:t xml:space="preserve"> </w:t>
      </w:r>
      <w:r>
        <w:t xml:space="preserve">Economics and Management, Vol. 80, November 2016, p. 6-19.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The MSR potentially increased the complexity of market fundamentals (discussed in Section</w:t>
      </w:r>
      <w:r>
        <w:t xml:space="preserve"> </w:t>
      </w:r>
      <w:r>
        <w:t xml:space="preserve">4.6). There is a risk that this reduced the relevance of market fundamentals in the behaviour of</w:t>
      </w:r>
      <w:r>
        <w:t xml:space="preserve"> </w:t>
      </w:r>
      <w:r>
        <w:t xml:space="preserve">market participants.</w:t>
      </w:r>
      <w:r>
        <w:br/>
      </w:r>
      <w:r>
        <w:t xml:space="preserve">4.1.2.2</w:t>
      </w:r>
      <w:r>
        <w:t xml:space="preserve"> </w:t>
      </w:r>
      <w:r>
        <w:t xml:space="preserve">Efficiency</w:t>
      </w:r>
      <w:r>
        <w:br/>
      </w:r>
      <w:r>
        <w:t xml:space="preserve">The evaluation of efficiency complements the analysis of whether a measure achieved its</w:t>
      </w:r>
      <w:r>
        <w:t xml:space="preserve"> </w:t>
      </w:r>
      <w:r>
        <w:t xml:space="preserve">objectives by comparing its costs and benefits and their distribution among different</w:t>
      </w:r>
      <w:r>
        <w:t xml:space="preserve"> </w:t>
      </w:r>
      <w:r>
        <w:t xml:space="preserve">stakeholders. The ex-post evaluation assesses if costs and benefits occurred as expected,</w:t>
      </w:r>
      <w:r>
        <w:t xml:space="preserve"> </w:t>
      </w:r>
      <w:r>
        <w:t xml:space="preserve">highlighting unanticipated developments and drawing conclusions on how small adjustments</w:t>
      </w:r>
      <w:r>
        <w:t xml:space="preserve"> </w:t>
      </w:r>
      <w:r>
        <w:t xml:space="preserve">of the measure can reduce its costs or raise its benefits with a particular focus on potential</w:t>
      </w:r>
      <w:r>
        <w:t xml:space="preserve"> </w:t>
      </w:r>
      <w:r>
        <w:t xml:space="preserve">simplification and burden reduction. Note that while the previous section analysed the</w:t>
      </w:r>
      <w:r>
        <w:t xml:space="preserve"> </w:t>
      </w:r>
      <w:r>
        <w:t xml:space="preserve">effectiveness of the invalidation mechanism separately from the effectiveness of the general</w:t>
      </w:r>
      <w:r>
        <w:t xml:space="preserve"> </w:t>
      </w:r>
      <w:r>
        <w:t xml:space="preserve">MSR to disentangle effects, the efficiency evaluation analyses the costs and benefits of the</w:t>
      </w:r>
      <w:r>
        <w:t xml:space="preserve"> </w:t>
      </w:r>
      <w:r>
        <w:t xml:space="preserve">MSR as a single tool. Ideally, the efficiency evaluation would aim to quantify costs and</w:t>
      </w:r>
      <w:r>
        <w:t xml:space="preserve"> </w:t>
      </w:r>
      <w:r>
        <w:t xml:space="preserve">benefits. In the case of the MSR, this is a difficult endeavour due to the nature of the MSR and</w:t>
      </w:r>
      <w:r>
        <w:t xml:space="preserve"> </w:t>
      </w:r>
      <w:r>
        <w:t xml:space="preserve">how it works. The MSR has a direct, quantifiable effect only on allowance supply. How it</w:t>
      </w:r>
      <w:r>
        <w:t xml:space="preserve"> </w:t>
      </w:r>
      <w:r>
        <w:t xml:space="preserve">affects allowance prices and how these prices translate into different implied costs and benefits</w:t>
      </w:r>
      <w:r>
        <w:t xml:space="preserve"> </w:t>
      </w:r>
      <w:r>
        <w:t xml:space="preserve">for market participants is much more difficult to quantify. Like this evaluation, the 2014 Impact</w:t>
      </w:r>
      <w:r>
        <w:t xml:space="preserve"> </w:t>
      </w:r>
      <w:r>
        <w:t xml:space="preserve">Assessment and the 2021 MSR Review have only been able to quantify the MSR efficiency to</w:t>
      </w:r>
      <w:r>
        <w:t xml:space="preserve"> </w:t>
      </w:r>
      <w:r>
        <w:t xml:space="preserve">a very limited extent.</w:t>
      </w:r>
      <w:r>
        <w:br/>
      </w:r>
      <w:r>
        <w:t xml:space="preserve">As explained in detail in Section 2.2.2 since its adoption in 2015 the MSR underwent</w:t>
      </w:r>
      <w:r>
        <w:t xml:space="preserve"> </w:t>
      </w:r>
      <w:r>
        <w:t xml:space="preserve">substantial reforms adjusting its configuration (e.g. by a higher intake rate) and introducing the</w:t>
      </w:r>
      <w:r>
        <w:t xml:space="preserve"> </w:t>
      </w:r>
      <w:r>
        <w:t xml:space="preserve">invalidation mechanism. These changes were not foreseen by the initial IA conducted in 2014.</w:t>
      </w:r>
      <w:r>
        <w:t xml:space="preserve"> </w:t>
      </w:r>
      <w:r>
        <w:t xml:space="preserve">Hence, analogously to the evaluation of effectiveness, the efficiency evaluation can only use</w:t>
      </w:r>
      <w:r>
        <w:t xml:space="preserve"> </w:t>
      </w:r>
      <w:r>
        <w:t xml:space="preserve">the 2014 IA as point of comparison for the period of 2013 to 2017, relying on other sources for</w:t>
      </w:r>
      <w:r>
        <w:t xml:space="preserve"> </w:t>
      </w:r>
      <w:r>
        <w:t xml:space="preserve">the period 2018 to 2024. The information of MSR efficiency provided in the 2014 IA is limited</w:t>
      </w:r>
      <w:r>
        <w:t xml:space="preserve"> </w:t>
      </w:r>
      <w:r>
        <w:t xml:space="preserve">even for the evaluation between 2013 and 2017.</w:t>
      </w:r>
      <w:r>
        <w:t xml:space="preserve"> </w:t>
      </w:r>
      <w:r>
        <w:t xml:space="preserve">4.1.2.2.1 Anticipated costs</w:t>
      </w:r>
      <w:r>
        <w:t xml:space="preserve"> </w:t>
      </w:r>
      <w:r>
        <w:t xml:space="preserve">Direct costs for the implementation of the MSR have been low. The main task is to prepare the</w:t>
      </w:r>
      <w:r>
        <w:t xml:space="preserve"> </w:t>
      </w:r>
      <w:r>
        <w:t xml:space="preserve">annual TNAC Communication. The Commission estimates the effort for this process to be</w:t>
      </w:r>
      <w:r>
        <w:t xml:space="preserve"> </w:t>
      </w:r>
      <w:r>
        <w:t xml:space="preserve">around 15 working days, including the calculation of TNAC figures by DG CLIMA, the legal</w:t>
      </w:r>
      <w:r>
        <w:t xml:space="preserve"> </w:t>
      </w:r>
      <w:r>
        <w:t xml:space="preserve">review and supporting IT services. Similarly, the additional direct effort for Member States is</w:t>
      </w:r>
      <w:r>
        <w:t xml:space="preserve"> </w:t>
      </w:r>
      <w:r>
        <w:t xml:space="preserve">negligible. However, as an interviewee from the public sector pointed out, there is some cost</w:t>
      </w:r>
      <w:r>
        <w:t xml:space="preserve"> </w:t>
      </w:r>
      <w:r>
        <w:t xml:space="preserve">related to the uncertainty around annual auction levels and hence revenues. As discussed in the</w:t>
      </w:r>
      <w:r>
        <w:t xml:space="preserve"> </w:t>
      </w:r>
      <w:r>
        <w:t xml:space="preserve">effectiveness evaluation, the MSR has likely had some effect on EUA prices, especially around</w:t>
      </w:r>
      <w:r>
        <w:t xml:space="preserve"> </w:t>
      </w:r>
      <w:r>
        <w:t xml:space="preserve">the 2018 reform. There is, however, a high level of uncertainty on the exact impact on prices.</w:t>
      </w:r>
      <w:r>
        <w:t xml:space="preserve"> </w:t>
      </w:r>
      <w:r>
        <w:t xml:space="preserve">The 2014 IA anticipated a cost-shifting effect from future to present of the MSR with higher</w:t>
      </w:r>
      <w:r>
        <w:t xml:space="preserve"> </w:t>
      </w:r>
      <w:r>
        <w:t xml:space="preserve">EUA prices in the short run over the MSR intake period and lower prices when these</w:t>
      </w:r>
      <w:r>
        <w:t xml:space="preserve"> </w:t>
      </w:r>
      <w:r>
        <w:t xml:space="preserve">allowances are reinjected into the market. This is confirmed by other modelling efforts, e.g. in</w:t>
      </w:r>
      <w:r>
        <w:t xml:space="preserve"> </w:t>
      </w:r>
      <w:r>
        <w:t xml:space="preserve">Bocklet et al. (2019). As discussed above, while the fundamental effect of the MSR on prices</w:t>
      </w:r>
      <w:r>
        <w:t xml:space="preserve"> </w:t>
      </w:r>
      <w:r>
        <w:t xml:space="preserve">induced by cost-shifting and the invalidation of allowances is generally considered low, a</w:t>
      </w:r>
      <w:r>
        <w:t xml:space="preserve"> </w:t>
      </w:r>
      <w:r>
        <w:t xml:space="preserve">substantial price effect was likely induced by the reform packages (in 2018 and for Fit for 55)</w:t>
      </w:r>
      <w:r>
        <w:t xml:space="preserve"> </w:t>
      </w:r>
      <w:r>
        <w:t xml:space="preserve">including the MSR boosting confidence into the EU ETS.</w:t>
      </w:r>
      <w:r>
        <w:t xml:space="preserve"> </w:t>
      </w:r>
      <w:r>
        <w:t xml:space="preserve">Higher prices will increase costs for compliance entities under the EU ETS, potentially</w:t>
      </w:r>
      <w:r>
        <w:t xml:space="preserve"> </w:t>
      </w:r>
      <w:r>
        <w:t xml:space="preserve">increasing costs for consumers of manufactured goods, electricity and heat, creating incentives</w:t>
      </w:r>
      <w:r>
        <w:t xml:space="preserve"> </w:t>
      </w:r>
      <w:r>
        <w:t xml:space="preserve">for decarbonisation in the sectors covered by the ETS. However, in aggregate, these additional</w:t>
      </w:r>
      <w:r>
        <w:t xml:space="preserve"> </w:t>
      </w:r>
      <w:r>
        <w:t xml:space="preserve">costs are balanced out as they generate auction revenues that can and have been redistributed.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This happened through Member States as well as through EU ETS-related programmes at EU</w:t>
      </w:r>
      <w:r>
        <w:t xml:space="preserve"> </w:t>
      </w:r>
      <w:r>
        <w:t xml:space="preserve">level like the Innovation Fund, the Modernisation Fund and indirect cost compensation</w:t>
      </w:r>
      <w:r>
        <w:t xml:space="preserve"> </w:t>
      </w:r>
      <w:r>
        <w:t xml:space="preserve">programmes at Member State level. As pointed out by the 2021 MSR Review (p. 44f.), higher</w:t>
      </w:r>
      <w:r>
        <w:t xml:space="preserve"> </w:t>
      </w:r>
      <w:r>
        <w:t xml:space="preserve">prices mainly affect emission-intensive trade-exposed sectors. Within these sectors, firms that</w:t>
      </w:r>
      <w:r>
        <w:t xml:space="preserve"> </w:t>
      </w:r>
      <w:r>
        <w:t xml:space="preserve">can abate emissions at lower costs might even benefit from price increases as they can</w:t>
      </w:r>
      <w:r>
        <w:t xml:space="preserve"> </w:t>
      </w:r>
      <w:r>
        <w:t xml:space="preserve">strengthen their competitiveness. Similarly, firms that were able to bank unused allowances</w:t>
      </w:r>
      <w:r>
        <w:t xml:space="preserve"> </w:t>
      </w:r>
      <w:r>
        <w:t xml:space="preserve">allocated for free to them, benefited from higher prices.</w:t>
      </w:r>
      <w:r>
        <w:t xml:space="preserve"> </w:t>
      </w:r>
      <w:r>
        <w:t xml:space="preserve">One ambiguous aspect regarding the MSR evaluation is whether it improved the efficiency of</w:t>
      </w:r>
      <w:r>
        <w:t xml:space="preserve"> </w:t>
      </w:r>
      <w:r>
        <w:t xml:space="preserve">how allowance supply in the EU ETS is distributed throughout the years. Leaving the</w:t>
      </w:r>
      <w:r>
        <w:t xml:space="preserve"> </w:t>
      </w:r>
      <w:r>
        <w:t xml:space="preserve">invalidation mechanism aside, the MSR shifts allowance supply from the present to the future.</w:t>
      </w:r>
      <w:r>
        <w:t xml:space="preserve"> </w:t>
      </w:r>
      <w:r>
        <w:t xml:space="preserve">From the viewpoint of economic theory, this decreases the efficiency of the EU ETS as it limits</w:t>
      </w:r>
      <w:r>
        <w:t xml:space="preserve"> </w:t>
      </w:r>
      <w:r>
        <w:t xml:space="preserve">the flexibility of firms to bank allowances now and to shift their abatement across time,</w:t>
      </w:r>
      <w:r>
        <w:t xml:space="preserve"> </w:t>
      </w:r>
      <w:r>
        <w:t xml:space="preserve">determining the abatement path that minimises their costs. Bocklet et al. (2019) estimate that</w:t>
      </w:r>
      <w:r>
        <w:t xml:space="preserve"> </w:t>
      </w:r>
      <w:r>
        <w:t xml:space="preserve">the MSR in its post-2018 reform configuration could add between 1-2% to the present value of</w:t>
      </w:r>
      <w:r>
        <w:t xml:space="preserve"> </w:t>
      </w:r>
      <w:r>
        <w:t xml:space="preserve">total costs if the LRF of 2.2% was continued until allowance supply drops to zero.</w:t>
      </w:r>
      <w:r>
        <w:br/>
      </w:r>
      <w:r>
        <w:t xml:space="preserve">The modelling exercise is, however, based on the strong assumption that regulated entities have</w:t>
      </w:r>
      <w:r>
        <w:t xml:space="preserve"> </w:t>
      </w:r>
      <w:r>
        <w:t xml:space="preserve">perfect foresight and are rationally optimising their abatement behaviour over decades.94 The</w:t>
      </w:r>
      <w:r>
        <w:t xml:space="preserve"> </w:t>
      </w:r>
      <w:r>
        <w:t xml:space="preserve">2014 IA, in turn, points out that experts considered the efficiency of the EU ETS to be low in</w:t>
      </w:r>
      <w:r>
        <w:t xml:space="preserve"> </w:t>
      </w:r>
      <w:r>
        <w:t xml:space="preserve">the consultation year. Several experts stated that the carbon price signal at the beginning of</w:t>
      </w:r>
      <w:r>
        <w:t xml:space="preserve"> </w:t>
      </w:r>
      <w:r>
        <w:t xml:space="preserve">Phase III was watered down, leading to inefficiently high prices in the long run. If the price</w:t>
      </w:r>
      <w:r>
        <w:t xml:space="preserve"> </w:t>
      </w:r>
      <w:r>
        <w:t xml:space="preserve">dilution was caused by a limited foresight of market participants and a lack of confidence into</w:t>
      </w:r>
      <w:r>
        <w:t xml:space="preserve"> </w:t>
      </w:r>
      <w:r>
        <w:t xml:space="preserve">the EU ETS, the MSR improved efficiency. Beyond this qualitative argument on the dilution</w:t>
      </w:r>
      <w:r>
        <w:t xml:space="preserve"> </w:t>
      </w:r>
      <w:r>
        <w:t xml:space="preserve">of the price signal, the analysis of the 2014 IA is of limited value for the MSR efficiency</w:t>
      </w:r>
      <w:r>
        <w:t xml:space="preserve"> </w:t>
      </w:r>
      <w:r>
        <w:t xml:space="preserve">evaluation in the current evaluation. This is because the 2014 IA measured efficiency as</w:t>
      </w:r>
      <w:r>
        <w:t xml:space="preserve"> </w:t>
      </w:r>
      <w:r>
        <w:t xml:space="preserve">decrease in surplus and not as function of overall abatement costs.</w:t>
      </w:r>
      <w:r>
        <w:br/>
      </w:r>
      <w:r>
        <w:t xml:space="preserve">The ambiguity of the effect of the MSR on intertemporal efficiency has already been discussed</w:t>
      </w:r>
      <w:r>
        <w:t xml:space="preserve"> </w:t>
      </w:r>
      <w:r>
        <w:t xml:space="preserve">by the 2021 MSR Review (p. 51). The authors point out that TNAC increases can stem from</w:t>
      </w:r>
      <w:r>
        <w:t xml:space="preserve"> </w:t>
      </w:r>
      <w:r>
        <w:t xml:space="preserve">an excess, therefore inefficient, surplus in the market but similarly from more complex market</w:t>
      </w:r>
      <w:r>
        <w:t xml:space="preserve"> </w:t>
      </w:r>
      <w:r>
        <w:t xml:space="preserve">dynamics related to anticipatory banking reflecting an expectation of future scarcity in the</w:t>
      </w:r>
      <w:r>
        <w:t xml:space="preserve"> </w:t>
      </w:r>
      <w:r>
        <w:t xml:space="preserve">market or of the effect of complementary policies. If TNAC increases come from the latter two,</w:t>
      </w:r>
      <w:r>
        <w:t xml:space="preserve"> </w:t>
      </w:r>
      <w:r>
        <w:t xml:space="preserve">the MSR potentially decreases the efficiency of the EU ETS, as pointed out above.</w:t>
      </w:r>
      <w:r>
        <w:t xml:space="preserve"> </w:t>
      </w:r>
      <w:r>
        <w:t xml:space="preserve">4.1.2.2.2 Unanticipated costs</w:t>
      </w:r>
      <w:r>
        <w:t xml:space="preserve"> </w:t>
      </w:r>
      <w:r>
        <w:t xml:space="preserve">One category of interviewed stakeholders, academics, indicated that the MSR has induced</w:t>
      </w:r>
      <w:r>
        <w:t xml:space="preserve"> </w:t>
      </w:r>
      <w:r>
        <w:t xml:space="preserve">unanticipated challenges by introducing uncertainty around annual auction volumes, increasing</w:t>
      </w:r>
      <w:r>
        <w:t xml:space="preserve"> </w:t>
      </w:r>
      <w:r>
        <w:t xml:space="preserve">the complexity of EU ETS price formation and reducing the overall transparency of the EU</w:t>
      </w:r>
      <w:r>
        <w:t xml:space="preserve"> </w:t>
      </w:r>
      <w:r>
        <w:t xml:space="preserve">ETS. This uncertainty would likely cause some additional costs for regulated entities,</w:t>
      </w:r>
      <w:r>
        <w:t xml:space="preserve"> </w:t>
      </w:r>
      <w:r>
        <w:t xml:space="preserve">authorities and other stakeholders like academics, but such indirect costs are difficult to</w:t>
      </w:r>
      <w:r>
        <w:t xml:space="preserve"> </w:t>
      </w:r>
      <w:r>
        <w:t xml:space="preserve">pinpoint and quantify. While the 2014 Impact Assessment lists the lack of simplicity as one of</w:t>
      </w:r>
      <w:r>
        <w:t xml:space="preserve"> </w:t>
      </w:r>
      <w:r>
        <w:t xml:space="preserve">the weaknesses of the proposed MSR (p. 56f.), the complexity of the mechanism was not</w:t>
      </w:r>
      <w:r>
        <w:t xml:space="preserve"> </w:t>
      </w:r>
      <w:r>
        <w:t xml:space="preserve">analysed and likely not fully understood when designing the instrument. The number of</w:t>
      </w:r>
      <w:r>
        <w:t xml:space="preserve"> </w:t>
      </w:r>
      <w:r>
        <w:t xml:space="preserve">academic publications analysing the effect of the MSR are witness to this. Furthermore, the</w:t>
      </w:r>
      <w:r>
        <w:t xml:space="preserve"> </w:t>
      </w:r>
      <w:r>
        <w:t xml:space="preserve">implemented MSR with the reforms of the intake rate and the introduction of the invalidation</w:t>
      </w:r>
    </w:p>
    <w:p>
      <w:pPr>
        <w:pStyle w:val="BodyText"/>
      </w:pPr>
      <w:r>
        <w:t xml:space="preserve">94 This assumption has been subsequently challenged, for instance in Quémin &amp; Trotignon (2021).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mechanism is slightly more complex than the options from the 2014 IA. Various stakeholders</w:t>
      </w:r>
      <w:r>
        <w:t xml:space="preserve"> </w:t>
      </w:r>
      <w:r>
        <w:t xml:space="preserve">identified several features of the MSR that are complex, among others:</w:t>
      </w:r>
      <w:r>
        <w:br/>
      </w:r>
      <w:r>
        <w:t xml:space="preserve">• TNAC is a new concept describing the private holdings of allowances. The TNAC</w:t>
      </w:r>
      <w:r>
        <w:t xml:space="preserve"> </w:t>
      </w:r>
      <w:r>
        <w:t xml:space="preserve">increases when allowance supply exceeds verified emissions in a given year. Allowance</w:t>
      </w:r>
      <w:r>
        <w:t xml:space="preserve"> </w:t>
      </w:r>
      <w:r>
        <w:t xml:space="preserve">supply, however, directly depends on the MSR.</w:t>
      </w:r>
      <w:r>
        <w:t xml:space="preserve"> </w:t>
      </w:r>
      <w:r>
        <w:t xml:space="preserve">• The level of the intake rate appears arbitrary and its effect on intake difficult to qualify.</w:t>
      </w:r>
      <w:r>
        <w:t xml:space="preserve"> </w:t>
      </w:r>
      <w:r>
        <w:t xml:space="preserve">The intake rate started at 12% and is now at 24% of TNAC. It is not intuitive if 12%</w:t>
      </w:r>
      <w:r>
        <w:t xml:space="preserve"> </w:t>
      </w:r>
      <w:r>
        <w:t xml:space="preserve">leads to a high or low intake level and if 24% are substantially different.</w:t>
      </w:r>
      <w:r>
        <w:t xml:space="preserve"> </w:t>
      </w:r>
      <w:r>
        <w:t xml:space="preserve">• MSR release will likely happen in the 2030s. The exact release period, however,</w:t>
      </w:r>
      <w:r>
        <w:t xml:space="preserve"> </w:t>
      </w:r>
      <w:r>
        <w:t xml:space="preserve">depends on technological developments and complementary policies driving verified</w:t>
      </w:r>
      <w:r>
        <w:t xml:space="preserve"> </w:t>
      </w:r>
      <w:r>
        <w:t xml:space="preserve">emissions. There is a high degree of uncertainty around the timing of release and hence</w:t>
      </w:r>
      <w:r>
        <w:t xml:space="preserve"> </w:t>
      </w:r>
      <w:r>
        <w:t xml:space="preserve">future allowance supply.</w:t>
      </w:r>
      <w:r>
        <w:t xml:space="preserve"> </w:t>
      </w:r>
      <w:r>
        <w:t xml:space="preserve">• The initial invalidation mechanism with the dynamic threshold of the previous year’s</w:t>
      </w:r>
      <w:r>
        <w:t xml:space="preserve"> </w:t>
      </w:r>
      <w:r>
        <w:t xml:space="preserve">auction volume made invalidation volumes opaque. This has been corrected by the Fit</w:t>
      </w:r>
      <w:r>
        <w:t xml:space="preserve"> </w:t>
      </w:r>
      <w:r>
        <w:t xml:space="preserve">for 55 reform setting a fixed threshold of 400 million EUA, increasing predictability of</w:t>
      </w:r>
      <w:r>
        <w:t xml:space="preserve"> </w:t>
      </w:r>
      <w:r>
        <w:t xml:space="preserve">invalidation volumes.</w:t>
      </w:r>
      <w:r>
        <w:t xml:space="preserve"> </w:t>
      </w:r>
      <w:r>
        <w:t xml:space="preserve">• The overall level of invalidations and hence the overall number of allowances in the</w:t>
      </w:r>
      <w:r>
        <w:t xml:space="preserve"> </w:t>
      </w:r>
      <w:r>
        <w:t xml:space="preserve">system depend on several factors and are hard to predict, creating uncertainty around</w:t>
      </w:r>
      <w:r>
        <w:t xml:space="preserve"> </w:t>
      </w:r>
      <w:r>
        <w:t xml:space="preserve">allowance supply.</w:t>
      </w:r>
      <w:r>
        <w:t xml:space="preserve"> </w:t>
      </w:r>
      <w:r>
        <w:t xml:space="preserve">It is overall manageable to understand these features. However, in aggregate, the functioning</w:t>
      </w:r>
      <w:r>
        <w:t xml:space="preserve"> </w:t>
      </w:r>
      <w:r>
        <w:t xml:space="preserve">of the EU ETS becomes more complex. As one of the academic MSR experts interviewed for</w:t>
      </w:r>
      <w:r>
        <w:t xml:space="preserve"> </w:t>
      </w:r>
      <w:r>
        <w:t xml:space="preserve">the evaluation pointed out: “The big drawback of the MSR is that it created a regulatory regime</w:t>
      </w:r>
      <w:r>
        <w:t xml:space="preserve"> </w:t>
      </w:r>
      <w:r>
        <w:t xml:space="preserve">that the affected people do not understand.” Those taking the time to understand the MSR face</w:t>
      </w:r>
      <w:r>
        <w:t xml:space="preserve"> </w:t>
      </w:r>
      <w:r>
        <w:t xml:space="preserve">unanticipated high one-off costs. As another interviewee from the public sector put it: “I must</w:t>
      </w:r>
      <w:r>
        <w:t xml:space="preserve"> </w:t>
      </w:r>
      <w:r>
        <w:t xml:space="preserve">admit that analysing the MSR mechanism, both in the context of the concept, legislation,</w:t>
      </w:r>
      <w:r>
        <w:t xml:space="preserve"> </w:t>
      </w:r>
      <w:r>
        <w:t xml:space="preserve">implementation process and then effects, took a lot of time, energy and reflection within our</w:t>
      </w:r>
      <w:r>
        <w:t xml:space="preserve"> </w:t>
      </w:r>
      <w:r>
        <w:t xml:space="preserve">team.”</w:t>
      </w:r>
      <w:r>
        <w:br/>
      </w:r>
      <w:r>
        <w:t xml:space="preserve">Regulated entities are dealing differently with this increased complexity. Bigger companies</w:t>
      </w:r>
      <w:r>
        <w:t xml:space="preserve"> </w:t>
      </w:r>
      <w:r>
        <w:t xml:space="preserve">have their own departments dealing with trading allowances. These companies had to adjust</w:t>
      </w:r>
      <w:r>
        <w:t xml:space="preserve"> </w:t>
      </w:r>
      <w:r>
        <w:t xml:space="preserve">their EU ETS models to include the newly introduced MSR rules, likely hiring new or training</w:t>
      </w:r>
      <w:r>
        <w:t xml:space="preserve"> </w:t>
      </w:r>
      <w:r>
        <w:t xml:space="preserve">existing staff. Smaller entities usually do not trade allowances themselves but rely on</w:t>
      </w:r>
      <w:r>
        <w:t xml:space="preserve"> </w:t>
      </w:r>
      <w:r>
        <w:t xml:space="preserve">intermediaries. They will likely face a higher service fee in consequence of the MSR</w:t>
      </w:r>
      <w:r>
        <w:t xml:space="preserve"> </w:t>
      </w:r>
      <w:r>
        <w:t xml:space="preserve">introduction.</w:t>
      </w:r>
      <w:r>
        <w:br/>
      </w:r>
      <w:r>
        <w:t xml:space="preserve">4.1.2.2.3 Anticipated and unanticipated (co-)benefits</w:t>
      </w:r>
      <w:r>
        <w:t xml:space="preserve"> </w:t>
      </w:r>
      <w:r>
        <w:t xml:space="preserve">The main anticipated benefits of the MSR can be derived from its objectives. The reduction of</w:t>
      </w:r>
      <w:r>
        <w:t xml:space="preserve"> </w:t>
      </w:r>
      <w:r>
        <w:t xml:space="preserve">the historical and new excess allowance surplus is the most direct benefit. While more difficult</w:t>
      </w:r>
      <w:r>
        <w:t xml:space="preserve"> </w:t>
      </w:r>
      <w:r>
        <w:t xml:space="preserve">to quantify, support for the stabilisation of prices in times of low-price levels as well as of the</w:t>
      </w:r>
      <w:r>
        <w:t xml:space="preserve"> </w:t>
      </w:r>
      <w:r>
        <w:t xml:space="preserve">signal the MSR provided in terms of confidence into the EU ETS and credibility of the</w:t>
      </w:r>
      <w:r>
        <w:t xml:space="preserve"> </w:t>
      </w:r>
      <w:r>
        <w:t xml:space="preserve">commitment of the EU to this instrument are important benefits. These benefits are discussed</w:t>
      </w:r>
      <w:r>
        <w:t xml:space="preserve"> </w:t>
      </w:r>
      <w:r>
        <w:t xml:space="preserve">in more detail in the evaluation of the MSR effectiveness in Section 4.1.2.1.1</w:t>
      </w:r>
      <w:r>
        <w:t xml:space="preserve"> </w:t>
      </w:r>
      <w:r>
        <w:t xml:space="preserve">This section focuses on whether the MSR has led to any benefits beyond those intended by the</w:t>
      </w:r>
      <w:r>
        <w:t xml:space="preserve"> </w:t>
      </w:r>
      <w:r>
        <w:t xml:space="preserve">MSR objectives.</w:t>
      </w:r>
      <w:r>
        <w:t xml:space="preserve"> </w:t>
      </w:r>
      <w:r>
        <w:t xml:space="preserve">By construction, the MSR is meant to have limited effects outside the EU ETS context, and</w:t>
      </w:r>
      <w:r>
        <w:t xml:space="preserve"> </w:t>
      </w:r>
      <w:r>
        <w:t xml:space="preserve">hence potential co-benefits. Neither the 2014 Impact Assessment nor the 2021 MSR Review</w:t>
      </w:r>
      <w:r>
        <w:t xml:space="preserve"> </w:t>
      </w:r>
      <w:r>
        <w:t xml:space="preserve">mention specific co-benefits.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To the degree that the MSR contributed to price increases in the EU ETS, this generated</w:t>
      </w:r>
      <w:r>
        <w:t xml:space="preserve"> </w:t>
      </w:r>
      <w:r>
        <w:t xml:space="preserve">additional revenues for EU Member States which invested them to a large share into climate-</w:t>
      </w:r>
      <w:r>
        <w:t xml:space="preserve"> </w:t>
      </w:r>
      <w:r>
        <w:t xml:space="preserve">related programmes. Furthermore, the higher price led to increased decarbonisation efforts,</w:t>
      </w:r>
      <w:r>
        <w:t xml:space="preserve"> </w:t>
      </w:r>
      <w:r>
        <w:t xml:space="preserve">fostering the development of low-carbon technologies and generating a positive environmental</w:t>
      </w:r>
      <w:r>
        <w:t xml:space="preserve"> </w:t>
      </w:r>
      <w:r>
        <w:t xml:space="preserve">impact. The invalidation mechanism de facto lowered the number of allowances and therefore</w:t>
      </w:r>
      <w:r>
        <w:t xml:space="preserve"> </w:t>
      </w:r>
      <w:r>
        <w:t xml:space="preserve">emissions.</w:t>
      </w:r>
      <w:r>
        <w:br/>
      </w:r>
      <w:r>
        <w:t xml:space="preserve">A hard-to-quantify unanticipated co-benefit of the MSR is that it increased interest in and</w:t>
      </w:r>
      <w:r>
        <w:t xml:space="preserve"> </w:t>
      </w:r>
      <w:r>
        <w:t xml:space="preserve">availability of data on the EU ETS. The annual TNAC Communications that are released in</w:t>
      </w:r>
      <w:r>
        <w:t xml:space="preserve"> </w:t>
      </w:r>
      <w:r>
        <w:t xml:space="preserve">May help market participants and other stakeholders assessing the market situation, especially</w:t>
      </w:r>
      <w:r>
        <w:t xml:space="preserve"> </w:t>
      </w:r>
      <w:r>
        <w:t xml:space="preserve">the development of verified emissions and allowance supply over time. Similarly, the adoption</w:t>
      </w:r>
      <w:r>
        <w:t xml:space="preserve"> </w:t>
      </w:r>
      <w:r>
        <w:t xml:space="preserve">of the MSR inspired an array of research and active discussions on EU ETS market dynamics</w:t>
      </w:r>
      <w:r>
        <w:t xml:space="preserve"> </w:t>
      </w:r>
      <w:r>
        <w:t xml:space="preserve">in general.</w:t>
      </w:r>
      <w:r>
        <w:br/>
      </w:r>
      <w:r>
        <w:t xml:space="preserve">4.1.2.2.4 Lessons learned and recommendations</w:t>
      </w:r>
      <w:r>
        <w:t xml:space="preserve"> </w:t>
      </w:r>
      <w:r>
        <w:t xml:space="preserve">A lesson learned on efficiency, that the Commission already applied in the Fit for 55 reforms,</w:t>
      </w:r>
      <w:r>
        <w:t xml:space="preserve"> </w:t>
      </w:r>
      <w:r>
        <w:t xml:space="preserve">is that mechanisms like the MSR should be implemented with least complexity, decreasing the</w:t>
      </w:r>
      <w:r>
        <w:t xml:space="preserve"> </w:t>
      </w:r>
      <w:r>
        <w:t xml:space="preserve">cost for regulated entities, authorities and other stakeholders that comes with understanding</w:t>
      </w:r>
      <w:r>
        <w:t xml:space="preserve"> </w:t>
      </w:r>
      <w:r>
        <w:t xml:space="preserve">how the MSR changes the functioning of the EU ETS and the EUA price formation. A number</w:t>
      </w:r>
      <w:r>
        <w:t xml:space="preserve"> </w:t>
      </w:r>
      <w:r>
        <w:t xml:space="preserve">of the position papers that were received as part of the open public consultation, call for an</w:t>
      </w:r>
      <w:r>
        <w:t xml:space="preserve"> </w:t>
      </w:r>
      <w:r>
        <w:t xml:space="preserve">increase in transparency of MSR related data and predictability of the MSR movements,</w:t>
      </w:r>
      <w:r>
        <w:t xml:space="preserve"> </w:t>
      </w:r>
      <w:r>
        <w:t xml:space="preserve">indicating that there might be still room for improvement, for instance finetuning MSR</w:t>
      </w:r>
      <w:r>
        <w:t xml:space="preserve"> </w:t>
      </w:r>
      <w:r>
        <w:t xml:space="preserve">parameters. Note that there is a trade-off between a mechanism that is rule-based and a</w:t>
      </w:r>
      <w:r>
        <w:t xml:space="preserve"> </w:t>
      </w:r>
      <w:r>
        <w:t xml:space="preserve">mechanism that can flexibly react to changes in market conditions.</w:t>
      </w:r>
      <w:r>
        <w:t xml:space="preserve"> </w:t>
      </w:r>
      <w:r>
        <w:t xml:space="preserve">Overall, the MSR had mostly indirect costs and benefits for regulated entities under the EU</w:t>
      </w:r>
      <w:r>
        <w:t xml:space="preserve"> </w:t>
      </w:r>
      <w:r>
        <w:t xml:space="preserve">ETS. This is highlighted by the results of the open public consultation on this matter: While</w:t>
      </w:r>
      <w:r>
        <w:t xml:space="preserve"> </w:t>
      </w:r>
      <w:r>
        <w:t xml:space="preserve">39% responded that the MSR is moderately or very efficient, another 35% did not know how</w:t>
      </w:r>
      <w:r>
        <w:t xml:space="preserve"> </w:t>
      </w:r>
      <w:r>
        <w:t xml:space="preserve">to answer. One potential reason for the significant number of “Do not know” answers could be</w:t>
      </w:r>
      <w:r>
        <w:t xml:space="preserve"> </w:t>
      </w:r>
      <w:r>
        <w:t xml:space="preserve">that these respondents are not aware of the costs and benefits of the MSR. This, in turn, reflects</w:t>
      </w:r>
      <w:r>
        <w:t xml:space="preserve"> </w:t>
      </w:r>
      <w:r>
        <w:t xml:space="preserve">on the unanticipated complexity of the mechanism.</w:t>
      </w:r>
      <w:r>
        <w:t xml:space="preserve"> </w:t>
      </w:r>
      <w:r>
        <w:t xml:space="preserve">One way to leverage the benefits of the MSR is to improve the presentation of data from the</w:t>
      </w:r>
      <w:r>
        <w:t xml:space="preserve"> </w:t>
      </w:r>
      <w:r>
        <w:t xml:space="preserve">TNAC Communications. For example, a small straightforward improvement would be to</w:t>
      </w:r>
      <w:r>
        <w:t xml:space="preserve"> </w:t>
      </w:r>
      <w:r>
        <w:t xml:space="preserve">publish the Excel tables providing data from all years of TNAC Communications. This would</w:t>
      </w:r>
      <w:r>
        <w:t xml:space="preserve"> </w:t>
      </w:r>
      <w:r>
        <w:t xml:space="preserve">ease the accessibility of TNAC data and support regulated entities, market participants as well</w:t>
      </w:r>
      <w:r>
        <w:t xml:space="preserve"> </w:t>
      </w:r>
      <w:r>
        <w:t xml:space="preserve">as researchers in working with MSR data.</w:t>
      </w:r>
      <w:r>
        <w:t xml:space="preserve"> </w:t>
      </w:r>
      <w:r>
        <w:t xml:space="preserve">4.1.2.3</w:t>
      </w:r>
      <w:r>
        <w:t xml:space="preserve"> </w:t>
      </w:r>
      <w:r>
        <w:t xml:space="preserve">Coherence</w:t>
      </w:r>
      <w:r>
        <w:t xml:space="preserve"> </w:t>
      </w:r>
      <w:r>
        <w:t xml:space="preserve">The evaluation of coherence assesses how well the MSR is functioning in a harmonised way</w:t>
      </w:r>
      <w:r>
        <w:t xml:space="preserve"> </w:t>
      </w:r>
      <w:r>
        <w:t xml:space="preserve">with other elements of the EU ETS (internal coherence), other EU climate and energy policies</w:t>
      </w:r>
      <w:r>
        <w:t xml:space="preserve"> </w:t>
      </w:r>
      <w:r>
        <w:t xml:space="preserve">as well as policies at Member State level (external coherence). Neither the 2014 Impact</w:t>
      </w:r>
      <w:r>
        <w:t xml:space="preserve"> </w:t>
      </w:r>
      <w:r>
        <w:t xml:space="preserve">Assessment nor the 2021 MSR Review, or other studies have identified obstacles to the internal</w:t>
      </w:r>
      <w:r>
        <w:t xml:space="preserve"> </w:t>
      </w:r>
      <w:r>
        <w:t xml:space="preserve">coherence of the MSR.95 This is also confirmed by the open public consultation. Question 3a</w:t>
      </w:r>
    </w:p>
    <w:p>
      <w:pPr>
        <w:pStyle w:val="BodyText"/>
      </w:pPr>
      <w:r>
        <w:t xml:space="preserve">95 Pahle et al. (2023) are pointing out a future issue of internal coherence, not relevant for a backward-looking</w:t>
      </w:r>
      <w:r>
        <w:t xml:space="preserve"> </w:t>
      </w:r>
      <w:r>
        <w:t xml:space="preserve">evaluation. They find that the invalidation mechanism can cause a price spiral if the EU ETS cap becomes</w:t>
      </w:r>
      <w:r>
        <w:t xml:space="preserve"> </w:t>
      </w:r>
      <w:r>
        <w:t xml:space="preserve">tighter in the light of the EU’s 2050 net-zero target. If market participants expect a tighter market in the future,</w:t>
      </w:r>
      <w:r>
        <w:t xml:space="preserve"> </w:t>
      </w:r>
      <w:r>
        <w:t xml:space="preserve">they will increase abatement efforts now, banking allowances in response to an expected future scarcity. If</w:t>
      </w:r>
      <w:r>
        <w:t xml:space="preserve"> </w:t>
      </w:r>
      <w:r>
        <w:t xml:space="preserve">this additional banking leads to TNAC levels that trigger MSR intake and invalidation of allowances, this</w:t>
      </w:r>
      <w:r>
        <w:t xml:space="preserve"> </w:t>
      </w:r>
      <w:r>
        <w:t xml:space="preserve">will further increase the scarcity of allowances in the EU ETS, potentially inducing further banking.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of the evaluation matrix, Is the MSR aligned to other elements of the EU ETS? can therefore</w:t>
      </w:r>
      <w:r>
        <w:t xml:space="preserve"> </w:t>
      </w:r>
      <w:r>
        <w:t xml:space="preserve">be affirmed and the evaluation focus will be on external coherence.</w:t>
      </w:r>
      <w:r>
        <w:br/>
      </w:r>
      <w:r>
        <w:t xml:space="preserve">Coherence is mainly evaluated for the overall EU ETS (in Section 4.1.2.3) but there are some</w:t>
      </w:r>
      <w:r>
        <w:t xml:space="preserve"> </w:t>
      </w:r>
      <w:r>
        <w:t xml:space="preserve">aspects that are particularly relevant for the evaluation of the MSR as individual feature of the</w:t>
      </w:r>
      <w:r>
        <w:t xml:space="preserve"> </w:t>
      </w:r>
      <w:r>
        <w:t xml:space="preserve">EU ETS.</w:t>
      </w:r>
      <w:r>
        <w:br/>
      </w:r>
      <w:r>
        <w:t xml:space="preserve">4.1.2.3.1 MSR and complementary policies</w:t>
      </w:r>
      <w:r>
        <w:t xml:space="preserve"> </w:t>
      </w:r>
      <w:r>
        <w:t xml:space="preserve">The 2014 Impact Assessment discusses the coherence of the MSR with complementary</w:t>
      </w:r>
      <w:r>
        <w:t xml:space="preserve"> </w:t>
      </w:r>
      <w:r>
        <w:t xml:space="preserve">policies. Complementary policies are defined as a subtype of overlapping policies whose</w:t>
      </w:r>
      <w:r>
        <w:t xml:space="preserve"> </w:t>
      </w:r>
      <w:r>
        <w:t xml:space="preserve">primary or secondary objectives are aligned with the assessed policy. In the context of the EU</w:t>
      </w:r>
      <w:r>
        <w:t xml:space="preserve"> </w:t>
      </w:r>
      <w:r>
        <w:t xml:space="preserve">ETS, overlapping policies are all other climate or energy policies that directly or indirectly aim</w:t>
      </w:r>
      <w:r>
        <w:t xml:space="preserve"> </w:t>
      </w:r>
      <w:r>
        <w:t xml:space="preserve">to reduce emissions (the 2014 IA mentions renewable energy, energy efficiency policies and</w:t>
      </w:r>
      <w:r>
        <w:t xml:space="preserve"> </w:t>
      </w:r>
      <w:r>
        <w:t xml:space="preserve">policies to reduce the use of carbon-intensive fuels). As with the discussion of efficiency, the</w:t>
      </w:r>
      <w:r>
        <w:t xml:space="preserve"> </w:t>
      </w:r>
      <w:r>
        <w:t xml:space="preserve">2014 IA focusses on the static reduction of the allowance surplus. It hence falls short of</w:t>
      </w:r>
      <w:r>
        <w:t xml:space="preserve"> </w:t>
      </w:r>
      <w:r>
        <w:t xml:space="preserve">identifying and analysing the intricacies of how the MSR interacts with complementary</w:t>
      </w:r>
      <w:r>
        <w:t xml:space="preserve"> </w:t>
      </w:r>
      <w:r>
        <w:t xml:space="preserve">policies. Since the initial IA, there has been a large body of academic literature analysing the</w:t>
      </w:r>
      <w:r>
        <w:t xml:space="preserve"> </w:t>
      </w:r>
      <w:r>
        <w:t xml:space="preserve">interaction between the EU ETS, the MSR and complementary policies. This has been</w:t>
      </w:r>
      <w:r>
        <w:t xml:space="preserve"> </w:t>
      </w:r>
      <w:r>
        <w:t xml:space="preserve">reviewed and extensively discussed in the final report for Task 1 of the DG CLIMA project on</w:t>
      </w:r>
      <w:r>
        <w:t xml:space="preserve"> </w:t>
      </w:r>
      <w:r>
        <w:t xml:space="preserve">Issues and Options for EU Emissions Trading after 2030, published in 2024.96</w:t>
      </w:r>
      <w:r>
        <w:br/>
      </w:r>
      <w:r>
        <w:t xml:space="preserve">On the one hand, the invalidation mechanism of the MSR increases the coherence between EU</w:t>
      </w:r>
      <w:r>
        <w:t xml:space="preserve"> </w:t>
      </w:r>
      <w:r>
        <w:t xml:space="preserve">ETS and complementary policies. Without it, any complementary climate or energy policy</w:t>
      </w:r>
      <w:r>
        <w:t xml:space="preserve"> </w:t>
      </w:r>
      <w:r>
        <w:t xml:space="preserve">covering EU ETS sectors reduces demand for allowances, thereby reducing EUA prices and</w:t>
      </w:r>
      <w:r>
        <w:t xml:space="preserve"> </w:t>
      </w:r>
      <w:r>
        <w:t xml:space="preserve">de-incentivising decarbonisation which leads to higher emissions and demand for allowances.</w:t>
      </w:r>
      <w:r>
        <w:t xml:space="preserve"> </w:t>
      </w:r>
      <w:r>
        <w:t xml:space="preserve">From a theoretical point of view, the net effect of complementary policies on emissions is zero.</w:t>
      </w:r>
      <w:r>
        <w:t xml:space="preserve"> </w:t>
      </w:r>
      <w:r>
        <w:t xml:space="preserve">This is the so-called waterbed effect. The MSR in its original design could not have fixed the</w:t>
      </w:r>
      <w:r>
        <w:t xml:space="preserve"> </w:t>
      </w:r>
      <w:r>
        <w:t xml:space="preserve">waterbed effect as it only adds a shift of allowances and hence abatement efforts over time.</w:t>
      </w:r>
      <w:r>
        <w:t xml:space="preserve"> </w:t>
      </w:r>
      <w:r>
        <w:t xml:space="preserve">With the adoption of the invalidation mechanism in 2018, however, it permanently removes</w:t>
      </w:r>
      <w:r>
        <w:t xml:space="preserve"> </w:t>
      </w:r>
      <w:r>
        <w:t xml:space="preserve">allowances, thereby mitigating or even overcoming the waterbed effect.</w:t>
      </w:r>
      <w:r>
        <w:t xml:space="preserve"> </w:t>
      </w:r>
      <w:r>
        <w:t xml:space="preserve">On the other hand, the literature review discusses dynamic effects of how the MSR and the</w:t>
      </w:r>
      <w:r>
        <w:t xml:space="preserve"> </w:t>
      </w:r>
      <w:r>
        <w:t xml:space="preserve">invalidation mechanism work (p.23f.). While several research papers find that the MSR works</w:t>
      </w:r>
      <w:r>
        <w:t xml:space="preserve"> </w:t>
      </w:r>
      <w:r>
        <w:t xml:space="preserve">as expected in the context of unanticipated shocks caused, for instance, by economic crises, the</w:t>
      </w:r>
      <w:r>
        <w:t xml:space="preserve"> </w:t>
      </w:r>
      <w:r>
        <w:t xml:space="preserve">MSR has unintended effects in reaction to anticipated shocks which are often related to</w:t>
      </w:r>
      <w:r>
        <w:t xml:space="preserve"> </w:t>
      </w:r>
      <w:r>
        <w:t xml:space="preserve">complementary policies like coal-phase outs or renewable energy support. If the market expects</w:t>
      </w:r>
      <w:r>
        <w:t xml:space="preserve"> </w:t>
      </w:r>
      <w:r>
        <w:t xml:space="preserve">that in the future complementary policies will reduce emissions and hence the carbon price,</w:t>
      </w:r>
      <w:r>
        <w:t xml:space="preserve"> </w:t>
      </w:r>
      <w:r>
        <w:t xml:space="preserve">abatement efforts today will also decrease. This in turn leads to a lower TNAC and less MSR</w:t>
      </w:r>
      <w:r>
        <w:t xml:space="preserve"> </w:t>
      </w:r>
      <w:r>
        <w:t xml:space="preserve">intake and invalidation. In the worst case, this effect can overcompensate the initial emissions</w:t>
      </w:r>
      <w:r>
        <w:t xml:space="preserve"> </w:t>
      </w:r>
      <w:r>
        <w:t xml:space="preserve">reduction induced by the complementary policy, leading to overall higher emissions. This</w:t>
      </w:r>
      <w:r>
        <w:t xml:space="preserve"> </w:t>
      </w:r>
      <w:r>
        <w:t xml:space="preserve">effect can occur in interaction with EU or Member State-level climate or energy policies.</w:t>
      </w:r>
      <w:r>
        <w:br/>
      </w:r>
      <w:r>
        <w:t xml:space="preserve">A recent paper by Perino et al. (2025)97 maps overlapping climate policies regarding additional</w:t>
      </w:r>
      <w:r>
        <w:t xml:space="preserve"> </w:t>
      </w:r>
      <w:r>
        <w:t xml:space="preserve">emission reduction effects, assuming the MSR threshold of 833 million EUA is reached in</w:t>
      </w:r>
    </w:p>
    <w:p>
      <w:pPr>
        <w:pStyle w:val="BodyText"/>
      </w:pPr>
      <w:r>
        <w:t xml:space="preserve">96 DG CLIMA, 2024: “Issues and Options for EU Emissions Trading after 2030. Final Task 1 Report –</w:t>
      </w:r>
      <w:r>
        <w:t xml:space="preserve"> </w:t>
      </w:r>
      <w:r>
        <w:t xml:space="preserve">Integrated reporting on literature review”, interviews with experts/stakeholders and stakeholder survey,</w:t>
      </w:r>
      <w:r>
        <w:t xml:space="preserve"> </w:t>
      </w:r>
      <w:r>
        <w:t xml:space="preserve">online:</w:t>
      </w:r>
      <w:r>
        <w:t xml:space="preserve"> </w:t>
      </w:r>
      <w:r>
        <w:t xml:space="preserve">https://op.europa.eu/en/publication-detail/-/publication/67267406-313b-11f0-8a44-</w:t>
      </w:r>
      <w:r>
        <w:t xml:space="preserve"> </w:t>
      </w:r>
      <w:r>
        <w:t xml:space="preserve">01aa75ed71a1/language-en</w:t>
      </w:r>
      <w:r>
        <w:br/>
      </w:r>
      <w:r>
        <w:t xml:space="preserve">97 Perino, Ritz and van Benthem, 2025. “Overlapping Climate Policies”, Economic Journal,</w:t>
      </w:r>
      <w:r>
        <w:t xml:space="preserve"> </w:t>
      </w:r>
      <w:r>
        <w:t xml:space="preserve">https://doi.org/10.1093/ej/ueaf021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2030. In Figure 18, the x-axis is the internal carbon leakage rate, i.e. the shift of emissions from</w:t>
      </w:r>
      <w:r>
        <w:t xml:space="preserve"> </w:t>
      </w:r>
      <w:r>
        <w:t xml:space="preserve">one jurisdiction to another, including carbon-intensive imports, at a fixed EUA price. Internal</w:t>
      </w:r>
      <w:r>
        <w:t xml:space="preserve"> </w:t>
      </w:r>
      <w:r>
        <w:t xml:space="preserve">carbon leakage is measured between -1 and 2. At a rate of 1, all emissions reduced by the</w:t>
      </w:r>
      <w:r>
        <w:t xml:space="preserve"> </w:t>
      </w:r>
      <w:r>
        <w:t xml:space="preserve">complementary policy are 1:1 replaced by new emissions somewhere else. Above 1, total</w:t>
      </w:r>
      <w:r>
        <w:t xml:space="preserve"> </w:t>
      </w:r>
      <w:r>
        <w:t xml:space="preserve">emissions increase, e.g. through carbon-intensive imports. Below 0, the complementary policy</w:t>
      </w:r>
      <w:r>
        <w:t xml:space="preserve"> </w:t>
      </w:r>
      <w:r>
        <w:t xml:space="preserve">incentivises emission reduction elsewhere as with the German renewable energy (RE) support</w:t>
      </w:r>
      <w:r>
        <w:t xml:space="preserve"> </w:t>
      </w:r>
      <w:r>
        <w:t xml:space="preserve">that decreases investment costs for RE. The y-axis is the waterbed effect, i.e. the overall effect</w:t>
      </w:r>
      <w:r>
        <w:t xml:space="preserve"> </w:t>
      </w:r>
      <w:r>
        <w:t xml:space="preserve">on emissions covered by the EU ETS with an endogenous EUA price. For instance, the German</w:t>
      </w:r>
      <w:r>
        <w:t xml:space="preserve"> </w:t>
      </w:r>
      <w:r>
        <w:t xml:space="preserve">RE support pre-MSR had a waterbed effect of one. All emission reduction achieved led to</w:t>
      </w:r>
      <w:r>
        <w:t xml:space="preserve"> </w:t>
      </w:r>
      <w:r>
        <w:t xml:space="preserve">lower EUA prices and higher emissions elsewhere under the EU ETS. The German coal phase-</w:t>
      </w:r>
      <w:r>
        <w:t xml:space="preserve"> </w:t>
      </w:r>
      <w:r>
        <w:t xml:space="preserve">out or a regional carbon price floor (CPF), in turn, had in 2020 a low waterbed effect of 0.2 as</w:t>
      </w:r>
      <w:r>
        <w:t xml:space="preserve"> </w:t>
      </w:r>
      <w:r>
        <w:t xml:space="preserve">allowances were invalidated through the MSR. The main finding of the paper is that the</w:t>
      </w:r>
      <w:r>
        <w:t xml:space="preserve"> </w:t>
      </w:r>
      <w:r>
        <w:t xml:space="preserve">waterbed effect crucially depends on the timing of overlapping policies, as illustrated for the</w:t>
      </w:r>
      <w:r>
        <w:t xml:space="preserve"> </w:t>
      </w:r>
      <w:r>
        <w:t xml:space="preserve">German renewable support pre-MSR, 2020, 2025 and post-2030. It is worth mentioning that</w:t>
      </w:r>
      <w:r>
        <w:t xml:space="preserve"> </w:t>
      </w:r>
      <w:r>
        <w:t xml:space="preserve">Germany’s voluntary cancellation related to its coal phase out considers of the MSR’s intakes</w:t>
      </w:r>
      <w:r>
        <w:t xml:space="preserve"> </w:t>
      </w:r>
      <w:r>
        <w:t xml:space="preserve">and only cancels what the MSR does not. Germany and the Commission communicate</w:t>
      </w:r>
      <w:r>
        <w:t xml:space="preserve"> </w:t>
      </w:r>
      <w:r>
        <w:t xml:space="preserve">transparently and timely on this.</w:t>
      </w:r>
      <w:r>
        <w:t xml:space="preserve"> </w:t>
      </w:r>
      <w:r>
        <w:t xml:space="preserve">Figure 18: Map of effects of complementary policies in the EU ETS</w:t>
      </w:r>
      <w:r>
        <w:t xml:space="preserve"> </w:t>
      </w:r>
      <w:r>
        <w:t xml:space="preserve">Source: Perino et al. (2025)</w:t>
      </w:r>
      <w:r>
        <w:t xml:space="preserve"> </w:t>
      </w:r>
      <w:r>
        <w:t xml:space="preserve">4.1.2.3.2 Alignment to other EU climate or energy policies and lessons learned</w:t>
      </w:r>
      <w:r>
        <w:br/>
      </w:r>
      <w:r>
        <w:t xml:space="preserve">As discussed in Section 4.1.2.1,1 the MSR has been successful in strengthening the EU ETS.</w:t>
      </w:r>
      <w:r>
        <w:t xml:space="preserve"> </w:t>
      </w:r>
      <w:r>
        <w:t xml:space="preserve">As the EU ETS is the cornerstone of EU climate policy, the adoption of the MSR is coherent</w:t>
      </w:r>
      <w:r>
        <w:t xml:space="preserve"> </w:t>
      </w:r>
      <w:r>
        <w:t xml:space="preserve">as part of the broader climate policy mix. However, the MSR potentially enables other EU</w:t>
      </w:r>
      <w:r>
        <w:t xml:space="preserve"> </w:t>
      </w:r>
      <w:r>
        <w:t xml:space="preserve">climate and energy policies to interfere with the EU ETS’s environmental integrity and</w:t>
      </w:r>
      <w:r>
        <w:t xml:space="preserve"> </w:t>
      </w:r>
      <w:r>
        <w:t xml:space="preserve">effectiveness. A number of interviewed stakeholders across sectors mentioned as negative</w:t>
      </w:r>
      <w:r>
        <w:t xml:space="preserve"> </w:t>
      </w:r>
      <w:r>
        <w:t xml:space="preserve">example for this the use of MSR allowances for financing the REPowerEU programme. As</w:t>
      </w:r>
      <w:r>
        <w:t xml:space="preserve"> </w:t>
      </w:r>
      <w:r>
        <w:t xml:space="preserve">discussed previously, although this in fact never happened and there was only a frontloading</w:t>
      </w:r>
      <w:r>
        <w:t xml:space="preserve"> </w:t>
      </w:r>
      <w:r>
        <w:t xml:space="preserve">of allowance supply outside the MSR, the proposal undermined confidence into the EU ETS.</w:t>
      </w:r>
      <w:r>
        <w:t xml:space="preserve"> </w:t>
      </w:r>
      <w:r>
        <w:t xml:space="preserve">From a coherence point of view, it can be added that, even if that did not happen in this case, a</w:t>
      </w:r>
      <w:r>
        <w:t xml:space="preserve"> </w:t>
      </w:r>
      <w:r>
        <w:t xml:space="preserve">potential scenario arose in which the MSR as an allowance reserve could be used for adjusting</w:t>
      </w:r>
      <w:r>
        <w:t xml:space="preserve"> </w:t>
      </w:r>
      <w:r>
        <w:t xml:space="preserve">auction volumes and generate additional revenue in response to political considerations not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directly related to the ETS. As an interviewed industry representative put it: “Such</w:t>
      </w:r>
      <w:r>
        <w:t xml:space="preserve"> </w:t>
      </w:r>
      <w:r>
        <w:t xml:space="preserve">interventions need to be thought through carefully because they create uncertainty.”</w:t>
      </w:r>
      <w:r>
        <w:t xml:space="preserve"> </w:t>
      </w:r>
      <w:r>
        <w:t xml:space="preserve">4.1.2.3.3 Alignment to policies at Member State level</w:t>
      </w:r>
      <w:r>
        <w:br/>
      </w:r>
      <w:r>
        <w:t xml:space="preserve">While the paper by Perino et al. (2025) outlines how the timing of individual complementary</w:t>
      </w:r>
      <w:r>
        <w:t xml:space="preserve"> </w:t>
      </w:r>
      <w:r>
        <w:t xml:space="preserve">policies at Member State level depends on its interaction with the MSR, and in particular with</w:t>
      </w:r>
      <w:r>
        <w:t xml:space="preserve"> </w:t>
      </w:r>
      <w:r>
        <w:t xml:space="preserve">the invalidation of allowances, this subsection looks specifically at the interactions between the</w:t>
      </w:r>
      <w:r>
        <w:t xml:space="preserve"> </w:t>
      </w:r>
      <w:r>
        <w:t xml:space="preserve">MSR and the German coal-phase out, going beyond the academic perspective, and including a</w:t>
      </w:r>
      <w:r>
        <w:t xml:space="preserve"> </w:t>
      </w:r>
      <w:r>
        <w:t xml:space="preserve">consideration on administrative effort and concrete implementation challenges.</w:t>
      </w:r>
      <w:r>
        <w:t xml:space="preserve"> </w:t>
      </w:r>
      <w:r>
        <w:t xml:space="preserve">The German coal phase-out is an interesting case because it is the only Member State policy</w:t>
      </w:r>
      <w:r>
        <w:t xml:space="preserve"> </w:t>
      </w:r>
      <w:r>
        <w:t xml:space="preserve">that used Article 12(4) of the ETS Directive This provision allows Member States to cancel</w:t>
      </w:r>
      <w:r>
        <w:t xml:space="preserve"> </w:t>
      </w:r>
      <w:r>
        <w:t xml:space="preserve">EUAs they would have auctioned otherwise, so that the additional emission reduction effect</w:t>
      </w:r>
      <w:r>
        <w:t xml:space="preserve"> </w:t>
      </w:r>
      <w:r>
        <w:t xml:space="preserve">achieved by the closure of electricity generation capacity stays intact. Member States can</w:t>
      </w:r>
      <w:r>
        <w:t xml:space="preserve"> </w:t>
      </w:r>
      <w:r>
        <w:t xml:space="preserve">withdraw allowances up to the average verified emissions of closed power plants over a period</w:t>
      </w:r>
      <w:r>
        <w:t xml:space="preserve"> </w:t>
      </w:r>
      <w:r>
        <w:t xml:space="preserve">of five years preceding the closure.</w:t>
      </w:r>
      <w:r>
        <w:br/>
      </w:r>
      <w:r>
        <w:t xml:space="preserve">Beyond the invalidation of a fixed number of allowances, the German government intended to</w:t>
      </w:r>
      <w:r>
        <w:t xml:space="preserve"> </w:t>
      </w:r>
      <w:r>
        <w:t xml:space="preserve">implement the coal phase-out as neutral regarding the EUA price, i.e. without any waterbed</w:t>
      </w:r>
      <w:r>
        <w:t xml:space="preserve"> </w:t>
      </w:r>
      <w:r>
        <w:t xml:space="preserve">effect, as experts from the public and academic sector interviewed for the evaluation explained.</w:t>
      </w:r>
      <w:r>
        <w:t xml:space="preserve"> </w:t>
      </w:r>
      <w:r>
        <w:t xml:space="preserve">This led to complicated modelling efforts as price neutrality also needed to take into account</w:t>
      </w:r>
      <w:r>
        <w:t xml:space="preserve"> </w:t>
      </w:r>
      <w:r>
        <w:t xml:space="preserve">the interference of the policy with the MSR intake. As a result, Germany failed in its attempt</w:t>
      </w:r>
      <w:r>
        <w:t xml:space="preserve"> </w:t>
      </w:r>
      <w:r>
        <w:t xml:space="preserve">to withdraw allowances for phased-out capacities in 2021.98</w:t>
      </w:r>
      <w:r>
        <w:t xml:space="preserve"> </w:t>
      </w:r>
      <w:r>
        <w:t xml:space="preserve">Another academic expert highlighted, however, that this failure was irrelevant. As long as the</w:t>
      </w:r>
      <w:r>
        <w:t xml:space="preserve"> </w:t>
      </w:r>
      <w:r>
        <w:t xml:space="preserve">coal phase-out happens when the TNAC is still above 833 million, the MSR will invalidate</w:t>
      </w:r>
      <w:r>
        <w:t xml:space="preserve"> </w:t>
      </w:r>
      <w:r>
        <w:t xml:space="preserve">allowances that reduced demand in response to the policy. This is the combined effect of the</w:t>
      </w:r>
      <w:r>
        <w:t xml:space="preserve"> </w:t>
      </w:r>
      <w:r>
        <w:t xml:space="preserve">introduction of the upper buffer zone with one-for-one MSR intake between a TNAC of 833</w:t>
      </w:r>
      <w:r>
        <w:t xml:space="preserve"> </w:t>
      </w:r>
      <w:r>
        <w:t xml:space="preserve">and 1096 million allowances and the fixed invalidation threshold of 400 million. Article 12(4)</w:t>
      </w:r>
      <w:r>
        <w:t xml:space="preserve"> </w:t>
      </w:r>
      <w:r>
        <w:t xml:space="preserve">will only become relevant once the TNAC falls under 833 million allowances.</w:t>
      </w:r>
      <w:r>
        <w:t xml:space="preserve"> </w:t>
      </w:r>
      <w:r>
        <w:t xml:space="preserve">4.1.2.3.4 Lessons learned and recommendations</w:t>
      </w:r>
      <w:r>
        <w:br/>
      </w:r>
      <w:r>
        <w:t xml:space="preserve">The evaluation of coherence between the MSR and the EU ETS on the one hand and</w:t>
      </w:r>
      <w:r>
        <w:t xml:space="preserve"> </w:t>
      </w:r>
      <w:r>
        <w:t xml:space="preserve">complementary policies on the other raises the broader question of which role complementary</w:t>
      </w:r>
      <w:r>
        <w:t xml:space="preserve"> </w:t>
      </w:r>
      <w:r>
        <w:t xml:space="preserve">policies should play next to the EU ETS to support decarbonisation. The EU ETS sets a price</w:t>
      </w:r>
      <w:r>
        <w:t xml:space="preserve"> </w:t>
      </w:r>
      <w:r>
        <w:t xml:space="preserve">signal, adjusting the marginal costs of low- versus high-carbon technologies or activities to</w:t>
      </w:r>
      <w:r>
        <w:t xml:space="preserve"> </w:t>
      </w:r>
      <w:r>
        <w:t xml:space="preserve">account for damages from climate change and to make polluters pay for the external costs of</w:t>
      </w:r>
      <w:r>
        <w:t xml:space="preserve"> </w:t>
      </w:r>
      <w:r>
        <w:t xml:space="preserve">their decisions. The absence of climate change damages from the polluters’ decision making is</w:t>
      </w:r>
      <w:r>
        <w:t xml:space="preserve"> </w:t>
      </w:r>
      <w:r>
        <w:t xml:space="preserve">not the only market failure hindering decarbonisation and requiring government intervention.</w:t>
      </w:r>
      <w:r>
        <w:t xml:space="preserve"> </w:t>
      </w:r>
      <w:r>
        <w:t xml:space="preserve">For instance, infrastructure like smart grids and EV charging networks are public goods and</w:t>
      </w:r>
      <w:r>
        <w:t xml:space="preserve"> </w:t>
      </w:r>
      <w:r>
        <w:t xml:space="preserve">would not be provided adequately without government intervention. This requires a climate</w:t>
      </w:r>
      <w:r>
        <w:t xml:space="preserve"> </w:t>
      </w:r>
      <w:r>
        <w:t xml:space="preserve">policy portfolio where the EU ETS is a central but not the only policy for the low carbon</w:t>
      </w:r>
      <w:r>
        <w:t xml:space="preserve"> </w:t>
      </w:r>
      <w:r>
        <w:t xml:space="preserve">transition and brings the issue of the coherence of the whole portfolio to centre stage.</w:t>
      </w:r>
      <w:r>
        <w:t xml:space="preserve"> </w:t>
      </w:r>
      <w:r>
        <w:t xml:space="preserve">Overall, the interactions of the MSR and complementary policies are more complex than</w:t>
      </w:r>
      <w:r>
        <w:t xml:space="preserve"> </w:t>
      </w:r>
      <w:r>
        <w:t xml:space="preserve">initially foreseen, especially through the interaction with the invalidation mechanism adopted</w:t>
      </w:r>
      <w:r>
        <w:t xml:space="preserve"> </w:t>
      </w:r>
      <w:r>
        <w:t xml:space="preserve">in 2018 which leads to changes in expectations of market participants. However, the new upper</w:t>
      </w:r>
    </w:p>
    <w:p>
      <w:pPr>
        <w:pStyle w:val="BodyText"/>
      </w:pPr>
      <w:r>
        <w:t xml:space="preserve">98 See also Carbon Pulse, 2025: “Ahead of German elections, government faces scrutiny over coal phaseout as</w:t>
      </w:r>
      <w:r>
        <w:t xml:space="preserve"> </w:t>
      </w:r>
      <w:r>
        <w:t xml:space="preserve">EUA cancellations lag”, 21 February 2025, https://carbon-pulse.com/371265/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buffer introduced by the Fit for 55 reform largely mitigates the problem of the waterbed effect</w:t>
      </w:r>
      <w:r>
        <w:t xml:space="preserve"> </w:t>
      </w:r>
      <w:r>
        <w:t xml:space="preserve">and hence improves coherence.</w:t>
      </w:r>
      <w:r>
        <w:br/>
      </w:r>
      <w:r>
        <w:t xml:space="preserve">As in the evaluation of the MSR efficiency, the discussion of coherence circled back to the</w:t>
      </w:r>
      <w:r>
        <w:t xml:space="preserve"> </w:t>
      </w:r>
      <w:r>
        <w:t xml:space="preserve">topic of complexity and makes the assessment of the effects of complementary policies</w:t>
      </w:r>
      <w:r>
        <w:t xml:space="preserve"> </w:t>
      </w:r>
      <w:r>
        <w:t xml:space="preserve">difficult. The main recommendation for future adjustments of the MSR is hence to consider</w:t>
      </w:r>
      <w:r>
        <w:t xml:space="preserve"> </w:t>
      </w:r>
      <w:r>
        <w:t xml:space="preserve">possible simplifications as well as to increase transparency by providing data and guidance</w:t>
      </w:r>
      <w:r>
        <w:t xml:space="preserve"> </w:t>
      </w:r>
      <w:r>
        <w:t xml:space="preserve">material. The latter helps assessing interactions with complementary policies and hence</w:t>
      </w:r>
      <w:r>
        <w:t xml:space="preserve"> </w:t>
      </w:r>
      <w:r>
        <w:t xml:space="preserve">understanding coherence issues, ideally even before future complementary policies are</w:t>
      </w:r>
      <w:r>
        <w:t xml:space="preserve"> </w:t>
      </w:r>
      <w:r>
        <w:t xml:space="preserve">adopted.</w:t>
      </w:r>
      <w:r>
        <w:br/>
      </w:r>
      <w:r>
        <w:t xml:space="preserve">A majority of interviewed stakeholders across different sectors criticised the proposal for</w:t>
      </w:r>
      <w:r>
        <w:t xml:space="preserve"> </w:t>
      </w:r>
      <w:r>
        <w:t xml:space="preserve">financing the REPowerEU programme from MSR allowances, even if the adopted intervention</w:t>
      </w:r>
      <w:r>
        <w:t xml:space="preserve"> </w:t>
      </w:r>
      <w:r>
        <w:t xml:space="preserve">relied on allowances frontloaded from the Innovation Fund and Member States’ auctioning.</w:t>
      </w:r>
      <w:r>
        <w:t xml:space="preserve"> </w:t>
      </w:r>
      <w:r>
        <w:t xml:space="preserve">The MSR could potentially be strengthened by adding safeguards that prohibit any arbitrary</w:t>
      </w:r>
      <w:r>
        <w:t xml:space="preserve"> </w:t>
      </w:r>
      <w:r>
        <w:t xml:space="preserve">use of the allowances stored in the MSR, to avoid any uncertainty of possible unanticipated</w:t>
      </w:r>
      <w:r>
        <w:t xml:space="preserve"> </w:t>
      </w:r>
      <w:r>
        <w:t xml:space="preserve">political interventions in the future.</w:t>
      </w:r>
      <w:r>
        <w:br/>
      </w:r>
      <w:r>
        <w:t xml:space="preserve">Lastly, although this is a forward-looking assessment based on a number of underlying</w:t>
      </w:r>
      <w:r>
        <w:t xml:space="preserve"> </w:t>
      </w:r>
      <w:r>
        <w:t xml:space="preserve">assumptions, rather than a backward-looking assessment covered by this evaluation, the</w:t>
      </w:r>
      <w:r>
        <w:t xml:space="preserve"> </w:t>
      </w:r>
      <w:r>
        <w:t xml:space="preserve">potential price spiral identified by Pahle et al. (2023) indicates that the MSR parameters need</w:t>
      </w:r>
      <w:r>
        <w:t xml:space="preserve"> </w:t>
      </w:r>
      <w:r>
        <w:t xml:space="preserve">to be carefully adjusted to be fit for a future market that could in the long run be characterised</w:t>
      </w:r>
      <w:r>
        <w:t xml:space="preserve"> </w:t>
      </w:r>
      <w:r>
        <w:t xml:space="preserve">by a potential scarcity of allowances. Among a series of potential ETS adjustments to address</w:t>
      </w:r>
      <w:r>
        <w:t xml:space="preserve"> </w:t>
      </w:r>
      <w:r>
        <w:t xml:space="preserve">future scarcity, removing the invalidation mechanism could contribute to preventing such a</w:t>
      </w:r>
      <w:r>
        <w:t xml:space="preserve"> </w:t>
      </w:r>
      <w:r>
        <w:t xml:space="preserve">price spiral from materialising.</w:t>
      </w:r>
      <w:r>
        <w:br/>
      </w:r>
      <w:r>
        <w:t xml:space="preserve">Note that the points on which the coherence of the MSR can be improved are less important</w:t>
      </w:r>
      <w:r>
        <w:t xml:space="preserve"> </w:t>
      </w:r>
      <w:r>
        <w:t xml:space="preserve">than addressing issues of overall EU ETS coherence. In the open public consultation, only 7%</w:t>
      </w:r>
      <w:r>
        <w:t xml:space="preserve"> </w:t>
      </w:r>
      <w:r>
        <w:t xml:space="preserve">of respondents to the open question of how to improve coherence refer to the topic of market</w:t>
      </w:r>
      <w:r>
        <w:t xml:space="preserve"> </w:t>
      </w:r>
      <w:r>
        <w:t xml:space="preserve">stability and MSR. Topics like external coherence, international cooperation and free</w:t>
      </w:r>
      <w:r>
        <w:t xml:space="preserve"> </w:t>
      </w:r>
      <w:r>
        <w:t xml:space="preserve">allocation, competitiveness and carbon leakage received more attention from the respondents.</w:t>
      </w:r>
      <w:r>
        <w:t xml:space="preserve"> </w:t>
      </w:r>
      <w:r>
        <w:t xml:space="preserve">4.2</w:t>
      </w:r>
      <w:r>
        <w:t xml:space="preserve"> </w:t>
      </w:r>
      <w:r>
        <w:t xml:space="preserve">How did the EU intervention make a difference and to whom?</w:t>
      </w:r>
      <w:r>
        <w:t xml:space="preserve"> </w:t>
      </w:r>
      <w:r>
        <w:t xml:space="preserve">4.2.1 What is the EU-value added of the EU ETS?</w:t>
      </w:r>
      <w:r>
        <w:br/>
      </w:r>
      <w:r>
        <w:t xml:space="preserve">The EU added value refers to the extent to which the objectives and impacts of the ETS</w:t>
      </w:r>
      <w:r>
        <w:t xml:space="preserve"> </w:t>
      </w:r>
      <w:r>
        <w:t xml:space="preserve">Directive could not have been achieved by Member States acting independently. Evidence from</w:t>
      </w:r>
      <w:r>
        <w:t xml:space="preserve"> </w:t>
      </w:r>
      <w:r>
        <w:t xml:space="preserve">literature confirms that coordinated, supranational implementation has delivered greater</w:t>
      </w:r>
      <w:r>
        <w:t xml:space="preserve"> </w:t>
      </w:r>
      <w:r>
        <w:t xml:space="preserve">effectiveness, efficiency, and equity than would not have been possible through national action</w:t>
      </w:r>
      <w:r>
        <w:t xml:space="preserve"> </w:t>
      </w:r>
      <w:r>
        <w:t xml:space="preserve">alone. Across environmental, economic, and administrative dimensions, the EU ETS</w:t>
      </w:r>
      <w:r>
        <w:t xml:space="preserve"> </w:t>
      </w:r>
      <w:r>
        <w:t xml:space="preserve">demonstrated strong added value.</w:t>
      </w:r>
      <w:r>
        <w:t xml:space="preserve"> </w:t>
      </w:r>
      <w:r>
        <w:t xml:space="preserve">The fact there has been little to no analysis in the literature with regards to replacing the EU</w:t>
      </w:r>
      <w:r>
        <w:t xml:space="preserve"> </w:t>
      </w:r>
      <w:r>
        <w:t xml:space="preserve">ETS with alternative national schemes indicates that the added value of implementing the ETS</w:t>
      </w:r>
      <w:r>
        <w:t xml:space="preserve"> </w:t>
      </w:r>
      <w:r>
        <w:t xml:space="preserve">and the EU level is widely accepted. It is unlikely, and there is no evidence from the literature</w:t>
      </w:r>
      <w:r>
        <w:t xml:space="preserve"> </w:t>
      </w:r>
      <w:r>
        <w:t xml:space="preserve">to suggest, that greater effectiveness, efficiency and equity could have been achieved through</w:t>
      </w:r>
      <w:r>
        <w:t xml:space="preserve"> </w:t>
      </w:r>
      <w:r>
        <w:t xml:space="preserve">national action alone.</w:t>
      </w:r>
      <w:r>
        <w:t xml:space="preserve"> </w:t>
      </w:r>
      <w:r>
        <w:t xml:space="preserve">A central pillar of the EU ETS added value concerns the creation of a harmonised carbon</w:t>
      </w:r>
      <w:r>
        <w:t xml:space="preserve"> </w:t>
      </w:r>
      <w:r>
        <w:t xml:space="preserve">market that preserves the integrity of the single market and ensures a level playing field for</w:t>
      </w:r>
      <w:r>
        <w:t xml:space="preserve"> </w:t>
      </w:r>
      <w:r>
        <w:t xml:space="preserve">regulated sectors operating in different Member States. The 2018 revision further reinforces</w:t>
      </w:r>
      <w:r>
        <w:t xml:space="preserve"> </w:t>
      </w:r>
      <w:r>
        <w:t xml:space="preserve">this harmonisation by establishing EU-wide benchmarks and phasing out National Allocation</w:t>
      </w:r>
      <w:r>
        <w:t xml:space="preserve"> </w:t>
      </w:r>
      <w:r>
        <w:t xml:space="preserve">Plans, and by implementing uniform carbon leakage criteria across the EU. By establishing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common rules on cap setting, emissions monitoring, allowance allocation, and compliance, the</w:t>
      </w:r>
      <w:r>
        <w:t xml:space="preserve"> </w:t>
      </w:r>
      <w:r>
        <w:t xml:space="preserve">ETS Directive avoids competitive distortions that would arise from uncoordinated national</w:t>
      </w:r>
      <w:r>
        <w:t xml:space="preserve"> </w:t>
      </w:r>
      <w:r>
        <w:t xml:space="preserve">systems. Identical installations across different Member States receive the same treatment</w:t>
      </w:r>
      <w:r>
        <w:t xml:space="preserve"> </w:t>
      </w:r>
      <w:r>
        <w:t xml:space="preserve">under fully harmonised benchmarks and allocation rules, something that national legislation</w:t>
      </w:r>
      <w:r>
        <w:t xml:space="preserve"> </w:t>
      </w:r>
      <w:r>
        <w:t xml:space="preserve">alone cannot achieve99.</w:t>
      </w:r>
      <w:r>
        <w:t xml:space="preserve"> </w:t>
      </w:r>
      <w:r>
        <w:t xml:space="preserve">Without EU level coordination, Member States would face a “prisoner dilemma” dynamic:</w:t>
      </w:r>
      <w:r>
        <w:t xml:space="preserve"> </w:t>
      </w:r>
      <w:r>
        <w:t xml:space="preserve">fearing the competitive disadvantage of setting ambitious caps, they would collectively set</w:t>
      </w:r>
      <w:r>
        <w:t xml:space="preserve"> </w:t>
      </w:r>
      <w:r>
        <w:t xml:space="preserve">weaker targets. Harmonised MRVA procedures and the establishment of a central EU registry</w:t>
      </w:r>
      <w:r>
        <w:t xml:space="preserve"> </w:t>
      </w:r>
      <w:r>
        <w:t xml:space="preserve">have also substantially reduced the risk of carbon leakage within the EU and improved</w:t>
      </w:r>
      <w:r>
        <w:t xml:space="preserve"> </w:t>
      </w:r>
      <w:r>
        <w:t xml:space="preserve">transparency and compliance across jurisdictions100101.</w:t>
      </w:r>
      <w:r>
        <w:t xml:space="preserve"> </w:t>
      </w:r>
      <w:r>
        <w:t xml:space="preserve">The EU ETS was also able to deliver emissions reduction at a lower cost than it would have</w:t>
      </w:r>
      <w:r>
        <w:t xml:space="preserve"> </w:t>
      </w:r>
      <w:r>
        <w:t xml:space="preserve">been possible under parallel national policies. Pre-implementation modelling estimated that</w:t>
      </w:r>
      <w:r>
        <w:t xml:space="preserve"> </w:t>
      </w:r>
      <w:r>
        <w:t xml:space="preserve">reaching the EU’s Kyoto targets without a common EU-wide system would have been at least</w:t>
      </w:r>
      <w:r>
        <w:t xml:space="preserve"> </w:t>
      </w:r>
      <w:r>
        <w:t xml:space="preserve">20% more expensive102. The pooling of abatement potential across countries allows for more</w:t>
      </w:r>
      <w:r>
        <w:t xml:space="preserve"> </w:t>
      </w:r>
      <w:r>
        <w:t xml:space="preserve">efficient emissions reductions where they are cheapest, and the move from 28 separate National</w:t>
      </w:r>
      <w:r>
        <w:t xml:space="preserve"> </w:t>
      </w:r>
      <w:r>
        <w:t xml:space="preserve">Allocation Plans (NAPs) to a single cap-setting and auctioning system has simplified</w:t>
      </w:r>
      <w:r>
        <w:t xml:space="preserve"> </w:t>
      </w:r>
      <w:r>
        <w:t xml:space="preserve">administration for regulators and firms. Centralised software development, EU-wide state aid</w:t>
      </w:r>
      <w:r>
        <w:t xml:space="preserve"> </w:t>
      </w:r>
      <w:r>
        <w:t xml:space="preserve">guidelines, and streamlined verification systems have generated substantial economies of scale,</w:t>
      </w:r>
      <w:r>
        <w:t xml:space="preserve"> </w:t>
      </w:r>
      <w:r>
        <w:t xml:space="preserve">strengthening the system’s efficiency compared to any conceivable patchwork of national</w:t>
      </w:r>
      <w:r>
        <w:t xml:space="preserve"> </w:t>
      </w:r>
      <w:r>
        <w:t xml:space="preserve">trading systems103.</w:t>
      </w:r>
      <w:r>
        <w:t xml:space="preserve"> </w:t>
      </w:r>
      <w:r>
        <w:t xml:space="preserve">Moreover, the EU ETS, as set up during the period under evaluation, covered approximately</w:t>
      </w:r>
      <w:r>
        <w:t xml:space="preserve"> </w:t>
      </w:r>
      <w:r>
        <w:t xml:space="preserve">40% of EU emissions, including electricity generation, heavy industry, and aviation. Its cross-</w:t>
      </w:r>
      <w:r>
        <w:t xml:space="preserve"> </w:t>
      </w:r>
      <w:r>
        <w:t xml:space="preserve">border reach, which extends to EFTA countries, enables the system to regulate emissions in</w:t>
      </w:r>
      <w:r>
        <w:t xml:space="preserve"> </w:t>
      </w:r>
      <w:r>
        <w:t xml:space="preserve">sectors that naturally transcend national boundaries, such as energy networks and industrial</w:t>
      </w:r>
      <w:r>
        <w:t xml:space="preserve"> </w:t>
      </w:r>
      <w:r>
        <w:t xml:space="preserve">supply chain104105.</w:t>
      </w:r>
      <w:r>
        <w:br/>
      </w:r>
      <w:r>
        <w:t xml:space="preserve">A major area of EU added value stems from the EU ETS’s ability to stimulate low-carbon</w:t>
      </w:r>
      <w:r>
        <w:t xml:space="preserve"> </w:t>
      </w:r>
      <w:r>
        <w:t xml:space="preserve">innovation and investments, which would be far more limited under national systems. While</w:t>
      </w:r>
      <w:r>
        <w:t xml:space="preserve"> </w:t>
      </w:r>
      <w:r>
        <w:t xml:space="preserve">the literature remains limited and incomplete there has been evidence to show that the EU ETS</w:t>
      </w:r>
      <w:r>
        <w:t xml:space="preserve"> </w:t>
      </w:r>
      <w:r>
        <w:t xml:space="preserve">has increased innovation activity in low carbon technologies among regulated entities</w:t>
      </w:r>
      <w:r>
        <w:t xml:space="preserve"> </w:t>
      </w:r>
      <w:r>
        <w:t xml:space="preserve">compared to a counterfactual scenario.106Regulated firms under the EU ETS have been shown</w:t>
      </w:r>
      <w:r>
        <w:t xml:space="preserve"> </w:t>
      </w:r>
      <w:r>
        <w:t xml:space="preserve">to increase low-carbon innovation by up to 30%, with a statistically significant 15% in revenues</w:t>
      </w:r>
    </w:p>
    <w:p>
      <w:pPr>
        <w:pStyle w:val="BodyText"/>
      </w:pPr>
      <w:r>
        <w:t xml:space="preserve">99 EVALUATION OF THE EU ETS DIRECTIVE, 2015, https://climate.ec.europa.eu/system/files/2016-</w:t>
      </w:r>
      <w:r>
        <w:t xml:space="preserve"> </w:t>
      </w:r>
      <w:r>
        <w:t xml:space="preserve">11/review_of_eu_ets_en.pdf</w:t>
      </w:r>
      <w:r>
        <w:t xml:space="preserve"> </w:t>
      </w:r>
      <w:r>
        <w:t xml:space="preserve">100 Antoine Dechezleprêtre, Caterina Gennaioli, Ralf Martin, Mirabelle Muûls, Thomas Stoerk, 2021.</w:t>
      </w:r>
      <w:r>
        <w:t xml:space="preserve"> </w:t>
      </w:r>
      <w:r>
        <w:t xml:space="preserve">“Searching for carbon leaks in multinational companies”, https://doi.org/10.1016/j.jeem.2021.102601.</w:t>
      </w:r>
      <w:r>
        <w:t xml:space="preserve"> </w:t>
      </w:r>
      <w:r>
        <w:t xml:space="preserve">101 EVALUATION OF THE EU ETS DIRECTIVE, 2015</w:t>
      </w:r>
      <w:r>
        <w:t xml:space="preserve"> </w:t>
      </w:r>
      <w:r>
        <w:t xml:space="preserve">102 Delbeke, J, Hartridge, O, Lefevere, J, Meadows, D, Runge-Metzger, A, Slingenberg, Y, Vainio, M, Vis, P,</w:t>
      </w:r>
      <w:r>
        <w:t xml:space="preserve"> </w:t>
      </w:r>
      <w:r>
        <w:t xml:space="preserve">&amp; Zapfel, P, 2006. “EU Energy Law”. Volume 4. The EU Greenhouse Gas Emissions Trading</w:t>
      </w:r>
      <w:r>
        <w:t xml:space="preserve"> </w:t>
      </w:r>
      <w:r>
        <w:t xml:space="preserve">Scheme. Netherlands.</w:t>
      </w:r>
      <w:r>
        <w:t xml:space="preserve"> </w:t>
      </w:r>
      <w:r>
        <w:t xml:space="preserve">103 EVALUATION OF THE EU ETS DIRECTIVE, 2015</w:t>
      </w:r>
      <w:r>
        <w:t xml:space="preserve"> </w:t>
      </w:r>
      <w:r>
        <w:t xml:space="preserve">104 Griet Verhaeghe, Volker Mauerhofer, 2023. “National progress towards supranational climate &amp; energy goals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policies</w:t>
      </w:r>
      <w:r>
        <w:t xml:space="preserve"> </w:t>
      </w:r>
      <w:r>
        <w:t xml:space="preserve">&amp;</w:t>
      </w:r>
      <w:r>
        <w:t xml:space="preserve"> </w:t>
      </w:r>
      <w:r>
        <w:t xml:space="preserve">their</w:t>
      </w:r>
      <w:r>
        <w:t xml:space="preserve"> </w:t>
      </w:r>
      <w:r>
        <w:t xml:space="preserve">mixes?</w:t>
      </w:r>
      <w:r>
        <w:t xml:space="preserve"> </w:t>
      </w:r>
      <w:r>
        <w:t xml:space="preserve">Insights</w:t>
      </w:r>
      <w:r>
        <w:t xml:space="preserve"> </w:t>
      </w:r>
      <w:r>
        <w:t xml:space="preserve">from</w:t>
      </w:r>
      <w:r>
        <w:t xml:space="preserve"> </w:t>
      </w:r>
      <w:r>
        <w:t xml:space="preserve">Northern</w:t>
      </w:r>
      <w:r>
        <w:t xml:space="preserve"> </w:t>
      </w:r>
      <w:r>
        <w:t xml:space="preserve">&amp;</w:t>
      </w:r>
      <w:r>
        <w:t xml:space="preserve"> </w:t>
      </w:r>
      <w:r>
        <w:t xml:space="preserve">Western</w:t>
      </w:r>
      <w:r>
        <w:t xml:space="preserve"> </w:t>
      </w:r>
      <w:r>
        <w:t xml:space="preserve">Europe”,</w:t>
      </w:r>
      <w:r>
        <w:t xml:space="preserve"> </w:t>
      </w:r>
      <w:r>
        <w:t xml:space="preserve">https://doi.org/10.1016/j.jenvman.2023.119304.</w:t>
      </w:r>
      <w:r>
        <w:t xml:space="preserve"> </w:t>
      </w:r>
      <w:r>
        <w:t xml:space="preserve">105 Antoine Dechezleprêtre, Caterina Gennaioli, Ralf Martin, Mirabelle Muûls, Thomas Stoerk (2021)</w:t>
      </w:r>
      <w:r>
        <w:t xml:space="preserve"> </w:t>
      </w:r>
      <w:r>
        <w:t xml:space="preserve">106 Raphael Calel &amp; Antoine Dechezleprêtre, (2016).</w:t>
      </w:r>
      <w:r>
        <w:t xml:space="preserve"> </w:t>
      </w:r>
      <w:r>
        <w:t xml:space="preserve">“Environmental Policy and Directed Technological</w:t>
      </w:r>
      <w:r>
        <w:t xml:space="preserve"> </w:t>
      </w:r>
      <w:r>
        <w:t xml:space="preserve">Change: Evidence from the European Carbon Market,”</w:t>
      </w:r>
      <w:r>
        <w:t xml:space="preserve"> </w:t>
      </w:r>
      <w:r>
        <w:t xml:space="preserve">The Review of Economics and Statistics, MIT Press,</w:t>
      </w:r>
      <w:r>
        <w:t xml:space="preserve"> </w:t>
      </w:r>
      <w:r>
        <w:t xml:space="preserve">https://ideas.repec.org/a/tpr/restat/v98y2016i1p173-191.html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and 8% increase in fixed assets over the 2005-2012 period107. These outcomes are not only</w:t>
      </w:r>
      <w:r>
        <w:t xml:space="preserve"> </w:t>
      </w:r>
      <w:r>
        <w:t xml:space="preserve">driven by the carbon price signal, but also by the financial architecture enabled at the EU level.</w:t>
      </w:r>
      <w:r>
        <w:t xml:space="preserve"> </w:t>
      </w:r>
      <w:r>
        <w:t xml:space="preserve">The 2018 revision of the EU ETS has established dedicated funding mechanisms that pool ETS</w:t>
      </w:r>
      <w:r>
        <w:t xml:space="preserve"> </w:t>
      </w:r>
      <w:r>
        <w:t xml:space="preserve">auction revenues from Member States into central funds, namely the Innovation Fund and the</w:t>
      </w:r>
      <w:r>
        <w:t xml:space="preserve"> </w:t>
      </w:r>
      <w:r>
        <w:t xml:space="preserve">Modernisation Fund108. These funds are then redistributed based on need and ambition,</w:t>
      </w:r>
      <w:r>
        <w:t xml:space="preserve"> </w:t>
      </w:r>
      <w:r>
        <w:t xml:space="preserve">supporting capital intensive decarbonisation projects that single Member States would not be</w:t>
      </w:r>
      <w:r>
        <w:t xml:space="preserve"> </w:t>
      </w:r>
      <w:r>
        <w:t xml:space="preserve">able to finance alone. Programmes such as NER300 and the Innovation Fund enable the scaling</w:t>
      </w:r>
      <w:r>
        <w:t xml:space="preserve"> </w:t>
      </w:r>
      <w:r>
        <w:t xml:space="preserve">of technologies like green hydrogen, CCS, and industrial electrification.</w:t>
      </w:r>
      <w:r>
        <w:br/>
      </w:r>
      <w:r>
        <w:t xml:space="preserve">Feedback from the stakeholder consultation broadly confirms the findings. 45% of</w:t>
      </w:r>
      <w:r>
        <w:t xml:space="preserve"> </w:t>
      </w:r>
      <w:r>
        <w:t xml:space="preserve">respondents109 emphasised the EU’s added value in harmonising implementation across</w:t>
      </w:r>
      <w:r>
        <w:t xml:space="preserve"> </w:t>
      </w:r>
      <w:r>
        <w:t xml:space="preserve">Member States, avoiding a fragmented patchwork of national schemes and ensuring a common</w:t>
      </w:r>
      <w:r>
        <w:t xml:space="preserve"> </w:t>
      </w:r>
      <w:r>
        <w:t xml:space="preserve">price signal.</w:t>
      </w:r>
      <w:r>
        <w:t xml:space="preserve"> </w:t>
      </w:r>
      <w:r>
        <w:t xml:space="preserve">4.2.1.1</w:t>
      </w:r>
      <w:r>
        <w:t xml:space="preserve"> </w:t>
      </w:r>
      <w:r>
        <w:t xml:space="preserve">To what extent could the changes brought by the Directive have been</w:t>
      </w:r>
      <w:r>
        <w:t xml:space="preserve"> </w:t>
      </w:r>
      <w:r>
        <w:t xml:space="preserve">achieved by national or individual Member States’ measures only?</w:t>
      </w:r>
      <w:r>
        <w:br/>
      </w:r>
      <w:r>
        <w:t xml:space="preserve">Across all dimensions, the evidence suggests that the Member States acting independently</w:t>
      </w:r>
      <w:r>
        <w:t xml:space="preserve"> </w:t>
      </w:r>
      <w:r>
        <w:t xml:space="preserve">would face significant barriers to replicate the outcomes of the EU ETS. National systems</w:t>
      </w:r>
      <w:r>
        <w:t xml:space="preserve"> </w:t>
      </w:r>
      <w:r>
        <w:t xml:space="preserve">would likely experience:</w:t>
      </w:r>
      <w:r>
        <w:t xml:space="preserve"> </w:t>
      </w:r>
      <w:r>
        <w:t xml:space="preserve">• Inconsistent carbon pricing and ambition levels110</w:t>
      </w:r>
      <w:r>
        <w:t xml:space="preserve"> </w:t>
      </w:r>
      <w:r>
        <w:t xml:space="preserve">• Increased administrative and monitoring burdens111</w:t>
      </w:r>
      <w:r>
        <w:t xml:space="preserve"> </w:t>
      </w:r>
      <w:r>
        <w:t xml:space="preserve">• Fragmented investment signals and diminished innovation incentives112113</w:t>
      </w:r>
      <w:r>
        <w:t xml:space="preserve"> </w:t>
      </w:r>
      <w:r>
        <w:t xml:space="preserve">• Higher risks of carbon leakage and intra-EU competitiveness distortion114115</w:t>
      </w:r>
      <w:r>
        <w:t xml:space="preserve"> </w:t>
      </w:r>
      <w:r>
        <w:t xml:space="preserve">The ETS’s harmonised framework mitigates these challenges, thanks to collective cap setting,</w:t>
      </w:r>
      <w:r>
        <w:t xml:space="preserve"> </w:t>
      </w:r>
      <w:r>
        <w:t xml:space="preserve">regulatory consistency and shared financial tools.</w:t>
      </w:r>
      <w:r>
        <w:t xml:space="preserve"> </w:t>
      </w:r>
      <w:r>
        <w:t xml:space="preserve">4.2.1.2</w:t>
      </w:r>
      <w:r>
        <w:t xml:space="preserve"> </w:t>
      </w:r>
      <w:r>
        <w:t xml:space="preserve">What would be the most likely consequences of stopping or</w:t>
      </w:r>
      <w:r>
        <w:t xml:space="preserve"> </w:t>
      </w:r>
      <w:r>
        <w:t xml:space="preserve">downscaling the existing ETS Directive?</w:t>
      </w:r>
      <w:r>
        <w:t xml:space="preserve"> </w:t>
      </w:r>
      <w:r>
        <w:t xml:space="preserve">A further point to consider when evaluating the EU added value of the ETS Directive is what</w:t>
      </w:r>
      <w:r>
        <w:t xml:space="preserve"> </w:t>
      </w:r>
      <w:r>
        <w:t xml:space="preserve">would be the consequence of downscaling or discontinuing the EU ETS. Stopping or</w:t>
      </w:r>
      <w:r>
        <w:t xml:space="preserve"> </w:t>
      </w:r>
      <w:r>
        <w:t xml:space="preserve">significantly downscaling the EU ETS would likely reverse many of the environmental and</w:t>
      </w:r>
      <w:r>
        <w:t xml:space="preserve"> </w:t>
      </w:r>
      <w:r>
        <w:t xml:space="preserve">economic benefits achieved to date. Empirical evidence shows that the ETS has contributed to</w:t>
      </w:r>
      <w:r>
        <w:t xml:space="preserve"> </w:t>
      </w:r>
      <w:r>
        <w:t xml:space="preserve">speed up emissions reductions more than the EU had envisaged: 2.1% on average every year,</w:t>
      </w:r>
    </w:p>
    <w:p>
      <w:pPr>
        <w:pStyle w:val="BodyText"/>
      </w:pPr>
      <w:r>
        <w:t xml:space="preserve">107 Ibid</w:t>
      </w:r>
      <w:r>
        <w:t xml:space="preserve"> </w:t>
      </w:r>
      <w:r>
        <w:t xml:space="preserve">108 ECB 2023.“Benefits and costs of the ETS in the EU, a lesson learned for the CBAM design”, ECB Working</w:t>
      </w:r>
      <w:r>
        <w:t xml:space="preserve"> </w:t>
      </w:r>
      <w:r>
        <w:t xml:space="preserve">Paper Series No 2764 / January</w:t>
      </w:r>
      <w:r>
        <w:br/>
      </w:r>
      <w:r>
        <w:t xml:space="preserve">109 Question: “Please provide an explanation to support your view, in particular explaining which particular</w:t>
      </w:r>
      <w:r>
        <w:t xml:space="preserve"> </w:t>
      </w:r>
      <w:r>
        <w:t xml:space="preserve">elements of the ETS you would signal out in terms of adding value or not adding value (n=220)”</w:t>
      </w:r>
      <w:r>
        <w:t xml:space="preserve"> </w:t>
      </w:r>
      <w:r>
        <w:t xml:space="preserve">110 Griet Verhaeghe, Volker Mauerhofer, 2023. “National progress towards supranational climate &amp; energy goals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policies</w:t>
      </w:r>
      <w:r>
        <w:t xml:space="preserve"> </w:t>
      </w:r>
      <w:r>
        <w:t xml:space="preserve">&amp;</w:t>
      </w:r>
      <w:r>
        <w:t xml:space="preserve"> </w:t>
      </w:r>
      <w:r>
        <w:t xml:space="preserve">their</w:t>
      </w:r>
      <w:r>
        <w:t xml:space="preserve"> </w:t>
      </w:r>
      <w:r>
        <w:t xml:space="preserve">mixes?</w:t>
      </w:r>
      <w:r>
        <w:t xml:space="preserve"> </w:t>
      </w:r>
      <w:r>
        <w:t xml:space="preserve">Insights</w:t>
      </w:r>
      <w:r>
        <w:t xml:space="preserve"> </w:t>
      </w:r>
      <w:r>
        <w:t xml:space="preserve">from</w:t>
      </w:r>
      <w:r>
        <w:t xml:space="preserve"> </w:t>
      </w:r>
      <w:r>
        <w:t xml:space="preserve">Northern</w:t>
      </w:r>
      <w:r>
        <w:t xml:space="preserve"> </w:t>
      </w:r>
      <w:r>
        <w:t xml:space="preserve">&amp;</w:t>
      </w:r>
      <w:r>
        <w:t xml:space="preserve"> </w:t>
      </w:r>
      <w:r>
        <w:t xml:space="preserve">Western”,</w:t>
      </w:r>
      <w:r>
        <w:t xml:space="preserve"> </w:t>
      </w:r>
      <w:r>
        <w:t xml:space="preserve">https://doi.org/10.1016/j.jenvman.2023.119304.</w:t>
      </w:r>
      <w:r>
        <w:br/>
      </w:r>
      <w:r>
        <w:t xml:space="preserve">111 EVALUATION OF THE EU ETS DIRECTIVE, 2015</w:t>
      </w:r>
      <w:r>
        <w:t xml:space="preserve"> </w:t>
      </w:r>
      <w:r>
        <w:t xml:space="preserve">112 Antoine Dechezleprêtre, Caterina Gennaioli, Ralf Martin, Mirabelle Muûls, Thomas Stoerk (2021)</w:t>
      </w:r>
      <w:r>
        <w:t xml:space="preserve"> </w:t>
      </w:r>
      <w:r>
        <w:t xml:space="preserve">113 EVALUATION OF THE EU ETS DIRECTIVE, 2015</w:t>
      </w:r>
      <w:r>
        <w:t xml:space="preserve"> </w:t>
      </w:r>
      <w:r>
        <w:t xml:space="preserve">114 Antoine Dechezleprêtre, Caterina Gennaioli, Ralf Martin, Mirabelle Muûls, Thomas Stoerk (2021)</w:t>
      </w:r>
      <w:r>
        <w:t xml:space="preserve"> </w:t>
      </w:r>
      <w:r>
        <w:t xml:space="preserve">115 EVALUATION OF THE EU ETS DIRECTIVE, 2015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compared to 1.6% targeted in the period 2005-2016. The pace accelerated further to 2.5% in</w:t>
      </w:r>
      <w:r>
        <w:t xml:space="preserve"> </w:t>
      </w:r>
      <w:r>
        <w:t xml:space="preserve">the third stage after 2013, following the ETS reform.116</w:t>
      </w:r>
      <w:r>
        <w:br/>
      </w:r>
      <w:r>
        <w:t xml:space="preserve">According to the EEA (2024a), while external costs from energy-intensive industries, the</w:t>
      </w:r>
      <w:r>
        <w:t xml:space="preserve"> </w:t>
      </w:r>
      <w:r>
        <w:t xml:space="preserve">majority of which are linked to impacts on human health, fell by 23% from 2012 to 2021, they</w:t>
      </w:r>
      <w:r>
        <w:t xml:space="preserve"> </w:t>
      </w:r>
      <w:r>
        <w:t xml:space="preserve">still amounted to over EUR 73 billion in 2021. Across all the energy-intensive sectors, carbon</w:t>
      </w:r>
      <w:r>
        <w:t xml:space="preserve"> </w:t>
      </w:r>
      <w:r>
        <w:t xml:space="preserve">dioxide (CO2) was responsible for 58% of these external costs.</w:t>
      </w:r>
      <w:r>
        <w:br/>
      </w:r>
      <w:r>
        <w:t xml:space="preserve">The EU ETS and the resulting carbon price has contributed to internalising the external cost of</w:t>
      </w:r>
      <w:r>
        <w:t xml:space="preserve"> </w:t>
      </w:r>
      <w:r>
        <w:t xml:space="preserve">climate change for those activities that fall within the scope of the system. While there are</w:t>
      </w:r>
      <w:r>
        <w:t xml:space="preserve"> </w:t>
      </w:r>
      <w:r>
        <w:t xml:space="preserve">different methods of estimating the external costs of climate change, on study on the external</w:t>
      </w:r>
      <w:r>
        <w:t xml:space="preserve"> </w:t>
      </w:r>
      <w:r>
        <w:t xml:space="preserve">costs of transport117, based on an analysis of the relevant literature, estimated a central value</w:t>
      </w:r>
      <w:r>
        <w:t xml:space="preserve"> </w:t>
      </w:r>
      <w:r>
        <w:t xml:space="preserve">for short- and medium- run climate change costs of EUR2016 100 t/CO2 (or approximately</w:t>
      </w:r>
      <w:r>
        <w:t xml:space="preserve"> </w:t>
      </w:r>
      <w:r>
        <w:t xml:space="preserve">EUR2023 120 t/CO2 ). Based on the evaluation of the carbon price, in particular since 2021 (see</w:t>
      </w:r>
      <w:r>
        <w:t xml:space="preserve"> </w:t>
      </w:r>
      <w:r>
        <w:t xml:space="preserve">Figure 17), it can be said that the EU ETS resulted in internalising a significant (at least half to</w:t>
      </w:r>
      <w:r>
        <w:t xml:space="preserve"> </w:t>
      </w:r>
      <w:r>
        <w:t xml:space="preserve">two thirds, depending on the price level) share of the external cost associated with the effects</w:t>
      </w:r>
      <w:r>
        <w:t xml:space="preserve"> </w:t>
      </w:r>
      <w:r>
        <w:t xml:space="preserve">of climate change, especially for the power sector (see Figure 5) which did not benefit from</w:t>
      </w:r>
      <w:r>
        <w:t xml:space="preserve"> </w:t>
      </w:r>
      <w:r>
        <w:t xml:space="preserve">free allocation and could pass through the resulting carbon costs. Therefore, a discontinuation</w:t>
      </w:r>
      <w:r>
        <w:t xml:space="preserve"> </w:t>
      </w:r>
      <w:r>
        <w:t xml:space="preserve">of the ETS would have had a considerable impact in terms of increased external costs</w:t>
      </w:r>
      <w:r>
        <w:t xml:space="preserve"> </w:t>
      </w:r>
      <w:r>
        <w:t xml:space="preserve">associated with these sectors.118</w:t>
      </w:r>
      <w:r>
        <w:t xml:space="preserve"> </w:t>
      </w:r>
      <w:r>
        <w:t xml:space="preserve">Moreover, discontinuation would weaken low carbon investments signals, and it would reduce</w:t>
      </w:r>
      <w:r>
        <w:t xml:space="preserve"> </w:t>
      </w:r>
      <w:r>
        <w:t xml:space="preserve">ETS revenues that are used for innovation and investment to modernise the energy systems in</w:t>
      </w:r>
      <w:r>
        <w:t xml:space="preserve"> </w:t>
      </w:r>
      <w:r>
        <w:t xml:space="preserve">Europe through the Innovation and Modernisation Funds, both necessary for reducing</w:t>
      </w:r>
      <w:r>
        <w:t xml:space="preserve"> </w:t>
      </w:r>
      <w:r>
        <w:t xml:space="preserve">electricity prices, as well as investments by Member States to support the green and socially</w:t>
      </w:r>
      <w:r>
        <w:t xml:space="preserve"> </w:t>
      </w:r>
      <w:r>
        <w:t xml:space="preserve">fair transition. Employment in affected firms119 would go down and climate-related jobs in</w:t>
      </w:r>
      <w:r>
        <w:t xml:space="preserve"> </w:t>
      </w:r>
      <w:r>
        <w:t xml:space="preserve">sectors such as clean tech, verification, consulting, and innovation support120. In addition, the</w:t>
      </w:r>
      <w:r>
        <w:t xml:space="preserve"> </w:t>
      </w:r>
      <w:r>
        <w:t xml:space="preserve">intervention would also damage the Union’s credibility as a stable economic environment,</w:t>
      </w:r>
      <w:r>
        <w:t xml:space="preserve"> </w:t>
      </w:r>
      <w:r>
        <w:t xml:space="preserve">potentially discouraging future investments in consideration of the unreliable regulatory</w:t>
      </w:r>
      <w:r>
        <w:t xml:space="preserve"> </w:t>
      </w:r>
      <w:r>
        <w:t xml:space="preserve">framework.</w:t>
      </w:r>
      <w:r>
        <w:t xml:space="preserve"> </w:t>
      </w:r>
      <w:r>
        <w:t xml:space="preserve">From an economic standpoint, halting the EU ETS would have led to what can seem like a</w:t>
      </w:r>
      <w:r>
        <w:t xml:space="preserve"> </w:t>
      </w:r>
      <w:r>
        <w:t xml:space="preserve">double-faced outcome. On one hand, it can be estimated that a discontinuation of the ETS in</w:t>
      </w:r>
      <w:r>
        <w:t xml:space="preserve"> </w:t>
      </w:r>
      <w:r>
        <w:t xml:space="preserve">2023 would have led to a loss of approximately EUR 93 billion 121 in allowance value held by</w:t>
      </w:r>
      <w:r>
        <w:t xml:space="preserve"> </w:t>
      </w:r>
      <w:r>
        <w:t xml:space="preserve">companies and the financial sector for compliance and for their investment strategy as</w:t>
      </w:r>
      <w:r>
        <w:t xml:space="preserve"> </w:t>
      </w:r>
      <w:r>
        <w:t xml:space="preserve">allowances are traded financial instruments. On the other hand, companies would not have been</w:t>
      </w:r>
      <w:r>
        <w:t xml:space="preserve"> </w:t>
      </w:r>
      <w:r>
        <w:t xml:space="preserve">subject to compliance worth approximately EUR 44 billion that were paid in auctions in</w:t>
      </w:r>
      <w:r>
        <w:t xml:space="preserve"> </w:t>
      </w:r>
      <w:r>
        <w:t xml:space="preserve">2023122. If able to do so, companies may have passed on these compliance costs to the</w:t>
      </w:r>
      <w:r>
        <w:t xml:space="preserve"> </w:t>
      </w:r>
      <w:r>
        <w:t xml:space="preserve">consumers.</w:t>
      </w:r>
    </w:p>
    <w:p>
      <w:pPr>
        <w:pStyle w:val="BodyText"/>
      </w:pPr>
      <w:r>
        <w:t xml:space="preserve">116 ECB (2023)</w:t>
      </w:r>
      <w:r>
        <w:t xml:space="preserve"> </w:t>
      </w:r>
      <w:r>
        <w:t xml:space="preserve">117 European Commission: Directorate-General for Mobility and Transport and CE Delft, 2020. “Handbook on</w:t>
      </w:r>
      <w:r>
        <w:t xml:space="preserve"> </w:t>
      </w:r>
      <w:r>
        <w:t xml:space="preserve">the external costs of transport – Version 2019 – 1.1”, Publications Office</w:t>
      </w:r>
      <w:r>
        <w:t xml:space="preserve"> </w:t>
      </w:r>
      <w:r>
        <w:t xml:space="preserve">118 European Environment Agency (EEA), 2026. “Zero-pollution, decarbonisation, and circular economy in</w:t>
      </w:r>
      <w:r>
        <w:t xml:space="preserve"> </w:t>
      </w:r>
      <w:r>
        <w:t xml:space="preserve">energy-intensive industries”, online: https://www.eea.europa.eu/en/analysis/publications/zero-pollution-</w:t>
      </w:r>
      <w:r>
        <w:t xml:space="preserve"> </w:t>
      </w:r>
      <w:r>
        <w:t xml:space="preserve">decarbonisation-and-circular-economy-in-energy-intensive-industries</w:t>
      </w:r>
      <w:r>
        <w:t xml:space="preserve"> </w:t>
      </w:r>
      <w:r>
        <w:t xml:space="preserve">119 Antoine Dechezleprêtre, Caterina Gennaioli, Ralf Martin, Mirabelle Muûls, Thomas Stoerk (2021)</w:t>
      </w:r>
      <w:r>
        <w:t xml:space="preserve"> </w:t>
      </w:r>
      <w:r>
        <w:t xml:space="preserve">120 EVALUATION OF THE EU ETS DIRECTIVE, 2015</w:t>
      </w:r>
      <w:r>
        <w:t xml:space="preserve"> </w:t>
      </w:r>
      <w:r>
        <w:t xml:space="preserve">121 The value was estimated considering the TNAC in 2023 according to C/2021/3415 and the average EUA</w:t>
      </w:r>
      <w:r>
        <w:t xml:space="preserve"> </w:t>
      </w:r>
      <w:r>
        <w:t xml:space="preserve">price in 2023 (7a7780d7-8f18-42e0-aff9-5ade23e63d7e_en)</w:t>
      </w:r>
      <w:r>
        <w:t xml:space="preserve"> </w:t>
      </w:r>
      <w:r>
        <w:t xml:space="preserve">122 Based on primary market auction report from EEX for 2023.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However, the consequence on elimination the compliance costs must be carefully considered.</w:t>
      </w:r>
      <w:r>
        <w:t xml:space="preserve"> </w:t>
      </w:r>
      <w:r>
        <w:t xml:space="preserve">Most allowances are purchased by the energy sector, which passes on the price to consumers.</w:t>
      </w:r>
      <w:r>
        <w:t xml:space="preserve"> </w:t>
      </w:r>
      <w:r>
        <w:t xml:space="preserve">If the price is not passed on any longer, removing the cost of compliance should in the short</w:t>
      </w:r>
      <w:r>
        <w:t xml:space="preserve"> </w:t>
      </w:r>
      <w:r>
        <w:t xml:space="preserve">run lead to lower energy bills, rather than increasing companies’ budgets. In the long run, the</w:t>
      </w:r>
      <w:r>
        <w:t xml:space="preserve"> </w:t>
      </w:r>
      <w:r>
        <w:t xml:space="preserve">reduction in energy costs would be outweighed by the increase in cost from an increase in fossil</w:t>
      </w:r>
      <w:r>
        <w:t xml:space="preserve"> </w:t>
      </w:r>
      <w:r>
        <w:t xml:space="preserve">fuel dependency, while Renewable Energy Sources (RES) generally offer lower wholesale</w:t>
      </w:r>
      <w:r>
        <w:t xml:space="preserve"> </w:t>
      </w:r>
      <w:r>
        <w:t xml:space="preserve">electricity prices. Removing the compliance obligation removes the carbon price incentive for</w:t>
      </w:r>
      <w:r>
        <w:t xml:space="preserve"> </w:t>
      </w:r>
      <w:r>
        <w:t xml:space="preserve">RES: (i) it benefits non-marginal producers, especially those with no emissions, such as RES</w:t>
      </w:r>
      <w:r>
        <w:t xml:space="preserve"> </w:t>
      </w:r>
      <w:r>
        <w:t xml:space="preserve">and improves their business case and development and (ii) incentivises fuel switching, in</w:t>
      </w:r>
      <w:r>
        <w:t xml:space="preserve"> </w:t>
      </w:r>
      <w:r>
        <w:t xml:space="preserve">particular from coal to gas. Together, these two factors have been major abatement channels in</w:t>
      </w:r>
      <w:r>
        <w:t xml:space="preserve"> </w:t>
      </w:r>
      <w:r>
        <w:t xml:space="preserve">the ETS and are the cause of most of the system’s 50% emission reductions achieved thus far.</w:t>
      </w:r>
      <w:r>
        <w:br/>
      </w:r>
      <w:r>
        <w:t xml:space="preserve">Thus, in reality, the impact will be negative overall from both perspectives.</w:t>
      </w:r>
      <w:r>
        <w:t xml:space="preserve"> </w:t>
      </w:r>
      <w:r>
        <w:t xml:space="preserve">At an international level, dismantling the EU ETS would undermine the EU’s credibility in</w:t>
      </w:r>
      <w:r>
        <w:t xml:space="preserve"> </w:t>
      </w:r>
      <w:r>
        <w:t xml:space="preserve">international climate diplomacy and weaken the EU’s position on shaping global carbon</w:t>
      </w:r>
      <w:r>
        <w:t xml:space="preserve"> </w:t>
      </w:r>
      <w:r>
        <w:t xml:space="preserve">pricing mechanisms and border adjustment instruments123.</w:t>
      </w:r>
      <w:r>
        <w:t xml:space="preserve"> </w:t>
      </w:r>
      <w:r>
        <w:t xml:space="preserve">The strongest argument against stopping or downscaling the EU ETS remains in the long-term</w:t>
      </w:r>
      <w:r>
        <w:t xml:space="preserve"> </w:t>
      </w:r>
      <w:r>
        <w:t xml:space="preserve">costs of inaction, which would dwarf any short-term gain induced by reduced compliance costs.</w:t>
      </w:r>
      <w:r>
        <w:t xml:space="preserve"> </w:t>
      </w:r>
      <w:r>
        <w:t xml:space="preserve">The cost of climate change has both a social and economic dimension. From a social</w:t>
      </w:r>
      <w:r>
        <w:t xml:space="preserve"> </w:t>
      </w:r>
      <w:r>
        <w:t xml:space="preserve">perspective, inaction increases risks related to health, extreme climate events, degradation of</w:t>
      </w:r>
      <w:r>
        <w:t xml:space="preserve"> </w:t>
      </w:r>
      <w:r>
        <w:t xml:space="preserve">soil, and pollution of air. The economic and industrial cost is represented by the risk of</w:t>
      </w:r>
      <w:r>
        <w:t xml:space="preserve"> </w:t>
      </w:r>
      <w:r>
        <w:t xml:space="preserve">remaining locked in high-carbon technologies, which are strongly reliant on imports of fossil</w:t>
      </w:r>
      <w:r>
        <w:t xml:space="preserve"> </w:t>
      </w:r>
      <w:r>
        <w:t xml:space="preserve">fuel. Such reliance, especially in an increasingly complex geopolitical scene, undermines</w:t>
      </w:r>
      <w:r>
        <w:t xml:space="preserve"> </w:t>
      </w:r>
      <w:r>
        <w:t xml:space="preserve">domestic competitiveness and will increases uncertainty.</w:t>
      </w:r>
      <w:r>
        <w:t xml:space="preserve"> </w:t>
      </w:r>
      <w:r>
        <w:t xml:space="preserve">4.3</w:t>
      </w:r>
      <w:r>
        <w:t xml:space="preserve"> </w:t>
      </w:r>
      <w:r>
        <w:t xml:space="preserve">Is the intervention still relevant?</w:t>
      </w:r>
      <w:r>
        <w:t xml:space="preserve"> </w:t>
      </w:r>
      <w:r>
        <w:t xml:space="preserve">4.3.1 Relevance of the EU ETS and how well its objectives (still) correspond to the EU</w:t>
      </w:r>
      <w:r>
        <w:t xml:space="preserve"> </w:t>
      </w:r>
      <w:r>
        <w:t xml:space="preserve">climate policy objectives?</w:t>
      </w:r>
      <w:r>
        <w:t xml:space="preserve"> </w:t>
      </w:r>
      <w:r>
        <w:t xml:space="preserve">The EU ETS covers approximately 40% of total EU-27 emissions124 from “around 10,000</w:t>
      </w:r>
      <w:r>
        <w:t xml:space="preserve"> </w:t>
      </w:r>
      <w:r>
        <w:t xml:space="preserve">installations in the energy sector and manufacturing industry as well as aircraft operators flying</w:t>
      </w:r>
      <w:r>
        <w:t xml:space="preserve"> </w:t>
      </w:r>
      <w:r>
        <w:t xml:space="preserve">within the EU and departing to Switzerland and the United Kingdom”.125</w:t>
      </w:r>
      <w:r>
        <w:t xml:space="preserve"> </w:t>
      </w:r>
      <w:r>
        <w:t xml:space="preserve">The objectives that were previously set in the 2015 proposal126 by the Commission included</w:t>
      </w:r>
      <w:r>
        <w:t xml:space="preserve"> </w:t>
      </w:r>
      <w:r>
        <w:t xml:space="preserve">the revision of the ETS Directive to ensure that emissions in scope are reduced by 43% below</w:t>
      </w:r>
      <w:r>
        <w:t xml:space="preserve"> </w:t>
      </w:r>
      <w:r>
        <w:t xml:space="preserve">2005 levels by 2030 so that it contributed to the EU’s overall GHG reduction target for 2030</w:t>
      </w:r>
      <w:r>
        <w:t xml:space="preserve"> </w:t>
      </w:r>
      <w:r>
        <w:t xml:space="preserve">in the ‘most cost-effective manner’. By 2024, EU ETS emissions have already reduced by</w:t>
      </w:r>
      <w:r>
        <w:t xml:space="preserve"> </w:t>
      </w:r>
      <w:r>
        <w:t xml:space="preserve">approximately 50% compared to 2005 levels. However, since emissions from industry</w:t>
      </w:r>
      <w:r>
        <w:t xml:space="preserve"> </w:t>
      </w:r>
      <w:r>
        <w:t xml:space="preserve">remained stable, it can be argued that the ETS is still relevant in supporting with the delivery</w:t>
      </w:r>
      <w:r>
        <w:t xml:space="preserve"> </w:t>
      </w:r>
      <w:r>
        <w:t xml:space="preserve">of the EU climate policy objectives, as further emissions reductions in ETS covered sectors are</w:t>
      </w:r>
      <w:r>
        <w:t xml:space="preserve"> </w:t>
      </w:r>
      <w:r>
        <w:t xml:space="preserve">needed to achieve the 2050 climate target.</w:t>
      </w:r>
    </w:p>
    <w:p>
      <w:pPr>
        <w:pStyle w:val="BodyText"/>
      </w:pPr>
      <w:r>
        <w:t xml:space="preserve">123 ECB (2023)</w:t>
      </w:r>
      <w:r>
        <w:t xml:space="preserve"> </w:t>
      </w:r>
      <w:r>
        <w:t xml:space="preserve">124 Based upon a calculation of total EU-27 emissions in 2023 from the EEA greenhouse gases — data viewer |</w:t>
      </w:r>
      <w:r>
        <w:t xml:space="preserve"> </w:t>
      </w:r>
      <w:r>
        <w:t xml:space="preserve">Maps and charts | European Environment Agency (EEA) compared to EU-ETS emissions for the same year</w:t>
      </w:r>
      <w:r>
        <w:t xml:space="preserve"> </w:t>
      </w:r>
      <w:r>
        <w:t xml:space="preserve">from the EU Emissions Trading System (ETS) data viewer | Maps and charts | European Environment Agency</w:t>
      </w:r>
      <w:r>
        <w:t xml:space="preserve"> </w:t>
      </w:r>
      <w:r>
        <w:t xml:space="preserve">(EEA).</w:t>
      </w:r>
      <w:r>
        <w:t xml:space="preserve"> </w:t>
      </w:r>
      <w:r>
        <w:t xml:space="preserve">125 Refer to Scope of the EU ETS - Climate Action - European Commission, https://climate.ec.europa.eu/eu-</w:t>
      </w:r>
      <w:r>
        <w:t xml:space="preserve"> </w:t>
      </w:r>
      <w:r>
        <w:t xml:space="preserve">action/carbon-markets/eu-emissions-trading-system-eu-ets/scope-eu-ets_en</w:t>
      </w:r>
      <w:r>
        <w:t xml:space="preserve"> </w:t>
      </w:r>
      <w:r>
        <w:t xml:space="preserve">126 COM(2015) 337 final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The CO2 price signal from the setting of a cap-and-trade scheme under the EU ETS allowed</w:t>
      </w:r>
      <w:r>
        <w:t xml:space="preserve"> </w:t>
      </w:r>
      <w:r>
        <w:t xml:space="preserve">for the identification and realisation of abatement across the EU Member States where it was</w:t>
      </w:r>
      <w:r>
        <w:t xml:space="preserve"> </w:t>
      </w:r>
      <w:r>
        <w:t xml:space="preserve">more economically efficient to do so. The targets were therefore originally set so that the</w:t>
      </w:r>
      <w:r>
        <w:t xml:space="preserve"> </w:t>
      </w:r>
      <w:r>
        <w:t xml:space="preserve">contribution of ETS sectors to the overall GHG reduction target was higher than for non-ETS</w:t>
      </w:r>
      <w:r>
        <w:t xml:space="preserve"> </w:t>
      </w:r>
      <w:r>
        <w:t xml:space="preserve">sectors. The exact share was informed by macroeconomic modelling to determine the most</w:t>
      </w:r>
      <w:r>
        <w:t xml:space="preserve"> </w:t>
      </w:r>
      <w:r>
        <w:t xml:space="preserve">efficient split between ETS and non-ETS sectors to achieve the overall target for 2030. The</w:t>
      </w:r>
      <w:r>
        <w:t xml:space="preserve"> </w:t>
      </w:r>
      <w:r>
        <w:t xml:space="preserve">ETS target has subsequently been updated to a 62% reduction below 2005 levels by 2030 to</w:t>
      </w:r>
      <w:r>
        <w:t xml:space="preserve"> </w:t>
      </w:r>
      <w:r>
        <w:t xml:space="preserve">align with the enhanced ambition of the EU economy-wide climate target for 2030 of reaching</w:t>
      </w:r>
      <w:r>
        <w:t xml:space="preserve"> </w:t>
      </w:r>
      <w:r>
        <w:t xml:space="preserve">a 55% reduction below 1990 levels in GHG emissions by 2030.127</w:t>
      </w:r>
      <w:r>
        <w:br/>
      </w:r>
      <w:r>
        <w:t xml:space="preserve">The prevention of carbon leakage and the encouragement of innovation were also set as further</w:t>
      </w:r>
      <w:r>
        <w:t xml:space="preserve"> </w:t>
      </w:r>
      <w:r>
        <w:t xml:space="preserve">objectives (see Section 8.3.3.2) and these are both very much aligned with the EU climate</w:t>
      </w:r>
      <w:r>
        <w:t xml:space="preserve"> </w:t>
      </w:r>
      <w:r>
        <w:t xml:space="preserve">policy objectives as the EU aims to support a competitive industry as it decarbonises, by</w:t>
      </w:r>
      <w:r>
        <w:t xml:space="preserve"> </w:t>
      </w:r>
      <w:r>
        <w:t xml:space="preserve">providing financial support and using the price signal of the EU ETS to drive innovation. As</w:t>
      </w:r>
      <w:r>
        <w:t xml:space="preserve"> </w:t>
      </w:r>
      <w:r>
        <w:t xml:space="preserve">long as certain industrial sectors remain high emitters of CO2 and assuming that comparable</w:t>
      </w:r>
      <w:r>
        <w:t xml:space="preserve"> </w:t>
      </w:r>
      <w:r>
        <w:t xml:space="preserve">levels of carbon pricing do not exist in key trading partners, then carbon leakage will remain a</w:t>
      </w:r>
      <w:r>
        <w:t xml:space="preserve"> </w:t>
      </w:r>
      <w:r>
        <w:t xml:space="preserve">valid concern in the context of the EU ETS. The achievement of these objectives is assessed in</w:t>
      </w:r>
      <w:r>
        <w:t xml:space="preserve"> </w:t>
      </w:r>
      <w:r>
        <w:t xml:space="preserve">detail in Section 8.3 of this evaluation on the topic of carbon leakage.</w:t>
      </w:r>
      <w:r>
        <w:t xml:space="preserve"> </w:t>
      </w:r>
      <w:r>
        <w:t xml:space="preserve">4.3.1.1</w:t>
      </w:r>
      <w:r>
        <w:t xml:space="preserve"> </w:t>
      </w:r>
      <w:r>
        <w:t xml:space="preserve">Is EU ETS (a cap-and-trade system) still relevant as an effective and</w:t>
      </w:r>
      <w:r>
        <w:t xml:space="preserve"> </w:t>
      </w:r>
      <w:r>
        <w:t xml:space="preserve">efficient instrument for achieving the EU climate policy goals and priorities?</w:t>
      </w:r>
      <w:r>
        <w:t xml:space="preserve"> </w:t>
      </w:r>
      <w:r>
        <w:t xml:space="preserve">The 2015 evaluation of the EU ETS concluded that a cap-and-trade system was an effective</w:t>
      </w:r>
      <w:r>
        <w:t xml:space="preserve"> </w:t>
      </w:r>
      <w:r>
        <w:t xml:space="preserve">and cost-efficient instrument for achieving emissions reduction, since it targets directly major</w:t>
      </w:r>
      <w:r>
        <w:t xml:space="preserve"> </w:t>
      </w:r>
      <w:r>
        <w:t xml:space="preserve">emitters and ensures that overall emissions stay within the cap. More recent literature reinforces</w:t>
      </w:r>
      <w:r>
        <w:t xml:space="preserve"> </w:t>
      </w:r>
      <w:r>
        <w:t xml:space="preserve">this view, clarifying the comparison with a carbon tax. Chen &amp; al (2020)128 show that, although</w:t>
      </w:r>
      <w:r>
        <w:t xml:space="preserve"> </w:t>
      </w:r>
      <w:r>
        <w:t xml:space="preserve">both carbon pricing instruments stimulate clean innovation, cap-and-trade generally induces</w:t>
      </w:r>
      <w:r>
        <w:t xml:space="preserve"> </w:t>
      </w:r>
      <w:r>
        <w:t xml:space="preserve">larger investment in low-carbon technologies and achieves larger emissions reductions,</w:t>
      </w:r>
      <w:r>
        <w:t xml:space="preserve"> </w:t>
      </w:r>
      <w:r>
        <w:t xml:space="preserve">provided that the carbon price resulting from the cap-and-trade system are set appropriately.</w:t>
      </w:r>
      <w:r>
        <w:t xml:space="preserve"> </w:t>
      </w:r>
      <w:r>
        <w:t xml:space="preserve">At the same time, Stavins (2022)129 emphasises that a carbon tax and a cap-and-trade system</w:t>
      </w:r>
      <w:r>
        <w:t xml:space="preserve"> </w:t>
      </w:r>
      <w:r>
        <w:t xml:space="preserve">differ in terms of price volatility, revenue certainty, and administrative complexity. These</w:t>
      </w:r>
      <w:r>
        <w:t xml:space="preserve"> </w:t>
      </w:r>
      <w:r>
        <w:t xml:space="preserve">findings, which are aligned with the conclusions provided by the 2015 evaluation, suggest that</w:t>
      </w:r>
      <w:r>
        <w:t xml:space="preserve"> </w:t>
      </w:r>
      <w:r>
        <w:t xml:space="preserve">the EU ETS remains relevant as a cap-and-trade system, especially giving its proven capacity</w:t>
      </w:r>
      <w:r>
        <w:t xml:space="preserve"> </w:t>
      </w:r>
      <w:r>
        <w:t xml:space="preserve">to deliver emissions reduction and stimulate innovation (see Section 4.1.1.2 on Efficiency),</w:t>
      </w:r>
      <w:r>
        <w:t xml:space="preserve"> </w:t>
      </w:r>
      <w:r>
        <w:t xml:space="preserve">while ongoing design adjustments, such as the Market Stability Reserve are needed to address</w:t>
      </w:r>
      <w:r>
        <w:t xml:space="preserve"> </w:t>
      </w:r>
      <w:r>
        <w:t xml:space="preserve">the practical limitations of a cap-and-trade system compared with a carbon tax.</w:t>
      </w:r>
      <w:r>
        <w:t xml:space="preserve"> </w:t>
      </w:r>
      <w:r>
        <w:t xml:space="preserve">4.3.1.2</w:t>
      </w:r>
      <w:r>
        <w:t xml:space="preserve"> </w:t>
      </w:r>
      <w:r>
        <w:t xml:space="preserve">How well adapted is the Directive to subsequent technological or</w:t>
      </w:r>
      <w:r>
        <w:t xml:space="preserve"> </w:t>
      </w:r>
      <w:r>
        <w:t xml:space="preserve">scientific advances, or any other unexpected external influences such as the recent</w:t>
      </w:r>
      <w:r>
        <w:t xml:space="preserve"> </w:t>
      </w:r>
      <w:r>
        <w:t xml:space="preserve">economic crisis?</w:t>
      </w:r>
      <w:r>
        <w:t xml:space="preserve"> </w:t>
      </w:r>
      <w:r>
        <w:t xml:space="preserve">The ETS is inherently flexible by design, since it does not mandate how operators must reduce</w:t>
      </w:r>
      <w:r>
        <w:t xml:space="preserve"> </w:t>
      </w:r>
      <w:r>
        <w:t xml:space="preserve">emissions but instead ensures operators can adopt the most efficient technologies and processes</w:t>
      </w:r>
      <w:r>
        <w:t xml:space="preserve"> </w:t>
      </w:r>
      <w:r>
        <w:t xml:space="preserve">available. This ensures that the system remains relevant when facing technological</w:t>
      </w:r>
      <w:r>
        <w:t xml:space="preserve"> </w:t>
      </w:r>
      <w:r>
        <w:t xml:space="preserve">improvement, with increasing allowances prices continuing to incentivise the uptake of</w:t>
      </w:r>
      <w:r>
        <w:t xml:space="preserve"> </w:t>
      </w:r>
      <w:r>
        <w:t xml:space="preserve">increasingly ambitious abatement options. Moreover, the reforms introduced in the 2018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‘Fit for 55’</w:t>
      </w:r>
      <w:r>
        <w:t xml:space="preserve">: Council adopts key pieces of legislation delivering on 2030 climate targets - Consilium</w:t>
      </w:r>
      <w:r>
        <w:t xml:space="preserve"> </w:t>
      </w:r>
      <w:r>
        <w:t xml:space="preserve">128 Chen et al, 2020. “A clean innovation comparison between carbon tax and cap-and-trade system”, Energy</w:t>
      </w:r>
      <w:r>
        <w:t xml:space="preserve"> </w:t>
      </w:r>
      <w:r>
        <w:t xml:space="preserve">Strategy Reviews, https://www.sciencedirect.com/science/article/pii/S2211467X20300365</w:t>
      </w:r>
      <w:r>
        <w:t xml:space="preserve"> </w:t>
      </w:r>
      <w:r>
        <w:t xml:space="preserve">129 Stavins, Robert N. (2022)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Review of the Directive have strengthened further this adaptability. The update of product</w:t>
      </w:r>
      <w:r>
        <w:t xml:space="preserve"> </w:t>
      </w:r>
      <w:r>
        <w:t xml:space="preserve">benchmarks has allowed free allocation rules to better reflect technological progress and to</w:t>
      </w:r>
      <w:r>
        <w:t xml:space="preserve"> </w:t>
      </w:r>
      <w:r>
        <w:t xml:space="preserve">align more closely with actual production levels (see Section 8.3 on carbon leakage), while the</w:t>
      </w:r>
      <w:r>
        <w:t xml:space="preserve"> </w:t>
      </w:r>
      <w:r>
        <w:t xml:space="preserve">MSR enhances resilience by addressing allowance surpluses arising from economic crises or</w:t>
      </w:r>
      <w:r>
        <w:t xml:space="preserve"> </w:t>
      </w:r>
      <w:r>
        <w:t xml:space="preserve">sudden technological shifts (see Section 4.1.2 on MSR).</w:t>
      </w:r>
      <w:r>
        <w:t xml:space="preserve"> </w:t>
      </w:r>
      <w:r>
        <w:t xml:space="preserve">4.3.1.3</w:t>
      </w:r>
      <w:r>
        <w:t xml:space="preserve"> </w:t>
      </w:r>
      <w:r>
        <w:t xml:space="preserve">Can the Directive be easily adjusted to new needs, in particular a new</w:t>
      </w:r>
      <w:r>
        <w:t xml:space="preserve"> </w:t>
      </w:r>
      <w:r>
        <w:t xml:space="preserve">GHG target for the EU?</w:t>
      </w:r>
      <w:r>
        <w:t xml:space="preserve"> </w:t>
      </w:r>
      <w:r>
        <w:t xml:space="preserve">As stated in the 2015 evaluation, the EU ETS is relevant as an instrument that can be easily</w:t>
      </w:r>
      <w:r>
        <w:t xml:space="preserve"> </w:t>
      </w:r>
      <w:r>
        <w:t xml:space="preserve">adjusted to new needs, and more specifically to a new GHG target. In principle, only Article 9</w:t>
      </w:r>
      <w:r>
        <w:t xml:space="preserve"> </w:t>
      </w:r>
      <w:r>
        <w:t xml:space="preserve">needs to be amended in order to adjust the Linear Reduction Function to respond to changes in</w:t>
      </w:r>
      <w:r>
        <w:t xml:space="preserve"> </w:t>
      </w:r>
      <w:r>
        <w:t xml:space="preserve">GHG reduction ambition. At the same time, market interventions need to be kept to a minimum</w:t>
      </w:r>
      <w:r>
        <w:t xml:space="preserve"> </w:t>
      </w:r>
      <w:r>
        <w:t xml:space="preserve">to ensure a predictable market functioning and a reliable long term price signal to build</w:t>
      </w:r>
      <w:r>
        <w:t xml:space="preserve"> </w:t>
      </w:r>
      <w:r>
        <w:t xml:space="preserve">investment decisions on.</w:t>
      </w:r>
      <w:r>
        <w:br/>
      </w:r>
      <w:r>
        <w:t xml:space="preserve">Feedback from the OPC130 confirms that the stakeholders see the EU ETS as continuing to</w:t>
      </w:r>
      <w:r>
        <w:t xml:space="preserve"> </w:t>
      </w:r>
      <w:r>
        <w:t xml:space="preserve">address needs that clearly warrant EU level action. Almost half of respondents, both from</w:t>
      </w:r>
      <w:r>
        <w:t xml:space="preserve"> </w:t>
      </w:r>
      <w:r>
        <w:t xml:space="preserve">companies/businesses and NGOs, judged the Directive’s objectives to remain relevant to a very</w:t>
      </w:r>
      <w:r>
        <w:t xml:space="preserve"> </w:t>
      </w:r>
      <w:r>
        <w:t xml:space="preserve">large extent, and a further quarter considered them relevant to a large extent. Only a small</w:t>
      </w:r>
      <w:r>
        <w:t xml:space="preserve"> </w:t>
      </w:r>
      <w:r>
        <w:t xml:space="preserve">minority of respondents viewed the instrument as only slightly or not at all relevant, and a few</w:t>
      </w:r>
      <w:r>
        <w:t xml:space="preserve"> </w:t>
      </w:r>
      <w:r>
        <w:t xml:space="preserve">were undecided. These results suggest broad consensus that the ETS remains an appropriate</w:t>
      </w:r>
      <w:r>
        <w:t xml:space="preserve"> </w:t>
      </w:r>
      <w:r>
        <w:t xml:space="preserve">and necessary EU-level tool for achieving climate policy goals in covered sectors.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CONCLUSIONS AND LESSONS LEARNED?</w:t>
      </w:r>
      <w:r>
        <w:t xml:space="preserve"> </w:t>
      </w:r>
      <w:r>
        <w:t xml:space="preserve">5.1</w:t>
      </w:r>
      <w:r>
        <w:t xml:space="preserve"> </w:t>
      </w:r>
      <w:r>
        <w:t xml:space="preserve">EU ETS</w:t>
      </w:r>
      <w:r>
        <w:br/>
      </w:r>
      <w:r>
        <w:t xml:space="preserve">In conclusion, the EU ETS is very much aligned to the broader climate policies of the EU with</w:t>
      </w:r>
      <w:r>
        <w:t xml:space="preserve"> </w:t>
      </w:r>
      <w:r>
        <w:t xml:space="preserve">ETS sectors making a greater contribution to the achievement of EU 2030 GHG reduction</w:t>
      </w:r>
      <w:r>
        <w:t xml:space="preserve"> </w:t>
      </w:r>
      <w:r>
        <w:t xml:space="preserve">target as it was more economically efficient for it to do so than for non-ETS sectors. There was</w:t>
      </w:r>
      <w:r>
        <w:t xml:space="preserve"> </w:t>
      </w:r>
      <w:r>
        <w:t xml:space="preserve">evidence to suggest that the EU ETS has been effective in driving the overall emission reduction</w:t>
      </w:r>
      <w:r>
        <w:t xml:space="preserve"> </w:t>
      </w:r>
      <w:r>
        <w:t xml:space="preserve">trend observed in the EU.</w:t>
      </w:r>
      <w:r>
        <w:br/>
      </w:r>
      <w:r>
        <w:t xml:space="preserve">During the evaluation period, total emissions from stationary installations declined</w:t>
      </w:r>
      <w:r>
        <w:t xml:space="preserve"> </w:t>
      </w:r>
      <w:r>
        <w:t xml:space="preserve">significantly, consistent with and exceeding the trajectory required to meet the 43% reduction</w:t>
      </w:r>
      <w:r>
        <w:t xml:space="preserve"> </w:t>
      </w:r>
      <w:r>
        <w:t xml:space="preserve">below 2005 levels by 2030 set by the 2018 revision of the Directive. The strengthened CO2</w:t>
      </w:r>
      <w:r>
        <w:t xml:space="preserve"> </w:t>
      </w:r>
      <w:r>
        <w:t xml:space="preserve">price signal under Phase IV has likely incentivised higher levels of overall abatement as</w:t>
      </w:r>
      <w:r>
        <w:t xml:space="preserve"> </w:t>
      </w:r>
      <w:r>
        <w:t xml:space="preserve">reforms were undertaken to address the structural imbalance in the demand and supply of</w:t>
      </w:r>
      <w:r>
        <w:t xml:space="preserve"> </w:t>
      </w:r>
      <w:r>
        <w:t xml:space="preserve">allowances that previously undermined the performance of the EU ETS in Phase III. The uptake</w:t>
      </w:r>
      <w:r>
        <w:t xml:space="preserve"> </w:t>
      </w:r>
      <w:r>
        <w:t xml:space="preserve">of abatement options is likely to have been higher in the power sector than for industrial sectors</w:t>
      </w:r>
      <w:r>
        <w:t xml:space="preserve"> </w:t>
      </w:r>
      <w:r>
        <w:t xml:space="preserve">and this is, in part, due to the further complementary measures that have been in place to support</w:t>
      </w:r>
      <w:r>
        <w:t xml:space="preserve"> </w:t>
      </w:r>
      <w:r>
        <w:t xml:space="preserve">with the decarbonisation of electricity generation across the EU, as well the absence of free</w:t>
      </w:r>
      <w:r>
        <w:t xml:space="preserve"> </w:t>
      </w:r>
      <w:r>
        <w:t xml:space="preserve">allocation that minimised the impact of the carbon price for the industrial emitters.</w:t>
      </w:r>
      <w:r>
        <w:br/>
      </w:r>
      <w:r>
        <w:t xml:space="preserve">The external coherence of the EU ETS with the wider policy framework has been considerably</w:t>
      </w:r>
      <w:r>
        <w:t xml:space="preserve"> </w:t>
      </w:r>
      <w:r>
        <w:t xml:space="preserve">improved following the introduction of the MSR addressing the long-criticised waterbed effect</w:t>
      </w:r>
      <w:r>
        <w:t xml:space="preserve"> </w:t>
      </w:r>
      <w:r>
        <w:t xml:space="preserve">by allowing allowance supply to respond to changes in demand, including those induced by</w:t>
      </w:r>
      <w:r>
        <w:t xml:space="preserve"> </w:t>
      </w:r>
      <w:r>
        <w:t xml:space="preserve">overlapping policies like RED and EED. Reforms to the EU ETS, such as reforms to free</w:t>
      </w:r>
    </w:p>
    <w:p>
      <w:pPr>
        <w:pStyle w:val="BodyText"/>
      </w:pPr>
      <w:r>
        <w:t xml:space="preserve">130 Question: “To what extent do the needs/problems addressed by the EU ETS Directive (cost-effective</w:t>
      </w:r>
      <w:r>
        <w:t xml:space="preserve"> </w:t>
      </w:r>
      <w:r>
        <w:t xml:space="preserve">emissions reductions in the covered sectors to support the EU climate targets) continue to require action at</w:t>
      </w:r>
      <w:r>
        <w:t xml:space="preserve"> </w:t>
      </w:r>
      <w:r>
        <w:t xml:space="preserve">EU level? (n=295)”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allocation, in recent years have started to address previous issues identified with regards to the</w:t>
      </w:r>
      <w:r>
        <w:t xml:space="preserve"> </w:t>
      </w:r>
      <w:r>
        <w:t xml:space="preserve">internal coherence of different design elements. For example, the setting of more ambitious</w:t>
      </w:r>
      <w:r>
        <w:t xml:space="preserve"> </w:t>
      </w:r>
      <w:r>
        <w:t xml:space="preserve">benchmarks for the provision of free allocation helps to enhance the impact of the CO2 price</w:t>
      </w:r>
      <w:r>
        <w:t xml:space="preserve"> </w:t>
      </w:r>
      <w:r>
        <w:t xml:space="preserve">signal to provide greater incentives for decarbonisation whilst striking a balance in protecting</w:t>
      </w:r>
      <w:r>
        <w:t xml:space="preserve"> </w:t>
      </w:r>
      <w:r>
        <w:t xml:space="preserve">industry from the risk of carbon leakage. Evidence from the literature supported the argument</w:t>
      </w:r>
      <w:r>
        <w:t xml:space="preserve"> </w:t>
      </w:r>
      <w:r>
        <w:t xml:space="preserve">that the implementation of the revised ETS Directive in 2018 has provided considerable EU</w:t>
      </w:r>
      <w:r>
        <w:t xml:space="preserve"> </w:t>
      </w:r>
      <w:r>
        <w:t xml:space="preserve">added value to Member States and it has likely resulted in more cost-effective mitigation than</w:t>
      </w:r>
      <w:r>
        <w:t xml:space="preserve"> </w:t>
      </w:r>
      <w:r>
        <w:t xml:space="preserve">would have been provided than if action only occurred at the national level.</w:t>
      </w:r>
      <w:r>
        <w:t xml:space="preserve"> </w:t>
      </w:r>
      <w:r>
        <w:t xml:space="preserve">As regards the prevention of carbon leakage, earlier studies found little evidence of carbon</w:t>
      </w:r>
      <w:r>
        <w:t xml:space="preserve"> </w:t>
      </w:r>
      <w:r>
        <w:t xml:space="preserve">leakage, largely because the EU ETS in its early stages was designed to minimise such risks.</w:t>
      </w:r>
      <w:r>
        <w:t xml:space="preserve"> </w:t>
      </w:r>
      <w:r>
        <w:t xml:space="preserve">However, the carbon price increases, and free allocation has been reduced, more recent</w:t>
      </w:r>
      <w:r>
        <w:t xml:space="preserve"> </w:t>
      </w:r>
      <w:r>
        <w:t xml:space="preserve">analyses find small but increasingly significant evidence of carbon leakage. At the same time,</w:t>
      </w:r>
      <w:r>
        <w:t xml:space="preserve"> </w:t>
      </w:r>
      <w:r>
        <w:t xml:space="preserve">the high level of protection from carbon leakage and levels of free allocation in the first phases</w:t>
      </w:r>
      <w:r>
        <w:t xml:space="preserve"> </w:t>
      </w:r>
      <w:r>
        <w:t xml:space="preserve">of the ETS resulted in windfall profits and reduced incentives to invest in decarbonisation.</w:t>
      </w:r>
      <w:r>
        <w:t xml:space="preserve"> </w:t>
      </w:r>
      <w:r>
        <w:t xml:space="preserve">The revision of free allocation rules for Phase IV balanced the need for carbon leakage</w:t>
      </w:r>
      <w:r>
        <w:t xml:space="preserve"> </w:t>
      </w:r>
      <w:r>
        <w:t xml:space="preserve">protection and the need to encourage the reduction in emissions. This was done by developing</w:t>
      </w:r>
      <w:r>
        <w:t xml:space="preserve"> </w:t>
      </w:r>
      <w:r>
        <w:t xml:space="preserve">a more targeted carbon leakage list, more ambitious benchmarks, and the introduction of</w:t>
      </w:r>
      <w:r>
        <w:t xml:space="preserve"> </w:t>
      </w:r>
      <w:r>
        <w:t xml:space="preserve">adjustments to allocation to better consider changes in activity levels. As a result, the overall</w:t>
      </w:r>
      <w:r>
        <w:t xml:space="preserve"> </w:t>
      </w:r>
      <w:r>
        <w:t xml:space="preserve">volume of free allowances that has been provided to industry has declined in Phase IV</w:t>
      </w:r>
      <w:r>
        <w:t xml:space="preserve"> </w:t>
      </w:r>
      <w:r>
        <w:t xml:space="preserve">compared to Phase III, but it continues to cover a significant share of the industrial emissions.</w:t>
      </w:r>
      <w:r>
        <w:br/>
      </w:r>
      <w:r>
        <w:t xml:space="preserve">The MRVA system delivers high harmonisation and accuracy with standard methods used</w:t>
      </w:r>
      <w:r>
        <w:t xml:space="preserve"> </w:t>
      </w:r>
      <w:r>
        <w:t xml:space="preserve">almost universally. The MRVA system ensures that nearly all emissions from Annex I</w:t>
      </w:r>
      <w:r>
        <w:t xml:space="preserve"> </w:t>
      </w:r>
      <w:r>
        <w:t xml:space="preserve">activities are monitored and reported, with only marginal delays or omissions. The verification</w:t>
      </w:r>
      <w:r>
        <w:t xml:space="preserve"> </w:t>
      </w:r>
      <w:r>
        <w:t xml:space="preserve">system ensures stringency and independence through robust accreditation, annual oversight,</w:t>
      </w:r>
      <w:r>
        <w:t xml:space="preserve"> </w:t>
      </w:r>
      <w:r>
        <w:t xml:space="preserve">and consistently high compliance, though emerging capacity pressures because of the</w:t>
      </w:r>
      <w:r>
        <w:t xml:space="preserve"> </w:t>
      </w:r>
      <w:r>
        <w:t xml:space="preserve">expansion of ETS activities pose risks to the quality of verification. There is a high level of</w:t>
      </w:r>
      <w:r>
        <w:t xml:space="preserve"> </w:t>
      </w:r>
      <w:r>
        <w:t xml:space="preserve">confidence in the system’s integrity and robustness, although the efficiency of the system could</w:t>
      </w:r>
      <w:r>
        <w:t xml:space="preserve"> </w:t>
      </w:r>
      <w:r>
        <w:t xml:space="preserve">be improved. In line with the REFIT programme, a number of options for simplification and</w:t>
      </w:r>
      <w:r>
        <w:t xml:space="preserve"> </w:t>
      </w:r>
      <w:r>
        <w:t xml:space="preserve">reduction costs for the MRVA programme have been identified (see Section 8.4.4.2), in</w:t>
      </w:r>
      <w:r>
        <w:t xml:space="preserve"> </w:t>
      </w:r>
      <w:r>
        <w:t xml:space="preserve">particular in terms of increased use of harmonised and simplified reporting, use of default</w:t>
      </w:r>
      <w:r>
        <w:t xml:space="preserve"> </w:t>
      </w:r>
      <w:r>
        <w:t xml:space="preserve">values, increased use of common IT tools by Member States.</w:t>
      </w:r>
      <w:r>
        <w:br/>
      </w:r>
      <w:r>
        <w:t xml:space="preserve">The EU ETS auction system operated in an open manner, providing transparency and</w:t>
      </w:r>
      <w:r>
        <w:t xml:space="preserve"> </w:t>
      </w:r>
      <w:r>
        <w:t xml:space="preserve">predictability for participants. Over 3000 auctions were conducted with minimal cancellations,</w:t>
      </w:r>
      <w:r>
        <w:t xml:space="preserve"> </w:t>
      </w:r>
      <w:r>
        <w:t xml:space="preserve">illustrating its reliability, which resulted in raising over EUR 169 billion in auction revenue</w:t>
      </w:r>
      <w:r>
        <w:t xml:space="preserve"> </w:t>
      </w:r>
      <w:r>
        <w:t xml:space="preserve">during the period of the evaluation (and over EUR 250 billion in total to date). The system’s</w:t>
      </w:r>
      <w:r>
        <w:t xml:space="preserve"> </w:t>
      </w:r>
      <w:r>
        <w:t xml:space="preserve">regulatory framework, bolstered by MiFID II and MAR, prevents market manipulation and</w:t>
      </w:r>
      <w:r>
        <w:t xml:space="preserve"> </w:t>
      </w:r>
      <w:r>
        <w:t xml:space="preserve">abuses, maintaining the integrity of the EU ETS. Overall, the auctioning system has</w:t>
      </w:r>
      <w:r>
        <w:t xml:space="preserve"> </w:t>
      </w:r>
      <w:r>
        <w:t xml:space="preserve">successfully achieved its objectives and ensured a balanced distribution among different market</w:t>
      </w:r>
      <w:r>
        <w:t xml:space="preserve"> </w:t>
      </w:r>
      <w:r>
        <w:t xml:space="preserve">participants.</w:t>
      </w:r>
      <w:r>
        <w:t xml:space="preserve"> </w:t>
      </w:r>
      <w:r>
        <w:t xml:space="preserve">The Union Registry has provided a reliable and secure IT system for tracking the creation,</w:t>
      </w:r>
      <w:r>
        <w:t xml:space="preserve"> </w:t>
      </w:r>
      <w:r>
        <w:t xml:space="preserve">allocation, surrender and reversal of allowances, with only minor technical interruptions due</w:t>
      </w:r>
      <w:r>
        <w:t xml:space="preserve"> </w:t>
      </w:r>
      <w:r>
        <w:t xml:space="preserve">to scheduled upgrades. The Registry effectively provides accurate, up-to-date, and publicly</w:t>
      </w:r>
      <w:r>
        <w:t xml:space="preserve"> </w:t>
      </w:r>
      <w:r>
        <w:t xml:space="preserve">accessible information crucial for ETS reporting. Although historical security measures have</w:t>
      </w:r>
      <w:r>
        <w:t xml:space="preserve"> </w:t>
      </w:r>
      <w:r>
        <w:t xml:space="preserve">been effective, evolving risks, particularly cyber-attacks, and issues like inadequate financial</w:t>
      </w:r>
      <w:r>
        <w:t xml:space="preserve"> </w:t>
      </w:r>
      <w:r>
        <w:t xml:space="preserve">and human resources, necessitate to strengthen the security of the infrastructure and to revise</w:t>
      </w:r>
      <w:r>
        <w:t xml:space="preserve"> </w:t>
      </w:r>
      <w:r>
        <w:t xml:space="preserve">the operating model. Studies and security plans have identified vulnerabilities, recommending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additional security measures to adapt to the growing IT risks and market changes and</w:t>
      </w:r>
      <w:r>
        <w:t xml:space="preserve"> </w:t>
      </w:r>
      <w:r>
        <w:t xml:space="preserve">recommendations have been made to enhance security measures and reconsider its business</w:t>
      </w:r>
      <w:r>
        <w:t xml:space="preserve"> </w:t>
      </w:r>
      <w:r>
        <w:t xml:space="preserve">model to better align with financial market frameworks to ensure the integrity of European</w:t>
      </w:r>
      <w:r>
        <w:t xml:space="preserve"> </w:t>
      </w:r>
      <w:r>
        <w:t xml:space="preserve">carbon market. Overall, the Registry system has insufficient resources to protect the</w:t>
      </w:r>
      <w:r>
        <w:t xml:space="preserve"> </w:t>
      </w:r>
      <w:r>
        <w:t xml:space="preserve">confidentiality and integrity of the system. Different studies proposed a new operating model</w:t>
      </w:r>
      <w:r>
        <w:t xml:space="preserve"> </w:t>
      </w:r>
      <w:r>
        <w:t xml:space="preserve">to address these issues, with an estimated investment of EUR 30-40 million per year. This</w:t>
      </w:r>
      <w:r>
        <w:t xml:space="preserve"> </w:t>
      </w:r>
      <w:r>
        <w:t xml:space="preserve">investment represents only 0.00016% of the assets held in the Union Registry and would be</w:t>
      </w:r>
      <w:r>
        <w:t xml:space="preserve"> </w:t>
      </w:r>
      <w:r>
        <w:t xml:space="preserve">justified ensuring the integrity and security of the system and integrity of the European carbon</w:t>
      </w:r>
      <w:r>
        <w:t xml:space="preserve"> </w:t>
      </w:r>
      <w:r>
        <w:t xml:space="preserve">market.</w:t>
      </w:r>
      <w:r>
        <w:t xml:space="preserve"> </w:t>
      </w:r>
      <w:r>
        <w:t xml:space="preserve">Overall, the evaluation confirms that the ETS has successfully achieved its objectives so far</w:t>
      </w:r>
      <w:r>
        <w:t xml:space="preserve"> </w:t>
      </w:r>
      <w:r>
        <w:t xml:space="preserve">and it has been a key instrument in delivering on the EU climate objectives. However, the</w:t>
      </w:r>
      <w:r>
        <w:t xml:space="preserve"> </w:t>
      </w:r>
      <w:r>
        <w:t xml:space="preserve">evaluation also points to areas of improvements, such as better balancing the need to prevent</w:t>
      </w:r>
      <w:r>
        <w:t xml:space="preserve"> </w:t>
      </w:r>
      <w:r>
        <w:t xml:space="preserve">carbon leakage with ensuring continued incentives for investments in decarbonisation, ensure</w:t>
      </w:r>
      <w:r>
        <w:t xml:space="preserve"> </w:t>
      </w:r>
      <w:r>
        <w:t xml:space="preserve">a more efficient MRVA system and enhance the security measures for the Union Registry.</w:t>
      </w:r>
      <w:r>
        <w:t xml:space="preserve"> </w:t>
      </w:r>
      <w:r>
        <w:t xml:space="preserve">5.2</w:t>
      </w:r>
      <w:r>
        <w:t xml:space="preserve"> </w:t>
      </w:r>
      <w:r>
        <w:t xml:space="preserve">MSR</w:t>
      </w:r>
      <w:r>
        <w:t xml:space="preserve"> </w:t>
      </w:r>
      <w:r>
        <w:t xml:space="preserve">The MSR was adopted in 2015 as an instrument with two objectives. First, it aimed to reduce</w:t>
      </w:r>
      <w:r>
        <w:t xml:space="preserve"> </w:t>
      </w:r>
      <w:r>
        <w:t xml:space="preserve">excess allowances in the EU ETS that built up over Phases II and III, as a result of (i) a decrease</w:t>
      </w:r>
      <w:r>
        <w:t xml:space="preserve"> </w:t>
      </w:r>
      <w:r>
        <w:t xml:space="preserve">in demand for allowance due to the 2010 economic crisis and a number of complementary</w:t>
      </w:r>
      <w:r>
        <w:t xml:space="preserve"> </w:t>
      </w:r>
      <w:r>
        <w:t xml:space="preserve">policies, and (ii) an increase in allowance supply through the inflow of international credits</w:t>
      </w:r>
      <w:r>
        <w:t xml:space="preserve"> </w:t>
      </w:r>
      <w:r>
        <w:t xml:space="preserve">into the EU ETS. Second, the MSR aimed to mitigate the build-up of new demand-supply</w:t>
      </w:r>
      <w:r>
        <w:t xml:space="preserve"> </w:t>
      </w:r>
      <w:r>
        <w:t xml:space="preserve">imbalances in order to sustainably strengthen the resilience of the EU ETS.</w:t>
      </w:r>
      <w:r>
        <w:br/>
      </w:r>
      <w:r>
        <w:t xml:space="preserve">Since the initial Impact Assessment from 2014, the MSR underwent a number of changes and</w:t>
      </w:r>
      <w:r>
        <w:t xml:space="preserve"> </w:t>
      </w:r>
      <w:r>
        <w:t xml:space="preserve">reforms. The configuration adopted in 2015 was slightly deviating from the parameters</w:t>
      </w:r>
      <w:r>
        <w:t xml:space="preserve"> </w:t>
      </w:r>
      <w:r>
        <w:t xml:space="preserve">assessed in the 2014 IA. In 2018, the intake rate was doubled to increase the effectiveness of</w:t>
      </w:r>
      <w:r>
        <w:t xml:space="preserve"> </w:t>
      </w:r>
      <w:r>
        <w:t xml:space="preserve">the mechanism at reducing the surplus. and an invalidation mechanism was added that</w:t>
      </w:r>
      <w:r>
        <w:t xml:space="preserve"> </w:t>
      </w:r>
      <w:r>
        <w:t xml:space="preserve">introduced a rule-based volume cap for the allowances held in the MSR. This MSR</w:t>
      </w:r>
      <w:r>
        <w:t xml:space="preserve"> </w:t>
      </w:r>
      <w:r>
        <w:t xml:space="preserve">configuration entered into force in 2019. Starting in 2021 with adoption in 2023, the Fit for 55</w:t>
      </w:r>
      <w:r>
        <w:t xml:space="preserve"> </w:t>
      </w:r>
      <w:r>
        <w:t xml:space="preserve">reform further refined the MSR design. As a results, the 2014 IA can only serve to a limited</w:t>
      </w:r>
      <w:r>
        <w:t xml:space="preserve"> </w:t>
      </w:r>
      <w:r>
        <w:t xml:space="preserve">degree as point of comparison and only for the period from 2014 to 2017, i.e. before the MSR</w:t>
      </w:r>
      <w:r>
        <w:t xml:space="preserve"> </w:t>
      </w:r>
      <w:r>
        <w:t xml:space="preserve">started operating. The MSR Review that the Commission undertook in 2021 is a useful</w:t>
      </w:r>
      <w:r>
        <w:t xml:space="preserve"> </w:t>
      </w:r>
      <w:r>
        <w:t xml:space="preserve">complement for the evaluation.</w:t>
      </w:r>
      <w:r>
        <w:t xml:space="preserve"> </w:t>
      </w:r>
      <w:r>
        <w:t xml:space="preserve">Effectiveness: The MSR was effective in reducing the historical demand-supply imbalance in</w:t>
      </w:r>
      <w:r>
        <w:t xml:space="preserve"> </w:t>
      </w:r>
      <w:r>
        <w:t xml:space="preserve">the allowance market. The MSR mitigated the build-up of a new imbalance from 2013 but did</w:t>
      </w:r>
      <w:r>
        <w:t xml:space="preserve"> </w:t>
      </w:r>
      <w:r>
        <w:t xml:space="preserve">not fully absorb excess allowances. There is still a demand-supply imbalance. It was hence</w:t>
      </w:r>
      <w:r>
        <w:t xml:space="preserve"> </w:t>
      </w:r>
      <w:r>
        <w:t xml:space="preserve">only partially effective in achieving its second objective to enhance future resilience of the EU</w:t>
      </w:r>
      <w:r>
        <w:t xml:space="preserve"> </w:t>
      </w:r>
      <w:r>
        <w:t xml:space="preserve">ETS market. It was effective in mitigating price crashes resulting from the shocks related to</w:t>
      </w:r>
      <w:r>
        <w:t xml:space="preserve"> </w:t>
      </w:r>
      <w:r>
        <w:t xml:space="preserve">the COVID-19 pandemic and the energy price crisis. Most notably, the MSR credibly signalled</w:t>
      </w:r>
      <w:r>
        <w:t xml:space="preserve"> </w:t>
      </w:r>
      <w:r>
        <w:t xml:space="preserve">the commitment of the EU to the EU ETS, thereby boosting confidence in the market.</w:t>
      </w:r>
      <w:r>
        <w:t xml:space="preserve"> </w:t>
      </w:r>
      <w:r>
        <w:t xml:space="preserve">Efficiency: The operation of the MSR has few direct costs and large benefits. The evaluation</w:t>
      </w:r>
      <w:r>
        <w:t xml:space="preserve"> </w:t>
      </w:r>
      <w:r>
        <w:t xml:space="preserve">of efficiency concludes however that the MSR induces additional complexity to the EU ETS</w:t>
      </w:r>
      <w:r>
        <w:t xml:space="preserve"> </w:t>
      </w:r>
      <w:r>
        <w:t xml:space="preserve">that is connected with indirect costs for Member States, regulated entities, and other</w:t>
      </w:r>
      <w:r>
        <w:t xml:space="preserve"> </w:t>
      </w:r>
      <w:r>
        <w:t xml:space="preserve">stakeholder engaging in modelling, price forecasts or any other assessment of the functioning</w:t>
      </w:r>
      <w:r>
        <w:t xml:space="preserve"> </w:t>
      </w:r>
      <w:r>
        <w:t xml:space="preserve">of the EU ETS.</w:t>
      </w:r>
      <w:r>
        <w:br/>
      </w:r>
      <w:r>
        <w:t xml:space="preserve">Coherence: The evaluation of MSR coherence concludes that the MSR is largely coherent</w:t>
      </w:r>
      <w:r>
        <w:t xml:space="preserve"> </w:t>
      </w:r>
      <w:r>
        <w:t xml:space="preserve">with complementary policies as it addresses the waterbed effect. In some instances,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counterintuitive interactions with complementary policies have occurred, such as REPowerEU</w:t>
      </w:r>
      <w:r>
        <w:t xml:space="preserve"> </w:t>
      </w:r>
      <w:r>
        <w:t xml:space="preserve">and voluntary cancellation, but these have been effectively addressed.</w:t>
      </w:r>
      <w:r>
        <w:t xml:space="preserve"> </w:t>
      </w:r>
      <w:r>
        <w:t xml:space="preserve">In sum, while the MSR added complexity to the EU ETS regarding the calculation of allowance</w:t>
      </w:r>
      <w:r>
        <w:t xml:space="preserve"> </w:t>
      </w:r>
      <w:r>
        <w:t xml:space="preserve">supply in a given year as well as the interaction with complementary policies, the evaluation</w:t>
      </w:r>
      <w:r>
        <w:t xml:space="preserve"> </w:t>
      </w:r>
      <w:r>
        <w:t xml:space="preserve">attests to the instrument’s positive effect on reducing demand-supply imbalances in and</w:t>
      </w:r>
      <w:r>
        <w:t xml:space="preserve"> </w:t>
      </w:r>
      <w:r>
        <w:t xml:space="preserve">increasing overall confidence into the EU ETS, thereby making it more resilient to future</w:t>
      </w:r>
      <w:r>
        <w:t xml:space="preserve"> </w:t>
      </w:r>
      <w:r>
        <w:t xml:space="preserve">shocks.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6</w:t>
      </w:r>
      <w:r>
        <w:t xml:space="preserve"> </w:t>
      </w:r>
      <w:r>
        <w:t xml:space="preserve">APPENDIX I. PROCEDURAL INFORMATION</w:t>
      </w:r>
      <w:r>
        <w:t xml:space="preserve"> </w:t>
      </w:r>
      <w:r>
        <w:t xml:space="preserve">See Annex 1 on Procedural Information</w:t>
      </w:r>
      <w:r>
        <w:br/>
      </w:r>
      <w:r>
        <w:t xml:space="preserve">7</w:t>
      </w:r>
      <w:r>
        <w:t xml:space="preserve"> </w:t>
      </w:r>
      <w:r>
        <w:t xml:space="preserve">APPENDIX II. METHODOLOGY AND ANALYTICAL MODELS USED</w:t>
      </w:r>
      <w:r>
        <w:t xml:space="preserve"> </w:t>
      </w:r>
      <w:r>
        <w:t xml:space="preserve">This Evaluation has not carried out economic modelling but has studied the literature for ex</w:t>
      </w:r>
      <w:r>
        <w:t xml:space="preserve"> </w:t>
      </w:r>
      <w:r>
        <w:t xml:space="preserve">post economic modelling and econometric analysis, supplemented by stakeholder interviews</w:t>
      </w:r>
      <w:r>
        <w:t xml:space="preserve"> </w:t>
      </w:r>
      <w:r>
        <w:t xml:space="preserve">and own analysis. The details are given in Appendix III as well as the body of the Evaluation.</w:t>
      </w:r>
      <w:r>
        <w:t xml:space="preserve"> </w:t>
      </w:r>
      <w:r>
        <w:t xml:space="preserve">For the EU ETS as an instrument to attain a certain ambition level cost-effectively, it is</w:t>
      </w:r>
      <w:r>
        <w:t xml:space="preserve"> </w:t>
      </w:r>
      <w:r>
        <w:t xml:space="preserve">extremely challenging to dis-entangle the impacts of the carbon price, which was rather low</w:t>
      </w:r>
      <w:r>
        <w:t xml:space="preserve"> </w:t>
      </w:r>
      <w:r>
        <w:t xml:space="preserve">over much of the period, from the impacts of financial crisis, the COVID-19 Pandemic, and</w:t>
      </w:r>
      <w:r>
        <w:t xml:space="preserve"> </w:t>
      </w:r>
      <w:r>
        <w:t xml:space="preserve">the energy price crisis due to the Russian invasion of Ukraine, taking part against the</w:t>
      </w:r>
      <w:r>
        <w:t xml:space="preserve"> </w:t>
      </w:r>
      <w:r>
        <w:t xml:space="preserve">background of a secular shift from manufacturing to Services in Western economies, and the</w:t>
      </w:r>
      <w:r>
        <w:t xml:space="preserve"> </w:t>
      </w:r>
      <w:r>
        <w:t xml:space="preserve">rise of the Chinese economy. All of these elements have a very large impact on the economy</w:t>
      </w:r>
      <w:r>
        <w:t xml:space="preserve"> </w:t>
      </w:r>
      <w:r>
        <w:t xml:space="preserve">as a whole.</w:t>
      </w:r>
      <w:r>
        <w:t xml:space="preserve"> </w:t>
      </w:r>
      <w:r>
        <w:t xml:space="preserve">Nevertheless, in so far as academic literature has been available, it has been cited in the body</w:t>
      </w:r>
      <w:r>
        <w:t xml:space="preserve"> </w:t>
      </w:r>
      <w:r>
        <w:t xml:space="preserve">of the Evaluation. It needs to be emphasised here that all econometric or ex post modelling</w:t>
      </w:r>
      <w:r>
        <w:t xml:space="preserve"> </w:t>
      </w:r>
      <w:r>
        <w:t xml:space="preserve">literature suffers from the uncertainties inherent to dis-entangling the impacts of climate policy</w:t>
      </w:r>
      <w:r>
        <w:t xml:space="preserve"> </w:t>
      </w:r>
      <w:r>
        <w:t xml:space="preserve">from much larger economic crises or megatrends. While general conclusions can be drawn, full</w:t>
      </w:r>
      <w:r>
        <w:t xml:space="preserve"> </w:t>
      </w:r>
      <w:r>
        <w:t xml:space="preserve">quantification is unreliable, and these past results should not be extrapolated to the future. For</w:t>
      </w:r>
      <w:r>
        <w:t xml:space="preserve"> </w:t>
      </w:r>
      <w:r>
        <w:t xml:space="preserve">this reason, the evaluation has taken a pragmatic approach, using external knowledge and a</w:t>
      </w:r>
      <w:r>
        <w:t xml:space="preserve"> </w:t>
      </w:r>
      <w:r>
        <w:t xml:space="preserve">well-circumscribed analysis of available data, with the necessary caveats.</w:t>
      </w:r>
      <w:r>
        <w:t xml:space="preserve"> </w:t>
      </w:r>
      <w:r>
        <w:t xml:space="preserve">For assessing the effectiveness and efficiency of the EU ETS as a whole, the Evaluation cited</w:t>
      </w:r>
      <w:r>
        <w:t xml:space="preserve"> </w:t>
      </w:r>
      <w:r>
        <w:t xml:space="preserve">economic studies in the literature and drew conclusions from available data about emissions</w:t>
      </w:r>
      <w:r>
        <w:t xml:space="preserve"> </w:t>
      </w:r>
      <w:r>
        <w:t xml:space="preserve">per sector, carbon prices and energy prices.</w:t>
      </w:r>
      <w:r>
        <w:br/>
      </w:r>
      <w:r>
        <w:t xml:space="preserve">For the Market Stability Reserve a “Baseline” was retro-actively constructed by arithmetically</w:t>
      </w:r>
      <w:r>
        <w:t xml:space="preserve"> </w:t>
      </w:r>
      <w:r>
        <w:t xml:space="preserve">calculating what the surplus (TNAC) in the market would have been without an MSR active.</w:t>
      </w:r>
      <w:r>
        <w:t xml:space="preserve"> </w:t>
      </w:r>
      <w:r>
        <w:t xml:space="preserve">While this leaves out the dynamic impacts of the MSR on price and on reductions, it provides</w:t>
      </w:r>
      <w:r>
        <w:t xml:space="preserve"> </w:t>
      </w:r>
      <w:r>
        <w:t xml:space="preserve">a straightforward way to show its impacts. The Baseline from the Impact Assessment in 2014</w:t>
      </w:r>
      <w:r>
        <w:t xml:space="preserve"> </w:t>
      </w:r>
      <w:r>
        <w:t xml:space="preserve">is too outdated to use, given that policy intensity has been higher and economic developments</w:t>
      </w:r>
      <w:r>
        <w:t xml:space="preserve"> </w:t>
      </w:r>
      <w:r>
        <w:t xml:space="preserve">since 2020 have been dramatically different. The Reference Scenario from 2014 is more</w:t>
      </w:r>
      <w:r>
        <w:t xml:space="preserve"> </w:t>
      </w:r>
      <w:r>
        <w:t xml:space="preserve">relevant but possesses similar drawbacks. The analysis based on the straightforward</w:t>
      </w:r>
      <w:r>
        <w:t xml:space="preserve"> </w:t>
      </w:r>
      <w:r>
        <w:t xml:space="preserve">counterfactual Baseline has been further strengthened by considering the way the carbon</w:t>
      </w:r>
      <w:r>
        <w:t xml:space="preserve"> </w:t>
      </w:r>
      <w:r>
        <w:t xml:space="preserve">market has responded to recent shocks, consulting stakeholders as well as literature.</w:t>
      </w:r>
      <w:r>
        <w:br/>
      </w:r>
      <w:r>
        <w:t xml:space="preserve">The analysis on carbon leakage used academic literature as well as stakeholder interviews to</w:t>
      </w:r>
      <w:r>
        <w:t xml:space="preserve"> </w:t>
      </w:r>
      <w:r>
        <w:t xml:space="preserve">get external views on the effectiveness of carbon leakage measures so far, as well as the</w:t>
      </w:r>
      <w:r>
        <w:t xml:space="preserve"> </w:t>
      </w:r>
      <w:r>
        <w:t xml:space="preserve">possible occurrence of carbon leakage in the past. The extent of free allocation for different</w:t>
      </w:r>
      <w:r>
        <w:t xml:space="preserve"> </w:t>
      </w:r>
      <w:r>
        <w:t xml:space="preserve">sectors, how this changed from Phase III and Phase IV, and the impact thereof on carbon costs,</w:t>
      </w:r>
      <w:r>
        <w:t xml:space="preserve"> </w:t>
      </w:r>
      <w:r>
        <w:t xml:space="preserve">was estimated based on the emissions and activity data submitted by operators, as part of the</w:t>
      </w:r>
      <w:r>
        <w:t xml:space="preserve"> </w:t>
      </w:r>
      <w:r>
        <w:t xml:space="preserve">application for free allocation for 2026-2030. The administrative costs for the monitoring,</w:t>
      </w:r>
      <w:r>
        <w:t xml:space="preserve"> </w:t>
      </w:r>
      <w:r>
        <w:t xml:space="preserve">reporting, verification, as well as free allocation processes were determined based on data</w:t>
      </w:r>
      <w:r>
        <w:t xml:space="preserve"> </w:t>
      </w:r>
      <w:r>
        <w:t xml:space="preserve">collected from operators, verifiers and competent authorities via a dedicated survey.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APPENDIX III. EVALUATION MATRIX AND DETAILED EVALUATION OF THE EU ETS COMPONENTS (BY CRITERION)</w:t>
      </w:r>
      <w:r>
        <w:t xml:space="preserve"> </w:t>
      </w:r>
      <w:r>
        <w:t xml:space="preserve">8.1</w:t>
      </w:r>
      <w:r>
        <w:t xml:space="preserve"> </w:t>
      </w:r>
      <w:r>
        <w:t xml:space="preserve">EU ETS Evaluation Matrix</w:t>
      </w:r>
      <w:r>
        <w:t xml:space="preserve"> </w:t>
      </w:r>
      <w:r>
        <w:t xml:space="preserve">8.1.1 Effectiveness</w:t>
      </w:r>
      <w:r>
        <w:t xml:space="preserve"> </w:t>
      </w:r>
      <w:r>
        <w:t xml:space="preserve">Table 1:</w:t>
      </w:r>
      <w:r>
        <w:t xml:space="preserve"> </w:t>
      </w:r>
      <w:r>
        <w:t xml:space="preserve">ETS Evaluation Matrix – Effectiveness</w:t>
      </w:r>
    </w:p>
    <w:p>
      <w:pPr>
        <w:pStyle w:val="BodyText"/>
      </w:pP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 and approach</w:t>
      </w:r>
      <w:r>
        <w:br/>
      </w:r>
      <w:r>
        <w:t xml:space="preserve">Data sources</w:t>
      </w:r>
      <w:r>
        <w:t xml:space="preserve"> </w:t>
      </w:r>
      <w:r>
        <w:t xml:space="preserve">2a What were the overall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  <w:r>
        <w:t xml:space="preserve"> </w:t>
      </w:r>
      <w:r>
        <w:t xml:space="preserve">associated with the EU</w:t>
      </w:r>
      <w:r>
        <w:t xml:space="preserve"> </w:t>
      </w:r>
      <w:r>
        <w:t xml:space="preserve">ETS sectors?</w:t>
      </w:r>
      <w:r>
        <w:t xml:space="preserve"> </w:t>
      </w:r>
      <w:r>
        <w:t xml:space="preserve">If the quantitative assessment shows</w:t>
      </w:r>
      <w:r>
        <w:t xml:space="preserve"> </w:t>
      </w:r>
      <w:r>
        <w:t xml:space="preserve">that emissions have declined over the</w:t>
      </w:r>
      <w:r>
        <w:t xml:space="preserve"> </w:t>
      </w:r>
      <w:r>
        <w:t xml:space="preserve">2018-23</w:t>
      </w:r>
      <w:r>
        <w:t xml:space="preserve"> </w:t>
      </w:r>
      <w:r>
        <w:t xml:space="preserve">period,</w:t>
      </w:r>
      <w:r>
        <w:t xml:space="preserve"> </w:t>
      </w:r>
      <w:r>
        <w:t xml:space="preserve">then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 have occurred.</w:t>
      </w:r>
    </w:p>
    <w:p>
      <w:pPr>
        <w:pStyle w:val="BodyText"/>
      </w:pPr>
      <w:r>
        <w:t xml:space="preserve">Quantitative assessment:</w:t>
      </w:r>
      <w:r>
        <w:t xml:space="preserve"> </w:t>
      </w:r>
      <w:r>
        <w:t xml:space="preserve">•</w:t>
      </w:r>
      <w:r>
        <w:t xml:space="preserve"> </w:t>
      </w:r>
      <w:r>
        <w:t xml:space="preserve">Show overall emission reduction between 2014 up until</w:t>
      </w:r>
      <w:r>
        <w:t xml:space="preserve"> </w:t>
      </w:r>
      <w:r>
        <w:t xml:space="preserve">2023 based upon NIMs data and compare with EUTL</w:t>
      </w:r>
      <w:r>
        <w:t xml:space="preserve"> </w:t>
      </w:r>
      <w:r>
        <w:t xml:space="preserve">values.</w:t>
      </w:r>
      <w:r>
        <w:t xml:space="preserve"> </w:t>
      </w:r>
      <w:r>
        <w:t xml:space="preserve">EUTL</w:t>
      </w:r>
      <w:r>
        <w:t xml:space="preserve"> </w:t>
      </w:r>
      <w:r>
        <w:t xml:space="preserve">NIMs</w:t>
      </w:r>
    </w:p>
    <w:p>
      <w:pPr>
        <w:pStyle w:val="BodyText"/>
      </w:pPr>
      <w:r>
        <w:t xml:space="preserve">Build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work</w:t>
      </w:r>
      <w:r>
        <w:t xml:space="preserve"> </w:t>
      </w:r>
      <w:r>
        <w:t xml:space="preserve">already</w:t>
      </w:r>
      <w:r>
        <w:t xml:space="preserve"> </w:t>
      </w:r>
      <w:r>
        <w:t xml:space="preserve">undertaken</w:t>
      </w:r>
      <w:r>
        <w:t xml:space="preserve"> </w:t>
      </w:r>
      <w:r>
        <w:t xml:space="preserve">for</w:t>
      </w:r>
      <w:r>
        <w:t xml:space="preserve"> </w:t>
      </w:r>
      <w:r>
        <w:t xml:space="preserve">carbon</w:t>
      </w:r>
      <w:r>
        <w:t xml:space="preserve"> </w:t>
      </w:r>
      <w:r>
        <w:t xml:space="preserve">leakage</w:t>
      </w:r>
      <w:r>
        <w:t xml:space="preserve"> </w:t>
      </w:r>
      <w:r>
        <w:t xml:space="preserve">evaluation.</w:t>
      </w:r>
      <w:r>
        <w:t xml:space="preserve"> </w:t>
      </w:r>
      <w:r>
        <w:t xml:space="preserve">2b To which extent can the</w:t>
      </w:r>
      <w:r>
        <w:t xml:space="preserve"> </w:t>
      </w:r>
      <w:r>
        <w:t xml:space="preserve">emissions reductions (if</w:t>
      </w:r>
      <w:r>
        <w:t xml:space="preserve"> </w:t>
      </w:r>
      <w:r>
        <w:t xml:space="preserve">observed) be attributed</w:t>
      </w:r>
      <w:r>
        <w:t xml:space="preserve"> </w:t>
      </w:r>
      <w:r>
        <w:t xml:space="preserve">to the application of the</w:t>
      </w:r>
      <w:r>
        <w:t xml:space="preserve"> </w:t>
      </w:r>
      <w:r>
        <w:t xml:space="preserve">Directive?</w:t>
      </w:r>
      <w:r>
        <w:br/>
      </w:r>
      <w:r>
        <w:t xml:space="preserve">If the carbon price has increased to</w:t>
      </w:r>
      <w:r>
        <w:t xml:space="preserve"> </w:t>
      </w:r>
      <w:r>
        <w:t xml:space="preserve">levels that incentivise realisation of</w:t>
      </w:r>
      <w:r>
        <w:t xml:space="preserve"> </w:t>
      </w:r>
      <w:r>
        <w:t xml:space="preserve">abatement potential and sectors are</w:t>
      </w:r>
      <w:r>
        <w:t xml:space="preserve"> </w:t>
      </w:r>
      <w:r>
        <w:t xml:space="preserve">more exposed to the carbon price signal</w:t>
      </w:r>
      <w:r>
        <w:t xml:space="preserve"> </w:t>
      </w:r>
      <w:r>
        <w:t xml:space="preserve">then the ETS has driven, at least in part,</w:t>
      </w:r>
      <w:r>
        <w:t xml:space="preserve"> </w:t>
      </w:r>
      <w:r>
        <w:t xml:space="preserve">the emission reductions observed.</w:t>
      </w:r>
      <w:r>
        <w:t xml:space="preserve"> </w:t>
      </w:r>
      <w:r>
        <w:t xml:space="preserve">Quantitative / qualitative assessment</w:t>
      </w:r>
      <w:r>
        <w:t xml:space="preserve"> </w:t>
      </w:r>
      <w:r>
        <w:t xml:space="preserve">•</w:t>
      </w:r>
      <w:r>
        <w:t xml:space="preserve"> </w:t>
      </w:r>
      <w:r>
        <w:t xml:space="preserve">Show the balance of allowances compared to verified</w:t>
      </w:r>
      <w:r>
        <w:t xml:space="preserve"> </w:t>
      </w:r>
      <w:r>
        <w:t xml:space="preserve">emissions based on EUTL data and discuss ETS and non-</w:t>
      </w:r>
      <w:r>
        <w:t xml:space="preserve"> </w:t>
      </w:r>
      <w:r>
        <w:t xml:space="preserve">ETS factors that could drive the observed trend.</w:t>
      </w:r>
      <w:r>
        <w:t xml:space="preserve"> </w:t>
      </w:r>
      <w:r>
        <w:t xml:space="preserve">•</w:t>
      </w:r>
      <w:r>
        <w:t xml:space="preserve"> </w:t>
      </w:r>
      <w:r>
        <w:t xml:space="preserve">Show carbon price development based on EEX data.</w:t>
      </w:r>
      <w:r>
        <w:t xml:space="preserve"> </w:t>
      </w:r>
      <w:r>
        <w:t xml:space="preserve">•</w:t>
      </w:r>
      <w:r>
        <w:t xml:space="preserve"> </w:t>
      </w:r>
      <w:r>
        <w:t xml:space="preserve">Refer to work undertaken for carbon leakage chapter to</w:t>
      </w:r>
      <w:r>
        <w:t xml:space="preserve"> </w:t>
      </w:r>
      <w:r>
        <w:t xml:space="preserve">outline the share of emissions covered by free allocation.</w:t>
      </w:r>
      <w:r>
        <w:br/>
      </w:r>
      <w:r>
        <w:t xml:space="preserve">•</w:t>
      </w:r>
      <w:r>
        <w:t xml:space="preserve"> </w:t>
      </w:r>
      <w:r>
        <w:t xml:space="preserve">Show CO2 cost impact on electricity prices</w:t>
      </w:r>
      <w:r>
        <w:t xml:space="preserve"> </w:t>
      </w:r>
      <w:r>
        <w:t xml:space="preserve">EUTL</w:t>
      </w:r>
      <w:r>
        <w:br/>
      </w:r>
      <w:r>
        <w:t xml:space="preserve">EEX</w:t>
      </w:r>
      <w:r>
        <w:t xml:space="preserve"> </w:t>
      </w:r>
      <w:r>
        <w:t xml:space="preserve">Literature</w:t>
      </w:r>
      <w:r>
        <w:t xml:space="preserve"> </w:t>
      </w:r>
      <w:r>
        <w:t xml:space="preserve">review</w:t>
      </w:r>
      <w:r>
        <w:t xml:space="preserve"> </w:t>
      </w:r>
      <w:r>
        <w:t xml:space="preserve">Interviews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•</w:t>
      </w:r>
      <w:r>
        <w:t xml:space="preserve"> </w:t>
      </w:r>
      <w:r>
        <w:t xml:space="preserve">Refer to work undertaken for carbon leakage chapter to</w:t>
      </w:r>
      <w:r>
        <w:t xml:space="preserve"> </w:t>
      </w:r>
      <w:r>
        <w:t xml:space="preserve">outline the</w:t>
      </w:r>
      <w:r>
        <w:t xml:space="preserve"> </w:t>
      </w:r>
      <w:r>
        <w:t xml:space="preserve">support</w:t>
      </w:r>
      <w:r>
        <w:t xml:space="preserve"> </w:t>
      </w:r>
      <w:r>
        <w:t xml:space="preserve">provided for indirect</w:t>
      </w:r>
      <w:r>
        <w:t xml:space="preserve"> </w:t>
      </w:r>
      <w:r>
        <w:t xml:space="preserve">cost</w:t>
      </w:r>
      <w:r>
        <w:t xml:space="preserve"> </w:t>
      </w:r>
      <w:r>
        <w:t xml:space="preserve">compensation.</w:t>
      </w:r>
      <w:r>
        <w:t xml:space="preserve"> </w:t>
      </w:r>
      <w:r>
        <w:t xml:space="preserve">•</w:t>
      </w:r>
      <w:r>
        <w:t xml:space="preserve"> </w:t>
      </w:r>
      <w:r>
        <w:t xml:space="preserve">Refer to work undertaken for carbon leakage on specific</w:t>
      </w:r>
      <w:r>
        <w:t xml:space="preserve"> </w:t>
      </w:r>
      <w:r>
        <w:t xml:space="preserve">emission improvements of product BMs.</w:t>
      </w:r>
      <w:r>
        <w:t xml:space="preserve"> </w:t>
      </w:r>
      <w:r>
        <w:t xml:space="preserve">•</w:t>
      </w:r>
      <w:r>
        <w:t xml:space="preserve"> </w:t>
      </w:r>
      <w:r>
        <w:t xml:space="preserve">Refer to interviews to add insight on role of ETS on the</w:t>
      </w:r>
      <w:r>
        <w:t xml:space="preserve"> </w:t>
      </w:r>
      <w:r>
        <w:t xml:space="preserve">changes in specific emissions observed and how the</w:t>
      </w:r>
      <w:r>
        <w:t xml:space="preserve"> </w:t>
      </w:r>
      <w:r>
        <w:t xml:space="preserve">carbon price is influencing abatement.</w:t>
      </w:r>
      <w:r>
        <w:t xml:space="preserve"> </w:t>
      </w:r>
      <w:r>
        <w:t xml:space="preserve">Qualitative assessment:</w:t>
      </w:r>
      <w:r>
        <w:t xml:space="preserve"> </w:t>
      </w:r>
      <w:r>
        <w:t xml:space="preserve">•</w:t>
      </w:r>
      <w:r>
        <w:t xml:space="preserve"> </w:t>
      </w:r>
      <w:r>
        <w:t xml:space="preserve">Literature review of studies that assess the role of ETS in</w:t>
      </w:r>
      <w:r>
        <w:t xml:space="preserve"> </w:t>
      </w:r>
      <w:r>
        <w:t xml:space="preserve">driving emission reductions.</w:t>
      </w:r>
      <w:r>
        <w:t xml:space="preserve"> </w:t>
      </w:r>
      <w:r>
        <w:t xml:space="preserve">2c How do the observed</w:t>
      </w:r>
      <w:r>
        <w:t xml:space="preserve"> </w:t>
      </w:r>
      <w:r>
        <w:t xml:space="preserve">effects correspond to the</w:t>
      </w:r>
      <w:r>
        <w:t xml:space="preserve"> </w:t>
      </w:r>
      <w:r>
        <w:t xml:space="preserve">objectives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Directive?</w:t>
      </w:r>
    </w:p>
    <w:p>
      <w:pPr>
        <w:pStyle w:val="BodyText"/>
      </w:pPr>
      <w:r>
        <w:t xml:space="preserve">If the emission levels are in line with the</w:t>
      </w:r>
      <w:r>
        <w:t xml:space="preserve"> </w:t>
      </w:r>
      <w:r>
        <w:t xml:space="preserve">ETS cap, then the observed effects</w:t>
      </w:r>
      <w:r>
        <w:t xml:space="preserve"> </w:t>
      </w:r>
      <w:r>
        <w:t xml:space="preserve">correspond to the objectives of the</w:t>
      </w:r>
      <w:r>
        <w:t xml:space="preserve"> </w:t>
      </w:r>
      <w:r>
        <w:t xml:space="preserve">Directive.</w:t>
      </w:r>
      <w:r>
        <w:br/>
      </w:r>
      <w:r>
        <w:t xml:space="preserve">If there is no evidence of carbon</w:t>
      </w:r>
      <w:r>
        <w:t xml:space="preserve"> </w:t>
      </w:r>
      <w:r>
        <w:t xml:space="preserve">leakage, then the observed effects</w:t>
      </w:r>
      <w:r>
        <w:t xml:space="preserve"> </w:t>
      </w:r>
      <w:r>
        <w:t xml:space="preserve">correspond to the objectives of the</w:t>
      </w:r>
      <w:r>
        <w:t xml:space="preserve"> </w:t>
      </w:r>
      <w:r>
        <w:t xml:space="preserve">Directive with regards to a ‘high level</w:t>
      </w:r>
      <w:r>
        <w:t xml:space="preserve"> </w:t>
      </w:r>
      <w:r>
        <w:t xml:space="preserve">of environmental protection.’</w:t>
      </w:r>
      <w:r>
        <w:t xml:space="preserve"> </w:t>
      </w:r>
      <w:r>
        <w:t xml:space="preserve">If there is evidence of investments in</w:t>
      </w:r>
      <w:r>
        <w:t xml:space="preserve"> </w:t>
      </w:r>
      <w:r>
        <w:t xml:space="preserve">low carbon technology, then that the</w:t>
      </w:r>
      <w:r>
        <w:t xml:space="preserve"> </w:t>
      </w:r>
      <w:r>
        <w:t xml:space="preserve">observed effects correspond to the</w:t>
      </w:r>
      <w:r>
        <w:t xml:space="preserve"> </w:t>
      </w:r>
      <w:r>
        <w:t xml:space="preserve">objectives of the Directive.</w:t>
      </w:r>
      <w:r>
        <w:t xml:space="preserve"> </w:t>
      </w:r>
      <w:r>
        <w:t xml:space="preserve">Quantitative assessment:</w:t>
      </w:r>
      <w:r>
        <w:t xml:space="preserve"> </w:t>
      </w:r>
      <w:r>
        <w:t xml:space="preserve">•</w:t>
      </w:r>
      <w:r>
        <w:t xml:space="preserve"> </w:t>
      </w:r>
      <w:r>
        <w:t xml:space="preserve">Compare the emission levels over the 2014-23 with the</w:t>
      </w:r>
      <w:r>
        <w:t xml:space="preserve"> </w:t>
      </w:r>
      <w:r>
        <w:t xml:space="preserve">ETS cap.</w:t>
      </w:r>
      <w:r>
        <w:t xml:space="preserve"> </w:t>
      </w:r>
      <w:r>
        <w:t xml:space="preserve">•</w:t>
      </w:r>
      <w:r>
        <w:t xml:space="preserve"> </w:t>
      </w:r>
      <w:r>
        <w:t xml:space="preserve">Show evidence of carbon leakage (refer to more detailed</w:t>
      </w:r>
      <w:r>
        <w:t xml:space="preserve"> </w:t>
      </w:r>
      <w:r>
        <w:t xml:space="preserve">analysis under carbon leakage)</w:t>
      </w:r>
      <w:r>
        <w:t xml:space="preserve"> </w:t>
      </w:r>
      <w:r>
        <w:t xml:space="preserve">•</w:t>
      </w:r>
      <w:r>
        <w:t xml:space="preserve"> </w:t>
      </w:r>
      <w:r>
        <w:t xml:space="preserve">Show effect on investments (refer to more detailed</w:t>
      </w:r>
      <w:r>
        <w:t xml:space="preserve"> </w:t>
      </w:r>
      <w:r>
        <w:t xml:space="preserve">analysis under carbon leakage)</w:t>
      </w:r>
      <w:r>
        <w:t xml:space="preserve"> </w:t>
      </w:r>
      <w:r>
        <w:t xml:space="preserve">Qualitative assessment:</w:t>
      </w:r>
      <w:r>
        <w:t xml:space="preserve"> </w:t>
      </w:r>
      <w:r>
        <w:t xml:space="preserve">•</w:t>
      </w:r>
      <w:r>
        <w:t xml:space="preserve"> </w:t>
      </w:r>
      <w:r>
        <w:t xml:space="preserve">Refer to ongoing studies from EEA to validate</w:t>
      </w:r>
      <w:r>
        <w:t xml:space="preserve"> </w:t>
      </w:r>
      <w:r>
        <w:t xml:space="preserve">quantitative results.</w:t>
      </w:r>
      <w:r>
        <w:t xml:space="preserve"> </w:t>
      </w:r>
      <w:r>
        <w:t xml:space="preserve">Progress</w:t>
      </w:r>
      <w:r>
        <w:t xml:space="preserve"> </w:t>
      </w:r>
      <w:r>
        <w:t xml:space="preserve">on</w:t>
      </w:r>
      <w:r>
        <w:t xml:space="preserve"> </w:t>
      </w:r>
      <w:r>
        <w:t xml:space="preserve">climate action</w:t>
      </w:r>
      <w:r>
        <w:t xml:space="preserve"> </w:t>
      </w:r>
      <w:r>
        <w:t xml:space="preserve">-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Carbon</w:t>
      </w:r>
      <w:r>
        <w:t xml:space="preserve"> </w:t>
      </w:r>
      <w:r>
        <w:t xml:space="preserve">Market</w:t>
      </w:r>
      <w:r>
        <w:t xml:space="preserve"> </w:t>
      </w:r>
      <w:r>
        <w:t xml:space="preserve">Report</w:t>
      </w:r>
      <w:r>
        <w:t xml:space="preserve"> </w:t>
      </w:r>
      <w:r>
        <w:t xml:space="preserve">EEA</w:t>
      </w:r>
      <w:r>
        <w:t xml:space="preserve"> </w:t>
      </w:r>
      <w:r>
        <w:t xml:space="preserve">trends</w:t>
      </w:r>
      <w:r>
        <w:t xml:space="preserve"> </w:t>
      </w:r>
      <w:r>
        <w:t xml:space="preserve">and</w:t>
      </w:r>
      <w:r>
        <w:t xml:space="preserve"> </w:t>
      </w:r>
      <w:r>
        <w:t xml:space="preserve">projections</w:t>
      </w:r>
      <w:r>
        <w:t xml:space="preserve"> </w:t>
      </w:r>
      <w:r>
        <w:t xml:space="preserve">report</w:t>
      </w:r>
      <w:r>
        <w:br/>
      </w:r>
      <w:r>
        <w:t xml:space="preserve">2d Has the revised ETS</w:t>
      </w:r>
      <w:r>
        <w:t xml:space="preserve"> </w:t>
      </w:r>
      <w:r>
        <w:t xml:space="preserve">Directive</w:t>
      </w:r>
      <w:r>
        <w:t xml:space="preserve"> </w:t>
      </w:r>
      <w:r>
        <w:t xml:space="preserve">been</w:t>
      </w:r>
      <w:r>
        <w:t xml:space="preserve"> </w:t>
      </w:r>
      <w:r>
        <w:t xml:space="preserve">successful in improving</w:t>
      </w:r>
      <w:r>
        <w:t xml:space="preserve"> </w:t>
      </w:r>
      <w:r>
        <w:t xml:space="preserve">the functioning and the</w:t>
      </w:r>
      <w:r>
        <w:t xml:space="preserve"> </w:t>
      </w:r>
      <w:r>
        <w:t xml:space="preserve">resilience of the carbon</w:t>
      </w:r>
      <w:r>
        <w:t xml:space="preserve"> </w:t>
      </w:r>
      <w:r>
        <w:t xml:space="preserve">If the surplus of allowances has been</w:t>
      </w:r>
      <w:r>
        <w:t xml:space="preserve"> </w:t>
      </w:r>
      <w:r>
        <w:t xml:space="preserve">reduced since the start of Phase III, then</w:t>
      </w:r>
      <w:r>
        <w:t xml:space="preserve"> </w:t>
      </w:r>
      <w:r>
        <w:t xml:space="preserve">the MSR reforms and increasing the</w:t>
      </w:r>
      <w:r>
        <w:t xml:space="preserve"> </w:t>
      </w:r>
      <w:r>
        <w:t xml:space="preserve">LRF has been successful.</w:t>
      </w:r>
      <w:r>
        <w:t xml:space="preserve"> </w:t>
      </w:r>
      <w:r>
        <w:t xml:space="preserve">Refer to more detailed chapters of the evaluation:</w:t>
      </w:r>
      <w:r>
        <w:t xml:space="preserve"> </w:t>
      </w:r>
      <w:r>
        <w:t xml:space="preserve">•</w:t>
      </w:r>
      <w:r>
        <w:t xml:space="preserve"> </w:t>
      </w:r>
      <w:r>
        <w:t xml:space="preserve">Refer to effectiveness under the MSR chapter.</w:t>
      </w:r>
      <w:r>
        <w:t xml:space="preserve"> </w:t>
      </w:r>
      <w:r>
        <w:t xml:space="preserve">More detailed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subsequent</w:t>
      </w:r>
      <w:r>
        <w:t xml:space="preserve"> </w:t>
      </w:r>
      <w:r>
        <w:t xml:space="preserve">chapters.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8.1.2 Efficiency</w:t>
      </w:r>
      <w:r>
        <w:t xml:space="preserve"> </w:t>
      </w:r>
      <w:r>
        <w:t xml:space="preserve">Table 2:</w:t>
      </w:r>
      <w:r>
        <w:t xml:space="preserve"> </w:t>
      </w:r>
      <w:r>
        <w:t xml:space="preserve">ETS Evaluation Matrix – Efficiency</w:t>
      </w:r>
      <w:r>
        <w:t xml:space="preserve"> </w:t>
      </w:r>
      <w:r>
        <w:t xml:space="preserve">market by addressing the</w:t>
      </w:r>
      <w:r>
        <w:t xml:space="preserve"> </w:t>
      </w:r>
      <w:r>
        <w:t xml:space="preserve">surplus of allowances</w:t>
      </w:r>
      <w:r>
        <w:t xml:space="preserve"> </w:t>
      </w:r>
      <w:r>
        <w:t xml:space="preserve">(which was identified in</w:t>
      </w:r>
      <w:r>
        <w:t xml:space="preserve"> </w:t>
      </w:r>
      <w:r>
        <w:t xml:space="preserve">Phase</w:t>
      </w:r>
      <w:r>
        <w:t xml:space="preserve"> </w:t>
      </w:r>
      <w:r>
        <w:t xml:space="preserve">III)</w:t>
      </w:r>
      <w:r>
        <w:t xml:space="preserve"> </w:t>
      </w:r>
      <w:r>
        <w:t xml:space="preserve">by</w:t>
      </w:r>
      <w:r>
        <w:t xml:space="preserve"> </w:t>
      </w:r>
      <w:r>
        <w:t xml:space="preserve">strengthening the MSR</w:t>
      </w:r>
      <w:r>
        <w:t xml:space="preserve"> </w:t>
      </w:r>
      <w:r>
        <w:t xml:space="preserve">and increasing the LRF?</w:t>
      </w:r>
      <w:r>
        <w:t xml:space="preserve"> </w:t>
      </w:r>
      <w:r>
        <w:t xml:space="preserve">2e Has the EU ETS MRVA</w:t>
      </w:r>
      <w:r>
        <w:t xml:space="preserve"> </w:t>
      </w:r>
      <w:r>
        <w:t xml:space="preserve">system supported the</w:t>
      </w:r>
      <w:r>
        <w:t xml:space="preserve"> </w:t>
      </w:r>
      <w:r>
        <w:t xml:space="preserve">overall effectiveness of</w:t>
      </w:r>
      <w:r>
        <w:t xml:space="preserve"> </w:t>
      </w:r>
      <w:r>
        <w:t xml:space="preserve">the EU ETS?</w:t>
      </w:r>
      <w:r>
        <w:t xml:space="preserve"> </w:t>
      </w:r>
      <w:r>
        <w:t xml:space="preserve">The MRVA system ensured accurate,</w:t>
      </w:r>
      <w:r>
        <w:t xml:space="preserve"> </w:t>
      </w:r>
      <w:r>
        <w:t xml:space="preserve">complete and transparent emissions</w:t>
      </w:r>
      <w:r>
        <w:t xml:space="preserve"> </w:t>
      </w:r>
      <w:r>
        <w:t xml:space="preserve">data, as well as prevented errors or</w:t>
      </w:r>
      <w:r>
        <w:t xml:space="preserve"> </w:t>
      </w:r>
      <w:r>
        <w:t xml:space="preserve">misreporting.</w:t>
      </w:r>
      <w:r>
        <w:br/>
      </w:r>
      <w:r>
        <w:t xml:space="preserve">Quantitative assessment:</w:t>
      </w:r>
      <w:r>
        <w:t xml:space="preserve"> </w:t>
      </w:r>
      <w:r>
        <w:t xml:space="preserve">•</w:t>
      </w:r>
      <w:r>
        <w:t xml:space="preserve"> </w:t>
      </w:r>
      <w:r>
        <w:t xml:space="preserve">MRVA survey results assessment</w:t>
      </w:r>
      <w:r>
        <w:br/>
      </w:r>
      <w:r>
        <w:t xml:space="preserve">Qualitative assessment:</w:t>
      </w:r>
      <w:r>
        <w:t xml:space="preserve"> </w:t>
      </w:r>
      <w:r>
        <w:t xml:space="preserve">•</w:t>
      </w:r>
      <w:r>
        <w:t xml:space="preserve"> </w:t>
      </w:r>
      <w:r>
        <w:t xml:space="preserve">Assessment of Member States Article 21 reports</w:t>
      </w:r>
      <w:r>
        <w:t xml:space="preserve"> </w:t>
      </w:r>
      <w:r>
        <w:t xml:space="preserve">Survey results</w:t>
      </w:r>
      <w:r>
        <w:t xml:space="preserve"> </w:t>
      </w:r>
      <w:r>
        <w:t xml:space="preserve">Article</w:t>
      </w:r>
      <w:r>
        <w:t xml:space="preserve"> </w:t>
      </w:r>
      <w:r>
        <w:t xml:space="preserve">21</w:t>
      </w:r>
      <w:r>
        <w:t xml:space="preserve"> </w:t>
      </w:r>
      <w:r>
        <w:t xml:space="preserve">Reports</w:t>
      </w:r>
      <w:r>
        <w:t xml:space="preserve"> </w:t>
      </w:r>
      <w:r>
        <w:t xml:space="preserve">2f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ETS</w:t>
      </w:r>
      <w:r>
        <w:t xml:space="preserve"> </w:t>
      </w:r>
      <w:r>
        <w:t xml:space="preserve">auctioning</w:t>
      </w:r>
      <w:r>
        <w:t xml:space="preserve"> </w:t>
      </w:r>
      <w:r>
        <w:t xml:space="preserve">system</w:t>
      </w:r>
      <w:r>
        <w:t xml:space="preserve"> </w:t>
      </w:r>
      <w:r>
        <w:t xml:space="preserve">supported the overall</w:t>
      </w:r>
      <w:r>
        <w:t xml:space="preserve"> </w:t>
      </w:r>
      <w:r>
        <w:t xml:space="preserve">effectiveness of the EU</w:t>
      </w:r>
      <w:r>
        <w:t xml:space="preserve"> </w:t>
      </w:r>
      <w:r>
        <w:t xml:space="preserve">ETS?</w:t>
      </w:r>
      <w:r>
        <w:t xml:space="preserve"> </w:t>
      </w:r>
      <w:r>
        <w:t xml:space="preserve">The auctioning system operated in an</w:t>
      </w:r>
      <w:r>
        <w:t xml:space="preserve"> </w:t>
      </w:r>
      <w:r>
        <w:t xml:space="preserve">open,</w:t>
      </w:r>
      <w:r>
        <w:t xml:space="preserve"> </w:t>
      </w:r>
      <w:r>
        <w:t xml:space="preserve">transparent</w:t>
      </w:r>
      <w:r>
        <w:t xml:space="preserve"> </w:t>
      </w:r>
      <w:r>
        <w:t xml:space="preserve">and</w:t>
      </w:r>
      <w:r>
        <w:t xml:space="preserve"> </w:t>
      </w:r>
      <w:r>
        <w:t xml:space="preserve">predictable</w:t>
      </w:r>
      <w:r>
        <w:t xml:space="preserve"> </w:t>
      </w:r>
      <w:r>
        <w:t xml:space="preserve">manner and ensured the reliable</w:t>
      </w:r>
      <w:r>
        <w:t xml:space="preserve"> </w:t>
      </w:r>
      <w:r>
        <w:t xml:space="preserve">allocation of emission allowances to</w:t>
      </w:r>
      <w:r>
        <w:t xml:space="preserve"> </w:t>
      </w:r>
      <w:r>
        <w:t xml:space="preserve">market participants and the transfer of</w:t>
      </w:r>
      <w:r>
        <w:t xml:space="preserve"> </w:t>
      </w:r>
      <w:r>
        <w:t xml:space="preserve">auction proceeds to the auctioneers.</w:t>
      </w:r>
      <w:r>
        <w:br/>
      </w:r>
      <w:r>
        <w:t xml:space="preserve">Quantitative assessment:</w:t>
      </w:r>
      <w:r>
        <w:t xml:space="preserve"> </w:t>
      </w:r>
      <w:r>
        <w:t xml:space="preserve">•</w:t>
      </w:r>
      <w:r>
        <w:t xml:space="preserve"> </w:t>
      </w:r>
      <w:r>
        <w:t xml:space="preserve">Auction</w:t>
      </w:r>
      <w:r>
        <w:t xml:space="preserve"> </w:t>
      </w:r>
      <w:r>
        <w:t xml:space="preserve">bidder</w:t>
      </w:r>
      <w:r>
        <w:t xml:space="preserve"> </w:t>
      </w:r>
      <w:r>
        <w:t xml:space="preserve">participation</w:t>
      </w:r>
      <w:r>
        <w:t xml:space="preserve"> </w:t>
      </w:r>
      <w:r>
        <w:t xml:space="preserve">rates,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cancellations, etc.</w:t>
      </w:r>
      <w:r>
        <w:br/>
      </w:r>
      <w:r>
        <w:t xml:space="preserve">Qualitative assessment:</w:t>
      </w:r>
      <w:r>
        <w:t xml:space="preserve"> </w:t>
      </w:r>
      <w:r>
        <w:t xml:space="preserve">•</w:t>
      </w:r>
      <w:r>
        <w:t xml:space="preserve"> </w:t>
      </w:r>
      <w:r>
        <w:t xml:space="preserve">ESMA assessment of the functioning of the carbon</w:t>
      </w:r>
      <w:r>
        <w:t xml:space="preserve"> </w:t>
      </w:r>
      <w:r>
        <w:t xml:space="preserve">market</w:t>
      </w:r>
      <w:r>
        <w:t xml:space="preserve"> </w:t>
      </w:r>
      <w:r>
        <w:t xml:space="preserve">ESMA report</w:t>
      </w:r>
      <w:r>
        <w:t xml:space="preserve"> </w:t>
      </w:r>
      <w:r>
        <w:t xml:space="preserve">EEX reports</w:t>
      </w:r>
      <w:r>
        <w:t xml:space="preserve"> </w:t>
      </w:r>
      <w:r>
        <w:t xml:space="preserve">Article 10(4)</w:t>
      </w:r>
      <w:r>
        <w:t xml:space="preserve"> </w:t>
      </w:r>
      <w:r>
        <w:t xml:space="preserve">reports</w:t>
      </w:r>
      <w:r>
        <w:t xml:space="preserve"> </w:t>
      </w:r>
      <w:r>
        <w:t xml:space="preserve">2g Has the EU ETS registry</w:t>
      </w:r>
      <w:r>
        <w:t xml:space="preserve"> </w:t>
      </w:r>
      <w:r>
        <w:t xml:space="preserve">system supported the</w:t>
      </w:r>
      <w:r>
        <w:t xml:space="preserve"> </w:t>
      </w:r>
      <w:r>
        <w:t xml:space="preserve">overall effectiveness of</w:t>
      </w:r>
      <w:r>
        <w:t xml:space="preserve"> </w:t>
      </w:r>
      <w:r>
        <w:t xml:space="preserve">the EU ETS?</w:t>
      </w:r>
      <w:r>
        <w:t xml:space="preserve"> </w:t>
      </w:r>
      <w:r>
        <w:t xml:space="preserve">The Union Registry ensured maintained</w:t>
      </w:r>
      <w:r>
        <w:t xml:space="preserve"> </w:t>
      </w:r>
      <w:r>
        <w:t xml:space="preserve">a reliable and secure IT system for</w:t>
      </w:r>
      <w:r>
        <w:t xml:space="preserve"> </w:t>
      </w:r>
      <w:r>
        <w:t xml:space="preserve">tracking</w:t>
      </w:r>
      <w:r>
        <w:t xml:space="preserve"> </w:t>
      </w:r>
      <w:r>
        <w:t xml:space="preserve">the</w:t>
      </w:r>
      <w:r>
        <w:t xml:space="preserve"> </w:t>
      </w:r>
      <w:r>
        <w:t xml:space="preserve">creation,</w:t>
      </w:r>
      <w:r>
        <w:t xml:space="preserve"> </w:t>
      </w:r>
      <w:r>
        <w:t xml:space="preserve">allocation,</w:t>
      </w:r>
      <w:r>
        <w:t xml:space="preserve"> </w:t>
      </w:r>
      <w:r>
        <w:t xml:space="preserve">surrender and reversal of allowances.</w:t>
      </w:r>
      <w:r>
        <w:t xml:space="preserve"> </w:t>
      </w:r>
      <w:r>
        <w:t xml:space="preserve">Refer to more detailed chapters of the evaluation:</w:t>
      </w:r>
      <w:r>
        <w:t xml:space="preserve"> </w:t>
      </w:r>
      <w:r>
        <w:t xml:space="preserve">Refer to effectiveness under the Registry Section in Annex III.</w:t>
      </w:r>
      <w:r>
        <w:t xml:space="preserve"> </w:t>
      </w:r>
      <w:r>
        <w:t xml:space="preserve">More detailed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subsequent</w:t>
      </w:r>
      <w:r>
        <w:t xml:space="preserve"> </w:t>
      </w:r>
      <w:r>
        <w:t xml:space="preserve">chapters.</w:t>
      </w:r>
    </w:p>
    <w:p>
      <w:pPr>
        <w:pStyle w:val="BodyText"/>
      </w:pP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 and approach</w:t>
      </w:r>
      <w:r>
        <w:br/>
      </w:r>
      <w:r>
        <w:t xml:space="preserve">Data</w:t>
      </w:r>
      <w:r>
        <w:t xml:space="preserve"> </w:t>
      </w:r>
      <w:r>
        <w:t xml:space="preserve">sources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3a To what extent has the Directive</w:t>
      </w:r>
      <w:r>
        <w:t xml:space="preserve"> </w:t>
      </w:r>
      <w:r>
        <w:t xml:space="preserve">been more or less successful in</w:t>
      </w:r>
      <w:r>
        <w:t xml:space="preserve"> </w:t>
      </w:r>
      <w:r>
        <w:t xml:space="preserve">achieving its objectives compared to</w:t>
      </w:r>
      <w:r>
        <w:t xml:space="preserve"> </w:t>
      </w:r>
      <w:r>
        <w:t xml:space="preserve">alternatives, e.g. command and</w:t>
      </w:r>
      <w:r>
        <w:t xml:space="preserve"> </w:t>
      </w:r>
      <w:r>
        <w:t xml:space="preserve">control measures, taxation?</w:t>
      </w:r>
      <w:r>
        <w:t xml:space="preserve"> </w:t>
      </w:r>
      <w:r>
        <w:t xml:space="preserve">Cap and trade is more</w:t>
      </w:r>
      <w:r>
        <w:t xml:space="preserve"> </w:t>
      </w:r>
      <w:r>
        <w:t xml:space="preserve">efficient</w:t>
      </w:r>
      <w:r>
        <w:t xml:space="preserve"> </w:t>
      </w:r>
      <w:r>
        <w:t xml:space="preserve">than</w:t>
      </w:r>
      <w:r>
        <w:t xml:space="preserve"> </w:t>
      </w:r>
      <w:r>
        <w:t xml:space="preserve">alternatives</w:t>
      </w:r>
      <w:r>
        <w:t xml:space="preserve"> </w:t>
      </w:r>
      <w:r>
        <w:t xml:space="preserve">such as regulation of carbon</w:t>
      </w:r>
      <w:r>
        <w:t xml:space="preserve"> </w:t>
      </w:r>
      <w:r>
        <w:t xml:space="preserve">taxes.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•</w:t>
      </w:r>
      <w:r>
        <w:t xml:space="preserve"> </w:t>
      </w:r>
      <w:r>
        <w:t xml:space="preserve">Outline the theoretical differences and explain the rationale</w:t>
      </w:r>
      <w:r>
        <w:t xml:space="preserve"> </w:t>
      </w:r>
      <w:r>
        <w:t xml:space="preserve">in favour of cap and trade.</w:t>
      </w:r>
      <w:r>
        <w:t xml:space="preserve"> </w:t>
      </w:r>
      <w:r>
        <w:t xml:space="preserve">Literature</w:t>
      </w:r>
      <w:r>
        <w:t xml:space="preserve"> </w:t>
      </w:r>
      <w:r>
        <w:t xml:space="preserve">review</w:t>
      </w:r>
      <w:r>
        <w:t xml:space="preserve"> </w:t>
      </w:r>
      <w:r>
        <w:t xml:space="preserve">4a To what extent are the costs</w:t>
      </w:r>
      <w:r>
        <w:t xml:space="preserve"> </w:t>
      </w:r>
      <w:r>
        <w:t xml:space="preserve">resulting from the implementation</w:t>
      </w:r>
      <w:r>
        <w:t xml:space="preserve"> </w:t>
      </w:r>
      <w:r>
        <w:t xml:space="preserve">of the Directive proportionate to the</w:t>
      </w:r>
      <w:r>
        <w:t xml:space="preserve"> </w:t>
      </w:r>
      <w:r>
        <w:t xml:space="preserve">changes/effects it has achieved?</w:t>
      </w:r>
      <w:r>
        <w:t xml:space="preserve"> </w:t>
      </w:r>
      <w:r>
        <w:t xml:space="preserve">If the administrative costs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 are relatively low,</w:t>
      </w:r>
      <w:r>
        <w:t xml:space="preserve"> </w:t>
      </w:r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proportionate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changes/effects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achieved.</w:t>
      </w:r>
      <w:r>
        <w:t xml:space="preserve"> </w:t>
      </w:r>
      <w:r>
        <w:t xml:space="preserve">Quantitative assessment:</w:t>
      </w:r>
      <w:r>
        <w:t xml:space="preserve"> </w:t>
      </w:r>
      <w:r>
        <w:t xml:space="preserve">•</w:t>
      </w:r>
      <w:r>
        <w:t xml:space="preserve"> </w:t>
      </w:r>
      <w:r>
        <w:t xml:space="preserve">Calculate the total free allocation volume, auctioned</w:t>
      </w:r>
      <w:r>
        <w:t xml:space="preserve"> </w:t>
      </w:r>
      <w:r>
        <w:t xml:space="preserve">allowance volume and verified emissions to all</w:t>
      </w:r>
      <w:r>
        <w:t xml:space="preserve"> </w:t>
      </w:r>
      <w:r>
        <w:t xml:space="preserve">installations in the EU ETS for the years 2014-23 based on</w:t>
      </w:r>
      <w:r>
        <w:t xml:space="preserve"> </w:t>
      </w:r>
      <w:r>
        <w:t xml:space="preserve">EUTL.</w:t>
      </w:r>
      <w:r>
        <w:t xml:space="preserve"> </w:t>
      </w:r>
      <w:r>
        <w:t xml:space="preserve">•</w:t>
      </w:r>
      <w:r>
        <w:t xml:space="preserve"> </w:t>
      </w:r>
      <w:r>
        <w:t xml:space="preserve">Then calculate absolute value based on an average annual</w:t>
      </w:r>
      <w:r>
        <w:t xml:space="preserve"> </w:t>
      </w:r>
      <w:r>
        <w:t xml:space="preserve">carbon price based on EEX.</w:t>
      </w:r>
      <w:r>
        <w:t xml:space="preserve"> </w:t>
      </w:r>
      <w:r>
        <w:t xml:space="preserve">•</w:t>
      </w:r>
      <w:r>
        <w:t xml:space="preserve"> </w:t>
      </w:r>
      <w:r>
        <w:t xml:space="preserve">Show the value of free allocation.</w:t>
      </w:r>
      <w:r>
        <w:t xml:space="preserve"> </w:t>
      </w:r>
      <w:r>
        <w:t xml:space="preserve">•</w:t>
      </w:r>
      <w:r>
        <w:t xml:space="preserve"> </w:t>
      </w:r>
      <w:r>
        <w:t xml:space="preserve">Compare with a counterfactual scenario whereby all</w:t>
      </w:r>
      <w:r>
        <w:t xml:space="preserve"> </w:t>
      </w:r>
      <w:r>
        <w:t xml:space="preserve">allowances would have been auctioned.</w:t>
      </w:r>
      <w:r>
        <w:br/>
      </w:r>
      <w:r>
        <w:t xml:space="preserve">•</w:t>
      </w:r>
      <w:r>
        <w:t xml:space="preserve"> </w:t>
      </w:r>
      <w:r>
        <w:t xml:space="preserve">Compare value estimated with information to be collected</w:t>
      </w:r>
      <w:r>
        <w:t xml:space="preserve"> </w:t>
      </w:r>
      <w:r>
        <w:t xml:space="preserve">on administrative costs for free allocation application from</w:t>
      </w:r>
      <w:r>
        <w:t xml:space="preserve"> </w:t>
      </w:r>
      <w:r>
        <w:t xml:space="preserve">the survey and insights from interviews and literature</w:t>
      </w:r>
      <w:r>
        <w:t xml:space="preserve"> </w:t>
      </w:r>
      <w:r>
        <w:t xml:space="preserve">review.</w:t>
      </w:r>
      <w:r>
        <w:t xml:space="preserve"> </w:t>
      </w:r>
      <w:r>
        <w:t xml:space="preserve">EUTL</w:t>
      </w:r>
      <w:r>
        <w:t xml:space="preserve"> </w:t>
      </w:r>
      <w:r>
        <w:t xml:space="preserve">EEX</w:t>
      </w:r>
      <w:r>
        <w:t xml:space="preserve"> </w:t>
      </w:r>
      <w:r>
        <w:t xml:space="preserve">4b Has the monitoring, reporting and</w:t>
      </w:r>
      <w:r>
        <w:t xml:space="preserve"> </w:t>
      </w:r>
      <w:r>
        <w:t xml:space="preserve">verification of greenhouse gas</w:t>
      </w:r>
      <w:r>
        <w:t xml:space="preserve"> </w:t>
      </w:r>
      <w:r>
        <w:t xml:space="preserve">emissions covered by the EU ETS</w:t>
      </w:r>
      <w:r>
        <w:t xml:space="preserve"> </w:t>
      </w:r>
      <w:r>
        <w:t xml:space="preserve">been carried out cost effectively and</w:t>
      </w:r>
      <w:r>
        <w:t xml:space="preserve"> </w:t>
      </w:r>
      <w:r>
        <w:t xml:space="preserve">are</w:t>
      </w:r>
      <w:r>
        <w:t xml:space="preserve"> </w:t>
      </w:r>
      <w:r>
        <w:t xml:space="preserve">there</w:t>
      </w:r>
      <w:r>
        <w:t xml:space="preserve"> </w:t>
      </w:r>
      <w:r>
        <w:t xml:space="preserve">any</w:t>
      </w:r>
      <w:r>
        <w:t xml:space="preserve"> </w:t>
      </w:r>
      <w:r>
        <w:t xml:space="preserve">options</w:t>
      </w:r>
      <w:r>
        <w:t xml:space="preserve"> </w:t>
      </w:r>
      <w:r>
        <w:t xml:space="preserve">for</w:t>
      </w:r>
      <w:r>
        <w:t xml:space="preserve"> </w:t>
      </w:r>
      <w:r>
        <w:t xml:space="preserve">simplification are apparent with a</w:t>
      </w:r>
      <w:r>
        <w:t xml:space="preserve"> </w:t>
      </w:r>
      <w:r>
        <w:t xml:space="preserve">view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on relevant stakeholders?</w:t>
      </w:r>
      <w:r>
        <w:t xml:space="preserve"> </w:t>
      </w:r>
      <w:r>
        <w:t xml:space="preserve">The cost of reporting remains</w:t>
      </w:r>
      <w:r>
        <w:t xml:space="preserve"> </w:t>
      </w:r>
      <w:r>
        <w:t xml:space="preserve">proportionate to achieving the</w:t>
      </w:r>
      <w:r>
        <w:t xml:space="preserve"> </w:t>
      </w:r>
      <w:r>
        <w:t xml:space="preserve">objective</w:t>
      </w:r>
      <w:r>
        <w:t xml:space="preserve"> </w:t>
      </w:r>
      <w:r>
        <w:t xml:space="preserve">of</w:t>
      </w:r>
      <w:r>
        <w:t xml:space="preserve"> </w:t>
      </w:r>
      <w:r>
        <w:t xml:space="preserve">accurate</w:t>
      </w:r>
      <w:r>
        <w:t xml:space="preserve"> </w:t>
      </w:r>
      <w:r>
        <w:t xml:space="preserve">reporting.</w:t>
      </w:r>
      <w:r>
        <w:br/>
      </w:r>
      <w:r>
        <w:t xml:space="preserve">Quantitative assessment:</w:t>
      </w:r>
      <w:r>
        <w:t xml:space="preserve"> </w:t>
      </w:r>
      <w:r>
        <w:t xml:space="preserve">•</w:t>
      </w:r>
      <w:r>
        <w:t xml:space="preserve"> </w:t>
      </w:r>
      <w:r>
        <w:t xml:space="preserve">Cost of reporting assessed based on MS reporting and</w:t>
      </w:r>
      <w:r>
        <w:t xml:space="preserve"> </w:t>
      </w:r>
      <w:r>
        <w:t xml:space="preserve">survey results</w:t>
      </w:r>
    </w:p>
    <w:p>
      <w:pPr>
        <w:pStyle w:val="BodyText"/>
      </w:pPr>
      <w:r>
        <w:t xml:space="preserve">Survey</w:t>
      </w:r>
      <w:r>
        <w:t xml:space="preserve"> </w:t>
      </w:r>
      <w:r>
        <w:t xml:space="preserve">results</w:t>
      </w:r>
      <w:r>
        <w:t xml:space="preserve"> </w:t>
      </w:r>
      <w:r>
        <w:t xml:space="preserve">Article 21</w:t>
      </w:r>
      <w:r>
        <w:t xml:space="preserve"> </w:t>
      </w:r>
      <w:r>
        <w:t xml:space="preserve">reports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8.1.3 Coherence</w:t>
      </w:r>
      <w:r>
        <w:t xml:space="preserve"> </w:t>
      </w:r>
      <w:r>
        <w:t xml:space="preserve">Table 3:</w:t>
      </w:r>
      <w:r>
        <w:t xml:space="preserve"> </w:t>
      </w:r>
      <w:r>
        <w:t xml:space="preserve">ETS Evaluation Matrix – Coherence</w:t>
      </w:r>
    </w:p>
    <w:p>
      <w:pPr>
        <w:pStyle w:val="BodyText"/>
      </w:pP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 and approach</w:t>
      </w:r>
      <w:r>
        <w:br/>
      </w:r>
      <w:r>
        <w:t xml:space="preserve">Data sources</w:t>
      </w:r>
      <w:r>
        <w:t xml:space="preserve"> </w:t>
      </w:r>
      <w:r>
        <w:t xml:space="preserve">5a To what extent is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coherent with other</w:t>
      </w:r>
      <w:r>
        <w:t xml:space="preserve"> </w:t>
      </w:r>
      <w:r>
        <w:t xml:space="preserve">EU policies, such as</w:t>
      </w:r>
      <w:r>
        <w:t xml:space="preserve"> </w:t>
      </w:r>
      <w:r>
        <w:t xml:space="preserve">those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renewable energy,</w:t>
      </w:r>
      <w:r>
        <w:t xml:space="preserve"> </w:t>
      </w:r>
      <w:r>
        <w:t xml:space="preserve">energy efficiency,</w:t>
      </w:r>
      <w:r>
        <w:t xml:space="preserve"> </w:t>
      </w:r>
      <w:r>
        <w:t xml:space="preserve">state aid, etc.?</w:t>
      </w:r>
      <w:r>
        <w:t xml:space="preserve"> </w:t>
      </w:r>
      <w:r>
        <w:t xml:space="preserve">If the other climate policies fully support the</w:t>
      </w:r>
      <w:r>
        <w:t xml:space="preserve"> </w:t>
      </w:r>
      <w:r>
        <w:t xml:space="preserve">environmental integrity of the EU ETS and does</w:t>
      </w:r>
      <w:r>
        <w:t xml:space="preserve"> </w:t>
      </w:r>
      <w:r>
        <w:t xml:space="preserve">not impact the ETS cap, then other EU policies are</w:t>
      </w:r>
      <w:r>
        <w:t xml:space="preserve"> </w:t>
      </w:r>
      <w:r>
        <w:t xml:space="preserve">coherent with the Directive. However, overlap may</w:t>
      </w:r>
      <w:r>
        <w:t xml:space="preserve"> </w:t>
      </w:r>
      <w:r>
        <w:t xml:space="preserve">impact the cost of achieving the EU ETS target.</w:t>
      </w:r>
      <w:r>
        <w:t xml:space="preserve"> </w:t>
      </w:r>
      <w:r>
        <w:t xml:space="preserve">Qualitative assessment:</w:t>
      </w:r>
      <w:r>
        <w:t xml:space="preserve"> </w:t>
      </w:r>
      <w:r>
        <w:t xml:space="preserve">•</w:t>
      </w:r>
      <w:r>
        <w:t xml:space="preserve"> </w:t>
      </w:r>
      <w:r>
        <w:t xml:space="preserve">Build upon the previous evaluation and</w:t>
      </w:r>
      <w:r>
        <w:t xml:space="preserve"> </w:t>
      </w:r>
      <w:r>
        <w:t xml:space="preserve">look for more recent examples of</w:t>
      </w:r>
      <w:r>
        <w:t xml:space="preserve"> </w:t>
      </w:r>
      <w:r>
        <w:t xml:space="preserve">coherence assessments in the literature.</w:t>
      </w:r>
    </w:p>
    <w:p>
      <w:pPr>
        <w:pStyle w:val="BodyText"/>
      </w:pPr>
      <w:r>
        <w:t xml:space="preserve">Literature review</w:t>
      </w:r>
    </w:p>
    <w:p>
      <w:pPr>
        <w:pStyle w:val="BodyText"/>
      </w:pPr>
      <w:r>
        <w:t xml:space="preserve">5b To what extent are</w:t>
      </w:r>
      <w:r>
        <w:t xml:space="preserve"> </w:t>
      </w:r>
      <w:r>
        <w:t xml:space="preserve">the</w:t>
      </w:r>
      <w:r>
        <w:t xml:space="preserve"> </w:t>
      </w:r>
      <w:r>
        <w:t xml:space="preserve">various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 (such as</w:t>
      </w:r>
      <w:r>
        <w:t xml:space="preserve"> </w:t>
      </w:r>
      <w:r>
        <w:t xml:space="preserve">If the various elements of the EU ETS hinder the</w:t>
      </w:r>
      <w:r>
        <w:t xml:space="preserve"> </w:t>
      </w:r>
      <w:r>
        <w:t xml:space="preserve">achievement of the objectives of the ETS Directive,</w:t>
      </w:r>
      <w:r>
        <w:t xml:space="preserve"> </w:t>
      </w:r>
      <w:r>
        <w:t xml:space="preserve">Qualitative assessment:</w:t>
      </w:r>
      <w:r>
        <w:t xml:space="preserve"> </w:t>
      </w:r>
      <w:r>
        <w:t xml:space="preserve">•</w:t>
      </w:r>
      <w:r>
        <w:t xml:space="preserve"> </w:t>
      </w:r>
      <w:r>
        <w:t xml:space="preserve">Review of literature to look at the</w:t>
      </w:r>
      <w:r>
        <w:t xml:space="preserve"> </w:t>
      </w:r>
      <w:r>
        <w:t xml:space="preserve">coherence of free allocation on prevention</w:t>
      </w:r>
      <w:r>
        <w:t xml:space="preserve"> </w:t>
      </w:r>
      <w:r>
        <w:t xml:space="preserve">Literature review</w:t>
      </w:r>
    </w:p>
    <w:p>
      <w:pPr>
        <w:pStyle w:val="BodyText"/>
      </w:pPr>
      <w:r>
        <w:t xml:space="preserve">4c Has the auctioning system been an</w:t>
      </w:r>
      <w:r>
        <w:t xml:space="preserve"> </w:t>
      </w:r>
      <w:r>
        <w:t xml:space="preserve">efficient way of allocating ETS</w:t>
      </w:r>
      <w:r>
        <w:t xml:space="preserve"> </w:t>
      </w:r>
      <w:r>
        <w:t xml:space="preserve">allowances?</w:t>
      </w:r>
      <w:r>
        <w:br/>
      </w:r>
      <w:r>
        <w:t xml:space="preserve">Cost of the auctioning process</w:t>
      </w:r>
      <w:r>
        <w:t xml:space="preserve"> </w:t>
      </w:r>
      <w:r>
        <w:t xml:space="preserve">lower than other allocation</w:t>
      </w:r>
      <w:r>
        <w:t xml:space="preserve"> </w:t>
      </w:r>
      <w:r>
        <w:t xml:space="preserve">methods (i.e. free allocation).</w:t>
      </w:r>
      <w:r>
        <w:t xml:space="preserve"> </w:t>
      </w:r>
      <w:r>
        <w:t xml:space="preserve">Auction clearing prices do not</w:t>
      </w:r>
      <w:r>
        <w:t xml:space="preserve"> </w:t>
      </w:r>
      <w:r>
        <w:t xml:space="preserve">significantly deviate from the</w:t>
      </w:r>
      <w:r>
        <w:t xml:space="preserve"> </w:t>
      </w:r>
      <w:r>
        <w:t xml:space="preserve">secondary market</w:t>
      </w:r>
      <w:r>
        <w:br/>
      </w:r>
      <w:r>
        <w:t xml:space="preserve">Quantitative assessment:</w:t>
      </w:r>
      <w:r>
        <w:t xml:space="preserve"> </w:t>
      </w:r>
      <w:r>
        <w:t xml:space="preserve">•</w:t>
      </w:r>
      <w:r>
        <w:t xml:space="preserve"> </w:t>
      </w:r>
      <w:r>
        <w:t xml:space="preserve">Auction clearing prices vs secondary market</w:t>
      </w:r>
      <w:r>
        <w:t xml:space="preserve"> </w:t>
      </w:r>
      <w:r>
        <w:t xml:space="preserve">Qualitative assessment:</w:t>
      </w:r>
      <w:r>
        <w:t xml:space="preserve"> </w:t>
      </w:r>
      <w:r>
        <w:t xml:space="preserve">•</w:t>
      </w:r>
      <w:r>
        <w:t xml:space="preserve"> </w:t>
      </w:r>
      <w:r>
        <w:t xml:space="preserve">ESMA assessment of the functioning of the carbon market</w:t>
      </w:r>
      <w:r>
        <w:t xml:space="preserve"> </w:t>
      </w:r>
      <w:r>
        <w:t xml:space="preserve">ESMA</w:t>
      </w:r>
      <w:r>
        <w:t xml:space="preserve"> </w:t>
      </w:r>
      <w:r>
        <w:t xml:space="preserve">report</w:t>
      </w:r>
      <w:r>
        <w:t xml:space="preserve"> </w:t>
      </w:r>
      <w:r>
        <w:t xml:space="preserve">EEX</w:t>
      </w:r>
      <w:r>
        <w:t xml:space="preserve"> </w:t>
      </w:r>
      <w:r>
        <w:t xml:space="preserve">reports</w:t>
      </w:r>
      <w:r>
        <w:t xml:space="preserve"> </w:t>
      </w:r>
      <w:r>
        <w:t xml:space="preserve">Article</w:t>
      </w:r>
      <w:r>
        <w:t xml:space="preserve"> </w:t>
      </w:r>
      <w:r>
        <w:t xml:space="preserve">10(4)</w:t>
      </w:r>
      <w:r>
        <w:t xml:space="preserve"> </w:t>
      </w:r>
      <w:r>
        <w:t xml:space="preserve">reports</w:t>
      </w:r>
      <w:r>
        <w:t xml:space="preserve"> </w:t>
      </w:r>
      <w:r>
        <w:t xml:space="preserve">4d Has the Registry system been</w:t>
      </w:r>
      <w:r>
        <w:t xml:space="preserve"> </w:t>
      </w:r>
      <w:r>
        <w:t xml:space="preserve">operating in a cost-efficient way?</w:t>
      </w:r>
      <w:r>
        <w:br/>
      </w:r>
      <w:r>
        <w:t xml:space="preserve">Registry fees</w:t>
      </w:r>
      <w:r>
        <w:t xml:space="preserve"> </w:t>
      </w:r>
      <w:r>
        <w:t xml:space="preserve">Adequate resources available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Registry</w:t>
      </w:r>
      <w:r>
        <w:t xml:space="preserve"> </w:t>
      </w:r>
      <w:r>
        <w:t xml:space="preserve">securely</w:t>
      </w:r>
      <w:r>
        <w:t xml:space="preserve"> </w:t>
      </w:r>
      <w:r>
        <w:t xml:space="preserve">Refer to more detailed chapters of the evaluation</w:t>
      </w:r>
      <w:r>
        <w:t xml:space="preserve"> </w:t>
      </w:r>
      <w:r>
        <w:t xml:space="preserve">Refer to effectiveness under the Registry Section in Appendix III.</w:t>
      </w:r>
      <w:r>
        <w:t xml:space="preserve"> </w:t>
      </w:r>
      <w:r>
        <w:t xml:space="preserve">More</w:t>
      </w:r>
      <w:r>
        <w:t xml:space="preserve"> </w:t>
      </w:r>
      <w:r>
        <w:t xml:space="preserve">detailed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subsequent</w:t>
      </w:r>
      <w:r>
        <w:t xml:space="preserve"> </w:t>
      </w:r>
      <w:r>
        <w:t xml:space="preserve">chapters.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free</w:t>
      </w:r>
      <w:r>
        <w:t xml:space="preserve"> </w:t>
      </w:r>
      <w:r>
        <w:t xml:space="preserve">allocation,</w:t>
      </w:r>
      <w:r>
        <w:t xml:space="preserve"> </w:t>
      </w:r>
      <w:r>
        <w:t xml:space="preserve">carbon</w:t>
      </w:r>
      <w:r>
        <w:t xml:space="preserve"> </w:t>
      </w:r>
      <w:r>
        <w:t xml:space="preserve">leakage,</w:t>
      </w:r>
      <w:r>
        <w:t xml:space="preserve"> </w:t>
      </w:r>
      <w:r>
        <w:t xml:space="preserve">innovation support)</w:t>
      </w:r>
      <w:r>
        <w:t xml:space="preserve"> </w:t>
      </w:r>
      <w:r>
        <w:t xml:space="preserve">coherent with one</w:t>
      </w:r>
      <w:r>
        <w:t xml:space="preserve"> </w:t>
      </w:r>
      <w:r>
        <w:t xml:space="preserve">another?</w:t>
      </w:r>
      <w:r>
        <w:t xml:space="preserve"> </w:t>
      </w:r>
      <w:r>
        <w:t xml:space="preserve">then the design elements are not fully coherent with</w:t>
      </w:r>
      <w:r>
        <w:t xml:space="preserve"> </w:t>
      </w:r>
      <w:r>
        <w:t xml:space="preserve">one another.</w:t>
      </w:r>
    </w:p>
    <w:p>
      <w:pPr>
        <w:pStyle w:val="BodyText"/>
      </w:pPr>
      <w:r>
        <w:t xml:space="preserve">of carbon leakage whilst continuing to</w:t>
      </w:r>
      <w:r>
        <w:t xml:space="preserve"> </w:t>
      </w:r>
      <w:r>
        <w:t xml:space="preserve">provide support for innovation.</w:t>
      </w:r>
      <w:r>
        <w:t xml:space="preserve"> </w:t>
      </w:r>
      <w:r>
        <w:t xml:space="preserve">•</w:t>
      </w:r>
      <w:r>
        <w:t xml:space="preserve"> </w:t>
      </w:r>
      <w:r>
        <w:t xml:space="preserve">Review literature to discuss the coherence</w:t>
      </w:r>
      <w:r>
        <w:t xml:space="preserve"> </w:t>
      </w:r>
      <w:r>
        <w:t xml:space="preserve">of the MSR with the EU ETS.</w:t>
      </w:r>
      <w:r>
        <w:t xml:space="preserve"> </w:t>
      </w:r>
      <w:r>
        <w:t xml:space="preserve">5c To what extent is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coherent</w:t>
      </w:r>
      <w:r>
        <w:t xml:space="preserve"> </w:t>
      </w:r>
      <w:r>
        <w:t xml:space="preserve">with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climate policies and</w:t>
      </w:r>
      <w:r>
        <w:t xml:space="preserve"> </w:t>
      </w:r>
      <w:r>
        <w:t xml:space="preserve">obligations?</w:t>
      </w:r>
      <w:r>
        <w:t xml:space="preserve"> </w:t>
      </w:r>
      <w:r>
        <w:t xml:space="preserve">If the 2030 ETS target is aligned to a trajectory of</w:t>
      </w:r>
      <w:r>
        <w:t xml:space="preserve"> </w:t>
      </w:r>
      <w:r>
        <w:t xml:space="preserve">climate neutrality by 2050 then the Directive is</w:t>
      </w:r>
      <w:r>
        <w:t xml:space="preserve"> </w:t>
      </w:r>
      <w:r>
        <w:t xml:space="preserve">coherent with international climate policies and</w:t>
      </w:r>
      <w:r>
        <w:t xml:space="preserve"> </w:t>
      </w:r>
      <w:r>
        <w:t xml:space="preserve">obligations.</w:t>
      </w:r>
      <w:r>
        <w:t xml:space="preserve"> </w:t>
      </w:r>
      <w:r>
        <w:t xml:space="preserve">Qualitative assessment:</w:t>
      </w:r>
      <w:r>
        <w:t xml:space="preserve"> </w:t>
      </w:r>
      <w:r>
        <w:t xml:space="preserve">•</w:t>
      </w:r>
      <w:r>
        <w:t xml:space="preserve"> </w:t>
      </w:r>
      <w:r>
        <w:t xml:space="preserve">Refer to Article 4 of the Paris Agreement</w:t>
      </w:r>
      <w:r>
        <w:t xml:space="preserve"> </w:t>
      </w:r>
      <w:r>
        <w:t xml:space="preserve">that requires ‘achieve a balance between</w:t>
      </w:r>
      <w:r>
        <w:t xml:space="preserve"> </w:t>
      </w:r>
      <w:r>
        <w:t xml:space="preserve">anthropogenic emissions by sources and</w:t>
      </w:r>
      <w:r>
        <w:t xml:space="preserve"> </w:t>
      </w:r>
      <w:r>
        <w:t xml:space="preserve">removals by sinks of greenhouse gases in</w:t>
      </w:r>
      <w:r>
        <w:t xml:space="preserve"> </w:t>
      </w:r>
      <w:r>
        <w:t xml:space="preserve">the second half of this century’ and</w:t>
      </w:r>
      <w:r>
        <w:t xml:space="preserve"> </w:t>
      </w:r>
      <w:r>
        <w:t xml:space="preserve">compare this with the 2030 target set for</w:t>
      </w:r>
      <w:r>
        <w:t xml:space="preserve"> </w:t>
      </w:r>
      <w:r>
        <w:t xml:space="preserve">the ETS and whether this is aligned with</w:t>
      </w:r>
      <w:r>
        <w:t xml:space="preserve"> </w:t>
      </w:r>
      <w:r>
        <w:t xml:space="preserve">decarbonisation by 2050.</w:t>
      </w:r>
      <w:r>
        <w:t xml:space="preserve"> </w:t>
      </w:r>
      <w:r>
        <w:t xml:space="preserve">Literature review</w:t>
      </w:r>
    </w:p>
    <w:p>
      <w:pPr>
        <w:pStyle w:val="BodyText"/>
      </w:pPr>
      <w:r>
        <w:t xml:space="preserve">8.1.4 EU added value</w:t>
      </w:r>
      <w:r>
        <w:t xml:space="preserve"> </w:t>
      </w:r>
      <w:r>
        <w:t xml:space="preserve">Table 4:</w:t>
      </w:r>
      <w:r>
        <w:t xml:space="preserve"> </w:t>
      </w:r>
      <w:r>
        <w:t xml:space="preserve">ETS Evaluation Matrix – EU added value</w:t>
      </w:r>
    </w:p>
    <w:p>
      <w:pPr>
        <w:pStyle w:val="BodyText"/>
      </w:pP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 and approach</w:t>
      </w:r>
      <w:r>
        <w:br/>
      </w:r>
      <w:r>
        <w:t xml:space="preserve">Data sources</w:t>
      </w:r>
      <w:r>
        <w:t xml:space="preserve"> </w:t>
      </w:r>
      <w:r>
        <w:t xml:space="preserve">4a What is the EU-value</w:t>
      </w:r>
      <w:r>
        <w:t xml:space="preserve"> </w:t>
      </w:r>
      <w:r>
        <w:t xml:space="preserve">added of the Directive? To</w:t>
      </w:r>
      <w:r>
        <w:t xml:space="preserve"> </w:t>
      </w:r>
      <w:r>
        <w:t xml:space="preserve">what extent could the</w:t>
      </w:r>
      <w:r>
        <w:t xml:space="preserve"> </w:t>
      </w:r>
      <w:r>
        <w:t xml:space="preserve">changes brought by the</w:t>
      </w:r>
      <w:r>
        <w:t xml:space="preserve"> </w:t>
      </w:r>
      <w:r>
        <w:t xml:space="preserve">Directive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achieved by national or</w:t>
      </w:r>
      <w:r>
        <w:t xml:space="preserve"> </w:t>
      </w:r>
      <w:r>
        <w:t xml:space="preserve">individual Member States’</w:t>
      </w:r>
      <w:r>
        <w:t xml:space="preserve"> </w:t>
      </w:r>
      <w:r>
        <w:t xml:space="preserve">measures only?</w:t>
      </w:r>
      <w:r>
        <w:t xml:space="preserve"> </w:t>
      </w:r>
      <w:r>
        <w:t xml:space="preserve">If the changes brought by the ETS</w:t>
      </w:r>
      <w:r>
        <w:t xml:space="preserve"> </w:t>
      </w:r>
      <w:r>
        <w:t xml:space="preserve">Directive would most likely be more</w:t>
      </w:r>
      <w:r>
        <w:t xml:space="preserve"> </w:t>
      </w:r>
      <w:r>
        <w:t xml:space="preserve">expensive to implement at the national</w:t>
      </w:r>
      <w:r>
        <w:t xml:space="preserve"> </w:t>
      </w:r>
      <w:r>
        <w:t xml:space="preserve">level, then there is added value of</w:t>
      </w:r>
      <w:r>
        <w:t xml:space="preserve"> </w:t>
      </w:r>
      <w:r>
        <w:t xml:space="preserve">implementation at the EU level.</w:t>
      </w:r>
      <w:r>
        <w:t xml:space="preserve"> </w:t>
      </w:r>
      <w:r>
        <w:t xml:space="preserve">Qualitative assessment:</w:t>
      </w:r>
      <w:r>
        <w:t xml:space="preserve"> </w:t>
      </w:r>
      <w:r>
        <w:t xml:space="preserve">•</w:t>
      </w:r>
      <w:r>
        <w:t xml:space="preserve"> </w:t>
      </w:r>
      <w:r>
        <w:t xml:space="preserve">Build upon argumentation from previous</w:t>
      </w:r>
      <w:r>
        <w:t xml:space="preserve"> </w:t>
      </w:r>
      <w:r>
        <w:t xml:space="preserve">evaluation and add new relevant insights and</w:t>
      </w:r>
      <w:r>
        <w:t xml:space="preserve"> </w:t>
      </w:r>
      <w:r>
        <w:t xml:space="preserve">reflect more recent changes as examples of the</w:t>
      </w:r>
      <w:r>
        <w:t xml:space="preserve"> </w:t>
      </w:r>
      <w:r>
        <w:t xml:space="preserve">EU added value.</w:t>
      </w:r>
      <w:r>
        <w:t xml:space="preserve"> </w:t>
      </w:r>
      <w:r>
        <w:t xml:space="preserve">•</w:t>
      </w:r>
      <w:r>
        <w:t xml:space="preserve"> </w:t>
      </w:r>
      <w:r>
        <w:t xml:space="preserve">Look also at literature assessing impact of</w:t>
      </w:r>
      <w:r>
        <w:t xml:space="preserve"> </w:t>
      </w:r>
      <w:r>
        <w:t xml:space="preserve">national measures.</w:t>
      </w:r>
      <w:r>
        <w:t xml:space="preserve"> </w:t>
      </w:r>
      <w:r>
        <w:t xml:space="preserve">•</w:t>
      </w:r>
      <w:r>
        <w:t xml:space="preserve"> </w:t>
      </w:r>
      <w:r>
        <w:t xml:space="preserve">Refer to more detailed work on EU added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rule</w:t>
      </w:r>
      <w:r>
        <w:t xml:space="preserve"> </w:t>
      </w:r>
      <w:r>
        <w:t xml:space="preserve">harmonisation</w:t>
      </w:r>
      <w:r>
        <w:t xml:space="preserve"> </w:t>
      </w:r>
      <w:r>
        <w:t xml:space="preserve">for</w:t>
      </w:r>
      <w:r>
        <w:t xml:space="preserve"> </w:t>
      </w:r>
      <w:r>
        <w:t xml:space="preserve">free</w:t>
      </w:r>
      <w:r>
        <w:t xml:space="preserve"> </w:t>
      </w:r>
      <w:r>
        <w:t xml:space="preserve">Literature review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allocation, MRVA and resilience provided by</w:t>
      </w:r>
      <w:r>
        <w:t xml:space="preserve"> </w:t>
      </w:r>
      <w:r>
        <w:t xml:space="preserve">the MSR.</w:t>
      </w:r>
    </w:p>
    <w:p>
      <w:pPr>
        <w:pStyle w:val="BodyText"/>
      </w:pPr>
      <w:r>
        <w:t xml:space="preserve">4b What would be the most</w:t>
      </w:r>
      <w:r>
        <w:t xml:space="preserve"> </w:t>
      </w:r>
      <w:r>
        <w:t xml:space="preserve">likely consequences of</w:t>
      </w:r>
      <w:r>
        <w:t xml:space="preserve"> </w:t>
      </w:r>
      <w:r>
        <w:t xml:space="preserve">stopping or downscaling</w:t>
      </w:r>
      <w:r>
        <w:t xml:space="preserve"> </w:t>
      </w:r>
      <w:r>
        <w:t xml:space="preserve">the</w:t>
      </w:r>
      <w:r>
        <w:t xml:space="preserve"> </w:t>
      </w:r>
      <w:r>
        <w:t xml:space="preserve">existing</w:t>
      </w:r>
      <w:r>
        <w:t xml:space="preserve"> </w:t>
      </w:r>
      <w:r>
        <w:t xml:space="preserve">ETS</w:t>
      </w:r>
      <w:r>
        <w:t xml:space="preserve"> </w:t>
      </w:r>
      <w:r>
        <w:t xml:space="preserve">Directive?</w:t>
      </w:r>
      <w:r>
        <w:t xml:space="preserve"> </w:t>
      </w:r>
      <w:r>
        <w:t xml:space="preserve">If the list of potential impacts is likely to be</w:t>
      </w:r>
      <w:r>
        <w:t xml:space="preserve"> </w:t>
      </w:r>
      <w:r>
        <w:t xml:space="preserve">very detrimental then the EU provides a lot</w:t>
      </w:r>
      <w:r>
        <w:t xml:space="preserve"> </w:t>
      </w:r>
      <w:r>
        <w:t xml:space="preserve">of added value that would be at risk if</w:t>
      </w:r>
      <w:r>
        <w:t xml:space="preserve"> </w:t>
      </w:r>
      <w:r>
        <w:t xml:space="preserve">national emission trading systems replaced</w:t>
      </w:r>
      <w:r>
        <w:t xml:space="preserve"> </w:t>
      </w:r>
      <w:r>
        <w:t xml:space="preserve">the EU ETS.</w:t>
      </w:r>
      <w:r>
        <w:br/>
      </w:r>
      <w:r>
        <w:t xml:space="preserve">Qualitative assessment:</w:t>
      </w:r>
      <w:r>
        <w:t xml:space="preserve"> </w:t>
      </w:r>
      <w:r>
        <w:t xml:space="preserve">•</w:t>
      </w:r>
      <w:r>
        <w:t xml:space="preserve"> </w:t>
      </w:r>
      <w:r>
        <w:t xml:space="preserve">Build upon argumentation from previous</w:t>
      </w:r>
      <w:r>
        <w:t xml:space="preserve"> </w:t>
      </w:r>
      <w:r>
        <w:t xml:space="preserve">evaluation and add new relevant insights and</w:t>
      </w:r>
      <w:r>
        <w:t xml:space="preserve"> </w:t>
      </w:r>
      <w:r>
        <w:t xml:space="preserve">reflect more recent changes as examples of the</w:t>
      </w:r>
      <w:r>
        <w:t xml:space="preserve"> </w:t>
      </w:r>
      <w:r>
        <w:t xml:space="preserve">EU added value.</w:t>
      </w:r>
    </w:p>
    <w:p>
      <w:pPr>
        <w:pStyle w:val="BodyText"/>
      </w:pPr>
      <w:r>
        <w:t xml:space="preserve">Literature review</w:t>
      </w:r>
      <w:r>
        <w:t xml:space="preserve"> </w:t>
      </w:r>
      <w:r>
        <w:t xml:space="preserve">8.1.5 Relevance</w:t>
      </w:r>
      <w:r>
        <w:t xml:space="preserve"> </w:t>
      </w:r>
      <w:r>
        <w:t xml:space="preserve">Table 5:</w:t>
      </w:r>
      <w:r>
        <w:t xml:space="preserve"> </w:t>
      </w:r>
      <w:r>
        <w:t xml:space="preserve">ETS Evaluation Matrix - Relevance</w:t>
      </w:r>
    </w:p>
    <w:p>
      <w:pPr>
        <w:pStyle w:val="BodyText"/>
      </w:pP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 and approach</w:t>
      </w:r>
      <w:r>
        <w:br/>
      </w:r>
      <w:r>
        <w:t xml:space="preserve">Data sources</w:t>
      </w:r>
      <w:r>
        <w:t xml:space="preserve"> </w:t>
      </w:r>
      <w:r>
        <w:t xml:space="preserve">1a How well do the objectives of the EU</w:t>
      </w:r>
      <w:r>
        <w:t xml:space="preserve"> </w:t>
      </w:r>
      <w:r>
        <w:t xml:space="preserve">ETS (still) correspond to the EU climate</w:t>
      </w:r>
      <w:r>
        <w:t xml:space="preserve"> </w:t>
      </w:r>
      <w:r>
        <w:t xml:space="preserve">policy objectives?</w:t>
      </w:r>
      <w:r>
        <w:br/>
      </w:r>
      <w:r>
        <w:t xml:space="preserve">Is the updated objective from the 2018</w:t>
      </w:r>
      <w:r>
        <w:t xml:space="preserve"> </w:t>
      </w:r>
      <w:r>
        <w:t xml:space="preserve">ETS revision of GHG emissions to be</w:t>
      </w:r>
      <w:r>
        <w:t xml:space="preserve"> </w:t>
      </w:r>
      <w:r>
        <w:t xml:space="preserve">reduced ‘in the most economically</w:t>
      </w:r>
      <w:r>
        <w:t xml:space="preserve"> </w:t>
      </w:r>
      <w:r>
        <w:t xml:space="preserve">efficient manner’131 still relevant?</w:t>
      </w:r>
      <w:r>
        <w:t xml:space="preserve"> </w:t>
      </w:r>
      <w:r>
        <w:t xml:space="preserve">If the ETS accounts for a</w:t>
      </w:r>
      <w:r>
        <w:t xml:space="preserve"> </w:t>
      </w:r>
      <w:r>
        <w:t xml:space="preserve">considerable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emission reduction effort to</w:t>
      </w:r>
      <w:r>
        <w:t xml:space="preserve"> </w:t>
      </w:r>
      <w:r>
        <w:t xml:space="preserve">meet the EU wide targets, then</w:t>
      </w:r>
      <w:r>
        <w:t xml:space="preserve"> </w:t>
      </w:r>
      <w:r>
        <w:t xml:space="preserve">we can argue that the ETS</w:t>
      </w:r>
      <w:r>
        <w:t xml:space="preserve"> </w:t>
      </w:r>
      <w:r>
        <w:t xml:space="preserve">remains relevant.</w:t>
      </w:r>
    </w:p>
    <w:p>
      <w:pPr>
        <w:pStyle w:val="BodyText"/>
      </w:pPr>
      <w:r>
        <w:t xml:space="preserve">Quantitative assessment</w:t>
      </w:r>
      <w:r>
        <w:t xml:space="preserve"> </w:t>
      </w:r>
      <w:r>
        <w:t xml:space="preserve">•</w:t>
      </w:r>
      <w:r>
        <w:t xml:space="preserve"> </w:t>
      </w:r>
      <w:r>
        <w:t xml:space="preserve">Compare EU climate target for 2020 and 2030 with</w:t>
      </w:r>
      <w:r>
        <w:t xml:space="preserve"> </w:t>
      </w:r>
      <w:r>
        <w:t xml:space="preserve">verified emissions in the EU ETS.</w:t>
      </w:r>
      <w:r>
        <w:t xml:space="preserve"> </w:t>
      </w:r>
      <w:r>
        <w:t xml:space="preserve">•</w:t>
      </w:r>
      <w:r>
        <w:t xml:space="preserve"> </w:t>
      </w:r>
      <w:r>
        <w:t xml:space="preserve">Share of EU emissions covered by EU ETS 1 and</w:t>
      </w:r>
      <w:r>
        <w:t xml:space="preserve"> </w:t>
      </w:r>
      <w:r>
        <w:t xml:space="preserve">evolution over time.</w:t>
      </w:r>
      <w:r>
        <w:br/>
      </w:r>
      <w:r>
        <w:t xml:space="preserve">•</w:t>
      </w:r>
      <w:r>
        <w:t xml:space="preserve"> </w:t>
      </w:r>
      <w:r>
        <w:t xml:space="preserve">Number of installations covered by the EU ETS</w:t>
      </w:r>
      <w:r>
        <w:t xml:space="preserve"> </w:t>
      </w:r>
      <w:r>
        <w:t xml:space="preserve">EUTL</w:t>
      </w:r>
      <w:r>
        <w:t xml:space="preserve"> </w:t>
      </w:r>
      <w:r>
        <w:t xml:space="preserve">NIMs</w:t>
      </w:r>
    </w:p>
    <w:p>
      <w:pPr>
        <w:pStyle w:val="BodyText"/>
      </w:pPr>
      <w:r>
        <w:t xml:space="preserve">131 Refer to para 31 in DIRECTIVE (EU) 2018/ 410 OF THE EUROPEAN PARLIAMENT AND OF THE COUNCIL - of 14 March 2018 - amending Directive 2003/ 87/</w:t>
      </w:r>
      <w:r>
        <w:t xml:space="preserve"> </w:t>
      </w:r>
      <w:r>
        <w:t xml:space="preserve">EC to enhance cost-effective emission reductions and low-carbon investments, and Decision (EU) 2015/ 1814. “This Directive seeks to contribute to the objective of a</w:t>
      </w:r>
      <w:r>
        <w:t xml:space="preserve"> </w:t>
      </w:r>
      <w:r>
        <w:t xml:space="preserve">high level of environmental protection, in accordance with the principle of sustainable development, in the most economically efficient manner, while providing installations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1b Is EU ETS (a cap-and-trade system) still</w:t>
      </w:r>
      <w:r>
        <w:t xml:space="preserve"> </w:t>
      </w:r>
      <w:r>
        <w:t xml:space="preserve">relevant as an effective and efficient</w:t>
      </w:r>
      <w:r>
        <w:t xml:space="preserve"> </w:t>
      </w:r>
      <w:r>
        <w:t xml:space="preserve">instrument for achieving the EU climate</w:t>
      </w:r>
      <w:r>
        <w:t xml:space="preserve"> </w:t>
      </w:r>
      <w:r>
        <w:t xml:space="preserve">policy goals and priorities?</w:t>
      </w:r>
      <w:r>
        <w:t xml:space="preserve"> </w:t>
      </w:r>
      <w:r>
        <w:t xml:space="preserve">Cap and trade is more efficient</w:t>
      </w:r>
      <w:r>
        <w:t xml:space="preserve"> </w:t>
      </w:r>
      <w:r>
        <w:t xml:space="preserve">than</w:t>
      </w:r>
      <w:r>
        <w:t xml:space="preserve"> </w:t>
      </w:r>
      <w:r>
        <w:t xml:space="preserve">alternatives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regulation of carbon taxes.</w:t>
      </w:r>
      <w:r>
        <w:t xml:space="preserve"> </w:t>
      </w:r>
      <w:r>
        <w:t xml:space="preserve">Qualitative assessment:</w:t>
      </w:r>
      <w:r>
        <w:t xml:space="preserve"> </w:t>
      </w:r>
      <w:r>
        <w:t xml:space="preserve">•</w:t>
      </w:r>
      <w:r>
        <w:t xml:space="preserve"> </w:t>
      </w:r>
      <w:r>
        <w:t xml:space="preserve">Refer to discussion provided in detail under</w:t>
      </w:r>
      <w:r>
        <w:t xml:space="preserve"> </w:t>
      </w:r>
      <w:r>
        <w:t xml:space="preserve">efficiency for the EU ETS overall.</w:t>
      </w:r>
      <w:r>
        <w:t xml:space="preserve"> </w:t>
      </w:r>
      <w:r>
        <w:t xml:space="preserve">Literature</w:t>
      </w:r>
      <w:r>
        <w:t xml:space="preserve"> </w:t>
      </w:r>
      <w:r>
        <w:t xml:space="preserve">review</w:t>
      </w:r>
      <w:r>
        <w:t xml:space="preserve"> </w:t>
      </w:r>
      <w:r>
        <w:t xml:space="preserve">1c How well adapted is the Directive to</w:t>
      </w:r>
      <w:r>
        <w:t xml:space="preserve"> </w:t>
      </w:r>
      <w:r>
        <w:t xml:space="preserve">subsequent technological or scientific</w:t>
      </w:r>
      <w:r>
        <w:t xml:space="preserve"> </w:t>
      </w:r>
      <w:r>
        <w:t xml:space="preserve">advances, or any other unexpected</w:t>
      </w:r>
      <w:r>
        <w:t xml:space="preserve"> </w:t>
      </w:r>
      <w:r>
        <w:t xml:space="preserve">external influences such as the recent</w:t>
      </w:r>
      <w:r>
        <w:t xml:space="preserve"> </w:t>
      </w:r>
      <w:r>
        <w:t xml:space="preserve">economic crisis?</w:t>
      </w:r>
      <w:r>
        <w:t xml:space="preserve"> </w:t>
      </w:r>
      <w:r>
        <w:t xml:space="preserve">If the update of benchmarks</w:t>
      </w:r>
      <w:r>
        <w:t xml:space="preserve"> </w:t>
      </w:r>
      <w:r>
        <w:t xml:space="preserve">have</w:t>
      </w:r>
      <w:r>
        <w:t xml:space="preserve"> </w:t>
      </w:r>
      <w:r>
        <w:t xml:space="preserve">taken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technological progress and the</w:t>
      </w:r>
      <w:r>
        <w:t xml:space="preserve"> </w:t>
      </w:r>
      <w:r>
        <w:t xml:space="preserve">alignment of free allocation</w:t>
      </w:r>
      <w:r>
        <w:t xml:space="preserve"> </w:t>
      </w:r>
      <w:r>
        <w:t xml:space="preserve">with actual production levels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introduction</w:t>
      </w:r>
      <w:r>
        <w:t xml:space="preserve"> </w:t>
      </w:r>
      <w:r>
        <w:t xml:space="preserve">and</w:t>
      </w:r>
      <w:r>
        <w:t xml:space="preserve"> </w:t>
      </w:r>
      <w:r>
        <w:t xml:space="preserve">reforms of the MSR has helped</w:t>
      </w:r>
      <w:r>
        <w:t xml:space="preserve"> </w:t>
      </w:r>
      <w:r>
        <w:t xml:space="preserve">the functioning of the ETS 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unexpected</w:t>
      </w:r>
      <w:r>
        <w:t xml:space="preserve"> </w:t>
      </w:r>
      <w:r>
        <w:t xml:space="preserve">external</w:t>
      </w:r>
      <w:r>
        <w:t xml:space="preserve"> </w:t>
      </w:r>
      <w:r>
        <w:t xml:space="preserve">events,</w:t>
      </w:r>
      <w:r>
        <w:t xml:space="preserve"> </w:t>
      </w:r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changes in the 2018 Directive</w:t>
      </w:r>
      <w:r>
        <w:t xml:space="preserve"> </w:t>
      </w:r>
      <w:r>
        <w:t xml:space="preserve">have helped the ETS to adapt</w:t>
      </w:r>
      <w:r>
        <w:t xml:space="preserve"> </w:t>
      </w:r>
      <w:r>
        <w:t xml:space="preserve">and stay relevant.</w:t>
      </w:r>
      <w:r>
        <w:t xml:space="preserve"> </w:t>
      </w:r>
      <w:r>
        <w:t xml:space="preserve">Qualitative assessment:</w:t>
      </w:r>
      <w:r>
        <w:br/>
      </w:r>
      <w:r>
        <w:t xml:space="preserve">•</w:t>
      </w:r>
      <w:r>
        <w:t xml:space="preserve"> </w:t>
      </w:r>
      <w:r>
        <w:t xml:space="preserve">Outline that the ETS is inherently flexible by</w:t>
      </w:r>
      <w:r>
        <w:t xml:space="preserve"> </w:t>
      </w:r>
      <w:r>
        <w:t xml:space="preserve">design but argue that reforms have improved</w:t>
      </w:r>
      <w:r>
        <w:t xml:space="preserve"> </w:t>
      </w:r>
      <w:r>
        <w:t xml:space="preserve">resilience and refer to the following chapters for a</w:t>
      </w:r>
      <w:r>
        <w:t xml:space="preserve"> </w:t>
      </w:r>
      <w:r>
        <w:t xml:space="preserve">more detailed level of argumentation.</w:t>
      </w:r>
      <w:r>
        <w:t xml:space="preserve"> </w:t>
      </w:r>
      <w:r>
        <w:t xml:space="preserve">Refer to more detailed chapters of the evaluation:</w:t>
      </w:r>
      <w:r>
        <w:t xml:space="preserve"> </w:t>
      </w:r>
      <w:r>
        <w:t xml:space="preserve">•</w:t>
      </w:r>
      <w:r>
        <w:t xml:space="preserve"> </w:t>
      </w:r>
      <w:r>
        <w:t xml:space="preserve">We will refer to more detailed discussion of</w:t>
      </w:r>
      <w:r>
        <w:t xml:space="preserve"> </w:t>
      </w:r>
      <w:r>
        <w:t xml:space="preserve">updating product benchmarks in carbon leakage</w:t>
      </w:r>
      <w:r>
        <w:t xml:space="preserve"> </w:t>
      </w:r>
      <w:r>
        <w:t xml:space="preserve">and alignment of free allocation to actual</w:t>
      </w:r>
      <w:r>
        <w:t xml:space="preserve"> </w:t>
      </w:r>
      <w:r>
        <w:t xml:space="preserve">production levels.</w:t>
      </w:r>
      <w:r>
        <w:br/>
      </w:r>
      <w:r>
        <w:t xml:space="preserve">•</w:t>
      </w:r>
      <w:r>
        <w:t xml:space="preserve"> </w:t>
      </w:r>
      <w:r>
        <w:t xml:space="preserve">We will refer to more detailed discussion of</w:t>
      </w:r>
      <w:r>
        <w:t xml:space="preserve"> </w:t>
      </w:r>
      <w:r>
        <w:t xml:space="preserve">functioning of the MSR to respond to external</w:t>
      </w:r>
      <w:r>
        <w:t xml:space="preserve"> </w:t>
      </w:r>
      <w:r>
        <w:t xml:space="preserve">shocks.</w:t>
      </w:r>
      <w:r>
        <w:t xml:space="preserve"> </w:t>
      </w:r>
      <w:r>
        <w:t xml:space="preserve">More</w:t>
      </w:r>
      <w:r>
        <w:t xml:space="preserve"> </w:t>
      </w:r>
      <w:r>
        <w:t xml:space="preserve">detailed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subsequent</w:t>
      </w:r>
      <w:r>
        <w:t xml:space="preserve"> </w:t>
      </w:r>
      <w:r>
        <w:t xml:space="preserve">chapters.</w:t>
      </w:r>
      <w:r>
        <w:t xml:space="preserve"> </w:t>
      </w:r>
      <w:r>
        <w:t xml:space="preserve">1d Can the Directive be easily adjusted to</w:t>
      </w:r>
      <w:r>
        <w:t xml:space="preserve"> </w:t>
      </w:r>
      <w:r>
        <w:t xml:space="preserve">new needs, in particular a new GHG</w:t>
      </w:r>
      <w:r>
        <w:t xml:space="preserve"> </w:t>
      </w:r>
      <w:r>
        <w:t xml:space="preserve">target for the EU?</w:t>
      </w:r>
      <w:r>
        <w:t xml:space="preserve"> </w:t>
      </w:r>
      <w:r>
        <w:t xml:space="preserve">The ETS Directive can be</w:t>
      </w:r>
      <w:r>
        <w:t xml:space="preserve"> </w:t>
      </w:r>
      <w:r>
        <w:t xml:space="preserve">easily adjusted via a change to</w:t>
      </w:r>
      <w:r>
        <w:t xml:space="preserve"> </w:t>
      </w:r>
      <w:r>
        <w:t xml:space="preserve">the LRF to reflect any updates</w:t>
      </w:r>
      <w:r>
        <w:t xml:space="preserve"> </w:t>
      </w:r>
      <w:r>
        <w:t xml:space="preserve">of EU economy-wide ambition.</w:t>
      </w:r>
      <w:r>
        <w:br/>
      </w:r>
      <w:r>
        <w:t xml:space="preserve">Qualitative assessment:</w:t>
      </w:r>
      <w:r>
        <w:t xml:space="preserve"> </w:t>
      </w:r>
      <w:r>
        <w:t xml:space="preserve">•</w:t>
      </w:r>
      <w:r>
        <w:t xml:space="preserve"> </w:t>
      </w:r>
      <w:r>
        <w:t xml:space="preserve">Discuss how the LRF was changed in the ETS</w:t>
      </w:r>
      <w:r>
        <w:t xml:space="preserve"> </w:t>
      </w:r>
      <w:r>
        <w:t xml:space="preserve">2018 Directive to reflect enhanced ambition of EU</w:t>
      </w:r>
      <w:r>
        <w:t xml:space="preserve"> </w:t>
      </w:r>
      <w:r>
        <w:t xml:space="preserve">with 2030 targets.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legislation.</w:t>
      </w:r>
    </w:p>
    <w:p>
      <w:pPr>
        <w:pStyle w:val="BodyText"/>
      </w:pPr>
      <w:r>
        <w:t xml:space="preserve">adequate time to adapt, and providing for more favourable treatment of particularly affected persons in a proportionate manner to the maximum extent compatible with the</w:t>
      </w:r>
      <w:r>
        <w:t xml:space="preserve"> </w:t>
      </w:r>
      <w:r>
        <w:t xml:space="preserve">other objectives of this Directive.”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8.2</w:t>
      </w:r>
      <w:r>
        <w:t xml:space="preserve"> </w:t>
      </w:r>
      <w:r>
        <w:t xml:space="preserve">MSR Evaluation Matrix</w:t>
      </w:r>
      <w:r>
        <w:t xml:space="preserve"> </w:t>
      </w:r>
      <w:r>
        <w:t xml:space="preserve">8.2.1 Relevance</w:t>
      </w:r>
      <w:r>
        <w:t xml:space="preserve"> </w:t>
      </w:r>
      <w:r>
        <w:t xml:space="preserve">Refer to evaluation matrix for the EU ETS overall.</w:t>
      </w:r>
      <w:r>
        <w:t xml:space="preserve"> </w:t>
      </w:r>
      <w:r>
        <w:t xml:space="preserve">8.2.2 Effectiveness</w:t>
      </w:r>
      <w:r>
        <w:t xml:space="preserve"> </w:t>
      </w:r>
      <w:r>
        <w:t xml:space="preserve">Table 6:</w:t>
      </w:r>
      <w:r>
        <w:t xml:space="preserve"> </w:t>
      </w:r>
      <w:r>
        <w:t xml:space="preserve">MSR Evaluation Matrix - Effectiveness</w:t>
      </w:r>
    </w:p>
    <w:p>
      <w:pPr>
        <w:pStyle w:val="BodyText"/>
      </w:pP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and</w:t>
      </w:r>
      <w:r>
        <w:t xml:space="preserve"> </w:t>
      </w:r>
      <w:r>
        <w:t xml:space="preserve">approach</w:t>
      </w:r>
      <w:r>
        <w:br/>
      </w:r>
      <w:r>
        <w:t xml:space="preserve">Data sources</w:t>
      </w:r>
      <w:r>
        <w:t xml:space="preserve"> </w:t>
      </w:r>
      <w:r>
        <w:t xml:space="preserve">1a Did the MSR reduce</w:t>
      </w:r>
      <w:r>
        <w:t xml:space="preserve"> </w:t>
      </w:r>
      <w:r>
        <w:t xml:space="preserve">the total number of</w:t>
      </w:r>
      <w:r>
        <w:t xml:space="preserve"> </w:t>
      </w:r>
      <w:r>
        <w:t xml:space="preserve">allowances</w:t>
      </w:r>
      <w:r>
        <w:t xml:space="preserve"> </w:t>
      </w:r>
      <w:r>
        <w:t xml:space="preserve">in</w:t>
      </w:r>
      <w:r>
        <w:t xml:space="preserve"> </w:t>
      </w:r>
      <w:r>
        <w:t xml:space="preserve">circulation</w:t>
      </w:r>
      <w:r>
        <w:t xml:space="preserve"> </w:t>
      </w:r>
      <w:r>
        <w:t xml:space="preserve">as</w:t>
      </w:r>
      <w:r>
        <w:t xml:space="preserve"> </w:t>
      </w:r>
      <w:r>
        <w:t xml:space="preserve">expected?</w:t>
      </w:r>
      <w:r>
        <w:t xml:space="preserve"> </w:t>
      </w:r>
      <w:r>
        <w:t xml:space="preserve">• Assessing the development of TNAC from 2013 to 2024.</w:t>
      </w:r>
      <w:r>
        <w:t xml:space="preserve"> </w:t>
      </w:r>
      <w:r>
        <w:t xml:space="preserve">Success: TNAC significantly decreased as expected.</w:t>
      </w:r>
      <w:r>
        <w:br/>
      </w:r>
      <w:r>
        <w:t xml:space="preserve">• Qualitatively discussing the effect, the effect of EU ETS</w:t>
      </w:r>
      <w:r>
        <w:t xml:space="preserve"> </w:t>
      </w:r>
      <w:r>
        <w:t xml:space="preserve">reform</w:t>
      </w:r>
      <w:r>
        <w:t xml:space="preserve"> </w:t>
      </w:r>
      <w:r>
        <w:t xml:space="preserve">milestones</w:t>
      </w:r>
      <w:r>
        <w:t xml:space="preserve"> </w:t>
      </w:r>
      <w:r>
        <w:t xml:space="preserve">(announcements,</w:t>
      </w:r>
      <w:r>
        <w:t xml:space="preserve"> </w:t>
      </w:r>
      <w:r>
        <w:t xml:space="preserve">adoption,</w:t>
      </w:r>
      <w:r>
        <w:t xml:space="preserve"> </w:t>
      </w:r>
      <w:r>
        <w:t xml:space="preserve">implementation) as well as external factors (economic</w:t>
      </w:r>
      <w:r>
        <w:t xml:space="preserve"> </w:t>
      </w:r>
      <w:r>
        <w:t xml:space="preserve">development, pandemic, energy crisis).</w:t>
      </w:r>
      <w:r>
        <w:t xml:space="preserve"> </w:t>
      </w:r>
      <w:r>
        <w:t xml:space="preserve">• Discussing the MSR effect versus other EU ETS reform</w:t>
      </w:r>
      <w:r>
        <w:t xml:space="preserve"> </w:t>
      </w:r>
      <w:r>
        <w:t xml:space="preserve">elements.</w:t>
      </w:r>
      <w:r>
        <w:t xml:space="preserve"> </w:t>
      </w:r>
      <w:r>
        <w:t xml:space="preserve">• Explaining the realities of the lack of a clear baseline to</w:t>
      </w:r>
      <w:r>
        <w:t xml:space="preserve"> </w:t>
      </w:r>
      <w:r>
        <w:t xml:space="preserve">compare the MSR effectiveness given the number of MSR</w:t>
      </w:r>
      <w:r>
        <w:t xml:space="preserve"> </w:t>
      </w:r>
      <w:r>
        <w:t xml:space="preserve">changes.</w:t>
      </w:r>
      <w:r>
        <w:t xml:space="preserve"> </w:t>
      </w:r>
      <w:r>
        <w:t xml:space="preserve">TNAC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TNAC Communications:</w:t>
      </w:r>
      <w:r>
        <w:t xml:space="preserve"> </w:t>
      </w:r>
      <w:r>
        <w:t xml:space="preserve">TNAC, annual allowances</w:t>
      </w:r>
      <w:r>
        <w:t xml:space="preserve"> </w:t>
      </w:r>
      <w:r>
        <w:t xml:space="preserve">supply</w:t>
      </w:r>
      <w:r>
        <w:t xml:space="preserve"> </w:t>
      </w:r>
      <w:r>
        <w:t xml:space="preserve">and</w:t>
      </w:r>
      <w:r>
        <w:t xml:space="preserve"> </w:t>
      </w:r>
      <w:r>
        <w:t xml:space="preserve">verified</w:t>
      </w:r>
      <w:r>
        <w:t xml:space="preserve"> </w:t>
      </w:r>
      <w:r>
        <w:t xml:space="preserve">emissions</w:t>
      </w:r>
      <w:r>
        <w:t xml:space="preserve"> </w:t>
      </w:r>
      <w:r>
        <w:t xml:space="preserve">•</w:t>
      </w:r>
      <w:r>
        <w:t xml:space="preserve"> </w:t>
      </w:r>
      <w:r>
        <w:t xml:space="preserve">Baseline</w:t>
      </w:r>
      <w:r>
        <w:t xml:space="preserve"> </w:t>
      </w:r>
      <w:r>
        <w:t xml:space="preserve">from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and</w:t>
      </w:r>
      <w:r>
        <w:t xml:space="preserve"> </w:t>
      </w:r>
      <w:r>
        <w:t xml:space="preserve">MSR</w:t>
      </w:r>
      <w:r>
        <w:t xml:space="preserve"> </w:t>
      </w:r>
      <w:r>
        <w:t xml:space="preserve">Review</w:t>
      </w:r>
      <w:r>
        <w:t xml:space="preserve"> </w:t>
      </w:r>
      <w:r>
        <w:t xml:space="preserve">•</w:t>
      </w:r>
      <w:r>
        <w:t xml:space="preserve"> </w:t>
      </w:r>
      <w:r>
        <w:t xml:space="preserve">EUA price data</w:t>
      </w:r>
    </w:p>
    <w:p>
      <w:pPr>
        <w:pStyle w:val="BodyText"/>
      </w:pPr>
      <w:r>
        <w:t xml:space="preserve">1b Has</w:t>
      </w:r>
      <w:r>
        <w:t xml:space="preserve"> </w:t>
      </w:r>
      <w:r>
        <w:t xml:space="preserve">the</w:t>
      </w:r>
      <w:r>
        <w:t xml:space="preserve"> </w:t>
      </w:r>
      <w:r>
        <w:t xml:space="preserve">MSR</w:t>
      </w:r>
      <w:r>
        <w:t xml:space="preserve"> </w:t>
      </w:r>
      <w:r>
        <w:t xml:space="preserve">mitigated the buildup</w:t>
      </w:r>
      <w:r>
        <w:t xml:space="preserve"> </w:t>
      </w:r>
      <w:r>
        <w:t xml:space="preserve">of a new surplus?</w:t>
      </w:r>
      <w:r>
        <w:br/>
      </w:r>
      <w:r>
        <w:t xml:space="preserve">• Analysing the effects of the MSR on the TNAC during the</w:t>
      </w:r>
      <w:r>
        <w:t xml:space="preserve"> </w:t>
      </w:r>
      <w:r>
        <w:t xml:space="preserve">pandemic 2020/21, the energy crisis 2021/2022 and potential</w:t>
      </w:r>
      <w:r>
        <w:t xml:space="preserve"> </w:t>
      </w:r>
      <w:r>
        <w:t xml:space="preserve">shocks induced by complementary policies (e.g. coal phase-</w:t>
      </w:r>
      <w:r>
        <w:t xml:space="preserve"> </w:t>
      </w:r>
      <w:r>
        <w:t xml:space="preserve">out).</w:t>
      </w:r>
      <w:r>
        <w:br/>
      </w:r>
      <w:r>
        <w:t xml:space="preserve">• Building upon and potentially update the 2021 IA.</w:t>
      </w:r>
      <w:r>
        <w:br/>
      </w:r>
      <w:r>
        <w:t xml:space="preserve">• Success: The MSR reduced a buildup of the TNAC compared</w:t>
      </w:r>
      <w:r>
        <w:t xml:space="preserve"> </w:t>
      </w:r>
      <w:r>
        <w:t xml:space="preserve">to a scenario without it.</w:t>
      </w:r>
      <w:r>
        <w:t xml:space="preserve"> </w:t>
      </w:r>
      <w:r>
        <w:t xml:space="preserve">• Discussing the MSR effect and the effect of individual MSR</w:t>
      </w:r>
      <w:r>
        <w:t xml:space="preserve"> </w:t>
      </w:r>
      <w:r>
        <w:t xml:space="preserve">elements versus other EU ETS reform elements.</w:t>
      </w:r>
      <w:r>
        <w:t xml:space="preserve"> </w:t>
      </w:r>
      <w:r>
        <w:t xml:space="preserve">TNAC</w:t>
      </w:r>
    </w:p>
    <w:p>
      <w:pPr>
        <w:pStyle w:val="BodyText"/>
      </w:pPr>
      <w:r>
        <w:t xml:space="preserve">• TNAC</w:t>
      </w:r>
      <w:r>
        <w:t xml:space="preserve"> </w:t>
      </w:r>
      <w:r>
        <w:t xml:space="preserve">Communications:</w:t>
      </w:r>
      <w:r>
        <w:t xml:space="preserve"> </w:t>
      </w:r>
      <w:r>
        <w:t xml:space="preserve">TNAC, annual allowances</w:t>
      </w:r>
      <w:r>
        <w:t xml:space="preserve"> </w:t>
      </w:r>
      <w:r>
        <w:t xml:space="preserve">supply and emissions</w:t>
      </w:r>
      <w:r>
        <w:t xml:space="preserve"> </w:t>
      </w:r>
      <w:r>
        <w:t xml:space="preserve">• Economic activity, energy</w:t>
      </w:r>
      <w:r>
        <w:t xml:space="preserve"> </w:t>
      </w:r>
      <w:r>
        <w:t xml:space="preserve">and EUA price data</w:t>
      </w:r>
      <w:r>
        <w:t xml:space="preserve"> </w:t>
      </w:r>
      <w:r>
        <w:t xml:space="preserve">• MSR Review (2021)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1c For shocks between</w:t>
      </w:r>
      <w:r>
        <w:t xml:space="preserve"> </w:t>
      </w:r>
      <w:r>
        <w:t xml:space="preserve">2019 and 2024, has</w:t>
      </w:r>
      <w:r>
        <w:t xml:space="preserve"> </w:t>
      </w:r>
      <w:r>
        <w:t xml:space="preserve">the MSR contributed</w:t>
      </w:r>
      <w:r>
        <w:t xml:space="preserve"> </w:t>
      </w:r>
      <w:r>
        <w:t xml:space="preserve">to mitigating price</w:t>
      </w:r>
      <w:r>
        <w:t xml:space="preserve"> </w:t>
      </w:r>
      <w:r>
        <w:t xml:space="preserve">crashes?</w:t>
      </w:r>
      <w:r>
        <w:br/>
      </w:r>
      <w:r>
        <w:t xml:space="preserve">• Analysing the effects of the MSR on the EUA price level</w:t>
      </w:r>
      <w:r>
        <w:t xml:space="preserve"> </w:t>
      </w:r>
      <w:r>
        <w:t xml:space="preserve">during the pandemic 2020/21, the energy crisis 2021/2022 and</w:t>
      </w:r>
      <w:r>
        <w:t xml:space="preserve"> </w:t>
      </w:r>
      <w:r>
        <w:t xml:space="preserve">potential shocks induced by complementary policies (e.g. coal</w:t>
      </w:r>
      <w:r>
        <w:t xml:space="preserve"> </w:t>
      </w:r>
      <w:r>
        <w:t xml:space="preserve">phase-out).</w:t>
      </w:r>
      <w:r>
        <w:br/>
      </w:r>
      <w:r>
        <w:t xml:space="preserve">• Building upon and potentially update the 2021 IA, incl. the</w:t>
      </w:r>
      <w:r>
        <w:t xml:space="preserve"> </w:t>
      </w:r>
      <w:r>
        <w:t xml:space="preserve">categorisation of shocks.</w:t>
      </w:r>
      <w:r>
        <w:t xml:space="preserve"> </w:t>
      </w:r>
      <w:r>
        <w:t xml:space="preserve">• Success: No building up of a surplus in the period of operations</w:t>
      </w:r>
      <w:r>
        <w:t xml:space="preserve"> </w:t>
      </w:r>
      <w:r>
        <w:t xml:space="preserve">of the MSR. The price level remained stable in times of crises.</w:t>
      </w:r>
      <w:r>
        <w:t xml:space="preserve"> </w:t>
      </w:r>
      <w:r>
        <w:t xml:space="preserve">Shocks have not induced price crashes.</w:t>
      </w:r>
      <w:r>
        <w:br/>
      </w:r>
      <w:r>
        <w:t xml:space="preserve">• Discussing the effect of the MSR and its individual elements</w:t>
      </w:r>
      <w:r>
        <w:t xml:space="preserve"> </w:t>
      </w:r>
      <w:r>
        <w:t xml:space="preserve">versus other EU ETS reform elements, highlighting that it is</w:t>
      </w:r>
      <w:r>
        <w:t xml:space="preserve"> </w:t>
      </w:r>
      <w:r>
        <w:t xml:space="preserve">impossible to clearly delineate the MSR effect in reality. Using</w:t>
      </w:r>
      <w:r>
        <w:t xml:space="preserve"> </w:t>
      </w:r>
      <w:r>
        <w:t xml:space="preserve">results from existing academic modelling to compare the size</w:t>
      </w:r>
      <w:r>
        <w:t xml:space="preserve"> </w:t>
      </w:r>
      <w:r>
        <w:t xml:space="preserve">of individual effects.</w:t>
      </w:r>
      <w:r>
        <w:t xml:space="preserve"> </w:t>
      </w:r>
      <w:r>
        <w:t xml:space="preserve">Changes in price</w:t>
      </w:r>
      <w:r>
        <w:t xml:space="preserve"> </w:t>
      </w:r>
      <w:r>
        <w:t xml:space="preserve">level (indicating a</w:t>
      </w:r>
      <w:r>
        <w:t xml:space="preserve"> </w:t>
      </w:r>
      <w:r>
        <w:t xml:space="preserve">healthy</w:t>
      </w:r>
      <w:r>
        <w:t xml:space="preserve"> </w:t>
      </w:r>
      <w:r>
        <w:t xml:space="preserve">demand-</w:t>
      </w:r>
      <w:r>
        <w:t xml:space="preserve"> </w:t>
      </w:r>
      <w:r>
        <w:t xml:space="preserve">supply balance)</w:t>
      </w:r>
    </w:p>
    <w:p>
      <w:pPr>
        <w:pStyle w:val="BodyText"/>
      </w:pPr>
      <w:r>
        <w:t xml:space="preserve">• EUA price level</w:t>
      </w:r>
      <w:r>
        <w:t xml:space="preserve"> </w:t>
      </w:r>
      <w:r>
        <w:t xml:space="preserve">• Economic activity, energy</w:t>
      </w:r>
      <w:r>
        <w:t xml:space="preserve"> </w:t>
      </w:r>
      <w:r>
        <w:t xml:space="preserve">and EUA price data</w:t>
      </w:r>
      <w:r>
        <w:t xml:space="preserve"> </w:t>
      </w:r>
      <w:r>
        <w:t xml:space="preserve">• Academic modelling</w:t>
      </w:r>
    </w:p>
    <w:p>
      <w:pPr>
        <w:pStyle w:val="BodyText"/>
      </w:pPr>
      <w:r>
        <w:t xml:space="preserve">1d Has</w:t>
      </w:r>
      <w:r>
        <w:t xml:space="preserve"> </w:t>
      </w:r>
      <w:r>
        <w:t xml:space="preserve">the</w:t>
      </w:r>
      <w:r>
        <w:t xml:space="preserve"> </w:t>
      </w:r>
      <w:r>
        <w:t xml:space="preserve">MSR</w:t>
      </w:r>
      <w:r>
        <w:t xml:space="preserve"> </w:t>
      </w:r>
      <w:r>
        <w:t xml:space="preserve">increased confidence</w:t>
      </w:r>
      <w:r>
        <w:t xml:space="preserve"> </w:t>
      </w:r>
      <w:r>
        <w:t xml:space="preserve">into the EU ETS as</w:t>
      </w:r>
      <w:r>
        <w:t xml:space="preserve"> </w:t>
      </w:r>
      <w:r>
        <w:t xml:space="preserve">main driver for long-</w:t>
      </w:r>
      <w:r>
        <w:t xml:space="preserve"> </w:t>
      </w:r>
      <w:r>
        <w:t xml:space="preserve">term decarbonisation</w:t>
      </w:r>
      <w:r>
        <w:t xml:space="preserve"> </w:t>
      </w:r>
      <w:r>
        <w:t xml:space="preserve">in the EU?</w:t>
      </w:r>
      <w:r>
        <w:br/>
      </w:r>
      <w:r>
        <w:t xml:space="preserve">• Assessing how the proposal for the MSR and the invalidation</w:t>
      </w:r>
      <w:r>
        <w:t xml:space="preserve"> </w:t>
      </w:r>
      <w:r>
        <w:t xml:space="preserve">mechanism has been perceived by media, in communications</w:t>
      </w:r>
      <w:r>
        <w:t xml:space="preserve"> </w:t>
      </w:r>
      <w:r>
        <w:t xml:space="preserve">of industry associations, etc. at different reform milestones.</w:t>
      </w:r>
      <w:r>
        <w:t xml:space="preserve"> </w:t>
      </w:r>
      <w:r>
        <w:t xml:space="preserve">Success: positive perception of the MSR/invalidation</w:t>
      </w:r>
      <w:r>
        <w:t xml:space="preserve"> </w:t>
      </w:r>
      <w:r>
        <w:t xml:space="preserve">mechanism in the public opinion.</w:t>
      </w:r>
      <w:r>
        <w:t xml:space="preserve"> </w:t>
      </w:r>
      <w:r>
        <w:t xml:space="preserve">• If possible, discussing the part of price increases attributable</w:t>
      </w:r>
      <w:r>
        <w:t xml:space="preserve"> </w:t>
      </w:r>
      <w:r>
        <w:t xml:space="preserve">to EU ETS fundamentals versus the role of increased</w:t>
      </w:r>
      <w:r>
        <w:t xml:space="preserve"> </w:t>
      </w:r>
      <w:r>
        <w:t xml:space="preserve">confidence.</w:t>
      </w:r>
      <w:r>
        <w:t xml:space="preserve"> </w:t>
      </w:r>
      <w:r>
        <w:t xml:space="preserve">• Price</w:t>
      </w:r>
      <w:r>
        <w:t xml:space="preserve"> </w:t>
      </w:r>
      <w:r>
        <w:t xml:space="preserve">level</w:t>
      </w:r>
      <w:r>
        <w:t xml:space="preserve"> </w:t>
      </w:r>
      <w:r>
        <w:t xml:space="preserve">(indicating</w:t>
      </w:r>
      <w:r>
        <w:t xml:space="preserve"> </w:t>
      </w:r>
      <w:r>
        <w:t xml:space="preserve">confidence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system)</w:t>
      </w:r>
      <w:r>
        <w:t xml:space="preserve"> </w:t>
      </w:r>
      <w:r>
        <w:t xml:space="preserve">• Perception</w:t>
      </w:r>
      <w:r>
        <w:t xml:space="preserve"> </w:t>
      </w:r>
      <w:r>
        <w:t xml:space="preserve">of the EU</w:t>
      </w:r>
      <w:r>
        <w:t xml:space="preserve"> </w:t>
      </w:r>
      <w:r>
        <w:t xml:space="preserve">ETS</w:t>
      </w:r>
      <w:r>
        <w:t xml:space="preserve"> </w:t>
      </w:r>
      <w:r>
        <w:t xml:space="preserve">• EUA price data</w:t>
      </w:r>
      <w:r>
        <w:t xml:space="preserve"> </w:t>
      </w:r>
      <w:r>
        <w:t xml:space="preserve">• Media</w:t>
      </w:r>
      <w:r>
        <w:t xml:space="preserve"> </w:t>
      </w:r>
      <w:r>
        <w:t xml:space="preserve">articles,</w:t>
      </w:r>
      <w:r>
        <w:t xml:space="preserve"> </w:t>
      </w:r>
      <w:r>
        <w:t xml:space="preserve">press</w:t>
      </w:r>
      <w:r>
        <w:t xml:space="preserve"> </w:t>
      </w:r>
      <w:r>
        <w:t xml:space="preserve">releases</w:t>
      </w:r>
      <w:r>
        <w:t xml:space="preserve"> </w:t>
      </w:r>
      <w:r>
        <w:t xml:space="preserve">• Interviews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8.2.3 Efficiency</w:t>
      </w:r>
      <w:r>
        <w:t xml:space="preserve"> </w:t>
      </w:r>
      <w:r>
        <w:t xml:space="preserve">Table 7:</w:t>
      </w:r>
      <w:r>
        <w:t xml:space="preserve"> </w:t>
      </w:r>
      <w:r>
        <w:t xml:space="preserve">MSR Evaluation Matrix - Efficiency</w:t>
      </w:r>
    </w:p>
    <w:p>
      <w:pPr>
        <w:pStyle w:val="BodyText"/>
      </w:pP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and</w:t>
      </w:r>
      <w:r>
        <w:t xml:space="preserve"> </w:t>
      </w:r>
      <w:r>
        <w:t xml:space="preserve">approach</w:t>
      </w:r>
      <w:r>
        <w:br/>
      </w:r>
      <w:r>
        <w:t xml:space="preserve">Data sources</w:t>
      </w:r>
      <w:r>
        <w:t xml:space="preserve"> </w:t>
      </w:r>
      <w:r>
        <w:t xml:space="preserve">2a What costs were identified by</w:t>
      </w:r>
      <w:r>
        <w:t xml:space="preserve"> </w:t>
      </w:r>
      <w:r>
        <w:t xml:space="preserve">the 2014 IA?</w:t>
      </w:r>
      <w:r>
        <w:t xml:space="preserve"> </w:t>
      </w:r>
      <w:r>
        <w:t xml:space="preserve">• Discussing direct and indirect costs for EU administration, MS,</w:t>
      </w:r>
      <w:r>
        <w:t xml:space="preserve"> </w:t>
      </w:r>
      <w:r>
        <w:t xml:space="preserve">and stakeholders, as analysed within the 2014 IA. Discussion</w:t>
      </w:r>
      <w:r>
        <w:t xml:space="preserve"> </w:t>
      </w:r>
      <w:r>
        <w:t xml:space="preserve">of level of these costs.</w:t>
      </w:r>
      <w:r>
        <w:br/>
      </w:r>
      <w:r>
        <w:t xml:space="preserve">• Direct costs: Low for the EU administration, no direct costs for</w:t>
      </w:r>
      <w:r>
        <w:t xml:space="preserve"> </w:t>
      </w:r>
      <w:r>
        <w:t xml:space="preserve">MS and stakeholders for the implementation of the MSR.</w:t>
      </w:r>
      <w:r>
        <w:t xml:space="preserve"> </w:t>
      </w:r>
      <w:r>
        <w:t xml:space="preserve">• Indirect costs: (as identified in 2014 IA)</w:t>
      </w:r>
      <w:r>
        <w:t xml:space="preserve"> </w:t>
      </w:r>
      <w:r>
        <w:t xml:space="preserve">• Judgement criteria: The 2014 IA had a correct estimation of the</w:t>
      </w:r>
      <w:r>
        <w:t xml:space="preserve"> </w:t>
      </w:r>
      <w:r>
        <w:t xml:space="preserve">identified costs.</w:t>
      </w:r>
      <w:r>
        <w:t xml:space="preserve"> </w:t>
      </w:r>
      <w:r>
        <w:t xml:space="preserve">Types and level of</w:t>
      </w:r>
      <w:r>
        <w:t xml:space="preserve"> </w:t>
      </w:r>
      <w:r>
        <w:t xml:space="preserve">costs identified in</w:t>
      </w:r>
      <w:r>
        <w:t xml:space="preserve"> </w:t>
      </w:r>
      <w:r>
        <w:t xml:space="preserve">the 2014 IA</w:t>
      </w:r>
    </w:p>
    <w:p>
      <w:pPr>
        <w:pStyle w:val="BodyText"/>
      </w:pPr>
      <w:r>
        <w:t xml:space="preserve">• 2014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</w:p>
    <w:p>
      <w:pPr>
        <w:pStyle w:val="BodyText"/>
      </w:pPr>
      <w:r>
        <w:t xml:space="preserve">2b What costs were induced by</w:t>
      </w:r>
      <w:r>
        <w:t xml:space="preserve"> </w:t>
      </w:r>
      <w:r>
        <w:t xml:space="preserve">the MSR that were not</w:t>
      </w:r>
      <w:r>
        <w:t xml:space="preserve"> </w:t>
      </w:r>
      <w:r>
        <w:t xml:space="preserve">foreseen in the 2014 IA?</w:t>
      </w:r>
      <w:r>
        <w:t xml:space="preserve"> </w:t>
      </w:r>
      <w:r>
        <w:t xml:space="preserve">• Discussing unforeseen direct costs and how they are distributed</w:t>
      </w:r>
      <w:r>
        <w:t xml:space="preserve"> </w:t>
      </w:r>
      <w:r>
        <w:t xml:space="preserve">among stakeholders</w:t>
      </w:r>
      <w:r>
        <w:t xml:space="preserve"> </w:t>
      </w:r>
      <w:r>
        <w:t xml:space="preserve">• Qualitative discussion of indirect costs, e.g. increased</w:t>
      </w:r>
      <w:r>
        <w:t xml:space="preserve"> </w:t>
      </w:r>
      <w:r>
        <w:t xml:space="preserve">complexity in forecasting EUA prices, increased complexity</w:t>
      </w:r>
      <w:r>
        <w:t xml:space="preserve"> </w:t>
      </w:r>
      <w:r>
        <w:t xml:space="preserve">for invalidating allowances alongside a coal phase-out, etc.,</w:t>
      </w:r>
      <w:r>
        <w:t xml:space="preserve"> </w:t>
      </w:r>
      <w:r>
        <w:t xml:space="preserve">that appeared within the actual circumstances of MSR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• Judgement criteria: Beyond the 2014 IA no other costs</w:t>
      </w:r>
      <w:r>
        <w:t xml:space="preserve"> </w:t>
      </w:r>
      <w:r>
        <w:t xml:space="preserve">occurred in a significant scale.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</w:t>
      </w:r>
      <w:r>
        <w:t xml:space="preserve"> </w:t>
      </w:r>
      <w:r>
        <w:t xml:space="preserve">types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respective levels</w:t>
      </w:r>
      <w:r>
        <w:t xml:space="preserve"> </w:t>
      </w:r>
      <w:r>
        <w:t xml:space="preserve">• 2021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• Academic papers</w:t>
      </w:r>
      <w:r>
        <w:t xml:space="preserve"> </w:t>
      </w:r>
      <w:r>
        <w:t xml:space="preserve">• Targeted</w:t>
      </w:r>
      <w:r>
        <w:t xml:space="preserve"> </w:t>
      </w:r>
      <w:r>
        <w:t xml:space="preserve">interviews</w:t>
      </w:r>
      <w:r>
        <w:t xml:space="preserve"> </w:t>
      </w:r>
      <w:r>
        <w:t xml:space="preserve">2c Which of these costs could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avoided</w:t>
      </w:r>
      <w:r>
        <w:t xml:space="preserve"> </w:t>
      </w:r>
      <w:r>
        <w:t xml:space="preserve">by</w:t>
      </w:r>
      <w:r>
        <w:t xml:space="preserve"> </w:t>
      </w:r>
      <w:r>
        <w:t xml:space="preserve">choosing a different MSR</w:t>
      </w:r>
      <w:r>
        <w:t xml:space="preserve"> </w:t>
      </w:r>
      <w:r>
        <w:t xml:space="preserve">design?</w:t>
      </w:r>
      <w:r>
        <w:t xml:space="preserve"> </w:t>
      </w:r>
      <w:r>
        <w:t xml:space="preserve">• Analysing potential design choices of the MSR within the</w:t>
      </w:r>
      <w:r>
        <w:t xml:space="preserve"> </w:t>
      </w:r>
      <w:r>
        <w:t xml:space="preserve">fundamental principles of an allowance reserve (threshold</w:t>
      </w:r>
      <w:r>
        <w:t xml:space="preserve"> </w:t>
      </w:r>
      <w:r>
        <w:t xml:space="preserve">parameters and values, speed of reaction).</w:t>
      </w:r>
      <w:r>
        <w:t xml:space="preserve"> </w:t>
      </w:r>
      <w:r>
        <w:t xml:space="preserve">Discussing recent changes like the introduction of the buffer zone to</w:t>
      </w:r>
      <w:r>
        <w:t xml:space="preserve"> </w:t>
      </w:r>
      <w:r>
        <w:t xml:space="preserve">avoid threshold effects.</w:t>
      </w:r>
      <w:r>
        <w:br/>
      </w:r>
      <w:r>
        <w:t xml:space="preserve">Success: The MSR design is optimal in terms on reducing costs.</w:t>
      </w:r>
      <w:r>
        <w:t xml:space="preserve"> </w:t>
      </w:r>
      <w:r>
        <w:t xml:space="preserve">Alternative MSR</w:t>
      </w:r>
      <w:r>
        <w:t xml:space="preserve"> </w:t>
      </w:r>
      <w:r>
        <w:t xml:space="preserve">design features</w:t>
      </w:r>
      <w:r>
        <w:t xml:space="preserve"> </w:t>
      </w:r>
      <w:r>
        <w:t xml:space="preserve">• 2021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• Academic papers</w:t>
      </w:r>
      <w:r>
        <w:t xml:space="preserve"> </w:t>
      </w:r>
      <w:r>
        <w:t xml:space="preserve">and</w:t>
      </w:r>
      <w:r>
        <w:t xml:space="preserve"> </w:t>
      </w:r>
      <w:r>
        <w:t xml:space="preserve">modelling,</w:t>
      </w:r>
      <w:r>
        <w:t xml:space="preserve"> </w:t>
      </w:r>
      <w:r>
        <w:t xml:space="preserve">policy reports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2d Did the MSR lead to co-</w:t>
      </w:r>
      <w:r>
        <w:t xml:space="preserve"> </w:t>
      </w:r>
      <w:r>
        <w:t xml:space="preserve">benefits besides the targeted</w:t>
      </w:r>
      <w:r>
        <w:t xml:space="preserve"> </w:t>
      </w:r>
      <w:r>
        <w:t xml:space="preserve">benefits that could not have</w:t>
      </w:r>
      <w:r>
        <w:t xml:space="preserve"> </w:t>
      </w:r>
      <w:r>
        <w:t xml:space="preserve">achieved by other measures?</w:t>
      </w:r>
      <w:r>
        <w:t xml:space="preserve"> </w:t>
      </w:r>
      <w:r>
        <w:t xml:space="preserve">• Beyond the intended benefits of the MSR (i.e. the reduction of</w:t>
      </w:r>
      <w:r>
        <w:t xml:space="preserve"> </w:t>
      </w:r>
      <w:r>
        <w:t xml:space="preserve">the historical surplus and the increased resilience to future</w:t>
      </w:r>
      <w:r>
        <w:t xml:space="preserve"> </w:t>
      </w:r>
      <w:r>
        <w:t xml:space="preserve">shocks, there are possibly unexpected co-benefits that need to</w:t>
      </w:r>
      <w:r>
        <w:t xml:space="preserve"> </w:t>
      </w:r>
      <w:r>
        <w:t xml:space="preserve">be considered in an evaluation of the MSR efficiency.</w:t>
      </w:r>
      <w:r>
        <w:t xml:space="preserve"> </w:t>
      </w:r>
      <w:r>
        <w:t xml:space="preserve">• Possible co-benefits: further transparency through the</w:t>
      </w:r>
      <w:r>
        <w:t xml:space="preserve"> </w:t>
      </w:r>
      <w:r>
        <w:t xml:space="preserve">publication of the TNAC and its calculation, increased</w:t>
      </w:r>
      <w:r>
        <w:t xml:space="preserve"> </w:t>
      </w:r>
      <w:r>
        <w:t xml:space="preserve">flexibility of the EU ETS through creating a reserve (for</w:t>
      </w:r>
      <w:r>
        <w:t xml:space="preserve"> </w:t>
      </w:r>
      <w:r>
        <w:t xml:space="preserve">reinjecting, invalidation or other purposes), etc.</w:t>
      </w:r>
      <w:r>
        <w:t xml:space="preserve"> </w:t>
      </w:r>
      <w:r>
        <w:t xml:space="preserve">• Judgement criteria: The MSR generated co-benefits that</w:t>
      </w:r>
      <w:r>
        <w:t xml:space="preserve"> </w:t>
      </w:r>
      <w:r>
        <w:t xml:space="preserve">improve its efficiency beyond the original assessment in 2014.</w:t>
      </w:r>
      <w:r>
        <w:t xml:space="preserve"> </w:t>
      </w:r>
      <w:r>
        <w:t xml:space="preserve">Additional</w:t>
      </w:r>
      <w:r>
        <w:t xml:space="preserve"> </w:t>
      </w:r>
      <w:r>
        <w:t xml:space="preserve">benefits</w:t>
      </w:r>
    </w:p>
    <w:p>
      <w:pPr>
        <w:pStyle w:val="BodyText"/>
      </w:pPr>
      <w:r>
        <w:t xml:space="preserve">• Academic papers</w:t>
      </w:r>
      <w:r>
        <w:t xml:space="preserve"> </w:t>
      </w:r>
      <w:r>
        <w:t xml:space="preserve">• Targeted</w:t>
      </w:r>
      <w:r>
        <w:t xml:space="preserve"> </w:t>
      </w:r>
      <w:r>
        <w:t xml:space="preserve">interviews</w:t>
      </w:r>
      <w:r>
        <w:t xml:space="preserve"> </w:t>
      </w:r>
      <w:r>
        <w:t xml:space="preserve">8.2.4 Coherence</w:t>
      </w:r>
      <w:r>
        <w:t xml:space="preserve"> </w:t>
      </w:r>
      <w:r>
        <w:t xml:space="preserve">Table 8:</w:t>
      </w:r>
      <w:r>
        <w:t xml:space="preserve"> </w:t>
      </w:r>
      <w:r>
        <w:t xml:space="preserve">MSR Evaluation Matrix - Coherence</w:t>
      </w:r>
    </w:p>
    <w:p>
      <w:pPr>
        <w:pStyle w:val="BodyText"/>
      </w:pP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 and approach</w:t>
      </w:r>
      <w:r>
        <w:br/>
      </w:r>
      <w:r>
        <w:t xml:space="preserve">Data sources</w:t>
      </w:r>
      <w:r>
        <w:t xml:space="preserve"> </w:t>
      </w:r>
      <w:r>
        <w:t xml:space="preserve">3a Is the MSR aligned to</w:t>
      </w:r>
      <w:r>
        <w:t xml:space="preserve"> </w:t>
      </w:r>
      <w:r>
        <w:t xml:space="preserve">other elements of the EU</w:t>
      </w:r>
      <w:r>
        <w:t xml:space="preserve"> </w:t>
      </w:r>
      <w:r>
        <w:t xml:space="preserve">ETS?</w:t>
      </w:r>
      <w:r>
        <w:t xml:space="preserve"> </w:t>
      </w:r>
      <w:r>
        <w:t xml:space="preserve">• Analysing how other elements of the EU ETS,</w:t>
      </w:r>
      <w:r>
        <w:t xml:space="preserve"> </w:t>
      </w:r>
      <w:r>
        <w:t xml:space="preserve">especially those adjusted in recent reforms (e.g. LRF;</w:t>
      </w:r>
      <w:r>
        <w:t xml:space="preserve"> </w:t>
      </w:r>
      <w:r>
        <w:t xml:space="preserve">2030 reduction target), might counteract the functioning</w:t>
      </w:r>
      <w:r>
        <w:t xml:space="preserve"> </w:t>
      </w:r>
      <w:r>
        <w:t xml:space="preserve">and objectives of the MSR and vice versa.</w:t>
      </w:r>
      <w:r>
        <w:t xml:space="preserve"> </w:t>
      </w:r>
      <w:r>
        <w:t xml:space="preserve">• E.g., if allowances from the MSR are released in 2030,</w:t>
      </w:r>
      <w:r>
        <w:t xml:space="preserve"> </w:t>
      </w:r>
      <w:r>
        <w:t xml:space="preserve">this might increase emissions and jeopardise the 2030</w:t>
      </w:r>
      <w:r>
        <w:t xml:space="preserve"> </w:t>
      </w:r>
      <w:r>
        <w:t xml:space="preserve">climate target.</w:t>
      </w:r>
      <w:r>
        <w:t xml:space="preserve"> </w:t>
      </w:r>
      <w:r>
        <w:t xml:space="preserve">• Success: No significant interference between the MSR</w:t>
      </w:r>
      <w:r>
        <w:t xml:space="preserve"> </w:t>
      </w:r>
      <w:r>
        <w:t xml:space="preserve">and other EU ETS elements.</w:t>
      </w:r>
      <w:r>
        <w:t xml:space="preserve"> </w:t>
      </w:r>
      <w:r>
        <w:t xml:space="preserve">Potential</w:t>
      </w:r>
      <w:r>
        <w:t xml:space="preserve"> </w:t>
      </w:r>
      <w:r>
        <w:t xml:space="preserve">interference</w:t>
      </w:r>
      <w:r>
        <w:t xml:space="preserve"> </w:t>
      </w:r>
      <w:r>
        <w:t xml:space="preserve">between MSR and other EU</w:t>
      </w:r>
      <w:r>
        <w:t xml:space="preserve"> </w:t>
      </w:r>
      <w:r>
        <w:t xml:space="preserve">ETS elements</w:t>
      </w:r>
      <w:r>
        <w:t xml:space="preserve"> </w:t>
      </w:r>
      <w:r>
        <w:t xml:space="preserve">• 2014</w:t>
      </w:r>
      <w:r>
        <w:t xml:space="preserve"> </w:t>
      </w:r>
      <w:r>
        <w:t xml:space="preserve">and</w:t>
      </w:r>
      <w:r>
        <w:t xml:space="preserve"> </w:t>
      </w:r>
      <w:r>
        <w:t xml:space="preserve">2021</w:t>
      </w:r>
      <w:r>
        <w:t xml:space="preserve"> </w:t>
      </w:r>
      <w:r>
        <w:t xml:space="preserve">Impact Assessments</w:t>
      </w:r>
      <w:r>
        <w:t xml:space="preserve"> </w:t>
      </w:r>
      <w:r>
        <w:t xml:space="preserve">• Academic</w:t>
      </w:r>
      <w:r>
        <w:t xml:space="preserve"> </w:t>
      </w:r>
      <w:r>
        <w:t xml:space="preserve">papers</w:t>
      </w:r>
      <w:r>
        <w:t xml:space="preserve"> </w:t>
      </w:r>
      <w:r>
        <w:t xml:space="preserve">and</w:t>
      </w:r>
      <w:r>
        <w:t xml:space="preserve"> </w:t>
      </w:r>
      <w:r>
        <w:t xml:space="preserve">modelling,</w:t>
      </w:r>
      <w:r>
        <w:t xml:space="preserve"> </w:t>
      </w:r>
      <w:r>
        <w:t xml:space="preserve">policy reports</w:t>
      </w:r>
    </w:p>
    <w:p>
      <w:pPr>
        <w:pStyle w:val="BodyText"/>
      </w:pPr>
      <w:r>
        <w:t xml:space="preserve">3b Is the MSR aligned to</w:t>
      </w:r>
      <w:r>
        <w:t xml:space="preserve"> </w:t>
      </w:r>
      <w:r>
        <w:t xml:space="preserve">other EU climate or</w:t>
      </w:r>
      <w:r>
        <w:t xml:space="preserve"> </w:t>
      </w:r>
      <w:r>
        <w:t xml:space="preserve">energy policies?</w:t>
      </w:r>
      <w:r>
        <w:t xml:space="preserve"> </w:t>
      </w:r>
      <w:r>
        <w:t xml:space="preserve">• Analysing how EU climate or energy policies might</w:t>
      </w:r>
      <w:r>
        <w:t xml:space="preserve"> </w:t>
      </w:r>
      <w:r>
        <w:t xml:space="preserve">counteract the functioning and objectives of the MSR</w:t>
      </w:r>
      <w:r>
        <w:t xml:space="preserve"> </w:t>
      </w:r>
      <w:r>
        <w:t xml:space="preserve">and vice versa.</w:t>
      </w:r>
      <w:r>
        <w:t xml:space="preserve"> </w:t>
      </w:r>
      <w:r>
        <w:t xml:space="preserve">• Success: No significant interference and ideally</w:t>
      </w:r>
      <w:r>
        <w:t xml:space="preserve"> </w:t>
      </w:r>
      <w:r>
        <w:t xml:space="preserve">synergies between the MSR and other EU climate or</w:t>
      </w:r>
      <w:r>
        <w:t xml:space="preserve"> </w:t>
      </w:r>
      <w:r>
        <w:t xml:space="preserve">energy policies.</w:t>
      </w:r>
      <w:r>
        <w:t xml:space="preserve"> </w:t>
      </w:r>
      <w:r>
        <w:t xml:space="preserve">Potential</w:t>
      </w:r>
      <w:r>
        <w:t xml:space="preserve"> </w:t>
      </w:r>
      <w:r>
        <w:t xml:space="preserve">interference</w:t>
      </w:r>
      <w:r>
        <w:t xml:space="preserve"> </w:t>
      </w:r>
      <w:r>
        <w:t xml:space="preserve">between MSR and other EU</w:t>
      </w:r>
      <w:r>
        <w:t xml:space="preserve"> </w:t>
      </w:r>
      <w:r>
        <w:t xml:space="preserve">ETS elements</w:t>
      </w:r>
      <w:r>
        <w:t xml:space="preserve"> </w:t>
      </w:r>
      <w:r>
        <w:t xml:space="preserve">• 2014</w:t>
      </w:r>
      <w:r>
        <w:t xml:space="preserve"> </w:t>
      </w:r>
      <w:r>
        <w:t xml:space="preserve">and</w:t>
      </w:r>
      <w:r>
        <w:t xml:space="preserve"> </w:t>
      </w:r>
      <w:r>
        <w:t xml:space="preserve">2021</w:t>
      </w:r>
      <w:r>
        <w:t xml:space="preserve"> </w:t>
      </w:r>
      <w:r>
        <w:t xml:space="preserve">Impact Assessments</w:t>
      </w:r>
      <w:r>
        <w:t xml:space="preserve"> </w:t>
      </w:r>
      <w:r>
        <w:t xml:space="preserve">• Academic</w:t>
      </w:r>
      <w:r>
        <w:t xml:space="preserve"> </w:t>
      </w:r>
      <w:r>
        <w:t xml:space="preserve">papers</w:t>
      </w:r>
      <w:r>
        <w:t xml:space="preserve"> </w:t>
      </w:r>
      <w:r>
        <w:t xml:space="preserve">and</w:t>
      </w:r>
      <w:r>
        <w:t xml:space="preserve"> </w:t>
      </w:r>
      <w:r>
        <w:t xml:space="preserve">modelling,</w:t>
      </w:r>
      <w:r>
        <w:t xml:space="preserve"> </w:t>
      </w:r>
      <w:r>
        <w:t xml:space="preserve">policy reports</w:t>
      </w:r>
      <w:r>
        <w:t xml:space="preserve"> </w:t>
      </w:r>
      <w:r>
        <w:t xml:space="preserve">• Targeted interviews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3c Is the MSR in line with</w:t>
      </w:r>
      <w:r>
        <w:t xml:space="preserve"> </w:t>
      </w:r>
      <w:r>
        <w:t xml:space="preserve">to climate or energy</w:t>
      </w:r>
      <w:r>
        <w:t xml:space="preserve"> </w:t>
      </w:r>
      <w:r>
        <w:t xml:space="preserve">policies at Member State</w:t>
      </w:r>
      <w:r>
        <w:t xml:space="preserve"> </w:t>
      </w:r>
      <w:r>
        <w:t xml:space="preserve">level?</w:t>
      </w:r>
      <w:r>
        <w:t xml:space="preserve"> </w:t>
      </w:r>
      <w:r>
        <w:t xml:space="preserve">• Analysing how climate or energy policies at Member</w:t>
      </w:r>
      <w:r>
        <w:t xml:space="preserve"> </w:t>
      </w:r>
      <w:r>
        <w:t xml:space="preserve">State level counteract the functioning and objectives of</w:t>
      </w:r>
      <w:r>
        <w:t xml:space="preserve"> </w:t>
      </w:r>
      <w:r>
        <w:t xml:space="preserve">the MSR and vice versa.</w:t>
      </w:r>
      <w:r>
        <w:t xml:space="preserve"> </w:t>
      </w:r>
      <w:r>
        <w:t xml:space="preserve">• Particularly, this concerns renewable energy policies,</w:t>
      </w:r>
      <w:r>
        <w:t xml:space="preserve"> </w:t>
      </w:r>
      <w:r>
        <w:t xml:space="preserve">energy efficiency policies and coal-phase outs.</w:t>
      </w:r>
      <w:r>
        <w:t xml:space="preserve"> </w:t>
      </w:r>
      <w:r>
        <w:t xml:space="preserve">• Success: No significant interference and ideally</w:t>
      </w:r>
      <w:r>
        <w:t xml:space="preserve"> </w:t>
      </w:r>
      <w:r>
        <w:t xml:space="preserve">synergies between the MSR and climate or energy</w:t>
      </w:r>
      <w:r>
        <w:t xml:space="preserve"> </w:t>
      </w:r>
      <w:r>
        <w:t xml:space="preserve">policies at Member State level.</w:t>
      </w:r>
      <w:r>
        <w:t xml:space="preserve"> </w:t>
      </w:r>
      <w:r>
        <w:t xml:space="preserve">Potential</w:t>
      </w:r>
      <w:r>
        <w:t xml:space="preserve"> </w:t>
      </w:r>
      <w:r>
        <w:t xml:space="preserve">interference</w:t>
      </w:r>
      <w:r>
        <w:t xml:space="preserve"> </w:t>
      </w:r>
      <w:r>
        <w:t xml:space="preserve">between MSR and climate or</w:t>
      </w:r>
      <w:r>
        <w:t xml:space="preserve"> </w:t>
      </w:r>
      <w:r>
        <w:t xml:space="preserve">energy policies at Member</w:t>
      </w:r>
      <w:r>
        <w:t xml:space="preserve"> </w:t>
      </w:r>
      <w:r>
        <w:t xml:space="preserve">State level</w:t>
      </w:r>
      <w:r>
        <w:t xml:space="preserve"> </w:t>
      </w:r>
      <w:r>
        <w:t xml:space="preserve">• 2014</w:t>
      </w:r>
      <w:r>
        <w:t xml:space="preserve"> </w:t>
      </w:r>
      <w:r>
        <w:t xml:space="preserve">and</w:t>
      </w:r>
      <w:r>
        <w:t xml:space="preserve"> </w:t>
      </w:r>
      <w:r>
        <w:t xml:space="preserve">2021</w:t>
      </w:r>
      <w:r>
        <w:t xml:space="preserve"> </w:t>
      </w:r>
      <w:r>
        <w:t xml:space="preserve">Impact Assessments</w:t>
      </w:r>
      <w:r>
        <w:t xml:space="preserve"> </w:t>
      </w:r>
      <w:r>
        <w:t xml:space="preserve">• Academic</w:t>
      </w:r>
      <w:r>
        <w:t xml:space="preserve"> </w:t>
      </w:r>
      <w:r>
        <w:t xml:space="preserve">papers</w:t>
      </w:r>
      <w:r>
        <w:t xml:space="preserve"> </w:t>
      </w:r>
      <w:r>
        <w:t xml:space="preserve">and</w:t>
      </w:r>
      <w:r>
        <w:t xml:space="preserve"> </w:t>
      </w:r>
      <w:r>
        <w:t xml:space="preserve">modelling,</w:t>
      </w:r>
      <w:r>
        <w:t xml:space="preserve"> </w:t>
      </w:r>
      <w:r>
        <w:t xml:space="preserve">policy reports</w:t>
      </w:r>
      <w:r>
        <w:t xml:space="preserve"> </w:t>
      </w:r>
      <w:r>
        <w:t xml:space="preserve">• Targeted interviews</w:t>
      </w:r>
      <w:r>
        <w:t xml:space="preserve"> </w:t>
      </w:r>
      <w:r>
        <w:t xml:space="preserve">8.2.5 EU Added value</w:t>
      </w:r>
      <w:r>
        <w:t xml:space="preserve"> </w:t>
      </w:r>
      <w:r>
        <w:t xml:space="preserve">Refer to evaluation matrix for the EU ETS overall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8.3</w:t>
      </w:r>
      <w:r>
        <w:t xml:space="preserve"> </w:t>
      </w:r>
      <w:r>
        <w:t xml:space="preserve">Carbon Leakage Prevention Evaluation</w:t>
      </w:r>
      <w:r>
        <w:t xml:space="preserve"> </w:t>
      </w:r>
      <w:r>
        <w:t xml:space="preserve">8.3.1 Introduction</w:t>
      </w:r>
      <w:r>
        <w:t xml:space="preserve"> </w:t>
      </w:r>
      <w:r>
        <w:t xml:space="preserve">Since the outset of the EU ETS, the allocation of free allowances has served as the main</w:t>
      </w:r>
      <w:r>
        <w:t xml:space="preserve"> </w:t>
      </w:r>
      <w:r>
        <w:t xml:space="preserve">provision for the prevention of carbon leakage, which refers to the possible relocation of</w:t>
      </w:r>
      <w:r>
        <w:t xml:space="preserve"> </w:t>
      </w:r>
      <w:r>
        <w:t xml:space="preserve">industrial production that is subject to EU carbon pricing to countries with less stringent climate</w:t>
      </w:r>
      <w:r>
        <w:t xml:space="preserve"> </w:t>
      </w:r>
      <w:r>
        <w:t xml:space="preserve">policies. Consequently, there is a concern that such unequal carbon pricing may result in either</w:t>
      </w:r>
      <w:r>
        <w:t xml:space="preserve"> </w:t>
      </w:r>
      <w:r>
        <w:t xml:space="preserve">an overall increase in global GHG emissions or a lower reduction in global emissions than in</w:t>
      </w:r>
      <w:r>
        <w:t xml:space="preserve"> </w:t>
      </w:r>
      <w:r>
        <w:t xml:space="preserve">EU emissions.</w:t>
      </w:r>
      <w:r>
        <w:br/>
      </w:r>
      <w:r>
        <w:t xml:space="preserve">Already since the start of the EU ETS, the free allocation of allowances was the main</w:t>
      </w:r>
      <w:r>
        <w:t xml:space="preserve"> </w:t>
      </w:r>
      <w:r>
        <w:t xml:space="preserve">instrument used to limit carbon costs and protect against leakage. While this approach helped</w:t>
      </w:r>
      <w:r>
        <w:t xml:space="preserve"> </w:t>
      </w:r>
      <w:r>
        <w:t xml:space="preserve">ease the political and economic transition to a carbon market, it also introduced challenges.</w:t>
      </w:r>
      <w:r>
        <w:t xml:space="preserve"> </w:t>
      </w:r>
      <w:r>
        <w:t xml:space="preserve">Uneven allocation methods across Member States led to distortions in intra-EU competition,</w:t>
      </w:r>
      <w:r>
        <w:t xml:space="preserve"> </w:t>
      </w:r>
      <w:r>
        <w:t xml:space="preserve">and in sectors where allowances were passed through in product prices, companies could gain</w:t>
      </w:r>
      <w:r>
        <w:t xml:space="preserve"> </w:t>
      </w:r>
      <w:r>
        <w:t xml:space="preserve">so-called windfall profits without corresponding environmental benefit. Moreover, the</w:t>
      </w:r>
      <w:r>
        <w:t xml:space="preserve"> </w:t>
      </w:r>
      <w:r>
        <w:t xml:space="preserve">environmental incentive to reduce emissions was often weakened, particularly where free</w:t>
      </w:r>
      <w:r>
        <w:t xml:space="preserve"> </w:t>
      </w:r>
      <w:r>
        <w:t xml:space="preserve">allocation covered most or all of a company’s compliance needs.</w:t>
      </w:r>
      <w:r>
        <w:t xml:space="preserve"> </w:t>
      </w:r>
      <w:r>
        <w:t xml:space="preserve">From Phase III onwards, the share of free allowances declined considerably as more allowances</w:t>
      </w:r>
      <w:r>
        <w:t xml:space="preserve"> </w:t>
      </w:r>
      <w:r>
        <w:t xml:space="preserve">were instead auctioned. The methodology for allocating allowances for free also changed from</w:t>
      </w:r>
      <w:r>
        <w:t xml:space="preserve"> </w:t>
      </w:r>
      <w:r>
        <w:t xml:space="preserve">grandfathering (i.e. based upon historic emissions) to benchmarking that rewarded firms with</w:t>
      </w:r>
      <w:r>
        <w:t xml:space="preserve"> </w:t>
      </w:r>
      <w:r>
        <w:t xml:space="preserve">relatively lower specific emissions for their production by receiving more allowances for free.</w:t>
      </w:r>
      <w:r>
        <w:t xml:space="preserve"> </w:t>
      </w:r>
      <w:r>
        <w:t xml:space="preserve">These reforms to free allocation raised concerns amongst industry about the risk of carbon</w:t>
      </w:r>
      <w:r>
        <w:t xml:space="preserve"> </w:t>
      </w:r>
      <w:r>
        <w:t xml:space="preserve">leakage with less of their emissions covered by free allowances than in previous phases of the</w:t>
      </w:r>
      <w:r>
        <w:t xml:space="preserve"> </w:t>
      </w:r>
      <w:r>
        <w:t xml:space="preserve">EU ETS. However, this potential impact was offset initially by the structural surplus of</w:t>
      </w:r>
      <w:r>
        <w:t xml:space="preserve"> </w:t>
      </w:r>
      <w:r>
        <w:t xml:space="preserve">allowances at the start of Phase III that undermined the price signal of the EU ETS reducing</w:t>
      </w:r>
      <w:r>
        <w:t xml:space="preserve"> </w:t>
      </w:r>
      <w:r>
        <w:t xml:space="preserve">the carbon costs that firms were subject to and, even then, many firms were able to bank their</w:t>
      </w:r>
      <w:r>
        <w:t xml:space="preserve"> </w:t>
      </w:r>
      <w:r>
        <w:t xml:space="preserve">own surplus allowances for later use to hedge themselves against future carbon costs.</w:t>
      </w:r>
      <w:r>
        <w:t xml:space="preserve"> </w:t>
      </w:r>
      <w:r>
        <w:t xml:space="preserve">In response, the design of free allocation under Phase IV has undergone significant reform to</w:t>
      </w:r>
      <w:r>
        <w:t xml:space="preserve"> </w:t>
      </w:r>
      <w:r>
        <w:t xml:space="preserve">better align with climate ambition, economic fairness, and environmental integrity. The scope</w:t>
      </w:r>
      <w:r>
        <w:t xml:space="preserve"> </w:t>
      </w:r>
      <w:r>
        <w:t xml:space="preserve">of this evaluation for carbon leakage prevention focuses on the key changes that occurred at</w:t>
      </w:r>
      <w:r>
        <w:t xml:space="preserve"> </w:t>
      </w:r>
      <w:r>
        <w:t xml:space="preserve">the start of Phase IV to free allocation following the revision of the ETS Directive in 2018:</w:t>
      </w:r>
      <w:r>
        <w:br/>
      </w:r>
      <w:r>
        <w:t xml:space="preserve">• Revised benchmark values for free allocation: The introduction of more stringent</w:t>
      </w:r>
      <w:r>
        <w:t xml:space="preserve"> </w:t>
      </w:r>
      <w:r>
        <w:t xml:space="preserve">product benchmarks for free allocation, based on the average performance of the top</w:t>
      </w:r>
      <w:r>
        <w:t xml:space="preserve"> </w:t>
      </w:r>
      <w:r>
        <w:t xml:space="preserve">10% most efficient installations. This approach strengthens the incentive to improve</w:t>
      </w:r>
      <w:r>
        <w:t xml:space="preserve"> </w:t>
      </w:r>
      <w:r>
        <w:t xml:space="preserve">efficiency and invest in low-carbon technologies, as allowances are increasingly</w:t>
      </w:r>
      <w:r>
        <w:t xml:space="preserve"> </w:t>
      </w:r>
      <w:r>
        <w:t xml:space="preserve">allocated based on demonstrated best performance rather than historical emissions.</w:t>
      </w:r>
      <w:r>
        <w:t xml:space="preserve"> </w:t>
      </w:r>
      <w:r>
        <w:t xml:space="preserve">• Updated carbon leakage list: Phase IV revised the method for identifying sectors at</w:t>
      </w:r>
      <w:r>
        <w:t xml:space="preserve"> </w:t>
      </w:r>
      <w:r>
        <w:t xml:space="preserve">risk of carbon leakage. A quantitative carbon leakage list now applies more rigorous</w:t>
      </w:r>
      <w:r>
        <w:t xml:space="preserve"> </w:t>
      </w:r>
      <w:r>
        <w:t xml:space="preserve">criteria, based on emissions intensity and trade exposure, to determine sectors and sub-</w:t>
      </w:r>
      <w:r>
        <w:t xml:space="preserve"> </w:t>
      </w:r>
      <w:r>
        <w:t xml:space="preserve">sectors that are deemed at a higher risk of carbon leakage. As a consequence of the</w:t>
      </w:r>
      <w:r>
        <w:t xml:space="preserve"> </w:t>
      </w:r>
      <w:r>
        <w:t xml:space="preserve">update to the carbon leakage list, the number of sectors and sub-sectors deemed at risk</w:t>
      </w:r>
      <w:r>
        <w:t xml:space="preserve"> </w:t>
      </w:r>
      <w:r>
        <w:t xml:space="preserve">of carbon leakage was lower than in previous carbon leakage lists and therefore the</w:t>
      </w:r>
      <w:r>
        <w:t xml:space="preserve"> </w:t>
      </w:r>
      <w:r>
        <w:t xml:space="preserve">support in the form of additional free allowances was better targeted.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•</w:t>
      </w:r>
      <w:r>
        <w:t xml:space="preserve"> </w:t>
      </w:r>
      <w:r>
        <w:t xml:space="preserve">Establishment of a buffer to limit the application of the Cross Sectoral Correction</w:t>
      </w:r>
      <w:r>
        <w:t xml:space="preserve"> </w:t>
      </w:r>
      <w:r>
        <w:t xml:space="preserve">Factor (CSCF)132: If the preliminary allocation of free allowances exceeds the free</w:t>
      </w:r>
      <w:r>
        <w:t xml:space="preserve"> </w:t>
      </w:r>
      <w:r>
        <w:t xml:space="preserve">allocation budget, then the CSCF is applied to reduce the allocation of free allowances</w:t>
      </w:r>
      <w:r>
        <w:t xml:space="preserve"> </w:t>
      </w:r>
      <w:r>
        <w:t xml:space="preserve">by an equal percentage across all installations. The CSCF buffer was introduced to limit</w:t>
      </w:r>
      <w:r>
        <w:t xml:space="preserve"> </w:t>
      </w:r>
      <w:r>
        <w:t xml:space="preserve">the need to apply the CSCF by increasing the number of free allowances that can be</w:t>
      </w:r>
      <w:r>
        <w:t xml:space="preserve"> </w:t>
      </w:r>
      <w:r>
        <w:t xml:space="preserve">made available (up to 3% of allowances that are allocated for auctioning may be used</w:t>
      </w:r>
      <w:r>
        <w:t xml:space="preserve"> </w:t>
      </w:r>
      <w:r>
        <w:t xml:space="preserve">to increase the maximum amount available for free allocation) if the preliminary</w:t>
      </w:r>
      <w:r>
        <w:t xml:space="preserve"> </w:t>
      </w:r>
      <w:r>
        <w:t xml:space="preserve">allocation may exceed the free allocation budget for a given year.</w:t>
      </w:r>
      <w:r>
        <w:br/>
      </w:r>
      <w:r>
        <w:t xml:space="preserve">•</w:t>
      </w:r>
      <w:r>
        <w:t xml:space="preserve"> </w:t>
      </w:r>
      <w:r>
        <w:t xml:space="preserve">Better alignment of free allocation with actual production levels: the number of free</w:t>
      </w:r>
      <w:r>
        <w:t xml:space="preserve"> </w:t>
      </w:r>
      <w:r>
        <w:t xml:space="preserve">allowances an installation receives is adjusted regularly to reflect actual production</w:t>
      </w:r>
      <w:r>
        <w:t xml:space="preserve"> </w:t>
      </w:r>
      <w:r>
        <w:t xml:space="preserve">levels, rather than being fixed for long periods based on past output. This ensures that</w:t>
      </w:r>
      <w:r>
        <w:t xml:space="preserve"> </w:t>
      </w:r>
      <w:r>
        <w:t xml:space="preserve">free allocation is now more aligned to actual production and that the demand and supply</w:t>
      </w:r>
      <w:r>
        <w:t xml:space="preserve"> </w:t>
      </w:r>
      <w:r>
        <w:t xml:space="preserve">of allowances is more balanced. It also strengthens the economic rationale of the ETS</w:t>
      </w:r>
      <w:r>
        <w:t xml:space="preserve"> </w:t>
      </w:r>
      <w:r>
        <w:t xml:space="preserve">by ensuring that allowance distribution better reflects real-world activity.</w:t>
      </w:r>
      <w:r>
        <w:t xml:space="preserve"> </w:t>
      </w:r>
      <w:r>
        <w:t xml:space="preserve">The reforms introduced in the latest ETS phase indicate a strategic shift in how the system</w:t>
      </w:r>
      <w:r>
        <w:t xml:space="preserve"> </w:t>
      </w:r>
      <w:r>
        <w:t xml:space="preserve">addresses carbon leakage. Rather than merely shielding the sectors indefinitely from external</w:t>
      </w:r>
      <w:r>
        <w:t xml:space="preserve"> </w:t>
      </w:r>
      <w:r>
        <w:t xml:space="preserve">competition, the updated design encourages innovation while continuing to prevent relocation</w:t>
      </w:r>
      <w:r>
        <w:t xml:space="preserve"> </w:t>
      </w:r>
      <w:r>
        <w:t xml:space="preserve">of emissions and production.</w:t>
      </w:r>
      <w:r>
        <w:br/>
      </w:r>
      <w:r>
        <w:t xml:space="preserve">8.3.2 Point of comparison</w:t>
      </w:r>
      <w:r>
        <w:t xml:space="preserve"> </w:t>
      </w:r>
      <w:r>
        <w:t xml:space="preserve">Provisions of relevance from the 2018 ETS Directive</w:t>
      </w:r>
      <w:r>
        <w:br/>
      </w:r>
      <w:r>
        <w:t xml:space="preserve">In the revision to the ETS Directive in 2018, several important reforms were made to the</w:t>
      </w:r>
      <w:r>
        <w:t xml:space="preserve"> </w:t>
      </w:r>
      <w:r>
        <w:t xml:space="preserve">determination of harmonised rules for the free allocation of allowances under Article 10a that</w:t>
      </w:r>
      <w:r>
        <w:t xml:space="preserve"> </w:t>
      </w:r>
      <w:r>
        <w:t xml:space="preserve">will be the focus of this evaluation.</w:t>
      </w:r>
      <w:r>
        <w:t xml:space="preserve"> </w:t>
      </w:r>
      <w:r>
        <w:t xml:space="preserve">• Harmonised allocation rules for free allocation:</w:t>
      </w:r>
      <w:r>
        <w:t xml:space="preserve"> </w:t>
      </w:r>
      <w:r>
        <w:t xml:space="preserve">Article 10 (1) provides that the Commission is empowered to adopted “Union-wide and fully</w:t>
      </w:r>
      <w:r>
        <w:t xml:space="preserve"> </w:t>
      </w:r>
      <w:r>
        <w:t xml:space="preserve">harmonised rules for the allocation of allowances”. On this basis, Delegated Regulation (EU)</w:t>
      </w:r>
      <w:r>
        <w:t xml:space="preserve"> </w:t>
      </w:r>
      <w:r>
        <w:t xml:space="preserve">2019/331 was adopted on 19 of December 2018 and further elaborates on the harmonised</w:t>
      </w:r>
      <w:r>
        <w:t xml:space="preserve"> </w:t>
      </w:r>
      <w:r>
        <w:t xml:space="preserve">allocation rules outlined in Article 10a of the ETS Directive.</w:t>
      </w:r>
      <w:r>
        <w:t xml:space="preserve"> </w:t>
      </w:r>
      <w:r>
        <w:t xml:space="preserve">• Revised benchmark values for free allocation:</w:t>
      </w:r>
      <w:r>
        <w:br/>
      </w:r>
      <w:r>
        <w:t xml:space="preserve">Article 10a, paragraph 2 was updated as follows:</w:t>
      </w:r>
      <w:r>
        <w:t xml:space="preserve"> </w:t>
      </w:r>
      <w:r>
        <w:t xml:space="preserve">o “For the period from 2021 to 2025, the benchmark values shall be determined</w:t>
      </w:r>
      <w:r>
        <w:t xml:space="preserve"> </w:t>
      </w:r>
      <w:r>
        <w:t xml:space="preserve">on the basis of information submitted pursuant to Article 11 for the years 2016</w:t>
      </w:r>
      <w:r>
        <w:t xml:space="preserve"> </w:t>
      </w:r>
      <w:r>
        <w:t xml:space="preserve">and 2017. On the basis of a comparison of those benchmark values with the</w:t>
      </w:r>
      <w:r>
        <w:t xml:space="preserve"> </w:t>
      </w:r>
      <w:r>
        <w:t xml:space="preserve">benchmark values contained in Commission Decision 2011/278/EU (*), as</w:t>
      </w:r>
      <w:r>
        <w:t xml:space="preserve"> </w:t>
      </w:r>
      <w:r>
        <w:t xml:space="preserve">adopted on 27 April 2011, the Commission shall determine the annual reduction</w:t>
      </w:r>
      <w:r>
        <w:t xml:space="preserve"> </w:t>
      </w:r>
      <w:r>
        <w:t xml:space="preserve">rate for each benchmark, and shall apply it to the benchmark values applicable</w:t>
      </w:r>
      <w:r>
        <w:t xml:space="preserve"> </w:t>
      </w:r>
      <w:r>
        <w:t xml:space="preserve">in the period from 2013 to 2020 in respect of each year between 2008 and 2023</w:t>
      </w:r>
      <w:r>
        <w:t xml:space="preserve"> </w:t>
      </w:r>
      <w:r>
        <w:t xml:space="preserve">to determine the benchmark values for the period from 2021 to 2025”</w:t>
      </w:r>
      <w:r>
        <w:t xml:space="preserve"> </w:t>
      </w:r>
      <w:r>
        <w:t xml:space="preserve">o “Where the annual reduction rate exceeds 1,6 % or is below 0,2 %, the</w:t>
      </w:r>
      <w:r>
        <w:t xml:space="preserve"> </w:t>
      </w:r>
      <w:r>
        <w:t xml:space="preserve">benchmark values for the period from 2021 to 2025 shall be the benchmark</w:t>
      </w:r>
      <w:r>
        <w:t xml:space="preserve"> </w:t>
      </w:r>
      <w:r>
        <w:t xml:space="preserve">values applicable in the period from 2013 to 2020 reduced by whichever of</w:t>
      </w:r>
    </w:p>
    <w:p>
      <w:pPr>
        <w:pStyle w:val="BodyText"/>
      </w:pPr>
      <w:r>
        <w:t xml:space="preserve">132 The Cross Sectoral Correction Factor (CSCF) is used to prevent free allocation exceeding the free allocation</w:t>
      </w:r>
      <w:r>
        <w:t xml:space="preserve"> </w:t>
      </w:r>
      <w:r>
        <w:t xml:space="preserve">budget and is applied to preliminary allocation to determine the final allocation.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those two percentage rates is relevant, in respect of each year between 2008 and</w:t>
      </w:r>
      <w:r>
        <w:t xml:space="preserve"> </w:t>
      </w:r>
      <w:r>
        <w:t xml:space="preserve">2023.”</w:t>
      </w:r>
      <w:r>
        <w:t xml:space="preserve"> </w:t>
      </w:r>
      <w:r>
        <w:t xml:space="preserve">o “By way of derogation regarding the benchmark values for aromatics, hydrogen</w:t>
      </w:r>
      <w:r>
        <w:t xml:space="preserve"> </w:t>
      </w:r>
      <w:r>
        <w:t xml:space="preserve">and syngas, these benchmark values shall be adjusted by the same percentage</w:t>
      </w:r>
      <w:r>
        <w:t xml:space="preserve"> </w:t>
      </w:r>
      <w:r>
        <w:t xml:space="preserve">as the refineries benchmarks in order to preserve a level playing field for</w:t>
      </w:r>
      <w:r>
        <w:t xml:space="preserve"> </w:t>
      </w:r>
      <w:r>
        <w:t xml:space="preserve">producers of those products….In order to promote efficient energy recovery</w:t>
      </w:r>
      <w:r>
        <w:t xml:space="preserve"> </w:t>
      </w:r>
      <w:r>
        <w:t xml:space="preserve">from waste gases…the benchmark value for hot metal, which predominantly</w:t>
      </w:r>
      <w:r>
        <w:t xml:space="preserve"> </w:t>
      </w:r>
      <w:r>
        <w:t xml:space="preserve">relates to waste gases, shall be updated with an annual reduction rate of 0,2 %.”</w:t>
      </w:r>
      <w:r>
        <w:t xml:space="preserve"> </w:t>
      </w:r>
      <w:r>
        <w:t xml:space="preserve">Implementing Regulation (EU) 2021/447 was adopted on the 12th of March 2021, which</w:t>
      </w:r>
      <w:r>
        <w:t xml:space="preserve"> </w:t>
      </w:r>
      <w:r>
        <w:t xml:space="preserve">determined the revised benchmark values for free allocation of emission allowances for the</w:t>
      </w:r>
      <w:r>
        <w:t xml:space="preserve"> </w:t>
      </w:r>
      <w:r>
        <w:t xml:space="preserve">period from 2021 to 2025.133</w:t>
      </w:r>
      <w:r>
        <w:br/>
      </w:r>
      <w:r>
        <w:t xml:space="preserve">• Establishment of a buffer to prevent the application of the CSCF:</w:t>
      </w:r>
      <w:r>
        <w:t xml:space="preserve"> </w:t>
      </w:r>
      <w:r>
        <w:t xml:space="preserve">Article 10a, paragraph 5 is replaced by the following:</w:t>
      </w:r>
      <w:r>
        <w:t xml:space="preserve"> </w:t>
      </w:r>
      <w:r>
        <w:t xml:space="preserve">o “In order to respect the auctioning share, set out in Article 10, for every year in</w:t>
      </w:r>
      <w:r>
        <w:t xml:space="preserve"> </w:t>
      </w:r>
      <w:r>
        <w:t xml:space="preserve">which the sum of free allocations does not reach the maximum amount that</w:t>
      </w:r>
      <w:r>
        <w:t xml:space="preserve"> </w:t>
      </w:r>
      <w:r>
        <w:t xml:space="preserve">respects the auctioning share, the remaining allowances up to that amount shall</w:t>
      </w:r>
      <w:r>
        <w:t xml:space="preserve"> </w:t>
      </w:r>
      <w:r>
        <w:t xml:space="preserve">be used to prevent or limit reduction of free allocations to respect the auctioning</w:t>
      </w:r>
      <w:r>
        <w:t xml:space="preserve"> </w:t>
      </w:r>
      <w:r>
        <w:t xml:space="preserve">share in later years. Where, nonetheless, the maximum amount is reached, free</w:t>
      </w:r>
      <w:r>
        <w:t xml:space="preserve"> </w:t>
      </w:r>
      <w:r>
        <w:t xml:space="preserve">allocations shall be adjusted accordingly. Any such adjustment shall be done in</w:t>
      </w:r>
      <w:r>
        <w:t xml:space="preserve"> </w:t>
      </w:r>
      <w:r>
        <w:t xml:space="preserve">a uniform manner.’</w:t>
      </w:r>
      <w:r>
        <w:t xml:space="preserve"> </w:t>
      </w:r>
      <w:r>
        <w:t xml:space="preserve">The following paragraph was subsequently inserted:</w:t>
      </w:r>
      <w:r>
        <w:t xml:space="preserve"> </w:t>
      </w:r>
      <w:r>
        <w:t xml:space="preserve">o By way of derogation from paragraph 5, an additional amount of up to 3 % of</w:t>
      </w:r>
      <w:r>
        <w:t xml:space="preserve"> </w:t>
      </w:r>
      <w:r>
        <w:t xml:space="preserve">the total quantity of allowances shall, to the extent necessary, be used to increase</w:t>
      </w:r>
      <w:r>
        <w:t xml:space="preserve"> </w:t>
      </w:r>
      <w:r>
        <w:t xml:space="preserve">the maximum amount available under paragraph 5.</w:t>
      </w:r>
    </w:p>
    <w:p>
      <w:pPr>
        <w:pStyle w:val="BodyText"/>
      </w:pPr>
      <w:r>
        <w:t xml:space="preserve">• Better alignment of free allocation with actual production levels:</w:t>
      </w:r>
      <w:r>
        <w:t xml:space="preserve"> </w:t>
      </w:r>
      <w:r>
        <w:t xml:space="preserve">Article 10a, paragraph 20 was replaced by the following:</w:t>
      </w:r>
      <w:r>
        <w:t xml:space="preserve"> </w:t>
      </w:r>
      <w:r>
        <w:t xml:space="preserve">o “The level of free allocations given to installations whose operations have</w:t>
      </w:r>
      <w:r>
        <w:t xml:space="preserve"> </w:t>
      </w:r>
      <w:r>
        <w:t xml:space="preserve">increased or decreased, as assessed on the basis of a rolling average of two years,</w:t>
      </w:r>
      <w:r>
        <w:t xml:space="preserve"> </w:t>
      </w:r>
      <w:r>
        <w:t xml:space="preserve">by more than 15 % compared to the level initially used to determine the free</w:t>
      </w:r>
      <w:r>
        <w:t xml:space="preserve"> </w:t>
      </w:r>
      <w:r>
        <w:t xml:space="preserve">allocation for the relevant period referred to in Article 11(1) shall, as</w:t>
      </w:r>
      <w:r>
        <w:t xml:space="preserve"> </w:t>
      </w:r>
      <w:r>
        <w:t xml:space="preserve">appropriate, be adjusted. Such adjustments shall be carried out with allowances</w:t>
      </w:r>
      <w:r>
        <w:t xml:space="preserve"> </w:t>
      </w:r>
      <w:r>
        <w:t xml:space="preserve">from, or by adding allowances to, the number of allowances set aside in</w:t>
      </w:r>
      <w:r>
        <w:t xml:space="preserve"> </w:t>
      </w:r>
      <w:r>
        <w:t xml:space="preserve">accordance with paragraph 7 of this Article”</w:t>
      </w:r>
      <w:r>
        <w:t xml:space="preserve"> </w:t>
      </w:r>
      <w:r>
        <w:t xml:space="preserve">Implementing Regulation (EU) 2019/1842 was adopted on the 31st of October 2019, which</w:t>
      </w:r>
      <w:r>
        <w:t xml:space="preserve"> </w:t>
      </w:r>
      <w:r>
        <w:t xml:space="preserve">outlined the rules for the further arrangements for the adjustments to free allocation of emission</w:t>
      </w:r>
      <w:r>
        <w:t xml:space="preserve"> </w:t>
      </w:r>
      <w:r>
        <w:t xml:space="preserve">allowances due to activity level changes.134</w:t>
      </w:r>
      <w:r>
        <w:t xml:space="preserve"> </w:t>
      </w:r>
      <w:r>
        <w:t xml:space="preserve">In the revision to the ETS Directive in 2018, several important reforms were made to the</w:t>
      </w:r>
      <w:r>
        <w:t xml:space="preserve"> </w:t>
      </w:r>
      <w:r>
        <w:t xml:space="preserve">transitional measures to support certain energy intensive industries in the event of carbon</w:t>
      </w:r>
      <w:r>
        <w:t xml:space="preserve"> </w:t>
      </w:r>
      <w:r>
        <w:t xml:space="preserve">leakage under Article 10b that will be the focus of this evaluation.</w:t>
      </w:r>
      <w:r>
        <w:t xml:space="preserve"> </w:t>
      </w:r>
      <w:r>
        <w:t xml:space="preserve">• Updated carbon leakage list:</w:t>
      </w:r>
    </w:p>
    <w:p>
      <w:pPr>
        <w:pStyle w:val="BodyText"/>
      </w:pPr>
      <w:r>
        <w:t xml:space="preserve">133 Implementing regulation (EU) 2021/447, available at: https://eur-lex.europa.eu/eli/reg_impl/2021/447/oj</w:t>
      </w:r>
      <w:r>
        <w:t xml:space="preserve"> </w:t>
      </w:r>
      <w:r>
        <w:t xml:space="preserve">134 Implementing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2019/1842,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eur-lex.europa.eu/legal-</w:t>
      </w:r>
      <w:r>
        <w:t xml:space="preserve"> </w:t>
      </w:r>
      <w:r>
        <w:t xml:space="preserve">content/EN/TXT/PDF/?uri=CELEX:32019R1842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Article 10b, paragraph 1, was replaced as follows:</w:t>
      </w:r>
      <w:r>
        <w:br/>
      </w:r>
      <w:r>
        <w:t xml:space="preserve">o “Sectors and subsectors in relation to which the product resulting from</w:t>
      </w:r>
      <w:r>
        <w:t xml:space="preserve"> </w:t>
      </w:r>
      <w:r>
        <w:t xml:space="preserve">multiplying their intensity of trade with third countries, defined as the ratio</w:t>
      </w:r>
      <w:r>
        <w:t xml:space="preserve"> </w:t>
      </w:r>
      <w:r>
        <w:t xml:space="preserve">between the total value of exports to third countries plus the value of imports</w:t>
      </w:r>
      <w:r>
        <w:t xml:space="preserve"> </w:t>
      </w:r>
      <w:r>
        <w:t xml:space="preserve">from third countries and the total market size for the European Economic Area</w:t>
      </w:r>
      <w:r>
        <w:t xml:space="preserve"> </w:t>
      </w:r>
      <w:r>
        <w:t xml:space="preserve">(annual turnover plus total imports from third countries), by their emission</w:t>
      </w:r>
      <w:r>
        <w:t xml:space="preserve"> </w:t>
      </w:r>
      <w:r>
        <w:t xml:space="preserve">intensity, measured in kgCO2, divided by their gross value added (in EUR),</w:t>
      </w:r>
      <w:r>
        <w:t xml:space="preserve"> </w:t>
      </w:r>
      <w:r>
        <w:t xml:space="preserve">exceeds 0,2, shall be deemed to be at risk of carbon leakage. Such sectors and</w:t>
      </w:r>
      <w:r>
        <w:t xml:space="preserve"> </w:t>
      </w:r>
      <w:r>
        <w:t xml:space="preserve">subsectors shall be allocated allowances free of charge for the period until 2030</w:t>
      </w:r>
      <w:r>
        <w:t xml:space="preserve"> </w:t>
      </w:r>
      <w:r>
        <w:t xml:space="preserve">at 100 % of the quantity determined pursuant to Article 10a.”</w:t>
      </w:r>
      <w:r>
        <w:t xml:space="preserve"> </w:t>
      </w:r>
      <w:r>
        <w:t xml:space="preserve">Delegated Decision (EU) 2019/708 was adopted on the 15th of February 2019, which</w:t>
      </w:r>
      <w:r>
        <w:t xml:space="preserve"> </w:t>
      </w:r>
      <w:r>
        <w:t xml:space="preserve">determined the sectors and subsectors deemed at risk of carbon leakage for the period 2021 to</w:t>
      </w:r>
      <w:r>
        <w:t xml:space="preserve"> </w:t>
      </w:r>
      <w:r>
        <w:t xml:space="preserve">2030.135</w:t>
      </w:r>
      <w:r>
        <w:t xml:space="preserve"> </w:t>
      </w:r>
      <w:r>
        <w:t xml:space="preserve">The reforms to free allocation outlined above following the revision to the ETS Directive in</w:t>
      </w:r>
      <w:r>
        <w:t xml:space="preserve"> </w:t>
      </w:r>
      <w:r>
        <w:t xml:space="preserve">2018 were all intended to better target free allocation to sectors at risk of carbon leakage. The</w:t>
      </w:r>
      <w:r>
        <w:t xml:space="preserve"> </w:t>
      </w:r>
      <w:r>
        <w:t xml:space="preserve">next section explains further via an intervention logic diagram how the collective policy</w:t>
      </w:r>
      <w:r>
        <w:t xml:space="preserve"> </w:t>
      </w:r>
      <w:r>
        <w:t xml:space="preserve">interventions were intended to be implemented in theory before subsequently evaluating</w:t>
      </w:r>
      <w:r>
        <w:t xml:space="preserve"> </w:t>
      </w:r>
      <w:r>
        <w:t xml:space="preserve">whether this materialised in practice based on recent empirical evidence.</w:t>
      </w:r>
      <w:r>
        <w:t xml:space="preserve"> </w:t>
      </w:r>
      <w:r>
        <w:t xml:space="preserve">8.3.3 Intervention logic</w:t>
      </w:r>
      <w:r>
        <w:t xml:space="preserve"> </w:t>
      </w:r>
      <w:r>
        <w:t xml:space="preserve">Figure 19 provides an overview of the intervention logic to justify the provision of free</w:t>
      </w:r>
      <w:r>
        <w:t xml:space="preserve"> </w:t>
      </w:r>
      <w:r>
        <w:t xml:space="preserve">allocation in order to prevent the occurrence of carbon leakage. The intervention logic diagram</w:t>
      </w:r>
      <w:r>
        <w:t xml:space="preserve"> </w:t>
      </w:r>
      <w:r>
        <w:t xml:space="preserve">focuses on the point of comparison, which as explained in the previous section, refers to the</w:t>
      </w:r>
      <w:r>
        <w:t xml:space="preserve"> </w:t>
      </w:r>
      <w:r>
        <w:t xml:space="preserve">reforms made to the provision of free allocation following the revision to the ETS Directive in</w:t>
      </w:r>
      <w:r>
        <w:t xml:space="preserve"> </w:t>
      </w:r>
      <w:r>
        <w:t xml:space="preserve">2018. The extent to which the policy intervention delivered the expected outcomes will be the</w:t>
      </w:r>
      <w:r>
        <w:t xml:space="preserve"> </w:t>
      </w:r>
      <w:r>
        <w:t xml:space="preserve">subject of the evaluation responding to the questions set in the corresponding evaluation matrix.</w:t>
      </w:r>
      <w:r>
        <w:t xml:space="preserve"> </w:t>
      </w:r>
      <w:r>
        <w:t xml:space="preserve">Each element of the intervention logic diagram below is further discussed in the following</w:t>
      </w:r>
      <w:r>
        <w:t xml:space="preserve"> </w:t>
      </w:r>
      <w:r>
        <w:t xml:space="preserve">subsections.</w:t>
      </w:r>
    </w:p>
    <w:p>
      <w:pPr>
        <w:pStyle w:val="BodyText"/>
      </w:pPr>
      <w:r>
        <w:t xml:space="preserve">135 Official Journal of the European Union, Volume 62, 8 May 2019, available at: eur-lex.europa.eu/legal-</w:t>
      </w:r>
      <w:r>
        <w:t xml:space="preserve"> </w:t>
      </w:r>
      <w:r>
        <w:t xml:space="preserve">content/EN/TXT/PDF/?uri=OJ:L:2019:120:FULL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Figure 19: Intervention logic diagram (carbon leakage)</w:t>
      </w:r>
    </w:p>
    <w:p>
      <w:pPr>
        <w:pStyle w:val="BodyText"/>
      </w:pPr>
      <w:r>
        <w:t xml:space="preserve">Source: Own illustration</w:t>
      </w:r>
      <w:r>
        <w:t xml:space="preserve"> </w:t>
      </w:r>
      <w:r>
        <w:t xml:space="preserve">8.3.3.1</w:t>
      </w:r>
      <w:r>
        <w:t xml:space="preserve"> </w:t>
      </w:r>
      <w:r>
        <w:t xml:space="preserve">Problem to address</w:t>
      </w:r>
      <w:r>
        <w:t xml:space="preserve"> </w:t>
      </w:r>
      <w:r>
        <w:t xml:space="preserve">The prevention of carbon leakage, which refers to the possible relocation of industrial</w:t>
      </w:r>
      <w:r>
        <w:t xml:space="preserve"> </w:t>
      </w:r>
      <w:r>
        <w:t xml:space="preserve">production that is subject to EU carbon pricing to countries with less stringent climate policies.</w:t>
      </w:r>
      <w:r>
        <w:t xml:space="preserve"> </w:t>
      </w:r>
      <w:r>
        <w:t xml:space="preserve">Therefore, there is a concern that such unequal carbon pricing may result in either an overall</w:t>
      </w:r>
      <w:r>
        <w:t xml:space="preserve"> </w:t>
      </w:r>
      <w:r>
        <w:t xml:space="preserve">increase in global GHG emissions or a lower reduction in global emissions than in EU</w:t>
      </w:r>
      <w:r>
        <w:t xml:space="preserve"> </w:t>
      </w:r>
      <w:r>
        <w:t xml:space="preserve">emissions. As a consequence, unequal carbon pricing across jurisdictions abroad presents a</w:t>
      </w:r>
      <w:r>
        <w:t xml:space="preserve"> </w:t>
      </w:r>
      <w:r>
        <w:t xml:space="preserve">competitive challenge for European producers covered by the EU ETS.</w:t>
      </w:r>
      <w:r>
        <w:br/>
      </w:r>
      <w:r>
        <w:t xml:space="preserve">Carbon leakage poses economic risks, including the potential decline of industrial activity, jobs</w:t>
      </w:r>
      <w:r>
        <w:t xml:space="preserve"> </w:t>
      </w:r>
      <w:r>
        <w:t xml:space="preserve">and market share, and also undermines the climate objectives of the EU ETS. Addressing this</w:t>
      </w:r>
      <w:r>
        <w:t xml:space="preserve"> </w:t>
      </w:r>
      <w:r>
        <w:t xml:space="preserve">concern is central to the EU’s overall climate strategy and becomes increasingly relevant as the</w:t>
      </w:r>
      <w:r>
        <w:t xml:space="preserve"> </w:t>
      </w:r>
      <w:r>
        <w:t xml:space="preserve">ambition of the EU ETS progressively increases over time.</w:t>
      </w:r>
      <w:r>
        <w:t xml:space="preserve"> </w:t>
      </w:r>
      <w:r>
        <w:t xml:space="preserve">8.3.3.2</w:t>
      </w:r>
      <w:r>
        <w:t xml:space="preserve"> </w:t>
      </w:r>
      <w:r>
        <w:t xml:space="preserve">Objectives</w:t>
      </w:r>
      <w:r>
        <w:t xml:space="preserve"> </w:t>
      </w:r>
      <w:r>
        <w:t xml:space="preserve">The primary instrument to protect emission intensive industries against the risk of carbon</w:t>
      </w:r>
      <w:r>
        <w:t xml:space="preserve"> </w:t>
      </w:r>
      <w:r>
        <w:t xml:space="preserve">leakage was free allocation. Through free allocation, a portion of allowances is allocated for</w:t>
      </w:r>
      <w:r>
        <w:t xml:space="preserve"> </w:t>
      </w:r>
      <w:r>
        <w:t xml:space="preserve">free to carbon intensive sectors exposed to the risk of carbon leakage, in order to prevent</w:t>
      </w:r>
      <w:r>
        <w:t xml:space="preserve"> </w:t>
      </w:r>
      <w:r>
        <w:t xml:space="preserve">relocation of activity to areas without a carbon price.</w:t>
      </w:r>
      <w:r>
        <w:br/>
      </w:r>
      <w:r>
        <w:t xml:space="preserve">Indeed, the general objective of the provision of free allocation is to prevent the risk of carbon</w:t>
      </w:r>
      <w:r>
        <w:t xml:space="preserve"> </w:t>
      </w:r>
      <w:r>
        <w:t xml:space="preserve">leakage by shielding emissions-intensive and trade-exposed industries from the full cost of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compliance of the EU ETS. The design of the policy intervention is underpinned by the</w:t>
      </w:r>
      <w:r>
        <w:t xml:space="preserve"> </w:t>
      </w:r>
      <w:r>
        <w:t xml:space="preserve">following two specific objectives136:</w:t>
      </w:r>
      <w:r>
        <w:br/>
      </w:r>
      <w:r>
        <w:t xml:space="preserve">• the more targeted provision of free allowances to continue “effective protection</w:t>
      </w:r>
      <w:r>
        <w:t xml:space="preserve"> </w:t>
      </w:r>
      <w:r>
        <w:t xml:space="preserve">for sectors exposed to a significant risk of carbon leakage”.</w:t>
      </w:r>
      <w:r>
        <w:br/>
      </w:r>
      <w:r>
        <w:t xml:space="preserve">• to incentivise “the uptake of low carbon technologies” to reduce their exposure</w:t>
      </w:r>
      <w:r>
        <w:t xml:space="preserve"> </w:t>
      </w:r>
      <w:r>
        <w:t xml:space="preserve">to the carbon price in the longer term.</w:t>
      </w:r>
      <w:r>
        <w:t xml:space="preserve"> </w:t>
      </w:r>
      <w:r>
        <w:t xml:space="preserve">A common critique of free allocation in the EU ETS is that it reduces the incentive for</w:t>
      </w:r>
      <w:r>
        <w:t xml:space="preserve"> </w:t>
      </w:r>
      <w:r>
        <w:t xml:space="preserve">emissions-intensive industries to decarbonize by shielding them from the full carbon price.</w:t>
      </w:r>
      <w:r>
        <w:t xml:space="preserve"> </w:t>
      </w:r>
      <w:r>
        <w:t xml:space="preserve">This can delay or reduce incentives for these industries to shift to lower-emission technologies,</w:t>
      </w:r>
      <w:r>
        <w:t xml:space="preserve"> </w:t>
      </w:r>
      <w:r>
        <w:t xml:space="preserve">as they face less financial pressure to cut emissions. In theory, however, the EU ETS still</w:t>
      </w:r>
      <w:r>
        <w:t xml:space="preserve"> </w:t>
      </w:r>
      <w:r>
        <w:t xml:space="preserve">encourages decarbonisation because companies can sell any surplus allowances if they lower</w:t>
      </w:r>
      <w:r>
        <w:t xml:space="preserve"> </w:t>
      </w:r>
      <w:r>
        <w:t xml:space="preserve">their emissions below allocated levels, thereby earning a profit. Furthermore, reforms to how</w:t>
      </w:r>
      <w:r>
        <w:t xml:space="preserve"> </w:t>
      </w:r>
      <w:r>
        <w:t xml:space="preserve">free allocation is provided (i.e. the introduction of benchmarking) ensures that incentives</w:t>
      </w:r>
      <w:r>
        <w:t xml:space="preserve"> </w:t>
      </w:r>
      <w:r>
        <w:t xml:space="preserve">remain to reward firms for taking early action to reduce their emissions by securing more</w:t>
      </w:r>
      <w:r>
        <w:t xml:space="preserve"> </w:t>
      </w:r>
      <w:r>
        <w:t xml:space="preserve">allowances that they can sell in the future. Nonetheless, critics argue that this profit potential</w:t>
      </w:r>
      <w:r>
        <w:t xml:space="preserve"> </w:t>
      </w:r>
      <w:r>
        <w:t xml:space="preserve">is often not strong enough to overcome the benefit of maintaining current, higher-emission</w:t>
      </w:r>
      <w:r>
        <w:t xml:space="preserve"> </w:t>
      </w:r>
      <w:r>
        <w:t xml:space="preserve">processes when firms receive allowances at low or no cost.</w:t>
      </w:r>
      <w:r>
        <w:br/>
      </w:r>
      <w:r>
        <w:t xml:space="preserve">The extent to which the objectives above address the identified problem are defined as the</w:t>
      </w:r>
      <w:r>
        <w:t xml:space="preserve"> </w:t>
      </w:r>
      <w:r>
        <w:t xml:space="preserve">relevance of the policy intervention. The ambition of the EU ETS has been raised further in</w:t>
      </w:r>
      <w:r>
        <w:t xml:space="preserve"> </w:t>
      </w:r>
      <w:r>
        <w:t xml:space="preserve">Phase IV to align with the goal of achieving climate neutrality by 2050, set by the European</w:t>
      </w:r>
      <w:r>
        <w:t xml:space="preserve"> </w:t>
      </w:r>
      <w:r>
        <w:t xml:space="preserve">Green Deal. As a consequence, concerns regarding carbon leakage have continued to grow in</w:t>
      </w:r>
      <w:r>
        <w:t xml:space="preserve"> </w:t>
      </w:r>
      <w:r>
        <w:t xml:space="preserve">recent years as the price signal has strengthened in response to, in part, the enhanced levels of</w:t>
      </w:r>
      <w:r>
        <w:t xml:space="preserve"> </w:t>
      </w:r>
      <w:r>
        <w:t xml:space="preserve">ambition of the EU ETS.</w:t>
      </w:r>
      <w:r>
        <w:br/>
      </w:r>
      <w:r>
        <w:t xml:space="preserve">8.3.3.3</w:t>
      </w:r>
      <w:r>
        <w:t xml:space="preserve"> </w:t>
      </w:r>
      <w:r>
        <w:t xml:space="preserve">Inputs</w:t>
      </w:r>
      <w:r>
        <w:t xml:space="preserve"> </w:t>
      </w:r>
      <w:r>
        <w:t xml:space="preserve">Implementing the reforms for the more targeted provision of free allocation in Phase IV</w:t>
      </w:r>
      <w:r>
        <w:t xml:space="preserve"> </w:t>
      </w:r>
      <w:r>
        <w:t xml:space="preserve">required significant human and financial resources from the Commission, Member States,</w:t>
      </w:r>
      <w:r>
        <w:t xml:space="preserve"> </w:t>
      </w:r>
      <w:r>
        <w:t xml:space="preserve">and relevant institutions. The use of these resources is discussed in the next subsection</w:t>
      </w:r>
      <w:r>
        <w:t xml:space="preserve"> </w:t>
      </w:r>
      <w:r>
        <w:t xml:space="preserve">providing examples of the subsequent actions.</w:t>
      </w:r>
      <w:r>
        <w:t xml:space="preserve"> </w:t>
      </w:r>
      <w:r>
        <w:t xml:space="preserve">8.3.3.4</w:t>
      </w:r>
      <w:r>
        <w:t xml:space="preserve"> </w:t>
      </w:r>
      <w:r>
        <w:t xml:space="preserve">Actions</w:t>
      </w:r>
      <w:r>
        <w:t xml:space="preserve"> </w:t>
      </w:r>
      <w:r>
        <w:t xml:space="preserve">With significant human and financial resources from the Commission, Member States and</w:t>
      </w:r>
      <w:r>
        <w:t xml:space="preserve"> </w:t>
      </w:r>
      <w:r>
        <w:t xml:space="preserve">other relevant institutions, the following actions were undertaken:</w:t>
      </w:r>
      <w:r>
        <w:br/>
      </w:r>
      <w:r>
        <w:t xml:space="preserve">• The updating of the product benchmarks and fall-back options by taking into</w:t>
      </w:r>
      <w:r>
        <w:t xml:space="preserve"> </w:t>
      </w:r>
      <w:r>
        <w:t xml:space="preserve">account more recent NIMs data137 on emissions and activity levels for</w:t>
      </w:r>
      <w:r>
        <w:t xml:space="preserve"> </w:t>
      </w:r>
      <w:r>
        <w:t xml:space="preserve">installations (that needed to be collected, verified and processed) to make the</w:t>
      </w:r>
    </w:p>
    <w:p>
      <w:pPr>
        <w:pStyle w:val="BodyText"/>
      </w:pPr>
      <w:r>
        <w:t xml:space="preserve">136 COMMISSION STAFF WORKING DOCUMENT IMPACT ASSESSMENT REPORT Accompanying the</w:t>
      </w:r>
      <w:r>
        <w:t xml:space="preserve"> </w:t>
      </w:r>
      <w:r>
        <w:t xml:space="preserve">document DIRECTIVE OF THE EUROPEAN PARLIAMENT AND OF THE COUNCIL amending</w:t>
      </w:r>
      <w:r>
        <w:t xml:space="preserve"> </w:t>
      </w:r>
      <w:r>
        <w:t xml:space="preserve">Directive 2003/87/EC establishing a system for greenhouse gas emission allowance trading within the Union,</w:t>
      </w:r>
      <w:r>
        <w:t xml:space="preserve"> </w:t>
      </w:r>
      <w:r>
        <w:t xml:space="preserve">Decision (EU) 2015/1814 concerning the establishment and operation of a market stability reserve for the</w:t>
      </w:r>
      <w:r>
        <w:t xml:space="preserve"> </w:t>
      </w:r>
      <w:r>
        <w:t xml:space="preserve">Union greenhouse gas emission trading scheme and Regulation (EU) 2015/757, https://eur-</w:t>
      </w:r>
      <w:r>
        <w:t xml:space="preserve"> </w:t>
      </w:r>
      <w:r>
        <w:t xml:space="preserve">lex.europa.eu/legal-content/EN/AUTO/?uri=celex:52021SC0601</w:t>
      </w:r>
      <w:r>
        <w:t xml:space="preserve"> </w:t>
      </w:r>
      <w:r>
        <w:t xml:space="preserve">137 Data collected/submitted to the COM in accordance with Art. 11 of the ETS-D and FAR Art. 14.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necessary adjustment to the product benchmark values and fall-back options</w:t>
      </w:r>
      <w:r>
        <w:t xml:space="preserve"> </w:t>
      </w:r>
      <w:r>
        <w:t xml:space="preserve">that were applied previously in Phase III.138</w:t>
      </w:r>
      <w:r>
        <w:br/>
      </w:r>
      <w:r>
        <w:t xml:space="preserve">• Determining whether the CSCF needed to be applied to ensure that final free</w:t>
      </w:r>
      <w:r>
        <w:t xml:space="preserve"> </w:t>
      </w:r>
      <w:r>
        <w:t xml:space="preserve">allocation did not exceed the EU ETS cap even with the establishment of the</w:t>
      </w:r>
      <w:r>
        <w:t xml:space="preserve"> </w:t>
      </w:r>
      <w:r>
        <w:t xml:space="preserve">additional buffer. This involves further resource to compare the cap and</w:t>
      </w:r>
      <w:r>
        <w:t xml:space="preserve"> </w:t>
      </w:r>
      <w:r>
        <w:t xml:space="preserve">auctioning share with the total preliminary allocation before multiplying it by</w:t>
      </w:r>
      <w:r>
        <w:t xml:space="preserve"> </w:t>
      </w:r>
      <w:r>
        <w:t xml:space="preserve">the CSCF to calculate the total final allocation that was subsequently approved</w:t>
      </w:r>
      <w:r>
        <w:t xml:space="preserve"> </w:t>
      </w:r>
      <w:r>
        <w:t xml:space="preserve">and published by the Commission. The establishment of an additional buffer</w:t>
      </w:r>
      <w:r>
        <w:t xml:space="preserve"> </w:t>
      </w:r>
      <w:r>
        <w:t xml:space="preserve">also required resources to design, review and approve.</w:t>
      </w:r>
      <w:r>
        <w:br/>
      </w:r>
      <w:r>
        <w:t xml:space="preserve">• Setting rules for the Activity Level Changes Regulation (ALCR)139 and to then</w:t>
      </w:r>
      <w:r>
        <w:t xml:space="preserve"> </w:t>
      </w:r>
      <w:r>
        <w:t xml:space="preserve">adjust allocation to reflect changes in activity levels. This required resources to</w:t>
      </w:r>
      <w:r>
        <w:t xml:space="preserve"> </w:t>
      </w:r>
      <w:r>
        <w:t xml:space="preserve">maintain free allocation levels that were more aligned to actual production</w:t>
      </w:r>
      <w:r>
        <w:t xml:space="preserve"> </w:t>
      </w:r>
      <w:r>
        <w:t xml:space="preserve">levels.</w:t>
      </w:r>
      <w:r>
        <w:br/>
      </w:r>
      <w:r>
        <w:t xml:space="preserve">• The determination of the carbon leakage list involved detailed assessments of</w:t>
      </w:r>
      <w:r>
        <w:t xml:space="preserve"> </w:t>
      </w:r>
      <w:r>
        <w:t xml:space="preserve">trade intensity and emissions exposure across industrial sectors and required</w:t>
      </w:r>
      <w:r>
        <w:t xml:space="preserve"> </w:t>
      </w:r>
      <w:r>
        <w:t xml:space="preserve">dialogue with key stakeholders. The methodology for the first level quantitative</w:t>
      </w:r>
      <w:r>
        <w:t xml:space="preserve"> </w:t>
      </w:r>
      <w:r>
        <w:t xml:space="preserve">assessment was revised with a single carbon leakage indicator (i.e. emission</w:t>
      </w:r>
      <w:r>
        <w:t xml:space="preserve"> </w:t>
      </w:r>
      <w:r>
        <w:t xml:space="preserve">intensity * trade intensity) used to determine the sectors and sub-sectors at</w:t>
      </w:r>
      <w:r>
        <w:t xml:space="preserve"> </w:t>
      </w:r>
      <w:r>
        <w:t xml:space="preserve">significant risk of carbon leakage and this required considerable resources to</w:t>
      </w:r>
      <w:r>
        <w:t xml:space="preserve"> </w:t>
      </w:r>
      <w:r>
        <w:t xml:space="preserve">design, review and approve. The eligibility criteria for a second level assessment</w:t>
      </w:r>
      <w:r>
        <w:t xml:space="preserve"> </w:t>
      </w:r>
      <w:r>
        <w:t xml:space="preserve">at a more disaggregated level was also revised to reflect the use of a single</w:t>
      </w:r>
      <w:r>
        <w:t xml:space="preserve"> </w:t>
      </w:r>
      <w:r>
        <w:t xml:space="preserve">carbon leakage indicator.</w:t>
      </w:r>
      <w:r>
        <w:t xml:space="preserve"> </w:t>
      </w:r>
      <w:r>
        <w:t xml:space="preserve">8.3.3.5</w:t>
      </w:r>
      <w:r>
        <w:t xml:space="preserve"> </w:t>
      </w:r>
      <w:r>
        <w:t xml:space="preserve">Output</w:t>
      </w:r>
      <w:r>
        <w:t xml:space="preserve"> </w:t>
      </w:r>
      <w:r>
        <w:t xml:space="preserve">The actions described above resulted in the following outputs:</w:t>
      </w:r>
      <w:r>
        <w:br/>
      </w:r>
      <w:r>
        <w:t xml:space="preserve">• Updated benchmark values for Phase IV (2021-25) were calculated based upon</w:t>
      </w:r>
      <w:r>
        <w:t xml:space="preserve"> </w:t>
      </w:r>
      <w:r>
        <w:t xml:space="preserve">NIMs data, which was collected by the Commission in 2019, related to the</w:t>
      </w:r>
      <w:r>
        <w:t xml:space="preserve"> </w:t>
      </w:r>
      <w:r>
        <w:t xml:space="preserve">emissions and activity levels of all sub-installations. The benchmark values</w:t>
      </w:r>
      <w:r>
        <w:t xml:space="preserve"> </w:t>
      </w:r>
      <w:r>
        <w:t xml:space="preserve">from Phase III were adjusted downwards to reflect the technological</w:t>
      </w:r>
      <w:r>
        <w:t xml:space="preserve"> </w:t>
      </w:r>
      <w:r>
        <w:t xml:space="preserve">improvements observed in the NIMs dataset.</w:t>
      </w:r>
      <w:r>
        <w:br/>
      </w:r>
      <w:r>
        <w:t xml:space="preserve">• No application of the CSCF: In Phase III, the application of the CSCF resulted</w:t>
      </w:r>
      <w:r>
        <w:t xml:space="preserve"> </w:t>
      </w:r>
      <w:r>
        <w:t xml:space="preserve">in a reduction in free allocation of approximately 6% in 2013 and 18% in</w:t>
      </w:r>
      <w:r>
        <w:t xml:space="preserve"> </w:t>
      </w:r>
      <w:r>
        <w:t xml:space="preserve">2020.140 In Phase IV (2021-25) the CSCF was not applied and remained at 1</w:t>
      </w:r>
      <w:r>
        <w:t xml:space="preserve"> </w:t>
      </w:r>
      <w:r>
        <w:t xml:space="preserve">because of the preliminary allocation not exceeding the available quantity of</w:t>
      </w:r>
      <w:r>
        <w:t xml:space="preserve"> </w:t>
      </w:r>
      <w:r>
        <w:t xml:space="preserve">free allowances.</w:t>
      </w:r>
      <w:r>
        <w:t xml:space="preserve"> </w:t>
      </w:r>
      <w:r>
        <w:t xml:space="preserve">• Rules for aligning allocation better to activity levels: Rules were set for</w:t>
      </w:r>
      <w:r>
        <w:t xml:space="preserve"> </w:t>
      </w:r>
      <w:r>
        <w:t xml:space="preserve">adjustment to allocation levels in Phase IV to be more aligned with actual</w:t>
      </w:r>
      <w:r>
        <w:t xml:space="preserve"> </w:t>
      </w:r>
      <w:r>
        <w:t xml:space="preserve">production.</w:t>
      </w:r>
    </w:p>
    <w:p>
      <w:pPr>
        <w:pStyle w:val="BodyText"/>
      </w:pPr>
      <w:r>
        <w:t xml:space="preserve">138 The key activities involved the collection of detailed emissions and activity data from industrial installations</w:t>
      </w:r>
      <w:r>
        <w:t xml:space="preserve"> </w:t>
      </w:r>
      <w:r>
        <w:t xml:space="preserve">to establish benchmark values. These benchmark values, which represented the average emissions of the top</w:t>
      </w:r>
      <w:r>
        <w:t xml:space="preserve"> </w:t>
      </w:r>
      <w:r>
        <w:t xml:space="preserve">10% most efficient installations, were used as the basis for calculating free allocation. For Phase III of the</w:t>
      </w:r>
      <w:r>
        <w:t xml:space="preserve"> </w:t>
      </w:r>
      <w:r>
        <w:t xml:space="preserve">EU ETS, 52 product benchmarks and two fall-back values were established. The fall-back options are</w:t>
      </w:r>
      <w:r>
        <w:t xml:space="preserve"> </w:t>
      </w:r>
      <w:r>
        <w:t xml:space="preserve">benchmarks for heat and fuel consumption for product and processes covered by the product benchmark. The</w:t>
      </w:r>
      <w:r>
        <w:t xml:space="preserve"> </w:t>
      </w:r>
      <w:r>
        <w:t xml:space="preserve">collection of benchmark data was organised on a voluntary basis and based on a methodology set out by the</w:t>
      </w:r>
      <w:r>
        <w:t xml:space="preserve"> </w:t>
      </w:r>
      <w:r>
        <w:t xml:space="preserve">European Commission.</w:t>
      </w:r>
      <w:r>
        <w:br/>
      </w:r>
      <w:r>
        <w:t xml:space="preserve">139 Implementing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2019/1842,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lex.europa.eu/eli/reg_impl/2019/1842/oj/eng</w:t>
      </w:r>
      <w:r>
        <w:t xml:space="preserve"> </w:t>
      </w:r>
      <w:r>
        <w:t xml:space="preserve">140 EU ETS Cross Sectoral Correction Factor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• More targeted carbon leakage list: Sectors and sub-sectors that met the criteria</w:t>
      </w:r>
      <w:r>
        <w:t xml:space="preserve"> </w:t>
      </w:r>
      <w:r>
        <w:t xml:space="preserve">for significant risk of carbon leakage were added to a carbon leakage list and</w:t>
      </w:r>
      <w:r>
        <w:t xml:space="preserve"> </w:t>
      </w:r>
      <w:r>
        <w:t xml:space="preserve">were eligible for 100% of the quantity of free allowance determined pursuant to</w:t>
      </w:r>
      <w:r>
        <w:t xml:space="preserve"> </w:t>
      </w:r>
      <w:r>
        <w:t xml:space="preserve">Article 10a of the ETS Directive. The resulting carbon leakage list was more</w:t>
      </w:r>
      <w:r>
        <w:t xml:space="preserve"> </w:t>
      </w:r>
      <w:r>
        <w:t xml:space="preserve">targeted due to the use of a single carbon leakage indicator to determine the</w:t>
      </w:r>
      <w:r>
        <w:t xml:space="preserve"> </w:t>
      </w:r>
      <w:r>
        <w:t xml:space="preserve">carbon leakage risk status of sectors and sub-sectors.</w:t>
      </w:r>
      <w:r>
        <w:br/>
      </w:r>
      <w:r>
        <w:t xml:space="preserve">8.3.3.6</w:t>
      </w:r>
      <w:r>
        <w:t xml:space="preserve"> </w:t>
      </w:r>
      <w:r>
        <w:t xml:space="preserve">Intended results</w:t>
      </w:r>
      <w:r>
        <w:t xml:space="preserve"> </w:t>
      </w:r>
      <w:r>
        <w:t xml:space="preserve">The policy intervention intended to provide emission-intensive and trade-exposed sectors with</w:t>
      </w:r>
      <w:r>
        <w:t xml:space="preserve"> </w:t>
      </w:r>
      <w:r>
        <w:t xml:space="preserve">a degree of protection from the full cost of carbon pricing under the EU ETS. By providing a</w:t>
      </w:r>
      <w:r>
        <w:t xml:space="preserve"> </w:t>
      </w:r>
      <w:r>
        <w:t xml:space="preserve">targeted allocation of free allowances to sectors at significant risk of carbon leakage, it aimed</w:t>
      </w:r>
      <w:r>
        <w:t xml:space="preserve"> </w:t>
      </w:r>
      <w:r>
        <w:t xml:space="preserve">to limit compliance costs and prevent relocation of industry. At the same time, it was expected</w:t>
      </w:r>
      <w:r>
        <w:t xml:space="preserve"> </w:t>
      </w:r>
      <w:r>
        <w:t xml:space="preserve">that the use of benchmarks and gradual adjustments to allocation rules would preserve</w:t>
      </w:r>
      <w:r>
        <w:t xml:space="preserve"> </w:t>
      </w:r>
      <w:r>
        <w:t xml:space="preserve">incentives for emissions reductions and innovation. In this way, the intervention sought to</w:t>
      </w:r>
      <w:r>
        <w:t xml:space="preserve"> </w:t>
      </w:r>
      <w:r>
        <w:t xml:space="preserve">balance competitiveness and climate objectives.</w:t>
      </w:r>
      <w:r>
        <w:t xml:space="preserve"> </w:t>
      </w:r>
      <w:r>
        <w:t xml:space="preserve">8.3.3.7</w:t>
      </w:r>
      <w:r>
        <w:t xml:space="preserve"> </w:t>
      </w:r>
      <w:r>
        <w:t xml:space="preserve">Unintended impacts</w:t>
      </w:r>
      <w:r>
        <w:t xml:space="preserve"> </w:t>
      </w:r>
      <w:r>
        <w:t xml:space="preserve">Free allocation can result in lower carbon prices, which could undermine the strength of the</w:t>
      </w:r>
      <w:r>
        <w:t xml:space="preserve"> </w:t>
      </w:r>
      <w:r>
        <w:t xml:space="preserve">EU ETS price signal and the efficiency of the system. The updated benchmark values for Phase</w:t>
      </w:r>
      <w:r>
        <w:t xml:space="preserve"> </w:t>
      </w:r>
      <w:r>
        <w:t xml:space="preserve">IV, better alignment of allocation to production levels and a revised carbon leakage list all help</w:t>
      </w:r>
      <w:r>
        <w:t xml:space="preserve"> </w:t>
      </w:r>
      <w:r>
        <w:t xml:space="preserve">to ensure that free allocation is better targeted and this offsets the unintended impact of free</w:t>
      </w:r>
      <w:r>
        <w:t xml:space="preserve"> </w:t>
      </w:r>
      <w:r>
        <w:t xml:space="preserve">allocation on the lowering of carbon prices.</w:t>
      </w:r>
      <w:r>
        <w:t xml:space="preserve"> </w:t>
      </w:r>
      <w:r>
        <w:t xml:space="preserve">Another unintended impact of the provision of free allocation, albeit better targeted, is that it</w:t>
      </w:r>
      <w:r>
        <w:t xml:space="preserve"> </w:t>
      </w:r>
      <w:r>
        <w:t xml:space="preserve">may still delay investments in more innovative production processes as installations that</w:t>
      </w:r>
      <w:r>
        <w:t xml:space="preserve"> </w:t>
      </w:r>
      <w:r>
        <w:t xml:space="preserve">continue to receive free allowances are not fully exposed to the carbon cost. However, the</w:t>
      </w:r>
      <w:r>
        <w:t xml:space="preserve"> </w:t>
      </w:r>
      <w:r>
        <w:t xml:space="preserve">allocation of free allowances based upon benchmarking has helped to mitigate this unintended</w:t>
      </w:r>
      <w:r>
        <w:t xml:space="preserve"> </w:t>
      </w:r>
      <w:r>
        <w:t xml:space="preserve">impact by linking the allocation of free allowances to performance in terms of the emission</w:t>
      </w:r>
      <w:r>
        <w:t xml:space="preserve"> </w:t>
      </w:r>
      <w:r>
        <w:t xml:space="preserve">intensity of production for benchmarked products. However, even with the use of product</w:t>
      </w:r>
      <w:r>
        <w:t xml:space="preserve"> </w:t>
      </w:r>
      <w:r>
        <w:t xml:space="preserve">benchmarks, innovation can still be disincentivised if a product benchmark fails to take into</w:t>
      </w:r>
      <w:r>
        <w:t xml:space="preserve"> </w:t>
      </w:r>
      <w:r>
        <w:t xml:space="preserve">account new technologies within its product boundary. This has already been acknowledged</w:t>
      </w:r>
      <w:r>
        <w:t xml:space="preserve"> </w:t>
      </w:r>
      <w:r>
        <w:t xml:space="preserve">and started to be addressed by the Commission with some product benchmark definitions being</w:t>
      </w:r>
      <w:r>
        <w:t xml:space="preserve"> </w:t>
      </w:r>
      <w:r>
        <w:t xml:space="preserve">modified - most notably those related to hydrogen and steel production.141</w:t>
      </w:r>
      <w:r>
        <w:br/>
      </w:r>
      <w:r>
        <w:t xml:space="preserve">8.3.3.8</w:t>
      </w:r>
      <w:r>
        <w:t xml:space="preserve"> </w:t>
      </w:r>
      <w:r>
        <w:t xml:space="preserve">External factors</w:t>
      </w:r>
      <w:r>
        <w:t xml:space="preserve"> </w:t>
      </w:r>
      <w:r>
        <w:t xml:space="preserve">The effectiveness of carbon leakage provisions has been influenced by external developments.</w:t>
      </w:r>
      <w:r>
        <w:t xml:space="preserve"> </w:t>
      </w:r>
      <w:r>
        <w:t xml:space="preserve">At the international level, the increase in the international uptake of carbon pricing schemes</w:t>
      </w:r>
      <w:r>
        <w:t xml:space="preserve"> </w:t>
      </w:r>
      <w:r>
        <w:t xml:space="preserve">could reduce the impact of carbon leakage on certain domestic industries and trade flows.</w:t>
      </w:r>
      <w:r>
        <w:t xml:space="preserve"> </w:t>
      </w:r>
      <w:r>
        <w:t xml:space="preserve">According to ICAP,142 36 ETS systems are currently in force at a global level, and 22 systems</w:t>
      </w:r>
      <w:r>
        <w:t xml:space="preserve"> </w:t>
      </w:r>
      <w:r>
        <w:t xml:space="preserve">are under stages of development and consideration. Industrial influences include</w:t>
      </w:r>
      <w:r>
        <w:t xml:space="preserve"> </w:t>
      </w:r>
      <w:r>
        <w:t xml:space="preserve">macroeconomic shocks, which can impact trade flows; geopolitical instability, which could</w:t>
      </w:r>
      <w:r>
        <w:t xml:space="preserve"> </w:t>
      </w:r>
      <w:r>
        <w:t xml:space="preserve">result in energy price volatility and increase costs of production for emissions intensive</w:t>
      </w:r>
      <w:r>
        <w:t xml:space="preserve"> </w:t>
      </w:r>
      <w:r>
        <w:t xml:space="preserve">industries; trade tariffs and currency fluctuations can impact trade flows and the</w:t>
      </w:r>
      <w:r>
        <w:t xml:space="preserve"> </w:t>
      </w:r>
      <w:r>
        <w:t xml:space="preserve">competitiveness of EU industries.</w:t>
      </w:r>
    </w:p>
    <w:p>
      <w:pPr>
        <w:pStyle w:val="BodyText"/>
      </w:pPr>
      <w:r>
        <w:t xml:space="preserve">141 REPORT FROM THE COMMISSION TO THE EUROPEAN PARLIAMENT AND THE COUNCIL on the</w:t>
      </w:r>
      <w:r>
        <w:t xml:space="preserve"> </w:t>
      </w:r>
      <w:r>
        <w:t xml:space="preserve">functioning of the European carbon market in 2023, SWD(2024) 264 final</w:t>
      </w:r>
      <w:r>
        <w:t xml:space="preserve"> </w:t>
      </w:r>
      <w:r>
        <w:t xml:space="preserve">142 Emissions Trading Worldwide: 2024 ICAP Status Report | International Carbon Action Partnership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8.3.3.9</w:t>
      </w:r>
      <w:r>
        <w:t xml:space="preserve"> </w:t>
      </w:r>
      <w:r>
        <w:t xml:space="preserve">EU/national policies</w:t>
      </w:r>
      <w:r>
        <w:t xml:space="preserve"> </w:t>
      </w:r>
      <w:r>
        <w:t xml:space="preserve">The intervention interacts with several related EU and national policies. At the EU level,</w:t>
      </w:r>
      <w:r>
        <w:t xml:space="preserve"> </w:t>
      </w:r>
      <w:r>
        <w:t xml:space="preserve">instruments such as the Innovation Fund, established by the Directive 2003/87/EC, promotes</w:t>
      </w:r>
      <w:r>
        <w:t xml:space="preserve"> </w:t>
      </w:r>
      <w:r>
        <w:t xml:space="preserve">financial support for emission-reducing investments and can support emission intensive</w:t>
      </w:r>
      <w:r>
        <w:t xml:space="preserve"> </w:t>
      </w:r>
      <w:r>
        <w:t xml:space="preserve">industries’ efforts to decarbonise. Likewise, the Energy Efficiency Directive (Directive (EU)</w:t>
      </w:r>
      <w:r>
        <w:t xml:space="preserve"> </w:t>
      </w:r>
      <w:r>
        <w:t xml:space="preserve">2023/1791) and the Renewable Energy Directive (Directive (EU) 2023/2413) aim to reduce</w:t>
      </w:r>
      <w:r>
        <w:t xml:space="preserve"> </w:t>
      </w:r>
      <w:r>
        <w:t xml:space="preserve">overall energy demand and increase the share of renewables, thereby indirectly reducing</w:t>
      </w:r>
      <w:r>
        <w:t xml:space="preserve"> </w:t>
      </w:r>
      <w:r>
        <w:t xml:space="preserve">emissions and the demand for ETS allowances.</w:t>
      </w:r>
      <w:r>
        <w:t xml:space="preserve"> </w:t>
      </w:r>
      <w:r>
        <w:t xml:space="preserve">Member States’ National energy and climate plans (NECPs) outline how each Member State</w:t>
      </w:r>
      <w:r>
        <w:t xml:space="preserve"> </w:t>
      </w:r>
      <w:r>
        <w:t xml:space="preserve">plans to achieve its climate goals by 2030. NECPs include information on energy efficiency</w:t>
      </w:r>
      <w:r>
        <w:t xml:space="preserve"> </w:t>
      </w:r>
      <w:r>
        <w:t xml:space="preserve">and innovation, which could affect industrial emissions. Member States’ energy strategies and</w:t>
      </w:r>
      <w:r>
        <w:t xml:space="preserve"> </w:t>
      </w:r>
      <w:r>
        <w:t xml:space="preserve">renewable targets can affect emissions reduction. The coherence and interplay between these</w:t>
      </w:r>
      <w:r>
        <w:t xml:space="preserve"> </w:t>
      </w:r>
      <w:r>
        <w:t xml:space="preserve">policies are essential to ensure that carbon leakage provisions remain effective while</w:t>
      </w:r>
      <w:r>
        <w:t xml:space="preserve"> </w:t>
      </w:r>
      <w:r>
        <w:t xml:space="preserve">supporting the Union’s wider climate policy objectives.</w:t>
      </w:r>
      <w:r>
        <w:t xml:space="preserve"> </w:t>
      </w:r>
      <w:r>
        <w:t xml:space="preserve">8.3.4 Evaluation findings</w:t>
      </w:r>
      <w:r>
        <w:br/>
      </w:r>
      <w:r>
        <w:t xml:space="preserve">8.3.4.1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effectiveness of free allocation as measure for reducing the risk of carbon leakage is</w:t>
      </w:r>
      <w:r>
        <w:t xml:space="preserve"> </w:t>
      </w:r>
      <w:r>
        <w:t xml:space="preserve">evaluated on the basis of the following questions:</w:t>
      </w:r>
      <w:r>
        <w:br/>
      </w:r>
      <w:r>
        <w:t xml:space="preserve">•</w:t>
      </w:r>
      <w:r>
        <w:t xml:space="preserve"> </w:t>
      </w:r>
      <w:r>
        <w:t xml:space="preserve">EQ1: Has free allocation been an effective measure in Phase IV to protect against</w:t>
      </w:r>
      <w:r>
        <w:t xml:space="preserve"> </w:t>
      </w:r>
      <w:r>
        <w:t xml:space="preserve">carbon leakage considering the targets of the enhanced emissions reduction?</w:t>
      </w:r>
      <w:r>
        <w:t xml:space="preserve"> </w:t>
      </w:r>
      <w:r>
        <w:t xml:space="preserve">In recent years, industrial producers in Europe have been operating in an increasingly uncertain</w:t>
      </w:r>
      <w:r>
        <w:t xml:space="preserve"> </w:t>
      </w:r>
      <w:r>
        <w:t xml:space="preserve">and volatile environment following a succession of unforeseen external events that included</w:t>
      </w:r>
      <w:r>
        <w:t xml:space="preserve"> </w:t>
      </w:r>
      <w:r>
        <w:t xml:space="preserve">the supply chain impacts of the COVID-19 pandemic, the spike in energy prices following the</w:t>
      </w:r>
      <w:r>
        <w:t xml:space="preserve"> </w:t>
      </w:r>
      <w:r>
        <w:t xml:space="preserve">illegal invasion of Ukraine by Russia and the imposition of higher trade tariffs by the United</w:t>
      </w:r>
      <w:r>
        <w:t xml:space="preserve"> </w:t>
      </w:r>
      <w:r>
        <w:t xml:space="preserve">States. Over the same period, the EUA price has risen sharply reaching in excess of EUR 80</w:t>
      </w:r>
      <w:r>
        <w:t xml:space="preserve"> </w:t>
      </w:r>
      <w:r>
        <w:t xml:space="preserve">early into Phase IV of the EU ETS. As a consequence, the cost of compliance for European</w:t>
      </w:r>
      <w:r>
        <w:t xml:space="preserve"> </w:t>
      </w:r>
      <w:r>
        <w:t xml:space="preserve">producers that do not have banked allowances from previous phases of the EU ETS has</w:t>
      </w:r>
      <w:r>
        <w:t xml:space="preserve"> </w:t>
      </w:r>
      <w:r>
        <w:t xml:space="preserve">increased considerably. During interviews with a range of industrial stakeholders there was an</w:t>
      </w:r>
      <w:r>
        <w:t xml:space="preserve"> </w:t>
      </w:r>
      <w:r>
        <w:t xml:space="preserve">acknowledgement that carbon pricing was not the main driver influencing the competitiveness</w:t>
      </w:r>
      <w:r>
        <w:t xml:space="preserve"> </w:t>
      </w:r>
      <w:r>
        <w:t xml:space="preserve">of EU industry, however, it was strongly argued that the additional unilateral costs associated</w:t>
      </w:r>
      <w:r>
        <w:t xml:space="preserve"> </w:t>
      </w:r>
      <w:r>
        <w:t xml:space="preserve">with the increased EUA price has exacerbated what was already a very challenging situation</w:t>
      </w:r>
      <w:r>
        <w:t xml:space="preserve"> </w:t>
      </w:r>
      <w:r>
        <w:t xml:space="preserve">for European producers.</w:t>
      </w:r>
      <w:r>
        <w:t xml:space="preserve"> </w:t>
      </w:r>
      <w:r>
        <w:t xml:space="preserve">The risk of carbon leakage depends upon two factors:</w:t>
      </w:r>
      <w:r>
        <w:t xml:space="preserve"> </w:t>
      </w:r>
      <w:r>
        <w:t xml:space="preserve">• Exposure of EU producers to the carbon cost.</w:t>
      </w:r>
      <w:r>
        <w:t xml:space="preserve"> </w:t>
      </w:r>
      <w:r>
        <w:t xml:space="preserve">• Extent of comparable carbon pricing in third countries.</w:t>
      </w:r>
      <w:r>
        <w:t xml:space="preserve"> </w:t>
      </w:r>
      <w:r>
        <w:t xml:space="preserve">EU industrial producers have not yet fully decarbonised, so they remain exposed to the carbon</w:t>
      </w:r>
      <w:r>
        <w:t xml:space="preserve"> </w:t>
      </w:r>
      <w:r>
        <w:t xml:space="preserve">cost and, comparable carbon pricing in third countries has overall not yet materialised. The</w:t>
      </w:r>
      <w:r>
        <w:t xml:space="preserve"> </w:t>
      </w:r>
      <w:r>
        <w:t xml:space="preserve">provision of free allocation to industry was therefore continued into Phase IV of the EU ETS,</w:t>
      </w:r>
      <w:r>
        <w:t xml:space="preserve"> </w:t>
      </w:r>
      <w:r>
        <w:t xml:space="preserve">still as a transitionary measure, to reduce compliance costs to protect European industry from</w:t>
      </w:r>
      <w:r>
        <w:t xml:space="preserve"> </w:t>
      </w:r>
      <w:r>
        <w:t xml:space="preserve">the risk of carbon leakage. There was a consensus from the interviews with industrial</w:t>
      </w:r>
      <w:r>
        <w:t xml:space="preserve"> </w:t>
      </w:r>
      <w:r>
        <w:t xml:space="preserve">stakeholders that free allocation has been effective in preventing carbon leakage, although</w:t>
      </w:r>
      <w:r>
        <w:t xml:space="preserve"> </w:t>
      </w:r>
      <w:r>
        <w:t xml:space="preserve">many suggested that the effectiveness of free allocation has declined following the Phase IV</w:t>
      </w:r>
      <w:r>
        <w:t xml:space="preserve"> </w:t>
      </w:r>
      <w:r>
        <w:t xml:space="preserve">reforms to free allocation rules (especially with regards to the reduction of the product</w:t>
      </w:r>
      <w:r>
        <w:t xml:space="preserve"> </w:t>
      </w:r>
      <w:r>
        <w:t xml:space="preserve">benchmark values).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In terms of the volume of free allocation, it is the case that overall levels have been reduced in</w:t>
      </w:r>
      <w:r>
        <w:t xml:space="preserve"> </w:t>
      </w:r>
      <w:r>
        <w:t xml:space="preserve">Phase IV compared to Phase III because of the reforms to free allocation that were implemented</w:t>
      </w:r>
      <w:r>
        <w:t xml:space="preserve"> </w:t>
      </w:r>
      <w:r>
        <w:t xml:space="preserve">(i.e. mainly related to the reduction in the product benchmark values).</w:t>
      </w:r>
      <w:r>
        <w:br/>
      </w:r>
      <w:r>
        <w:t xml:space="preserve">Figure 20 shows that there is a considerable reduction in the level of free allocation provided</w:t>
      </w:r>
      <w:r>
        <w:t xml:space="preserve"> </w:t>
      </w:r>
      <w:r>
        <w:t xml:space="preserve">at the start of Phase IV for the most emission intensive product benchmarks compared to</w:t>
      </w:r>
      <w:r>
        <w:t xml:space="preserve"> </w:t>
      </w:r>
      <w:r>
        <w:t xml:space="preserve">previous levels of free allocation provided in Phase III. This reduction in free allocation in</w:t>
      </w:r>
      <w:r>
        <w:t xml:space="preserve"> </w:t>
      </w:r>
      <w:r>
        <w:t xml:space="preserve">Phase IV compared to Phase III reflects the fact that 1) the product benchmark values have</w:t>
      </w:r>
      <w:r>
        <w:t xml:space="preserve"> </w:t>
      </w:r>
      <w:r>
        <w:t xml:space="preserve">been reduced and 2) the historical average activity level used to determine the volume of free</w:t>
      </w:r>
      <w:r>
        <w:t xml:space="preserve"> </w:t>
      </w:r>
      <w:r>
        <w:t xml:space="preserve">allocation in Phase IV was significantly lower. This represents a cost to industrial stakeholders</w:t>
      </w:r>
      <w:r>
        <w:t xml:space="preserve"> </w:t>
      </w:r>
      <w:r>
        <w:t xml:space="preserve">as a consequence of the reforms to free allocation that were implemented from Phase IV of the</w:t>
      </w:r>
      <w:r>
        <w:t xml:space="preserve"> </w:t>
      </w:r>
      <w:r>
        <w:t xml:space="preserve">EU ETS onwards as a greater share of their verified emissions were not covered by free</w:t>
      </w:r>
      <w:r>
        <w:t xml:space="preserve"> </w:t>
      </w:r>
      <w:r>
        <w:t xml:space="preserve">allowances. Industrial stakeholders consistently argued in interviews that the reforms to free</w:t>
      </w:r>
      <w:r>
        <w:t xml:space="preserve"> </w:t>
      </w:r>
      <w:r>
        <w:t xml:space="preserve">allocation in Phase IV have reduced the effectiveness of free allocation to protect against</w:t>
      </w:r>
      <w:r>
        <w:t xml:space="preserve"> </w:t>
      </w:r>
      <w:r>
        <w:t xml:space="preserve">carbon leakage based upon the logic that overall volumes of free allocation are now lower and</w:t>
      </w:r>
      <w:r>
        <w:t xml:space="preserve"> </w:t>
      </w:r>
      <w:r>
        <w:t xml:space="preserve">that the carbon price is significantly higher. However, the impact of the reforms to free</w:t>
      </w:r>
      <w:r>
        <w:t xml:space="preserve"> </w:t>
      </w:r>
      <w:r>
        <w:t xml:space="preserve">allocation in Phase IV is likely to be offset by the allowances banked by industrial producers</w:t>
      </w:r>
      <w:r>
        <w:t xml:space="preserve"> </w:t>
      </w:r>
      <w:r>
        <w:t xml:space="preserve">from Phase III.</w:t>
      </w:r>
      <w:r>
        <w:br/>
      </w:r>
      <w:r>
        <w:t xml:space="preserve">As part of the evaluation, levels of free allocation were recalculated based on actual activity</w:t>
      </w:r>
      <w:r>
        <w:t xml:space="preserve"> </w:t>
      </w:r>
      <w:r>
        <w:t xml:space="preserve">data from the NIMs dataset and this shows that in practice the number of allowances provided</w:t>
      </w:r>
      <w:r>
        <w:t xml:space="preserve"> </w:t>
      </w:r>
      <w:r>
        <w:t xml:space="preserve">to industry were considerably higher based upon the historical ex-ante values (prior to the</w:t>
      </w:r>
      <w:r>
        <w:t xml:space="preserve"> </w:t>
      </w:r>
      <w:r>
        <w:t xml:space="preserve">economic recession of 2008/9) used to determine free allocation levels in Phase III. Therefore,</w:t>
      </w:r>
      <w:r>
        <w:t xml:space="preserve"> </w:t>
      </w:r>
      <w:r>
        <w:t xml:space="preserve">the number of allowances available between 2013 and 2020 (even after a reduction following</w:t>
      </w:r>
      <w:r>
        <w:t xml:space="preserve"> </w:t>
      </w:r>
      <w:r>
        <w:t xml:space="preserve">the application of the cross sectoral correction factor)143 was still in many cases higher than the</w:t>
      </w:r>
      <w:r>
        <w:t xml:space="preserve"> </w:t>
      </w:r>
      <w:r>
        <w:t xml:space="preserve">free allocation that was recalculated based on actual activity levels. It is evident from this</w:t>
      </w:r>
      <w:r>
        <w:t xml:space="preserve"> </w:t>
      </w:r>
      <w:r>
        <w:t xml:space="preserve">quantitative analysis that the exposure to the carbon price has increased across industrial sectors</w:t>
      </w:r>
      <w:r>
        <w:t xml:space="preserve"> </w:t>
      </w:r>
      <w:r>
        <w:t xml:space="preserve">due to the revision to free allocation lowering volumes in Phase IV, but it is still very likely</w:t>
      </w:r>
      <w:r>
        <w:t xml:space="preserve"> </w:t>
      </w:r>
      <w:r>
        <w:t xml:space="preserve">that, in the short term, at least some of these impacts can be offset by the volume of free</w:t>
      </w:r>
      <w:r>
        <w:t xml:space="preserve"> </w:t>
      </w:r>
      <w:r>
        <w:t xml:space="preserve">allowances that were banked from the previous phase.</w:t>
      </w:r>
    </w:p>
    <w:p>
      <w:pPr>
        <w:pStyle w:val="BodyText"/>
      </w:pPr>
      <w:r>
        <w:t xml:space="preserve">143 The values were based on the update of the CSCF according to Annex II Commission Decision (EU)</w:t>
      </w:r>
      <w:r>
        <w:t xml:space="preserve"> </w:t>
      </w:r>
      <w:r>
        <w:t xml:space="preserve">2017/126 of 24 January 2017 amending Decision 2013/448/EU as regards the establishment of a uniform</w:t>
      </w:r>
      <w:r>
        <w:t xml:space="preserve"> </w:t>
      </w:r>
      <w:r>
        <w:t xml:space="preserve">cross-sectoral correction factor in accordance with Article 10a of Directive 2003/87/EC of the European</w:t>
      </w:r>
      <w:r>
        <w:t xml:space="preserve"> </w:t>
      </w:r>
      <w:r>
        <w:t xml:space="preserve">Parliament and of the Council. This is likely to over-estimate the impact of the application of the CSCF as in</w:t>
      </w:r>
      <w:r>
        <w:t xml:space="preserve"> </w:t>
      </w:r>
      <w:r>
        <w:t xml:space="preserve">practice volumes of free allocation prior to 2017 were not retrospectively changed considering this decision.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Figure 20: Comparison of the free allocation provided to sub-installations144 via emission intensive</w:t>
      </w:r>
      <w:r>
        <w:t xml:space="preserve"> </w:t>
      </w:r>
      <w:r>
        <w:t xml:space="preserve">product benchmarks with ex-ante145 and ex-post activity146 levels</w:t>
      </w:r>
    </w:p>
    <w:p>
      <w:pPr>
        <w:pStyle w:val="BodyText"/>
      </w:pPr>
      <w:r>
        <w:t xml:space="preserve">Source:</w:t>
      </w:r>
      <w:r>
        <w:br/>
      </w:r>
      <w:r>
        <w:t xml:space="preserve">Preliminary NIMs dataset (2025), COM publication on average HAL to determine free allocation</w:t>
      </w:r>
      <w:r>
        <w:t xml:space="preserve"> </w:t>
      </w:r>
      <w:r>
        <w:t xml:space="preserve">volumes in Phase III f0360f59-5fd0-4d08-933b-eb12cd2cfc9a_en, Own calculation.</w:t>
      </w:r>
      <w:r>
        <w:t xml:space="preserve"> </w:t>
      </w:r>
      <w:r>
        <w:t xml:space="preserve">During the interviews with industrial stakeholders, the starting point for many of the</w:t>
      </w:r>
      <w:r>
        <w:t xml:space="preserve"> </w:t>
      </w:r>
      <w:r>
        <w:t xml:space="preserve">discussions was to first reach an understanding concerning the carbon cost of production and</w:t>
      </w:r>
      <w:r>
        <w:t xml:space="preserve"> </w:t>
      </w:r>
      <w:r>
        <w:t xml:space="preserve">how this has developed over time. The difference between the benchmark value of a product</w:t>
      </w:r>
      <w:r>
        <w:t xml:space="preserve"> </w:t>
      </w:r>
      <w:r>
        <w:t xml:space="preserve">and the average specific emissions associated with the production of each benchmarked</w:t>
      </w:r>
      <w:r>
        <w:t xml:space="preserve"> </w:t>
      </w:r>
      <w:r>
        <w:t xml:space="preserve">product will, in theory, determine the additional carbon cost. The argument consistently</w:t>
      </w:r>
      <w:r>
        <w:t xml:space="preserve"> </w:t>
      </w:r>
      <w:r>
        <w:t xml:space="preserve">advanced by the industrial stakeholders was that the emissions not covered by free allocation</w:t>
      </w:r>
      <w:r>
        <w:t xml:space="preserve"> </w:t>
      </w:r>
      <w:r>
        <w:t xml:space="preserve">for the production of benchmarked products has increased due to the reduction in the</w:t>
      </w:r>
      <w:r>
        <w:t xml:space="preserve"> </w:t>
      </w:r>
      <w:r>
        <w:t xml:space="preserve">benchmark values in Phase IV and that the cost of compliance has increased considerably due</w:t>
      </w:r>
      <w:r>
        <w:t xml:space="preserve"> </w:t>
      </w:r>
      <w:r>
        <w:t xml:space="preserve">to the sharp rise of the EUA price in recent years and that therefore free allocation is less</w:t>
      </w:r>
      <w:r>
        <w:t xml:space="preserve"> </w:t>
      </w:r>
      <w:r>
        <w:t xml:space="preserve">effective than in the past at protecting industry from the risk of carbon leakage.</w:t>
      </w:r>
      <w:r>
        <w:br/>
      </w:r>
      <w:r>
        <w:t xml:space="preserve">Table 9 provides an overview of the estimated carbon cost per unit of output for a selection of</w:t>
      </w:r>
      <w:r>
        <w:t xml:space="preserve"> </w:t>
      </w:r>
      <w:r>
        <w:t xml:space="preserve">benchmarked products because of the 2016/17 average specific emissions147 being higher than</w:t>
      </w:r>
      <w:r>
        <w:t xml:space="preserve"> </w:t>
      </w:r>
      <w:r>
        <w:t xml:space="preserve">the benchmark value set for the 2021-25 period. The difference is the specific emissions not</w:t>
      </w:r>
    </w:p>
    <w:p>
      <w:pPr>
        <w:pStyle w:val="BodyText"/>
      </w:pPr>
      <w:r>
        <w:t xml:space="preserve">144 Sub-installations were only included if NIMs data on historic activity level was available for both the 2014-</w:t>
      </w:r>
      <w:r>
        <w:t xml:space="preserve"> </w:t>
      </w:r>
      <w:r>
        <w:t xml:space="preserve">18 and 2019-23 to ensure a consistent dataset across the period.</w:t>
      </w:r>
      <w:r>
        <w:t xml:space="preserve"> </w:t>
      </w:r>
      <w:r>
        <w:t xml:space="preserve">145 The ex-ante free allocations for Phase III and Phase IV were estimated by multiplying the relevant product</w:t>
      </w:r>
      <w:r>
        <w:t xml:space="preserve"> </w:t>
      </w:r>
      <w:r>
        <w:t xml:space="preserve">benchmark by the corresponding average historical activity level for 2008-09 (based on aggregated</w:t>
      </w:r>
      <w:r>
        <w:t xml:space="preserve"> </w:t>
      </w:r>
      <w:r>
        <w:t xml:space="preserve">production data published by the COM (refer to f0360f59-5fd0-4d08-933b-eb12cd2cfc9a_en) and 2014-18</w:t>
      </w:r>
      <w:r>
        <w:t xml:space="preserve"> </w:t>
      </w:r>
      <w:r>
        <w:t xml:space="preserve">(based on aggregated historical activity levels from the NIMs dataset) respectively and this was then</w:t>
      </w:r>
      <w:r>
        <w:t xml:space="preserve"> </w:t>
      </w:r>
      <w:r>
        <w:t xml:space="preserve">subsequently multiplied by the annual CSCF across each year of the time period.</w:t>
      </w:r>
      <w:r>
        <w:t xml:space="preserve"> </w:t>
      </w:r>
      <w:r>
        <w:t xml:space="preserve">146 The ex-post free allocations for Phase III and Phase IV were estimated by multiplying the aggregated</w:t>
      </w:r>
      <w:r>
        <w:t xml:space="preserve"> </w:t>
      </w:r>
      <w:r>
        <w:t xml:space="preserve">historical activity levels from the NIMs dataset with the corresponding product benchmark over the 2014-23</w:t>
      </w:r>
      <w:r>
        <w:t xml:space="preserve"> </w:t>
      </w:r>
      <w:r>
        <w:t xml:space="preserve">period and this was then subsequently multiplied by the annual CSCF across each year of the time period.</w:t>
      </w:r>
      <w:r>
        <w:t xml:space="preserve"> </w:t>
      </w:r>
      <w:r>
        <w:t xml:space="preserve">147 Average specific emissions for 2016/17 were estimated based on the values previously calculated by the</w:t>
      </w:r>
      <w:r>
        <w:t xml:space="preserve"> </w:t>
      </w:r>
      <w:r>
        <w:t xml:space="preserve">COM using the NIMs dataset (refer to policy_ets_allowances_bm_curve_factsheets_en.pdf)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covered by free allocation and this amount was therefore subject to a carbon cost (based on an</w:t>
      </w:r>
      <w:r>
        <w:t xml:space="preserve"> </w:t>
      </w:r>
      <w:r>
        <w:t xml:space="preserve">EUA price assumption of EUR 80). Industry often cited higher average specific emissions</w:t>
      </w:r>
      <w:r>
        <w:t xml:space="preserve"> </w:t>
      </w:r>
      <w:r>
        <w:t xml:space="preserve">during the interviews in order to argue higher carbon costs per tonne but it is likely that the</w:t>
      </w:r>
      <w:r>
        <w:t xml:space="preserve"> </w:t>
      </w:r>
      <w:r>
        <w:t xml:space="preserve">carbon cost were actually lower than those outlined in Table 9, as the preliminary NIMs data</w:t>
      </w:r>
      <w:r>
        <w:t xml:space="preserve"> </w:t>
      </w:r>
      <w:r>
        <w:t xml:space="preserve">assessed for this evaluation shows that there has in fact been further improvements in average</w:t>
      </w:r>
      <w:r>
        <w:t xml:space="preserve"> </w:t>
      </w:r>
      <w:r>
        <w:t xml:space="preserve">specific emissions across the benchmarked products since the 2016/17 values were published</w:t>
      </w:r>
      <w:r>
        <w:t xml:space="preserve"> </w:t>
      </w:r>
      <w:r>
        <w:t xml:space="preserve">by the Commission.</w:t>
      </w:r>
      <w:r>
        <w:br/>
      </w:r>
      <w:r>
        <w:t xml:space="preserve">Table 9:</w:t>
      </w:r>
      <w:r>
        <w:t xml:space="preserve"> </w:t>
      </w:r>
      <w:r>
        <w:t xml:space="preserve">Carbon cost per tonne (assuming an EUA price of 80 EUR) across selected</w:t>
      </w:r>
      <w:r>
        <w:t xml:space="preserve"> </w:t>
      </w:r>
      <w:r>
        <w:t xml:space="preserve">benchmarked projects based upon a comparison of the 2021-25 BM value with average 2016/17</w:t>
      </w:r>
      <w:r>
        <w:t xml:space="preserve"> </w:t>
      </w:r>
      <w:r>
        <w:t xml:space="preserve">specific emissions</w:t>
      </w:r>
      <w:r>
        <w:t xml:space="preserve"> </w:t>
      </w:r>
      <w:r>
        <w:t xml:space="preserve">BM</w:t>
      </w:r>
      <w:r>
        <w:t xml:space="preserve"> </w:t>
      </w:r>
      <w:r>
        <w:t xml:space="preserve">BM Unit</w:t>
      </w:r>
      <w:r>
        <w:t xml:space="preserve"> </w:t>
      </w:r>
      <w:r>
        <w:t xml:space="preserve">BM</w:t>
      </w:r>
      <w:r>
        <w:t xml:space="preserve"> </w:t>
      </w:r>
      <w:r>
        <w:t xml:space="preserve">(2021-</w:t>
      </w:r>
      <w:r>
        <w:t xml:space="preserve"> </w:t>
      </w:r>
      <w:r>
        <w:t xml:space="preserve">25)</w:t>
      </w:r>
      <w:r>
        <w:t xml:space="preserve"> </w:t>
      </w:r>
      <w:r>
        <w:t xml:space="preserve">2016/17</w:t>
      </w:r>
      <w:r>
        <w:t xml:space="preserve"> </w:t>
      </w:r>
      <w:r>
        <w:t xml:space="preserve">AVG</w:t>
      </w:r>
      <w:r>
        <w:t xml:space="preserve"> </w:t>
      </w:r>
      <w:r>
        <w:t xml:space="preserve">Diff.</w:t>
      </w:r>
      <w:r>
        <w:t xml:space="preserve"> </w:t>
      </w:r>
      <w:r>
        <w:t xml:space="preserve">Carbon cost</w:t>
      </w:r>
      <w:r>
        <w:t xml:space="preserve"> </w:t>
      </w:r>
      <w:r>
        <w:t xml:space="preserve">(EUR/t or</w:t>
      </w:r>
      <w:r>
        <w:t xml:space="preserve"> </w:t>
      </w:r>
      <w:r>
        <w:t xml:space="preserve">CWT)</w:t>
      </w:r>
      <w:r>
        <w:t xml:space="preserve"> </w:t>
      </w:r>
      <w:r>
        <w:t xml:space="preserve">Refinery products</w:t>
      </w:r>
      <w:r>
        <w:t xml:space="preserve"> </w:t>
      </w:r>
      <w:r>
        <w:t xml:space="preserve">t CO2e/CWT</w:t>
      </w:r>
      <w:r>
        <w:t xml:space="preserve"> </w:t>
      </w:r>
      <w:r>
        <w:t xml:space="preserve">0.0228</w:t>
      </w:r>
      <w:r>
        <w:t xml:space="preserve"> </w:t>
      </w:r>
      <w:r>
        <w:t xml:space="preserve">0.033</w:t>
      </w:r>
      <w:r>
        <w:t xml:space="preserve"> </w:t>
      </w:r>
      <w:r>
        <w:t xml:space="preserve">0.0102</w:t>
      </w:r>
      <w:r>
        <w:t xml:space="preserve"> </w:t>
      </w:r>
      <w:r>
        <w:t xml:space="preserve">1</w:t>
      </w:r>
      <w:r>
        <w:t xml:space="preserve"> </w:t>
      </w:r>
      <w:r>
        <w:t xml:space="preserve">Hot metal</w:t>
      </w:r>
      <w:r>
        <w:t xml:space="preserve"> </w:t>
      </w:r>
      <w:r>
        <w:t xml:space="preserve">t CO2e/t</w:t>
      </w:r>
      <w:r>
        <w:t xml:space="preserve"> </w:t>
      </w:r>
      <w:r>
        <w:t xml:space="preserve">1.288</w:t>
      </w:r>
      <w:r>
        <w:t xml:space="preserve"> </w:t>
      </w:r>
      <w:r>
        <w:t xml:space="preserve">1.520</w:t>
      </w:r>
      <w:r>
        <w:t xml:space="preserve"> </w:t>
      </w:r>
      <w:r>
        <w:t xml:space="preserve">0.232</w:t>
      </w:r>
      <w:r>
        <w:t xml:space="preserve"> </w:t>
      </w:r>
      <w:r>
        <w:t xml:space="preserve">19</w:t>
      </w:r>
      <w:r>
        <w:t xml:space="preserve"> </w:t>
      </w:r>
      <w:r>
        <w:t xml:space="preserve">[Primary]</w:t>
      </w:r>
      <w:r>
        <w:t xml:space="preserve"> </w:t>
      </w:r>
      <w:r>
        <w:t xml:space="preserve">Aluminium</w:t>
      </w:r>
      <w:r>
        <w:t xml:space="preserve"> </w:t>
      </w:r>
      <w:r>
        <w:t xml:space="preserve">t CO2e/t</w:t>
      </w:r>
      <w:r>
        <w:t xml:space="preserve"> </w:t>
      </w:r>
      <w:r>
        <w:t xml:space="preserve">1.464</w:t>
      </w:r>
      <w:r>
        <w:t xml:space="preserve"> </w:t>
      </w:r>
      <w:r>
        <w:t xml:space="preserve">1.681</w:t>
      </w:r>
      <w:r>
        <w:t xml:space="preserve"> </w:t>
      </w:r>
      <w:r>
        <w:t xml:space="preserve">0.217</w:t>
      </w:r>
      <w:r>
        <w:t xml:space="preserve"> </w:t>
      </w:r>
      <w:r>
        <w:t xml:space="preserve">17</w:t>
      </w:r>
      <w:r>
        <w:t xml:space="preserve"> </w:t>
      </w:r>
      <w:r>
        <w:t xml:space="preserve">Grey cement clinker</w:t>
      </w:r>
      <w:r>
        <w:t xml:space="preserve"> </w:t>
      </w:r>
      <w:r>
        <w:t xml:space="preserve">t CO2e/t</w:t>
      </w:r>
      <w:r>
        <w:t xml:space="preserve"> </w:t>
      </w:r>
      <w:r>
        <w:t xml:space="preserve">0.693</w:t>
      </w:r>
      <w:r>
        <w:t xml:space="preserve"> </w:t>
      </w:r>
      <w:r>
        <w:t xml:space="preserve">0.818</w:t>
      </w:r>
      <w:r>
        <w:t xml:space="preserve"> </w:t>
      </w:r>
      <w:r>
        <w:t xml:space="preserve">0.125</w:t>
      </w:r>
      <w:r>
        <w:t xml:space="preserve"> </w:t>
      </w:r>
      <w:r>
        <w:t xml:space="preserve">10</w:t>
      </w:r>
      <w:r>
        <w:t xml:space="preserve"> </w:t>
      </w:r>
      <w:r>
        <w:t xml:space="preserve">White cement clinker</w:t>
      </w:r>
      <w:r>
        <w:t xml:space="preserve"> </w:t>
      </w:r>
      <w:r>
        <w:t xml:space="preserve">t CO2e/t</w:t>
      </w:r>
      <w:r>
        <w:t xml:space="preserve"> </w:t>
      </w:r>
      <w:r>
        <w:t xml:space="preserve">0.957</w:t>
      </w:r>
      <w:r>
        <w:t xml:space="preserve"> </w:t>
      </w:r>
      <w:r>
        <w:t xml:space="preserve">1.097</w:t>
      </w:r>
      <w:r>
        <w:t xml:space="preserve"> </w:t>
      </w:r>
      <w:r>
        <w:t xml:space="preserve">0.14</w:t>
      </w:r>
      <w:r>
        <w:t xml:space="preserve"> </w:t>
      </w:r>
      <w:r>
        <w:t xml:space="preserve">11</w:t>
      </w:r>
      <w:r>
        <w:t xml:space="preserve"> </w:t>
      </w:r>
      <w:r>
        <w:t xml:space="preserve">Lime</w:t>
      </w:r>
      <w:r>
        <w:t xml:space="preserve"> </w:t>
      </w:r>
      <w:r>
        <w:t xml:space="preserve">t CO2e/t</w:t>
      </w:r>
      <w:r>
        <w:t xml:space="preserve"> </w:t>
      </w:r>
      <w:r>
        <w:t xml:space="preserve">0.725</w:t>
      </w:r>
      <w:r>
        <w:t xml:space="preserve"> </w:t>
      </w:r>
      <w:r>
        <w:t xml:space="preserve">1.034</w:t>
      </w:r>
      <w:r>
        <w:t xml:space="preserve"> </w:t>
      </w:r>
      <w:r>
        <w:t xml:space="preserve">0.309</w:t>
      </w:r>
      <w:r>
        <w:t xml:space="preserve"> </w:t>
      </w:r>
      <w:r>
        <w:t xml:space="preserve">25</w:t>
      </w:r>
      <w:r>
        <w:t xml:space="preserve"> </w:t>
      </w:r>
      <w:r>
        <w:t xml:space="preserve">Dolime</w:t>
      </w:r>
      <w:r>
        <w:t xml:space="preserve"> </w:t>
      </w:r>
      <w:r>
        <w:t xml:space="preserve">t CO2e/t</w:t>
      </w:r>
      <w:r>
        <w:t xml:space="preserve"> </w:t>
      </w:r>
      <w:r>
        <w:t xml:space="preserve">0.815</w:t>
      </w:r>
      <w:r>
        <w:t xml:space="preserve"> </w:t>
      </w:r>
      <w:r>
        <w:t xml:space="preserve">1.177</w:t>
      </w:r>
      <w:r>
        <w:t xml:space="preserve"> </w:t>
      </w:r>
      <w:r>
        <w:t xml:space="preserve">0.362</w:t>
      </w:r>
      <w:r>
        <w:t xml:space="preserve"> </w:t>
      </w:r>
      <w:r>
        <w:t xml:space="preserve">29</w:t>
      </w:r>
      <w:r>
        <w:t xml:space="preserve"> </w:t>
      </w:r>
      <w:r>
        <w:t xml:space="preserve">Sintered dolime</w:t>
      </w:r>
      <w:r>
        <w:t xml:space="preserve"> </w:t>
      </w:r>
      <w:r>
        <w:t xml:space="preserve">t CO2e/t</w:t>
      </w:r>
      <w:r>
        <w:t xml:space="preserve"> </w:t>
      </w:r>
      <w:r>
        <w:t xml:space="preserve">1.406</w:t>
      </w:r>
      <w:r>
        <w:t xml:space="preserve"> </w:t>
      </w:r>
      <w:r>
        <w:t xml:space="preserve">1.525</w:t>
      </w:r>
      <w:r>
        <w:t xml:space="preserve"> </w:t>
      </w:r>
      <w:r>
        <w:t xml:space="preserve">0.119</w:t>
      </w:r>
      <w:r>
        <w:t xml:space="preserve"> </w:t>
      </w:r>
      <w:r>
        <w:t xml:space="preserve">10</w:t>
      </w:r>
      <w:r>
        <w:t xml:space="preserve"> </w:t>
      </w:r>
      <w:r>
        <w:t xml:space="preserve">Float glass</w:t>
      </w:r>
      <w:r>
        <w:t xml:space="preserve"> </w:t>
      </w:r>
      <w:r>
        <w:t xml:space="preserve">t CO2e/t</w:t>
      </w:r>
      <w:r>
        <w:t xml:space="preserve"> </w:t>
      </w:r>
      <w:r>
        <w:t xml:space="preserve">0.399</w:t>
      </w:r>
      <w:r>
        <w:t xml:space="preserve"> </w:t>
      </w:r>
      <w:r>
        <w:t xml:space="preserve">0.514</w:t>
      </w:r>
      <w:r>
        <w:t xml:space="preserve"> </w:t>
      </w:r>
      <w:r>
        <w:t xml:space="preserve">0.115</w:t>
      </w:r>
      <w:r>
        <w:t xml:space="preserve"> </w:t>
      </w:r>
      <w:r>
        <w:t xml:space="preserve">9</w:t>
      </w:r>
      <w:r>
        <w:t xml:space="preserve"> </w:t>
      </w:r>
      <w:r>
        <w:t xml:space="preserve">Bottles</w:t>
      </w:r>
      <w:r>
        <w:t xml:space="preserve"> </w:t>
      </w:r>
      <w:r>
        <w:t xml:space="preserve">&amp;</w:t>
      </w:r>
      <w:r>
        <w:t xml:space="preserve"> </w:t>
      </w:r>
      <w:r>
        <w:t xml:space="preserve">jars</w:t>
      </w:r>
      <w:r>
        <w:t xml:space="preserve"> </w:t>
      </w:r>
      <w:r>
        <w:t xml:space="preserve">(colourless glass)</w:t>
      </w:r>
      <w:r>
        <w:t xml:space="preserve"> </w:t>
      </w:r>
      <w:r>
        <w:t xml:space="preserve">t CO2e/t</w:t>
      </w:r>
      <w:r>
        <w:t xml:space="preserve"> </w:t>
      </w:r>
      <w:r>
        <w:t xml:space="preserve">0.29</w:t>
      </w:r>
      <w:r>
        <w:t xml:space="preserve"> </w:t>
      </w:r>
      <w:r>
        <w:t xml:space="preserve">0.481</w:t>
      </w:r>
      <w:r>
        <w:t xml:space="preserve"> </w:t>
      </w:r>
      <w:r>
        <w:t xml:space="preserve">0.191</w:t>
      </w:r>
      <w:r>
        <w:t xml:space="preserve"> </w:t>
      </w:r>
      <w:r>
        <w:t xml:space="preserve">15</w:t>
      </w:r>
      <w:r>
        <w:t xml:space="preserve"> </w:t>
      </w:r>
      <w:r>
        <w:t xml:space="preserve">Bottles</w:t>
      </w:r>
      <w:r>
        <w:t xml:space="preserve"> </w:t>
      </w:r>
      <w:r>
        <w:t xml:space="preserve">&amp;</w:t>
      </w:r>
      <w:r>
        <w:t xml:space="preserve"> </w:t>
      </w:r>
      <w:r>
        <w:t xml:space="preserve">jars</w:t>
      </w:r>
      <w:r>
        <w:t xml:space="preserve"> </w:t>
      </w:r>
      <w:r>
        <w:t xml:space="preserve">(coloured glass)</w:t>
      </w:r>
      <w:r>
        <w:t xml:space="preserve"> </w:t>
      </w:r>
      <w:r>
        <w:t xml:space="preserve">t CO2e/t</w:t>
      </w:r>
      <w:r>
        <w:t xml:space="preserve"> </w:t>
      </w:r>
      <w:r>
        <w:t xml:space="preserve">0.237</w:t>
      </w:r>
      <w:r>
        <w:t xml:space="preserve"> </w:t>
      </w:r>
      <w:r>
        <w:t xml:space="preserve">0.391</w:t>
      </w:r>
      <w:r>
        <w:t xml:space="preserve"> </w:t>
      </w:r>
      <w:r>
        <w:t xml:space="preserve">0.154</w:t>
      </w:r>
      <w:r>
        <w:t xml:space="preserve"> </w:t>
      </w:r>
      <w:r>
        <w:t xml:space="preserve">12</w:t>
      </w:r>
      <w:r>
        <w:t xml:space="preserve"> </w:t>
      </w:r>
      <w:r>
        <w:t xml:space="preserve">Ammonia</w:t>
      </w:r>
      <w:r>
        <w:t xml:space="preserve"> </w:t>
      </w:r>
      <w:r>
        <w:t xml:space="preserve">t CO2e/t</w:t>
      </w:r>
      <w:r>
        <w:t xml:space="preserve"> </w:t>
      </w:r>
      <w:r>
        <w:t xml:space="preserve">1.57</w:t>
      </w:r>
      <w:r>
        <w:t xml:space="preserve"> </w:t>
      </w:r>
      <w:r>
        <w:t xml:space="preserve">1.972</w:t>
      </w:r>
      <w:r>
        <w:t xml:space="preserve"> </w:t>
      </w:r>
      <w:r>
        <w:t xml:space="preserve">0.402</w:t>
      </w:r>
      <w:r>
        <w:t xml:space="preserve"> </w:t>
      </w:r>
      <w:r>
        <w:t xml:space="preserve">32</w:t>
      </w:r>
      <w:r>
        <w:t xml:space="preserve"> </w:t>
      </w:r>
      <w:r>
        <w:t xml:space="preserve">Steam cracking</w:t>
      </w:r>
      <w:r>
        <w:t xml:space="preserve"> </w:t>
      </w:r>
      <w:r>
        <w:t xml:space="preserve">t CO2e/t</w:t>
      </w:r>
      <w:r>
        <w:t xml:space="preserve"> </w:t>
      </w:r>
      <w:r>
        <w:t xml:space="preserve">0.681</w:t>
      </w:r>
      <w:r>
        <w:t xml:space="preserve"> </w:t>
      </w:r>
      <w:r>
        <w:t xml:space="preserve">0.891</w:t>
      </w:r>
      <w:r>
        <w:t xml:space="preserve"> </w:t>
      </w:r>
      <w:r>
        <w:t xml:space="preserve">0.21</w:t>
      </w:r>
      <w:r>
        <w:t xml:space="preserve"> </w:t>
      </w:r>
      <w:r>
        <w:t xml:space="preserve">17</w:t>
      </w:r>
      <w:r>
        <w:t xml:space="preserve"> </w:t>
      </w:r>
      <w:r>
        <w:t xml:space="preserve">Source:</w:t>
      </w:r>
      <w:r>
        <w:br/>
      </w:r>
      <w:r>
        <w:t xml:space="preserve">policy_ets_allowances_bm_curve_factsheets_en.pdf, Own calculation.</w:t>
      </w:r>
      <w:r>
        <w:t xml:space="preserve"> </w:t>
      </w:r>
      <w:r>
        <w:t xml:space="preserve">In the interviews, industrial stakeholders often cited higher carbon costs per unit of production</w:t>
      </w:r>
      <w:r>
        <w:t xml:space="preserve"> </w:t>
      </w:r>
      <w:r>
        <w:t xml:space="preserve">(often referring to different categories of products than those benchmarked or simply by</w:t>
      </w:r>
      <w:r>
        <w:t xml:space="preserve"> </w:t>
      </w:r>
      <w:r>
        <w:t xml:space="preserve">referencing different average specific emissions). These inputs were intended as transparent</w:t>
      </w:r>
      <w:r>
        <w:t xml:space="preserve"> </w:t>
      </w:r>
      <w:r>
        <w:t xml:space="preserve">calculations based on a set of assumptions by industrial associations to helpfully provide a scale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of the carbon cost. Several sector examples are provided below with an explanation for the</w:t>
      </w:r>
      <w:r>
        <w:t xml:space="preserve"> </w:t>
      </w:r>
      <w:r>
        <w:t xml:space="preserve">main reasons for differences with the previous calculation using a different approach outlined</w:t>
      </w:r>
      <w:r>
        <w:t xml:space="preserve"> </w:t>
      </w:r>
      <w:r>
        <w:t xml:space="preserve">in Table 9:</w:t>
      </w:r>
      <w:r>
        <w:br/>
      </w:r>
      <w:r>
        <w:t xml:space="preserve">• Eurofer estimated carbon cost for crude steel production of around EUR 25 to 30 per</w:t>
      </w:r>
      <w:r>
        <w:t xml:space="preserve"> </w:t>
      </w:r>
      <w:r>
        <w:t xml:space="preserve">tonne based upon an average emission intensity of 1.8 tCO2 per tonne of primary crude</w:t>
      </w:r>
      <w:r>
        <w:t xml:space="preserve"> </w:t>
      </w:r>
      <w:r>
        <w:t xml:space="preserve">steel to argue that around 0.36 to 0.45 tCO2 per tonne of output were fully exposed to</w:t>
      </w:r>
      <w:r>
        <w:t xml:space="preserve"> </w:t>
      </w:r>
      <w:r>
        <w:t xml:space="preserve">the carbon price. The cost price for a tonne of crude steel varies and a value was not</w:t>
      </w:r>
      <w:r>
        <w:t xml:space="preserve"> </w:t>
      </w:r>
      <w:r>
        <w:t xml:space="preserve">provided during the interview but based on secondary literature the carbon cost share</w:t>
      </w:r>
      <w:r>
        <w:t xml:space="preserve"> </w:t>
      </w:r>
      <w:r>
        <w:t xml:space="preserve">could represent around 5 to 7% based on a cost price of EUR 458 per tonne for crude</w:t>
      </w:r>
      <w:r>
        <w:t xml:space="preserve"> </w:t>
      </w:r>
      <w:r>
        <w:t xml:space="preserve">steel produced via the integrated route.148 The value provided by Eurofer is</w:t>
      </w:r>
      <w:r>
        <w:t xml:space="preserve"> </w:t>
      </w:r>
      <w:r>
        <w:t xml:space="preserve">considerably higher than the value calculated in Table 9 and this is primarily driven by</w:t>
      </w:r>
      <w:r>
        <w:t xml:space="preserve"> </w:t>
      </w:r>
      <w:r>
        <w:t xml:space="preserve">the fact that a higher specific average emission was assumed for crude steel than what</w:t>
      </w:r>
      <w:r>
        <w:t xml:space="preserve"> </w:t>
      </w:r>
      <w:r>
        <w:t xml:space="preserve">was published as an average 2016/17 for specific emissions for hot metal production.</w:t>
      </w:r>
      <w:r>
        <w:t xml:space="preserve"> </w:t>
      </w:r>
      <w:r>
        <w:t xml:space="preserve">• Fertilisers Europe based their estimation of the carbon cost on the average specific</w:t>
      </w:r>
      <w:r>
        <w:t xml:space="preserve"> </w:t>
      </w:r>
      <w:r>
        <w:t xml:space="preserve">emissions of ammonia production of 2 tCO2 per tonne of output and suggested that the</w:t>
      </w:r>
      <w:r>
        <w:t xml:space="preserve"> </w:t>
      </w:r>
      <w:r>
        <w:t xml:space="preserve">carbon cost was EUR 50 per tonne of ammonia (if 0.5 tCO2 per tonne of output was</w:t>
      </w:r>
      <w:r>
        <w:t xml:space="preserve"> </w:t>
      </w:r>
      <w:r>
        <w:t xml:space="preserve">above the benchmark and subject to a carbon price of EUR 100). Given that the price</w:t>
      </w:r>
      <w:r>
        <w:t xml:space="preserve"> </w:t>
      </w:r>
      <w:r>
        <w:t xml:space="preserve">of ammonia per tonne is around EUR 400 per tonne it was argued that the carbon cost</w:t>
      </w:r>
      <w:r>
        <w:t xml:space="preserve"> </w:t>
      </w:r>
      <w:r>
        <w:t xml:space="preserve">component accounted for a 12.5% share of the product price in Phase IV. The value</w:t>
      </w:r>
      <w:r>
        <w:t xml:space="preserve"> </w:t>
      </w:r>
      <w:r>
        <w:t xml:space="preserve">provided by Fertiliser Europe is considerably higher than the value calculated in Table</w:t>
      </w:r>
      <w:r>
        <w:t xml:space="preserve"> </w:t>
      </w:r>
      <w:r>
        <w:t xml:space="preserve">9 and this reflects a higher carbon price assumption and specific average emissions that</w:t>
      </w:r>
      <w:r>
        <w:t xml:space="preserve"> </w:t>
      </w:r>
      <w:r>
        <w:t xml:space="preserve">are assumed to be higher than what was published as an average 2016/17 for specific</w:t>
      </w:r>
      <w:r>
        <w:t xml:space="preserve"> </w:t>
      </w:r>
      <w:r>
        <w:t xml:space="preserve">emissions for ammonia production.</w:t>
      </w:r>
      <w:r>
        <w:br/>
      </w:r>
      <w:r>
        <w:t xml:space="preserve">• Cement Europe estimated the carbon cost of production based on the average</w:t>
      </w:r>
      <w:r>
        <w:t xml:space="preserve"> </w:t>
      </w:r>
      <w:r>
        <w:t xml:space="preserve">performance of a clinker installation being 0.820 tCO2 per tonne of clinker output.</w:t>
      </w:r>
      <w:r>
        <w:t xml:space="preserve"> </w:t>
      </w:r>
      <w:r>
        <w:t xml:space="preserve">Given that the cost price for a tonne of cement is around EUR 80 to 90 , making further</w:t>
      </w:r>
      <w:r>
        <w:t xml:space="preserve"> </w:t>
      </w:r>
      <w:r>
        <w:t xml:space="preserve">assumptions on both the ratio of clinker in cement (i.e. 75%) and the carbon price (i.e. </w:t>
      </w:r>
      <w:r>
        <w:t xml:space="preserve"> </w:t>
      </w:r>
      <w:r>
        <w:t xml:space="preserve">70 EUR per tonne). Cement Europe estimated that the carbon cost accounted for</w:t>
      </w:r>
      <w:r>
        <w:t xml:space="preserve"> </w:t>
      </w:r>
      <w:r>
        <w:t xml:space="preserve">between 6 and 15 % of the total cost price a tonne of cement, which was cited as being</w:t>
      </w:r>
      <w:r>
        <w:t xml:space="preserve"> </w:t>
      </w:r>
      <w:r>
        <w:t xml:space="preserve">around EUR 80 to 90 . The value provided by Cement Europe is not directly comparable</w:t>
      </w:r>
      <w:r>
        <w:t xml:space="preserve"> </w:t>
      </w:r>
      <w:r>
        <w:t xml:space="preserve">with the calculation above in Table 9 as it refers to cement rather than cement clinker</w:t>
      </w:r>
      <w:r>
        <w:t xml:space="preserve"> </w:t>
      </w:r>
      <w:r>
        <w:t xml:space="preserve">but again their higher value is driven by an assumed higher average specific emission</w:t>
      </w:r>
      <w:r>
        <w:t xml:space="preserve"> </w:t>
      </w:r>
      <w:r>
        <w:t xml:space="preserve">that what was published as an average for 2016/17</w:t>
      </w:r>
      <w:r>
        <w:br/>
      </w:r>
      <w:r>
        <w:t xml:space="preserve">• Eurometaux provided information on the full carbon cost exposure without free</w:t>
      </w:r>
      <w:r>
        <w:t xml:space="preserve"> </w:t>
      </w:r>
      <w:r>
        <w:t xml:space="preserve">allocation citing a much higher average specific emission value for primary aluminium</w:t>
      </w:r>
      <w:r>
        <w:t xml:space="preserve"> </w:t>
      </w:r>
      <w:r>
        <w:t xml:space="preserve">production than what was published as an average specific emission value for 2016/17</w:t>
      </w:r>
      <w:r>
        <w:t xml:space="preserve"> </w:t>
      </w:r>
      <w:r>
        <w:t xml:space="preserve">as shown in Table 9. The low carbon cost calculated for primary aluminium reflects</w:t>
      </w:r>
      <w:r>
        <w:t xml:space="preserve"> </w:t>
      </w:r>
      <w:r>
        <w:t xml:space="preserve">that the average 2016/17 specific emissions are only slightly higher than the benchmark</w:t>
      </w:r>
      <w:r>
        <w:t xml:space="preserve"> </w:t>
      </w:r>
      <w:r>
        <w:t xml:space="preserve">value, so it is assumed that a very low share of emissions is exposed to the carbon price.</w:t>
      </w:r>
      <w:r>
        <w:t xml:space="preserve"> </w:t>
      </w:r>
      <w:r>
        <w:t xml:space="preserve">In contrast, the calculation provided by Eurometaux does not consider the share of</w:t>
      </w:r>
      <w:r>
        <w:t xml:space="preserve"> </w:t>
      </w:r>
      <w:r>
        <w:t xml:space="preserve">emissions currently covered by free allocation. They stated during the interview that</w:t>
      </w:r>
      <w:r>
        <w:t xml:space="preserve"> </w:t>
      </w:r>
      <w:r>
        <w:t xml:space="preserve">primary aluminium production emits around 2 tCO2 per tonne of aluminium. Assuming</w:t>
      </w:r>
      <w:r>
        <w:t xml:space="preserve"> </w:t>
      </w:r>
      <w:r>
        <w:t xml:space="preserve">an ETS price of 70 EUR/t, the ETS increases the cost of producing primary aluminium</w:t>
      </w:r>
    </w:p>
    <w:p>
      <w:pPr>
        <w:pStyle w:val="BodyText"/>
      </w:pPr>
      <w:r>
        <w:t xml:space="preserve">148 Refer to https://www.eurofer.eu/assets/news/eu-technical-report-on-production-costs-from-the-iron-and-</w:t>
      </w:r>
      <w:r>
        <w:t xml:space="preserve"> </w:t>
      </w:r>
      <w:r>
        <w:t xml:space="preserve">steel-industry-in-the-eu-and-third-countries/production_costs_from_the_iron_and_steel_industry_-</w:t>
      </w:r>
      <w:r>
        <w:t xml:space="preserve"> </w:t>
      </w:r>
      <w:r>
        <w:t xml:space="preserve">_final_online.pdf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in Europe by 140 EUR/t. This is equivalent to 6% of the global price for a tonne of</w:t>
      </w:r>
      <w:r>
        <w:t xml:space="preserve"> </w:t>
      </w:r>
      <w:r>
        <w:t xml:space="preserve">aluminium set at the London Metal Exchange (currently 2600 $/t = 2222 EUR/t).</w:t>
      </w:r>
      <w:r>
        <w:br/>
      </w:r>
      <w:r>
        <w:t xml:space="preserve">• Fuels Europe did not provide an estimate of the carbon cost directly but instead stated</w:t>
      </w:r>
      <w:r>
        <w:t xml:space="preserve"> </w:t>
      </w:r>
      <w:r>
        <w:t xml:space="preserve">that the sector has experienced a consistent shortage (around 30%) in the number of</w:t>
      </w:r>
      <w:r>
        <w:t xml:space="preserve"> </w:t>
      </w:r>
      <w:r>
        <w:t xml:space="preserve">allowances to cover their verified emissions.</w:t>
      </w:r>
      <w:r>
        <w:br/>
      </w:r>
      <w:r>
        <w:t xml:space="preserve">The industrial stakeholders that were interviewed frequently praised the role of free allocation</w:t>
      </w:r>
      <w:r>
        <w:t xml:space="preserve"> </w:t>
      </w:r>
      <w:r>
        <w:t xml:space="preserve">in partly offsetting the full carbon cost, which in their opinion cannot be passed through due to</w:t>
      </w:r>
      <w:r>
        <w:t xml:space="preserve"> </w:t>
      </w:r>
      <w:r>
        <w:t xml:space="preserve">exposure to international competition. While the ability to pass through costs is likely to vary</w:t>
      </w:r>
      <w:r>
        <w:t xml:space="preserve"> </w:t>
      </w:r>
      <w:r>
        <w:t xml:space="preserve">across industrial sectors, all the industrial stakeholders argued that free allocation was</w:t>
      </w:r>
      <w:r>
        <w:t xml:space="preserve"> </w:t>
      </w:r>
      <w:r>
        <w:t xml:space="preserve">necessary to offset the impact of a unilateral carbon cost that is simply not faced by</w:t>
      </w:r>
      <w:r>
        <w:t xml:space="preserve"> </w:t>
      </w:r>
      <w:r>
        <w:t xml:space="preserve">international competitors.</w:t>
      </w:r>
      <w:r>
        <w:br/>
      </w:r>
      <w:r>
        <w:t xml:space="preserve">A key question then arises, has the reduction in free allocation that has been observed in Phase</w:t>
      </w:r>
      <w:r>
        <w:t xml:space="preserve"> </w:t>
      </w:r>
      <w:r>
        <w:t xml:space="preserve">IV led to carbon leakage? If carbon leakage was to have occurred, in the short term, it is likely</w:t>
      </w:r>
      <w:r>
        <w:t xml:space="preserve"> </w:t>
      </w:r>
      <w:r>
        <w:t xml:space="preserve">that the following trends would have materialised:</w:t>
      </w:r>
      <w:r>
        <w:t xml:space="preserve"> </w:t>
      </w:r>
      <w:r>
        <w:t xml:space="preserve">• Activity levels would have reduced (as production re-located outside of the EU).</w:t>
      </w:r>
      <w:r>
        <w:t xml:space="preserve"> </w:t>
      </w:r>
      <w:r>
        <w:t xml:space="preserve">• Imports would have increased.</w:t>
      </w:r>
      <w:r>
        <w:br/>
      </w:r>
      <w:r>
        <w:t xml:space="preserve">• Exports would have declined.</w:t>
      </w:r>
      <w:r>
        <w:t xml:space="preserve"> </w:t>
      </w:r>
      <w:r>
        <w:t xml:space="preserve">To evaluate the effectiveness of free allocation in preventing carbon leakage, it is necessary to</w:t>
      </w:r>
      <w:r>
        <w:t xml:space="preserve"> </w:t>
      </w:r>
      <w:r>
        <w:t xml:space="preserve">start by outlining the development of the key trends in activity and trade to establish if there is</w:t>
      </w:r>
      <w:r>
        <w:t xml:space="preserve"> </w:t>
      </w:r>
      <w:r>
        <w:t xml:space="preserve">evidence of industrial production re-locating outside of the EU.</w:t>
      </w:r>
      <w:r>
        <w:br/>
      </w:r>
      <w:r>
        <w:t xml:space="preserve">To assess changes in activity levels across European industry, the preliminary NIMs dataset</w:t>
      </w:r>
      <w:r>
        <w:t xml:space="preserve"> </w:t>
      </w:r>
      <w:r>
        <w:t xml:space="preserve">provides the most comprehensive and consistent dataset at the sub-installation level and is</w:t>
      </w:r>
      <w:r>
        <w:t xml:space="preserve"> </w:t>
      </w:r>
      <w:r>
        <w:t xml:space="preserve">attributed to the benchmark used by each to apply for free allocation. Figure 21 shows that</w:t>
      </w:r>
      <w:r>
        <w:t xml:space="preserve"> </w:t>
      </w:r>
      <w:r>
        <w:t xml:space="preserve">levels of activity have decreased in the most emission intensive benchmarked products. Given</w:t>
      </w:r>
      <w:r>
        <w:t xml:space="preserve"> </w:t>
      </w:r>
      <w:r>
        <w:t xml:space="preserve">that reforms to free allocation only took effect after 2021, the considerable decline in activity</w:t>
      </w:r>
      <w:r>
        <w:t xml:space="preserve"> </w:t>
      </w:r>
      <w:r>
        <w:t xml:space="preserve">observed in 2020 indicates that other factors beyond carbon pricing have most likely driven</w:t>
      </w:r>
      <w:r>
        <w:t xml:space="preserve"> </w:t>
      </w:r>
      <w:r>
        <w:t xml:space="preserve">this trend (i.e. reduced demand and supply chain issues associated with the COVID-19</w:t>
      </w:r>
      <w:r>
        <w:t xml:space="preserve"> </w:t>
      </w:r>
      <w:r>
        <w:t xml:space="preserve">pandemic, increase in energy prices (especially natural gas) following the illegal Russian</w:t>
      </w:r>
      <w:r>
        <w:t xml:space="preserve"> </w:t>
      </w:r>
      <w:r>
        <w:t xml:space="preserve">invasion of Ukraine in 2022), as well as the impact in international trade tariff regimes and</w:t>
      </w:r>
      <w:r>
        <w:t xml:space="preserve"> </w:t>
      </w:r>
      <w:r>
        <w:t xml:space="preserve">issues related to overcapacity globally in certain commodities. Indeed, industrial stakeholders</w:t>
      </w:r>
      <w:r>
        <w:t xml:space="preserve"> </w:t>
      </w:r>
      <w:r>
        <w:t xml:space="preserve">confirmed that carbon pricing was not likely to be the main driver of the reduced levels in</w:t>
      </w:r>
      <w:r>
        <w:t xml:space="preserve"> </w:t>
      </w:r>
      <w:r>
        <w:t xml:space="preserve">activity observed in recent years but nevertheless they strongly argued that the increased carbon</w:t>
      </w:r>
      <w:r>
        <w:t xml:space="preserve"> </w:t>
      </w:r>
      <w:r>
        <w:t xml:space="preserve">cost because of free allocation volumes declining, and the EUA price rising have exacerbated</w:t>
      </w:r>
      <w:r>
        <w:t xml:space="preserve"> </w:t>
      </w:r>
      <w:r>
        <w:t xml:space="preserve">an already challenging situation in terms of their international competitiveness.</w:t>
      </w:r>
      <w:r>
        <w:t xml:space="preserve"> </w:t>
      </w:r>
      <w:r>
        <w:t xml:space="preserve">Given that the NIMs data was only preliminary at the time of the evaluation, it was not possible</w:t>
      </w:r>
      <w:r>
        <w:t xml:space="preserve"> </w:t>
      </w:r>
      <w:r>
        <w:t xml:space="preserve">to estimate statistically whether carbon leakage had occurred based on, for example,</w:t>
      </w:r>
      <w:r>
        <w:t xml:space="preserve"> </w:t>
      </w:r>
      <w:r>
        <w:t xml:space="preserve">econometric approaches. Such an exercise should be conducted when the final NIMs data is</w:t>
      </w:r>
      <w:r>
        <w:t xml:space="preserve"> </w:t>
      </w:r>
      <w:r>
        <w:t xml:space="preserve">available. As an alternative, a more descriptive analysis was undertaken with considerable</w:t>
      </w:r>
      <w:r>
        <w:t xml:space="preserve"> </w:t>
      </w:r>
      <w:r>
        <w:t xml:space="preserve">efforts made to engage with industrial stakeholders in order to better understand the driving</w:t>
      </w:r>
      <w:r>
        <w:t xml:space="preserve"> </w:t>
      </w:r>
      <w:r>
        <w:t xml:space="preserve">factors responsible for the observed changes in activity and trade patterns. It was evident from</w:t>
      </w:r>
      <w:r>
        <w:t xml:space="preserve"> </w:t>
      </w:r>
      <w:r>
        <w:t xml:space="preserve">this descriptive analysis that imports in certain emission intensive goods have increased over</w:t>
      </w:r>
      <w:r>
        <w:t xml:space="preserve"> </w:t>
      </w:r>
      <w:r>
        <w:t xml:space="preserve">the time period (i.e. for example increased imports were observed for cement clinker, urea,</w:t>
      </w:r>
      <w:r>
        <w:t xml:space="preserve"> </w:t>
      </w:r>
      <w:r>
        <w:t xml:space="preserve">unwrought aluminium and hot rolled wide strip and cold rolled steel) and that could, in theory,</w:t>
      </w:r>
      <w:r>
        <w:t xml:space="preserve"> </w:t>
      </w:r>
      <w:r>
        <w:t xml:space="preserve">provide evidence to support claims of carbon leakage via the short term-competitiveness</w:t>
      </w:r>
      <w:r>
        <w:t xml:space="preserve"> </w:t>
      </w:r>
      <w:r>
        <w:t xml:space="preserve">channel. However, it was evident from the stakeholder interviews that the carbon price was not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driving the increase in these imports alone with external factors also influencing the changes</w:t>
      </w:r>
      <w:r>
        <w:t xml:space="preserve"> </w:t>
      </w:r>
      <w:r>
        <w:t xml:space="preserve">observed in trade patterns.</w:t>
      </w:r>
      <w:r>
        <w:t xml:space="preserve"> </w:t>
      </w:r>
      <w:r>
        <w:t xml:space="preserve">Figure 21: Change in activity levels relative to 2014 levels for selected emission intensive product</w:t>
      </w:r>
      <w:r>
        <w:t xml:space="preserve"> </w:t>
      </w:r>
      <w:r>
        <w:t xml:space="preserve">benchmarks149</w:t>
      </w:r>
    </w:p>
    <w:p>
      <w:pPr>
        <w:pStyle w:val="BodyText"/>
      </w:pPr>
      <w:r>
        <w:t xml:space="preserve">Source:</w:t>
      </w:r>
      <w:r>
        <w:br/>
      </w:r>
      <w:r>
        <w:t xml:space="preserve">Preliminary NIMs dataset (2025), Own calculation.</w:t>
      </w:r>
      <w:r>
        <w:t xml:space="preserve"> </w:t>
      </w:r>
      <w:r>
        <w:t xml:space="preserve">•</w:t>
      </w:r>
      <w:r>
        <w:t xml:space="preserve"> </w:t>
      </w:r>
      <w:r>
        <w:t xml:space="preserve">EQ2: Did a revision of the carbon leakage list (CL list) for 2021-2030 increase the</w:t>
      </w:r>
      <w:r>
        <w:t xml:space="preserve"> </w:t>
      </w:r>
      <w:r>
        <w:t xml:space="preserve">effectiveness of the measure by changing the methodology to a single indicator of</w:t>
      </w:r>
      <w:r>
        <w:t xml:space="preserve"> </w:t>
      </w:r>
      <w:r>
        <w:t xml:space="preserve">carbon leakage?</w:t>
      </w:r>
      <w:r>
        <w:br/>
      </w:r>
      <w:r>
        <w:t xml:space="preserve">The purpose of the carbon leakage list is to determine, which sectors and sub-sectors are</w:t>
      </w:r>
      <w:r>
        <w:t xml:space="preserve"> </w:t>
      </w:r>
      <w:r>
        <w:t xml:space="preserve">deemed to be at risk of carbon leakage and are therefore eligible for 100% of the calculated</w:t>
      </w:r>
      <w:r>
        <w:t xml:space="preserve"> </w:t>
      </w:r>
      <w:r>
        <w:t xml:space="preserve">free allocation (i.e. the carbon leakage exposure factor used in the formula for determining free</w:t>
      </w:r>
      <w:r>
        <w:t xml:space="preserve"> </w:t>
      </w:r>
      <w:r>
        <w:t xml:space="preserve">allocation is set at 1).150 The carbon leakage exposure factor has been set at 1 for sectors and</w:t>
      </w:r>
      <w:r>
        <w:t xml:space="preserve"> </w:t>
      </w:r>
      <w:r>
        <w:t xml:space="preserve">sub-sectors that have been deemed at risk of carbon leakage in both Phase III and IV. Sectors</w:t>
      </w:r>
      <w:r>
        <w:t xml:space="preserve"> </w:t>
      </w:r>
      <w:r>
        <w:t xml:space="preserve">and sub-sectors that were not deemed to be at risk of carbon leakage continued to receive free</w:t>
      </w:r>
      <w:r>
        <w:t xml:space="preserve"> </w:t>
      </w:r>
      <w:r>
        <w:t xml:space="preserve">allowances but were not eligible for the full 100% of the calculated free allocation. During</w:t>
      </w:r>
      <w:r>
        <w:t xml:space="preserve"> </w:t>
      </w:r>
      <w:r>
        <w:t xml:space="preserve">Phase III the carbon leakage exposure factor for sectors and sub-sectors deemed to not be at</w:t>
      </w:r>
      <w:r>
        <w:t xml:space="preserve"> </w:t>
      </w:r>
      <w:r>
        <w:t xml:space="preserve">risk of carbon leakage declined from 0.8 in 2013 to 0.3 by 2020 and the carbon leakage</w:t>
      </w:r>
      <w:r>
        <w:t xml:space="preserve"> </w:t>
      </w:r>
      <w:r>
        <w:t xml:space="preserve">exposure factor has remained constant at 0.3 for Phase IV (2021-25).</w:t>
      </w:r>
      <w:r>
        <w:br/>
      </w:r>
      <w:r>
        <w:t xml:space="preserve">The carbon leakage risk status of the sectors and subsectors has been defined based upon a set</w:t>
      </w:r>
      <w:r>
        <w:t xml:space="preserve"> </w:t>
      </w:r>
      <w:r>
        <w:t xml:space="preserve">of rules that have changed over time.</w:t>
      </w:r>
      <w:r>
        <w:br/>
      </w:r>
      <w:r>
        <w:t xml:space="preserve">In Phase III a sector or sub-sector was deemed to be at risk of carbon leakage151 if:</w:t>
      </w:r>
    </w:p>
    <w:p>
      <w:pPr>
        <w:pStyle w:val="BodyText"/>
      </w:pPr>
      <w:r>
        <w:t xml:space="preserve">149 Sub-installations were only included if NIMs data on historic activity level was available for both the 2014-</w:t>
      </w:r>
      <w:r>
        <w:t xml:space="preserve"> </w:t>
      </w:r>
      <w:r>
        <w:t xml:space="preserve">18 and 2019-23 to ensure a consistent dataset across the period.</w:t>
      </w:r>
      <w:r>
        <w:t xml:space="preserve"> </w:t>
      </w:r>
      <w:r>
        <w:t xml:space="preserve">150 The formula for calculating final free allocation is benchmark * activity level * carbon leakage exposure</w:t>
      </w:r>
      <w:r>
        <w:t xml:space="preserve"> </w:t>
      </w:r>
      <w:r>
        <w:t xml:space="preserve">factor * cross sectoral correction factor.</w:t>
      </w:r>
      <w:r>
        <w:t xml:space="preserve"> </w:t>
      </w:r>
      <w:r>
        <w:t xml:space="preserve">151 In Phase III of the EU ETS the carbon leakage list was updated several times (i.e. in 2013-14 and 2015-2019</w:t>
      </w:r>
      <w:r>
        <w:t xml:space="preserve"> </w:t>
      </w:r>
      <w:r>
        <w:t xml:space="preserve">and then extended to 2020).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• Direct and indirect costs induced by the implementation of the directive would increase</w:t>
      </w:r>
      <w:r>
        <w:t xml:space="preserve"> </w:t>
      </w:r>
      <w:r>
        <w:t xml:space="preserve">production cost, calculated as a proportion of the gross value added, by at least 5%; and</w:t>
      </w:r>
      <w:r>
        <w:t xml:space="preserve"> </w:t>
      </w:r>
      <w:r>
        <w:t xml:space="preserve">• The sector’s trade intensity with non-EU countries (imports and exports) was above</w:t>
      </w:r>
      <w:r>
        <w:t xml:space="preserve"> </w:t>
      </w:r>
      <w:r>
        <w:t xml:space="preserve">10%</w:t>
      </w:r>
      <w:r>
        <w:t xml:space="preserve"> </w:t>
      </w:r>
      <w:r>
        <w:t xml:space="preserve">A sector or sub-sector was also deemed to be exposed if:</w:t>
      </w:r>
      <w:r>
        <w:t xml:space="preserve"> </w:t>
      </w:r>
      <w:r>
        <w:t xml:space="preserve">• The sum of the direct and indirect additional costs was at least 30%; or</w:t>
      </w:r>
      <w:r>
        <w:t xml:space="preserve"> </w:t>
      </w:r>
      <w:r>
        <w:t xml:space="preserve">• The non-EU trade intensity was above 30%.</w:t>
      </w:r>
      <w:r>
        <w:t xml:space="preserve"> </w:t>
      </w:r>
      <w:r>
        <w:t xml:space="preserve">In Phase IV the carbon leakage list was determined by a single indicator of carbon leakage risk,</w:t>
      </w:r>
      <w:r>
        <w:t xml:space="preserve"> </w:t>
      </w:r>
      <w:r>
        <w:t xml:space="preserve">which is outlined and further explained below:</w:t>
      </w:r>
      <w:r>
        <w:t xml:space="preserve"> </w:t>
      </w:r>
      <w:r>
        <w:t xml:space="preserve">• Carbon leakage indicator = trade intensity * emission intensity</w:t>
      </w:r>
      <w:r>
        <w:t xml:space="preserve"> </w:t>
      </w:r>
      <w:r>
        <w:t xml:space="preserve">With</w:t>
      </w:r>
      <w:r>
        <w:br/>
      </w:r>
      <w:r>
        <w:t xml:space="preserve">Trade intensity = (imports + exports) / (imports + turnover)</w:t>
      </w:r>
      <w:r>
        <w:t xml:space="preserve"> </w:t>
      </w:r>
      <w:r>
        <w:t xml:space="preserve">Emission intensity = (direct emissions + indirect emissions) / GVA</w:t>
      </w:r>
      <w:r>
        <w:t xml:space="preserve"> </w:t>
      </w:r>
      <w:r>
        <w:t xml:space="preserve">In terms of the overall impact of the change in methodology, Figure 22 shows that the adoption</w:t>
      </w:r>
      <w:r>
        <w:t xml:space="preserve"> </w:t>
      </w:r>
      <w:r>
        <w:t xml:space="preserve">of a single based indicator reduced the number of sectors at the NACE 4-digit level covered on</w:t>
      </w:r>
      <w:r>
        <w:t xml:space="preserve"> </w:t>
      </w:r>
      <w:r>
        <w:t xml:space="preserve">the 2021-30 carbon leakage list declined by around 65% compared to the 2015-20 carbon</w:t>
      </w:r>
      <w:r>
        <w:t xml:space="preserve"> </w:t>
      </w:r>
      <w:r>
        <w:t xml:space="preserve">leakage list. However, the direct emissions (2014-18 average based on NIMs dataset and</w:t>
      </w:r>
      <w:r>
        <w:t xml:space="preserve"> </w:t>
      </w:r>
      <w:r>
        <w:t xml:space="preserve">aggregated to the NACE 4-digit level) covered only declined by around 2%. This suggests that</w:t>
      </w:r>
      <w:r>
        <w:t xml:space="preserve"> </w:t>
      </w:r>
      <w:r>
        <w:t xml:space="preserve">the changes to the methodology have increased the effectiveness of the measure by removing</w:t>
      </w:r>
      <w:r>
        <w:t xml:space="preserve"> </w:t>
      </w:r>
      <w:r>
        <w:t xml:space="preserve">many sectors that previously only qualified based upon the trade intensity threshold alone but</w:t>
      </w:r>
      <w:r>
        <w:t xml:space="preserve"> </w:t>
      </w:r>
      <w:r>
        <w:t xml:space="preserve">had only a limited impact on the direct emissions covered. The intentional setting of a low</w:t>
      </w:r>
      <w:r>
        <w:t xml:space="preserve"> </w:t>
      </w:r>
      <w:r>
        <w:t xml:space="preserve">threshold for the carbon leakage indicator to determine sectors at significant risk of carbon</w:t>
      </w:r>
      <w:r>
        <w:t xml:space="preserve"> </w:t>
      </w:r>
      <w:r>
        <w:t xml:space="preserve">leakage ensured that free allocation was still better targeted in Phase IV compared to Phase III</w:t>
      </w:r>
      <w:r>
        <w:t xml:space="preserve"> </w:t>
      </w:r>
      <w:r>
        <w:t xml:space="preserve">by ensuring that those sectors with minimal CO2 costs were no longer eligible for free</w:t>
      </w:r>
      <w:r>
        <w:t xml:space="preserve"> </w:t>
      </w:r>
      <w:r>
        <w:t xml:space="preserve">allocation support.</w:t>
      </w:r>
      <w:r>
        <w:br/>
      </w:r>
      <w:r>
        <w:t xml:space="preserve">Although the change to the carbon leakage list in Phase IV has led to a more targeted allocation</w:t>
      </w:r>
      <w:r>
        <w:t xml:space="preserve"> </w:t>
      </w:r>
      <w:r>
        <w:t xml:space="preserve">(in terms of the number of sectors and subsectors deemed at risk of carbon leakage, the</w:t>
      </w:r>
      <w:r>
        <w:t xml:space="preserve"> </w:t>
      </w:r>
      <w:r>
        <w:t xml:space="preserve">European Court of Auditors concluded in their own review of free allocation provision that it</w:t>
      </w:r>
      <w:r>
        <w:t xml:space="preserve"> </w:t>
      </w:r>
      <w:r>
        <w:t xml:space="preserve">could have been better targeted.152 Indeed, the review criticised the carbon leakage list for not</w:t>
      </w:r>
      <w:r>
        <w:t xml:space="preserve"> </w:t>
      </w:r>
      <w:r>
        <w:t xml:space="preserve">establishing different degrees of carbon leakage risk for the various sectors included in it,</w:t>
      </w:r>
      <w:r>
        <w:t xml:space="preserve"> </w:t>
      </w:r>
      <w:r>
        <w:t xml:space="preserve">instead treating them all equally. Furthermore, lessons learnt from the implementation of the</w:t>
      </w:r>
      <w:r>
        <w:t xml:space="preserve"> </w:t>
      </w:r>
      <w:r>
        <w:t xml:space="preserve">carbon leakage list in Phase III outlined that stakeholders indicated that for the carbon leakage</w:t>
      </w:r>
      <w:r>
        <w:t xml:space="preserve"> </w:t>
      </w:r>
      <w:r>
        <w:t xml:space="preserve">list of 2015-20 the workload for applications was substantial, although at the time it was</w:t>
      </w:r>
      <w:r>
        <w:t xml:space="preserve"> </w:t>
      </w:r>
      <w:r>
        <w:t xml:space="preserve">regarded as proportional to the scale and significance of the task.153 Given the limited reduction</w:t>
      </w:r>
      <w:r>
        <w:t xml:space="preserve"> </w:t>
      </w:r>
      <w:r>
        <w:t xml:space="preserve">in the emissions not covered under the subsequent update to the carbon leakage list in 2021-</w:t>
      </w:r>
      <w:r>
        <w:t xml:space="preserve"> </w:t>
      </w:r>
      <w:r>
        <w:t xml:space="preserve">30, and the significant resources that remained necessary to update the list, the impact of such</w:t>
      </w:r>
      <w:r>
        <w:t xml:space="preserve"> </w:t>
      </w:r>
      <w:r>
        <w:t xml:space="preserve">changes appears misaligned between outcome (i.e. better targeting of allocation) and</w:t>
      </w:r>
      <w:r>
        <w:t xml:space="preserve"> </w:t>
      </w:r>
      <w:r>
        <w:t xml:space="preserve">administrative effort.</w:t>
      </w:r>
    </w:p>
    <w:p>
      <w:pPr>
        <w:pStyle w:val="BodyText"/>
      </w:pPr>
      <w:r>
        <w:t xml:space="preserve">152 Refer to Emissions Trading System: targeting free allocation of allowances.</w:t>
      </w:r>
      <w:r>
        <w:t xml:space="preserve"> </w:t>
      </w:r>
      <w:r>
        <w:t xml:space="preserve">153 Refer to SWD(2019) 22 final, https://edz.bib.uni-mannheim.de/edz/pdf/swd/2019/swd-2019-0022-en.pdf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Figure 22: Comparison of carbon leakage lists for Phase III and IV in terms of their coverage of</w:t>
      </w:r>
      <w:r>
        <w:t xml:space="preserve"> </w:t>
      </w:r>
      <w:r>
        <w:t xml:space="preserve">both direct emissions and the number of sectors154</w:t>
      </w:r>
    </w:p>
    <w:p>
      <w:pPr>
        <w:pStyle w:val="BodyText"/>
      </w:pPr>
      <w:r>
        <w:t xml:space="preserve">Source: Decision - 2010/2, Decision - 2014/746, Own llustration.</w:t>
      </w:r>
      <w:r>
        <w:t xml:space="preserve"> </w:t>
      </w:r>
      <w:r>
        <w:t xml:space="preserve">•</w:t>
      </w:r>
      <w:r>
        <w:t xml:space="preserve"> </w:t>
      </w:r>
      <w:r>
        <w:t xml:space="preserve">EQ3: Has free allocation been effectively calculated to prevent the occurrence of carbon</w:t>
      </w:r>
      <w:r>
        <w:t xml:space="preserve"> </w:t>
      </w:r>
      <w:r>
        <w:t xml:space="preserve">leakage?</w:t>
      </w:r>
      <w:r>
        <w:t xml:space="preserve"> </w:t>
      </w:r>
      <w:r>
        <w:t xml:space="preserve">Since the start of Phase III, free allocation has been calculated based upon product benchmarks</w:t>
      </w:r>
      <w:r>
        <w:t xml:space="preserve"> </w:t>
      </w:r>
      <w:r>
        <w:t xml:space="preserve">and fall-back options with the intention of both better targeting free allocation and to provide</w:t>
      </w:r>
      <w:r>
        <w:t xml:space="preserve"> </w:t>
      </w:r>
      <w:r>
        <w:t xml:space="preserve">stronger incentives for improved performance than under the previous allocation approach (i.e. </w:t>
      </w:r>
      <w:r>
        <w:t xml:space="preserve"> </w:t>
      </w:r>
      <w:r>
        <w:t xml:space="preserve">grandfathering of allowances based on historical emissions). How the benchmark values are</w:t>
      </w:r>
      <w:r>
        <w:t xml:space="preserve"> </w:t>
      </w:r>
      <w:r>
        <w:t xml:space="preserve">set is of critical importance for the effectiveness of free allocation to prevent the occurrence of</w:t>
      </w:r>
      <w:r>
        <w:t xml:space="preserve"> </w:t>
      </w:r>
      <w:r>
        <w:t xml:space="preserve">carbon leakage. If the ex-ante benchmarks are set too high compared to actual performance,</w:t>
      </w:r>
      <w:r>
        <w:t xml:space="preserve"> </w:t>
      </w:r>
      <w:r>
        <w:t xml:space="preserve">then the incentive to improve performance will be reduced, however, alternatively if the ex-</w:t>
      </w:r>
      <w:r>
        <w:t xml:space="preserve"> </w:t>
      </w:r>
      <w:r>
        <w:t xml:space="preserve">ante benchmarks are set too low and beyond technological limits (a concern that was frequently</w:t>
      </w:r>
      <w:r>
        <w:t xml:space="preserve"> </w:t>
      </w:r>
      <w:r>
        <w:t xml:space="preserve">raised during stakeholder engagement with industry), then the effectiveness of free allocation</w:t>
      </w:r>
      <w:r>
        <w:t xml:space="preserve"> </w:t>
      </w:r>
      <w:r>
        <w:t xml:space="preserve">to protect against carbon leakage will be reduced.</w:t>
      </w:r>
      <w:r>
        <w:br/>
      </w:r>
      <w:r>
        <w:t xml:space="preserve">Table 10 provides an overview of how the benchmark values were updated for use in the first</w:t>
      </w:r>
      <w:r>
        <w:t xml:space="preserve"> </w:t>
      </w:r>
      <w:r>
        <w:t xml:space="preserve">half of Phase IV (i.e. 2021-25). Given that these values were set ex-ante a useful exercise is to</w:t>
      </w:r>
      <w:r>
        <w:t xml:space="preserve"> </w:t>
      </w:r>
      <w:r>
        <w:t xml:space="preserve">compare how the benchmarks compared with actual developments based upon published</w:t>
      </w:r>
      <w:r>
        <w:t xml:space="preserve"> </w:t>
      </w:r>
      <w:r>
        <w:t xml:space="preserve">information from the European Commission on the setting of the 2021-25 benchmarks. A key</w:t>
      </w:r>
      <w:r>
        <w:t xml:space="preserve"> </w:t>
      </w:r>
      <w:r>
        <w:t xml:space="preserve">takeaway from Table 10 is that 29 out of the 52 benchmarks were updated for the 2021-25</w:t>
      </w:r>
      <w:r>
        <w:t xml:space="preserve"> </w:t>
      </w:r>
      <w:r>
        <w:t xml:space="preserve">period by applying the maximum limit to the annual update rate used for the calculation. In</w:t>
      </w:r>
    </w:p>
    <w:p>
      <w:pPr>
        <w:pStyle w:val="BodyText"/>
      </w:pPr>
      <w:r>
        <w:t xml:space="preserve">154 The number of sectors refers only to the NACE 4-digit level. If multiple sub-sectors within a NACE 4-digit</w:t>
      </w:r>
      <w:r>
        <w:t xml:space="preserve"> </w:t>
      </w:r>
      <w:r>
        <w:t xml:space="preserve">code are included at a higher level of disaggregation within the carbon leakage lists, they are only counted</w:t>
      </w:r>
      <w:r>
        <w:t xml:space="preserve"> </w:t>
      </w:r>
      <w:r>
        <w:t xml:space="preserve">once. For example, 63 sectors and sub-sectors were on the 2021-30 carbon leakage list, but this included</w:t>
      </w:r>
      <w:r>
        <w:t xml:space="preserve"> </w:t>
      </w:r>
      <w:r>
        <w:t xml:space="preserve">several sub-sectors with the same NACE 4-digit code. Given that the NIMs data only matches installations</w:t>
      </w:r>
      <w:r>
        <w:t xml:space="preserve"> </w:t>
      </w:r>
      <w:r>
        <w:t xml:space="preserve">to a 4-digit NACE code it also means that the direct emissions covered in the calculation may be slightly</w:t>
      </w:r>
      <w:r>
        <w:t xml:space="preserve"> </w:t>
      </w:r>
      <w:r>
        <w:t xml:space="preserve">over-estimated when only certain sub-sectors within a NACE 4-digit code are deemed at risk of carbon</w:t>
      </w:r>
      <w:r>
        <w:t xml:space="preserve"> </w:t>
      </w:r>
      <w:r>
        <w:t xml:space="preserve">leakage.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some cases, the difference between the annual update rate calculated155 and the annual update</w:t>
      </w:r>
      <w:r>
        <w:t xml:space="preserve"> </w:t>
      </w:r>
      <w:r>
        <w:t xml:space="preserve">rate applied156 was considerably higher. This means that in practice these benchmarks could</w:t>
      </w:r>
      <w:r>
        <w:t xml:space="preserve"> </w:t>
      </w:r>
      <w:r>
        <w:t xml:space="preserve">have been set more ambitiously (i.e. the update of these benchmarks for 2021-25 were not</w:t>
      </w:r>
      <w:r>
        <w:t xml:space="preserve"> </w:t>
      </w:r>
      <w:r>
        <w:t xml:space="preserve">based on the average of the 10% best performers) than they were if the actual rate of</w:t>
      </w:r>
      <w:r>
        <w:t xml:space="preserve"> </w:t>
      </w:r>
      <w:r>
        <w:t xml:space="preserve">improvement was applied rather than a maximum limit being applied. As a consequence, this</w:t>
      </w:r>
      <w:r>
        <w:t xml:space="preserve"> </w:t>
      </w:r>
      <w:r>
        <w:t xml:space="preserve">may have resulted in the installations covered by these benchmarks receiving more allowances</w:t>
      </w:r>
      <w:r>
        <w:t xml:space="preserve"> </w:t>
      </w:r>
      <w:r>
        <w:t xml:space="preserve">than if actual update rates of improvement were applied and this may have reduced the</w:t>
      </w:r>
      <w:r>
        <w:t xml:space="preserve"> </w:t>
      </w:r>
      <w:r>
        <w:t xml:space="preserve">incentive for driving emission reductions.</w:t>
      </w:r>
      <w:r>
        <w:br/>
      </w:r>
      <w:r>
        <w:t xml:space="preserve">Table 10: Comparison of benchmark values set in Phase III and IV of the EU ETS</w:t>
      </w:r>
    </w:p>
    <w:p>
      <w:pPr>
        <w:pStyle w:val="BodyText"/>
      </w:pPr>
      <w:r>
        <w:t xml:space="preserve">155 Based on performance data for the years 2007 and 2008, annual reduction rates were determined for each</w:t>
      </w:r>
      <w:r>
        <w:t xml:space="preserve"> </w:t>
      </w:r>
      <w:r>
        <w:t xml:space="preserve">benchmark for the 9-year period from 2007/2008 to 2016/2017.</w:t>
      </w:r>
      <w:r>
        <w:t xml:space="preserve"> </w:t>
      </w:r>
      <w:r>
        <w:t xml:space="preserve">156 In accordance with Article 10a(2) of Directive 2003/87/EC, the applied reduction over the 15-year period</w:t>
      </w:r>
      <w:r>
        <w:t xml:space="preserve"> </w:t>
      </w:r>
      <w:r>
        <w:t xml:space="preserve">should not be lower than 3% and not be higher than 24%.</w:t>
      </w:r>
      <w:r>
        <w:br/>
      </w:r>
      <w:r>
        <w:t xml:space="preserve">BM</w:t>
      </w:r>
      <w:r>
        <w:t xml:space="preserve"> </w:t>
      </w:r>
      <w:r>
        <w:t xml:space="preserve">Description</w:t>
      </w:r>
      <w:r>
        <w:t xml:space="preserve"> </w:t>
      </w:r>
      <w:r>
        <w:t xml:space="preserve">BM Unit</w:t>
      </w:r>
      <w:r>
        <w:t xml:space="preserve"> </w:t>
      </w:r>
      <w:r>
        <w:t xml:space="preserve">BM</w:t>
      </w:r>
      <w:r>
        <w:t xml:space="preserve"> </w:t>
      </w:r>
      <w:r>
        <w:t xml:space="preserve">(2013-</w:t>
      </w:r>
      <w:r>
        <w:t xml:space="preserve"> </w:t>
      </w:r>
      <w:r>
        <w:t xml:space="preserve">20)</w:t>
      </w:r>
      <w:r>
        <w:t xml:space="preserve"> </w:t>
      </w:r>
      <w:r>
        <w:t xml:space="preserve">2016/17</w:t>
      </w:r>
      <w:r>
        <w:t xml:space="preserve"> </w:t>
      </w:r>
      <w:r>
        <w:t xml:space="preserve">AVG of the</w:t>
      </w:r>
      <w:r>
        <w:t xml:space="preserve"> </w:t>
      </w:r>
      <w:r>
        <w:t xml:space="preserve">10% most</w:t>
      </w:r>
      <w:r>
        <w:t xml:space="preserve"> </w:t>
      </w:r>
      <w:r>
        <w:t xml:space="preserve">efficient</w:t>
      </w:r>
      <w:r>
        <w:t xml:space="preserve"> </w:t>
      </w:r>
      <w:r>
        <w:t xml:space="preserve">installations</w:t>
      </w:r>
      <w:r>
        <w:t xml:space="preserve"> </w:t>
      </w:r>
      <w:r>
        <w:t xml:space="preserve">Annual</w:t>
      </w:r>
      <w:r>
        <w:t xml:space="preserve"> </w:t>
      </w:r>
      <w:r>
        <w:t xml:space="preserve">update</w:t>
      </w:r>
      <w:r>
        <w:t xml:space="preserve"> </w:t>
      </w:r>
      <w:r>
        <w:t xml:space="preserve">rate</w:t>
      </w:r>
      <w:r>
        <w:t xml:space="preserve"> </w:t>
      </w:r>
      <w:r>
        <w:t xml:space="preserve">calculated</w:t>
      </w:r>
      <w:r>
        <w:t xml:space="preserve"> </w:t>
      </w:r>
      <w:r>
        <w:t xml:space="preserve">Annual</w:t>
      </w:r>
      <w:r>
        <w:t xml:space="preserve"> </w:t>
      </w:r>
      <w:r>
        <w:t xml:space="preserve">update</w:t>
      </w:r>
      <w:r>
        <w:t xml:space="preserve"> </w:t>
      </w:r>
      <w:r>
        <w:t xml:space="preserve">rate</w:t>
      </w:r>
      <w:r>
        <w:t xml:space="preserve"> </w:t>
      </w:r>
      <w:r>
        <w:t xml:space="preserve">applied</w:t>
      </w:r>
      <w:r>
        <w:t xml:space="preserve"> </w:t>
      </w:r>
      <w:r>
        <w:t xml:space="preserve">Total</w:t>
      </w:r>
      <w:r>
        <w:t xml:space="preserve"> </w:t>
      </w:r>
      <w:r>
        <w:t xml:space="preserve">update</w:t>
      </w:r>
      <w:r>
        <w:t xml:space="preserve"> </w:t>
      </w:r>
      <w:r>
        <w:t xml:space="preserve">from</w:t>
      </w:r>
      <w:r>
        <w:t xml:space="preserve"> </w:t>
      </w:r>
      <w:r>
        <w:t xml:space="preserve">Phase</w:t>
      </w:r>
      <w:r>
        <w:t xml:space="preserve"> </w:t>
      </w:r>
      <w:r>
        <w:t xml:space="preserve">3</w:t>
      </w:r>
      <w:r>
        <w:t xml:space="preserve"> </w:t>
      </w:r>
      <w:r>
        <w:t xml:space="preserve">BM</w:t>
      </w:r>
      <w:r>
        <w:t xml:space="preserve"> </w:t>
      </w:r>
      <w:r>
        <w:t xml:space="preserve">(2021-</w:t>
      </w:r>
      <w:r>
        <w:t xml:space="preserve"> </w:t>
      </w:r>
      <w:r>
        <w:t xml:space="preserve">25)</w:t>
      </w:r>
      <w:r>
        <w:t xml:space="preserve"> </w:t>
      </w:r>
      <w:r>
        <w:t xml:space="preserve">Refinery</w:t>
      </w:r>
      <w:r>
        <w:t xml:space="preserve"> </w:t>
      </w:r>
      <w:r>
        <w:t xml:space="preserve">products</w:t>
      </w:r>
      <w:r>
        <w:t xml:space="preserve"> </w:t>
      </w:r>
      <w:r>
        <w:t xml:space="preserve">t</w:t>
      </w:r>
      <w:r>
        <w:t xml:space="preserve"> </w:t>
      </w:r>
      <w:r>
        <w:t xml:space="preserve">CO2e/CWT</w:t>
      </w:r>
      <w:r>
        <w:t xml:space="preserve"> </w:t>
      </w:r>
      <w:r>
        <w:t xml:space="preserve">0.0295</w:t>
      </w:r>
      <w:r>
        <w:t xml:space="preserve"> </w:t>
      </w:r>
      <w:r>
        <w:t xml:space="preserve">0.0255</w:t>
      </w:r>
      <w:r>
        <w:t xml:space="preserve"> </w:t>
      </w:r>
      <w:r>
        <w:t xml:space="preserve">-1.5%</w:t>
      </w:r>
      <w:r>
        <w:t xml:space="preserve"> </w:t>
      </w:r>
      <w:r>
        <w:t xml:space="preserve">-1.5%</w:t>
      </w:r>
      <w:r>
        <w:t xml:space="preserve"> </w:t>
      </w:r>
      <w:r>
        <w:t xml:space="preserve">-23%</w:t>
      </w:r>
      <w:r>
        <w:t xml:space="preserve"> </w:t>
      </w:r>
      <w:r>
        <w:t xml:space="preserve">0.0228</w:t>
      </w:r>
      <w:r>
        <w:t xml:space="preserve"> </w:t>
      </w:r>
      <w:r>
        <w:t xml:space="preserve">Coke</w:t>
      </w:r>
      <w:r>
        <w:t xml:space="preserve"> </w:t>
      </w:r>
      <w:r>
        <w:t xml:space="preserve">t CO2e/t</w:t>
      </w:r>
      <w:r>
        <w:t xml:space="preserve"> </w:t>
      </w:r>
      <w:r>
        <w:t xml:space="preserve">0.286</w:t>
      </w:r>
      <w:r>
        <w:t xml:space="preserve"> </w:t>
      </w:r>
      <w:r>
        <w:t xml:space="preserve">0.144</w:t>
      </w:r>
      <w:r>
        <w:t xml:space="preserve"> </w:t>
      </w:r>
      <w:r>
        <w:t xml:space="preserve">-5.5%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0.217</w:t>
      </w:r>
      <w:r>
        <w:t xml:space="preserve"> </w:t>
      </w:r>
      <w:r>
        <w:t xml:space="preserve">Sintered ore</w:t>
      </w:r>
      <w:r>
        <w:t xml:space="preserve"> </w:t>
      </w:r>
      <w:r>
        <w:t xml:space="preserve">t CO2e/t</w:t>
      </w:r>
      <w:r>
        <w:t xml:space="preserve"> </w:t>
      </w:r>
      <w:r>
        <w:t xml:space="preserve">0.171</w:t>
      </w:r>
      <w:r>
        <w:t xml:space="preserve"> </w:t>
      </w:r>
      <w:r>
        <w:t xml:space="preserve">0.163</w:t>
      </w:r>
      <w:r>
        <w:t xml:space="preserve"> </w:t>
      </w:r>
      <w:r>
        <w:t xml:space="preserve">-0.5%</w:t>
      </w:r>
      <w:r>
        <w:t xml:space="preserve"> </w:t>
      </w:r>
      <w:r>
        <w:t xml:space="preserve">-0.5%</w:t>
      </w:r>
      <w:r>
        <w:t xml:space="preserve"> </w:t>
      </w:r>
      <w:r>
        <w:t xml:space="preserve">-8%</w:t>
      </w:r>
      <w:r>
        <w:t xml:space="preserve"> </w:t>
      </w:r>
      <w:r>
        <w:t xml:space="preserve">0.157</w:t>
      </w:r>
      <w:r>
        <w:t xml:space="preserve"> </w:t>
      </w:r>
      <w:r>
        <w:t xml:space="preserve">Hot metal*</w:t>
      </w:r>
      <w:r>
        <w:t xml:space="preserve"> </w:t>
      </w:r>
      <w:r>
        <w:t xml:space="preserve">t CO2e/t</w:t>
      </w:r>
      <w:r>
        <w:t xml:space="preserve"> </w:t>
      </w:r>
      <w:r>
        <w:t xml:space="preserve">1.328</w:t>
      </w:r>
      <w:r>
        <w:t xml:space="preserve"> </w:t>
      </w:r>
      <w:r>
        <w:t xml:space="preserve">1.331</w:t>
      </w:r>
      <w:r>
        <w:t xml:space="preserve"> </w:t>
      </w:r>
      <w:r>
        <w:t xml:space="preserve">0.02%</w:t>
      </w:r>
      <w:r>
        <w:t xml:space="preserve"> </w:t>
      </w:r>
      <w:r>
        <w:t xml:space="preserve">-0.2%</w:t>
      </w:r>
      <w:r>
        <w:t xml:space="preserve"> </w:t>
      </w:r>
      <w:r>
        <w:t xml:space="preserve">-3%</w:t>
      </w:r>
      <w:r>
        <w:t xml:space="preserve"> </w:t>
      </w:r>
      <w:r>
        <w:t xml:space="preserve">1.288</w:t>
      </w:r>
      <w:r>
        <w:t xml:space="preserve"> </w:t>
      </w:r>
      <w:r>
        <w:t xml:space="preserve">EAF carbon</w:t>
      </w:r>
      <w:r>
        <w:t xml:space="preserve"> </w:t>
      </w:r>
      <w:r>
        <w:t xml:space="preserve">steel</w:t>
      </w:r>
      <w:r>
        <w:t xml:space="preserve"> </w:t>
      </w:r>
      <w:r>
        <w:t xml:space="preserve">t CO2e/t</w:t>
      </w:r>
      <w:r>
        <w:t xml:space="preserve"> </w:t>
      </w:r>
      <w:r>
        <w:t xml:space="preserve">0.283</w:t>
      </w:r>
      <w:r>
        <w:t xml:space="preserve"> </w:t>
      </w:r>
      <w:r>
        <w:t xml:space="preserve">0.209</w:t>
      </w:r>
      <w:r>
        <w:t xml:space="preserve"> </w:t>
      </w:r>
      <w:r>
        <w:t xml:space="preserve">-2.9%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0.215</w:t>
      </w:r>
      <w:r>
        <w:t xml:space="preserve"> </w:t>
      </w:r>
      <w:r>
        <w:t xml:space="preserve">EAF</w:t>
      </w:r>
      <w:r>
        <w:t xml:space="preserve"> </w:t>
      </w:r>
      <w:r>
        <w:t xml:space="preserve">high</w:t>
      </w:r>
      <w:r>
        <w:t xml:space="preserve"> </w:t>
      </w:r>
      <w:r>
        <w:t xml:space="preserve">alloy steel</w:t>
      </w:r>
      <w:r>
        <w:t xml:space="preserve"> </w:t>
      </w:r>
      <w:r>
        <w:t xml:space="preserve">t CO2e/t</w:t>
      </w:r>
      <w:r>
        <w:t xml:space="preserve"> </w:t>
      </w:r>
      <w:r>
        <w:t xml:space="preserve">0.352</w:t>
      </w:r>
      <w:r>
        <w:t xml:space="preserve"> </w:t>
      </w:r>
      <w:r>
        <w:t xml:space="preserve">0.266</w:t>
      </w:r>
      <w:r>
        <w:t xml:space="preserve"> </w:t>
      </w:r>
      <w:r>
        <w:t xml:space="preserve">-2.7%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0.268</w:t>
      </w:r>
      <w:r>
        <w:t xml:space="preserve"> </w:t>
      </w:r>
      <w:r>
        <w:t xml:space="preserve">Iron casting</w:t>
      </w:r>
      <w:r>
        <w:t xml:space="preserve"> </w:t>
      </w:r>
      <w:r>
        <w:t xml:space="preserve">t CO2e/t</w:t>
      </w:r>
      <w:r>
        <w:t xml:space="preserve"> </w:t>
      </w:r>
      <w:r>
        <w:t xml:space="preserve">0.325</w:t>
      </w:r>
      <w:r>
        <w:t xml:space="preserve"> </w:t>
      </w:r>
      <w:r>
        <w:t xml:space="preserve">0.299</w:t>
      </w:r>
      <w:r>
        <w:t xml:space="preserve"> </w:t>
      </w:r>
      <w:r>
        <w:t xml:space="preserve">-0.9%</w:t>
      </w:r>
      <w:r>
        <w:t xml:space="preserve"> </w:t>
      </w:r>
      <w:r>
        <w:t xml:space="preserve">-0.9%</w:t>
      </w:r>
      <w:r>
        <w:t xml:space="preserve"> </w:t>
      </w:r>
      <w:r>
        <w:t xml:space="preserve">-13%</w:t>
      </w:r>
      <w:r>
        <w:t xml:space="preserve"> </w:t>
      </w:r>
      <w:r>
        <w:t xml:space="preserve">0.282</w:t>
      </w:r>
      <w:r>
        <w:t xml:space="preserve"> </w:t>
      </w:r>
      <w:r>
        <w:t xml:space="preserve">Pre-bake</w:t>
      </w:r>
      <w:r>
        <w:t xml:space="preserve"> </w:t>
      </w:r>
      <w:r>
        <w:t xml:space="preserve">anode</w:t>
      </w:r>
      <w:r>
        <w:t xml:space="preserve"> </w:t>
      </w:r>
      <w:r>
        <w:t xml:space="preserve">t CO2e/t</w:t>
      </w:r>
      <w:r>
        <w:t xml:space="preserve"> </w:t>
      </w:r>
      <w:r>
        <w:t xml:space="preserve">0.324</w:t>
      </w:r>
      <w:r>
        <w:t xml:space="preserve"> </w:t>
      </w:r>
      <w:r>
        <w:t xml:space="preserve">0.317</w:t>
      </w:r>
      <w:r>
        <w:t xml:space="preserve"> </w:t>
      </w:r>
      <w:r>
        <w:t xml:space="preserve">-0.3%</w:t>
      </w:r>
      <w:r>
        <w:t xml:space="preserve"> </w:t>
      </w:r>
      <w:r>
        <w:t xml:space="preserve">-0.3%</w:t>
      </w:r>
      <w:r>
        <w:t xml:space="preserve"> </w:t>
      </w:r>
      <w:r>
        <w:t xml:space="preserve">-4%</w:t>
      </w:r>
      <w:r>
        <w:t xml:space="preserve"> </w:t>
      </w:r>
      <w:r>
        <w:t xml:space="preserve">0.312</w:t>
      </w:r>
      <w:r>
        <w:t xml:space="preserve"> </w:t>
      </w:r>
      <w:r>
        <w:t xml:space="preserve">[Primary]</w:t>
      </w:r>
      <w:r>
        <w:t xml:space="preserve"> </w:t>
      </w:r>
      <w:r>
        <w:t xml:space="preserve">Aluminium</w:t>
      </w:r>
      <w:r>
        <w:t xml:space="preserve"> </w:t>
      </w:r>
      <w:r>
        <w:t xml:space="preserve">t CO2e/t</w:t>
      </w:r>
      <w:r>
        <w:t xml:space="preserve"> </w:t>
      </w:r>
      <w:r>
        <w:t xml:space="preserve">1.514</w:t>
      </w:r>
      <w:r>
        <w:t xml:space="preserve"> </w:t>
      </w:r>
      <w:r>
        <w:t xml:space="preserve">1.484</w:t>
      </w:r>
      <w:r>
        <w:t xml:space="preserve"> </w:t>
      </w:r>
      <w:r>
        <w:t xml:space="preserve">-0.2%</w:t>
      </w:r>
      <w:r>
        <w:t xml:space="preserve"> </w:t>
      </w:r>
      <w:r>
        <w:t xml:space="preserve">-0.2%</w:t>
      </w:r>
      <w:r>
        <w:t xml:space="preserve"> </w:t>
      </w:r>
      <w:r>
        <w:t xml:space="preserve">-3%</w:t>
      </w:r>
      <w:r>
        <w:t xml:space="preserve"> </w:t>
      </w:r>
      <w:r>
        <w:t xml:space="preserve">1.464</w:t>
      </w:r>
      <w:r>
        <w:t xml:space="preserve"> </w:t>
      </w:r>
      <w:r>
        <w:t xml:space="preserve">Grey</w:t>
      </w:r>
      <w:r>
        <w:t xml:space="preserve"> </w:t>
      </w:r>
      <w:r>
        <w:t xml:space="preserve">cement</w:t>
      </w:r>
      <w:r>
        <w:t xml:space="preserve"> </w:t>
      </w:r>
      <w:r>
        <w:t xml:space="preserve">clinker</w:t>
      </w:r>
      <w:r>
        <w:t xml:space="preserve"> </w:t>
      </w:r>
      <w:r>
        <w:t xml:space="preserve">t CO2e/t</w:t>
      </w:r>
      <w:r>
        <w:t xml:space="preserve"> </w:t>
      </w:r>
      <w:r>
        <w:t xml:space="preserve">0.766</w:t>
      </w:r>
      <w:r>
        <w:t xml:space="preserve"> </w:t>
      </w:r>
      <w:r>
        <w:t xml:space="preserve">0.722</w:t>
      </w:r>
      <w:r>
        <w:t xml:space="preserve"> </w:t>
      </w:r>
      <w:r>
        <w:t xml:space="preserve">-0.6%</w:t>
      </w:r>
      <w:r>
        <w:t xml:space="preserve"> </w:t>
      </w:r>
      <w:r>
        <w:t xml:space="preserve">-0.6%</w:t>
      </w:r>
      <w:r>
        <w:t xml:space="preserve"> </w:t>
      </w:r>
      <w:r>
        <w:t xml:space="preserve">-10%</w:t>
      </w:r>
      <w:r>
        <w:t xml:space="preserve"> </w:t>
      </w:r>
      <w:r>
        <w:t xml:space="preserve">0.693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White</w:t>
      </w:r>
      <w:r>
        <w:t xml:space="preserve"> </w:t>
      </w:r>
      <w:r>
        <w:t xml:space="preserve">cement</w:t>
      </w:r>
      <w:r>
        <w:t xml:space="preserve"> </w:t>
      </w:r>
      <w:r>
        <w:t xml:space="preserve">clinker</w:t>
      </w:r>
      <w:r>
        <w:t xml:space="preserve"> </w:t>
      </w:r>
      <w:r>
        <w:t xml:space="preserve">t CO2e/t</w:t>
      </w:r>
      <w:r>
        <w:t xml:space="preserve"> </w:t>
      </w:r>
      <w:r>
        <w:t xml:space="preserve">0.987</w:t>
      </w:r>
      <w:r>
        <w:t xml:space="preserve"> </w:t>
      </w:r>
      <w:r>
        <w:t xml:space="preserve">0.973</w:t>
      </w:r>
      <w:r>
        <w:t xml:space="preserve"> </w:t>
      </w:r>
      <w:r>
        <w:t xml:space="preserve">-0.2%</w:t>
      </w:r>
      <w:r>
        <w:t xml:space="preserve"> </w:t>
      </w:r>
      <w:r>
        <w:t xml:space="preserve">-0.2%</w:t>
      </w:r>
      <w:r>
        <w:t xml:space="preserve"> </w:t>
      </w:r>
      <w:r>
        <w:t xml:space="preserve">-3%</w:t>
      </w:r>
      <w:r>
        <w:t xml:space="preserve"> </w:t>
      </w:r>
      <w:r>
        <w:t xml:space="preserve">0.957</w:t>
      </w:r>
      <w:r>
        <w:t xml:space="preserve"> </w:t>
      </w:r>
      <w:r>
        <w:t xml:space="preserve">Lime</w:t>
      </w:r>
      <w:r>
        <w:t xml:space="preserve"> </w:t>
      </w:r>
      <w:r>
        <w:t xml:space="preserve">t CO2e/t</w:t>
      </w:r>
      <w:r>
        <w:t xml:space="preserve"> </w:t>
      </w:r>
      <w:r>
        <w:t xml:space="preserve">0.954</w:t>
      </w:r>
      <w:r>
        <w:t xml:space="preserve"> </w:t>
      </w:r>
      <w:r>
        <w:t xml:space="preserve">0.746</w:t>
      </w:r>
      <w:r>
        <w:t xml:space="preserve"> </w:t>
      </w:r>
      <w:r>
        <w:t xml:space="preserve">-2.4%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0.725</w:t>
      </w:r>
      <w:r>
        <w:t xml:space="preserve"> </w:t>
      </w:r>
      <w:r>
        <w:t xml:space="preserve">Dolime</w:t>
      </w:r>
      <w:r>
        <w:t xml:space="preserve"> </w:t>
      </w:r>
      <w:r>
        <w:t xml:space="preserve">t CO2e/t</w:t>
      </w:r>
      <w:r>
        <w:t xml:space="preserve"> </w:t>
      </w:r>
      <w:r>
        <w:t xml:space="preserve">1.072</w:t>
      </w:r>
      <w:r>
        <w:t xml:space="preserve"> </w:t>
      </w:r>
      <w:r>
        <w:t xml:space="preserve">0.881</w:t>
      </w:r>
      <w:r>
        <w:t xml:space="preserve"> </w:t>
      </w:r>
      <w:r>
        <w:t xml:space="preserve">-2.0%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0.815</w:t>
      </w:r>
      <w:r>
        <w:t xml:space="preserve"> </w:t>
      </w:r>
      <w:r>
        <w:t xml:space="preserve">Sintered</w:t>
      </w:r>
      <w:r>
        <w:t xml:space="preserve"> </w:t>
      </w:r>
      <w:r>
        <w:t xml:space="preserve">dolime</w:t>
      </w:r>
      <w:r>
        <w:t xml:space="preserve"> </w:t>
      </w:r>
      <w:r>
        <w:t xml:space="preserve">t CO2e/t</w:t>
      </w:r>
      <w:r>
        <w:t xml:space="preserve"> </w:t>
      </w:r>
      <w:r>
        <w:t xml:space="preserve">1.449</w:t>
      </w:r>
      <w:r>
        <w:t xml:space="preserve"> </w:t>
      </w:r>
      <w:r>
        <w:t xml:space="preserve">1.441</w:t>
      </w:r>
      <w:r>
        <w:t xml:space="preserve"> </w:t>
      </w:r>
      <w:r>
        <w:t xml:space="preserve">-0.1%</w:t>
      </w:r>
      <w:r>
        <w:t xml:space="preserve"> </w:t>
      </w:r>
      <w:r>
        <w:t xml:space="preserve">-0.2%</w:t>
      </w:r>
      <w:r>
        <w:t xml:space="preserve"> </w:t>
      </w:r>
      <w:r>
        <w:t xml:space="preserve">-3%</w:t>
      </w:r>
      <w:r>
        <w:t xml:space="preserve"> </w:t>
      </w:r>
      <w:r>
        <w:t xml:space="preserve">1.406</w:t>
      </w:r>
      <w:r>
        <w:t xml:space="preserve"> </w:t>
      </w:r>
      <w:r>
        <w:t xml:space="preserve">Float glass</w:t>
      </w:r>
      <w:r>
        <w:t xml:space="preserve"> </w:t>
      </w:r>
      <w:r>
        <w:t xml:space="preserve">t CO2e/t</w:t>
      </w:r>
      <w:r>
        <w:t xml:space="preserve"> </w:t>
      </w:r>
      <w:r>
        <w:t xml:space="preserve">0.453</w:t>
      </w:r>
      <w:r>
        <w:t xml:space="preserve"> </w:t>
      </w:r>
      <w:r>
        <w:t xml:space="preserve">0.421</w:t>
      </w:r>
      <w:r>
        <w:t xml:space="preserve"> </w:t>
      </w:r>
      <w:r>
        <w:t xml:space="preserve">-0.8%</w:t>
      </w:r>
      <w:r>
        <w:t xml:space="preserve"> </w:t>
      </w:r>
      <w:r>
        <w:t xml:space="preserve">-0.8%</w:t>
      </w:r>
      <w:r>
        <w:t xml:space="preserve"> </w:t>
      </w:r>
      <w:r>
        <w:t xml:space="preserve">-12%</w:t>
      </w:r>
      <w:r>
        <w:t xml:space="preserve"> </w:t>
      </w:r>
      <w:r>
        <w:t xml:space="preserve">0.399</w:t>
      </w:r>
      <w:r>
        <w:t xml:space="preserve"> </w:t>
      </w:r>
      <w:r>
        <w:t xml:space="preserve">Bottles</w:t>
      </w:r>
      <w:r>
        <w:t xml:space="preserve"> </w:t>
      </w:r>
      <w:r>
        <w:t xml:space="preserve">&amp;</w:t>
      </w:r>
      <w:r>
        <w:t xml:space="preserve"> </w:t>
      </w:r>
      <w:r>
        <w:t xml:space="preserve">jars</w:t>
      </w:r>
      <w:r>
        <w:t xml:space="preserve"> </w:t>
      </w:r>
      <w:r>
        <w:t xml:space="preserve">(colourless)</w:t>
      </w:r>
      <w:r>
        <w:t xml:space="preserve"> </w:t>
      </w:r>
      <w:r>
        <w:t xml:space="preserve">t CO2e/t</w:t>
      </w:r>
      <w:r>
        <w:t xml:space="preserve"> </w:t>
      </w:r>
      <w:r>
        <w:t xml:space="preserve">0.382</w:t>
      </w:r>
      <w:r>
        <w:t xml:space="preserve"> </w:t>
      </w:r>
      <w:r>
        <w:t xml:space="preserve">0.323</w:t>
      </w:r>
      <w:r>
        <w:t xml:space="preserve"> </w:t>
      </w:r>
      <w:r>
        <w:t xml:space="preserve">-1.7%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0.290</w:t>
      </w:r>
      <w:r>
        <w:t xml:space="preserve"> </w:t>
      </w:r>
      <w:r>
        <w:t xml:space="preserve">Bottles</w:t>
      </w:r>
      <w:r>
        <w:t xml:space="preserve"> </w:t>
      </w:r>
      <w:r>
        <w:t xml:space="preserve">&amp;</w:t>
      </w:r>
      <w:r>
        <w:t xml:space="preserve"> </w:t>
      </w:r>
      <w:r>
        <w:t xml:space="preserve">jars</w:t>
      </w:r>
      <w:r>
        <w:t xml:space="preserve"> </w:t>
      </w:r>
      <w:r>
        <w:t xml:space="preserve">(coloured)</w:t>
      </w:r>
      <w:r>
        <w:t xml:space="preserve"> </w:t>
      </w:r>
      <w:r>
        <w:t xml:space="preserve">t CO2e/t</w:t>
      </w:r>
      <w:r>
        <w:t xml:space="preserve"> </w:t>
      </w:r>
      <w:r>
        <w:t xml:space="preserve">0.306</w:t>
      </w:r>
      <w:r>
        <w:t xml:space="preserve"> </w:t>
      </w:r>
      <w:r>
        <w:t xml:space="preserve">0.265</w:t>
      </w:r>
      <w:r>
        <w:t xml:space="preserve"> </w:t>
      </w:r>
      <w:r>
        <w:t xml:space="preserve">-1.5%</w:t>
      </w:r>
      <w:r>
        <w:t xml:space="preserve"> </w:t>
      </w:r>
      <w:r>
        <w:t xml:space="preserve">-1.5%</w:t>
      </w:r>
      <w:r>
        <w:t xml:space="preserve"> </w:t>
      </w:r>
      <w:r>
        <w:t xml:space="preserve">-23%</w:t>
      </w:r>
      <w:r>
        <w:t xml:space="preserve"> </w:t>
      </w:r>
      <w:r>
        <w:t xml:space="preserve">0.237</w:t>
      </w:r>
      <w:r>
        <w:t xml:space="preserve"> </w:t>
      </w:r>
      <w:r>
        <w:t xml:space="preserve">Continuous</w:t>
      </w:r>
      <w:r>
        <w:t xml:space="preserve"> </w:t>
      </w:r>
      <w:r>
        <w:t xml:space="preserve">filament</w:t>
      </w:r>
      <w:r>
        <w:t xml:space="preserve"> </w:t>
      </w:r>
      <w:r>
        <w:t xml:space="preserve">glass</w:t>
      </w:r>
      <w:r>
        <w:t xml:space="preserve"> </w:t>
      </w:r>
      <w:r>
        <w:t xml:space="preserve">fibre</w:t>
      </w:r>
      <w:r>
        <w:t xml:space="preserve"> </w:t>
      </w:r>
      <w:r>
        <w:t xml:space="preserve">products</w:t>
      </w:r>
      <w:r>
        <w:t xml:space="preserve"> </w:t>
      </w:r>
      <w:r>
        <w:t xml:space="preserve">t CO2e/t</w:t>
      </w:r>
      <w:r>
        <w:t xml:space="preserve"> </w:t>
      </w:r>
      <w:r>
        <w:t xml:space="preserve">0.406</w:t>
      </w:r>
      <w:r>
        <w:t xml:space="preserve"> </w:t>
      </w:r>
      <w:r>
        <w:t xml:space="preserve">0.290</w:t>
      </w:r>
      <w:r>
        <w:t xml:space="preserve"> </w:t>
      </w:r>
      <w:r>
        <w:t xml:space="preserve">-3.2%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0.309</w:t>
      </w:r>
      <w:r>
        <w:t xml:space="preserve"> </w:t>
      </w:r>
      <w:r>
        <w:t xml:space="preserve">Facing</w:t>
      </w:r>
      <w:r>
        <w:t xml:space="preserve"> </w:t>
      </w:r>
      <w:r>
        <w:t xml:space="preserve">bricks</w:t>
      </w:r>
      <w:r>
        <w:t xml:space="preserve"> </w:t>
      </w:r>
      <w:r>
        <w:t xml:space="preserve">t CO2e/t</w:t>
      </w:r>
      <w:r>
        <w:t xml:space="preserve"> </w:t>
      </w:r>
      <w:r>
        <w:t xml:space="preserve">0.139</w:t>
      </w:r>
      <w:r>
        <w:t xml:space="preserve"> </w:t>
      </w:r>
      <w:r>
        <w:t xml:space="preserve">0.094</w:t>
      </w:r>
      <w:r>
        <w:t xml:space="preserve"> </w:t>
      </w:r>
      <w:r>
        <w:t xml:space="preserve">-3.6%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0.106</w:t>
      </w:r>
      <w:r>
        <w:t xml:space="preserve"> </w:t>
      </w:r>
      <w:r>
        <w:t xml:space="preserve">Pavers</w:t>
      </w:r>
      <w:r>
        <w:t xml:space="preserve"> </w:t>
      </w:r>
      <w:r>
        <w:t xml:space="preserve">t CO2e/t</w:t>
      </w:r>
      <w:r>
        <w:t xml:space="preserve"> </w:t>
      </w:r>
      <w:r>
        <w:t xml:space="preserve">0.192</w:t>
      </w:r>
      <w:r>
        <w:t xml:space="preserve"> </w:t>
      </w:r>
      <w:r>
        <w:t xml:space="preserve">0.140</w:t>
      </w:r>
      <w:r>
        <w:t xml:space="preserve"> </w:t>
      </w:r>
      <w:r>
        <w:t xml:space="preserve">-3.0%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0.146</w:t>
      </w:r>
      <w:r>
        <w:t xml:space="preserve"> </w:t>
      </w:r>
      <w:r>
        <w:t xml:space="preserve">Roof tiles</w:t>
      </w:r>
      <w:r>
        <w:t xml:space="preserve"> </w:t>
      </w:r>
      <w:r>
        <w:t xml:space="preserve">t CO2e/t</w:t>
      </w:r>
      <w:r>
        <w:t xml:space="preserve"> </w:t>
      </w:r>
      <w:r>
        <w:t xml:space="preserve">0.144</w:t>
      </w:r>
      <w:r>
        <w:t xml:space="preserve"> </w:t>
      </w:r>
      <w:r>
        <w:t xml:space="preserve">0.130</w:t>
      </w:r>
      <w:r>
        <w:t xml:space="preserve"> </w:t>
      </w:r>
      <w:r>
        <w:t xml:space="preserve">-1.1%</w:t>
      </w:r>
      <w:r>
        <w:t xml:space="preserve"> </w:t>
      </w:r>
      <w:r>
        <w:t xml:space="preserve">-1.1%</w:t>
      </w:r>
      <w:r>
        <w:t xml:space="preserve"> </w:t>
      </w:r>
      <w:r>
        <w:t xml:space="preserve">-17%</w:t>
      </w:r>
      <w:r>
        <w:t xml:space="preserve"> </w:t>
      </w:r>
      <w:r>
        <w:t xml:space="preserve">0.120</w:t>
      </w:r>
      <w:r>
        <w:t xml:space="preserve"> </w:t>
      </w:r>
      <w:r>
        <w:t xml:space="preserve">Spray dried</w:t>
      </w:r>
      <w:r>
        <w:t xml:space="preserve"> </w:t>
      </w:r>
      <w:r>
        <w:t xml:space="preserve">powder</w:t>
      </w:r>
      <w:r>
        <w:t xml:space="preserve"> </w:t>
      </w:r>
      <w:r>
        <w:t xml:space="preserve">t CO2e/t</w:t>
      </w:r>
      <w:r>
        <w:t xml:space="preserve"> </w:t>
      </w:r>
      <w:r>
        <w:t xml:space="preserve">0.076</w:t>
      </w:r>
      <w:r>
        <w:t xml:space="preserve"> </w:t>
      </w:r>
      <w:r>
        <w:t xml:space="preserve">0.050</w:t>
      </w:r>
      <w:r>
        <w:t xml:space="preserve"> </w:t>
      </w:r>
      <w:r>
        <w:t xml:space="preserve">-3.7%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0.058</w:t>
      </w:r>
      <w:r>
        <w:t xml:space="preserve"> </w:t>
      </w:r>
      <w:r>
        <w:t xml:space="preserve">Mineral</w:t>
      </w:r>
      <w:r>
        <w:t xml:space="preserve"> </w:t>
      </w:r>
      <w:r>
        <w:t xml:space="preserve">wool</w:t>
      </w:r>
      <w:r>
        <w:t xml:space="preserve"> </w:t>
      </w:r>
      <w:r>
        <w:t xml:space="preserve">t CO2e/t</w:t>
      </w:r>
      <w:r>
        <w:t xml:space="preserve"> </w:t>
      </w:r>
      <w:r>
        <w:t xml:space="preserve">0.682</w:t>
      </w:r>
      <w:r>
        <w:t xml:space="preserve"> </w:t>
      </w:r>
      <w:r>
        <w:t xml:space="preserve">0.595</w:t>
      </w:r>
      <w:r>
        <w:t xml:space="preserve"> </w:t>
      </w:r>
      <w:r>
        <w:t xml:space="preserve">-1.4%</w:t>
      </w:r>
      <w:r>
        <w:t xml:space="preserve"> </w:t>
      </w:r>
      <w:r>
        <w:t xml:space="preserve">-1.4%</w:t>
      </w:r>
      <w:r>
        <w:t xml:space="preserve"> </w:t>
      </w:r>
      <w:r>
        <w:t xml:space="preserve">-21%</w:t>
      </w:r>
      <w:r>
        <w:t xml:space="preserve"> </w:t>
      </w:r>
      <w:r>
        <w:t xml:space="preserve">0.536</w:t>
      </w:r>
      <w:r>
        <w:t xml:space="preserve"> </w:t>
      </w:r>
      <w:r>
        <w:t xml:space="preserve">Plaster</w:t>
      </w:r>
      <w:r>
        <w:t xml:space="preserve"> </w:t>
      </w:r>
      <w:r>
        <w:t xml:space="preserve">t CO2e/t</w:t>
      </w:r>
      <w:r>
        <w:t xml:space="preserve"> </w:t>
      </w:r>
      <w:r>
        <w:t xml:space="preserve">0.048</w:t>
      </w:r>
      <w:r>
        <w:t xml:space="preserve"> </w:t>
      </w:r>
      <w:r>
        <w:t xml:space="preserve">0.048</w:t>
      </w:r>
      <w:r>
        <w:t xml:space="preserve"> </w:t>
      </w:r>
      <w:r>
        <w:t xml:space="preserve">-0.0%</w:t>
      </w:r>
      <w:r>
        <w:t xml:space="preserve"> </w:t>
      </w:r>
      <w:r>
        <w:t xml:space="preserve">-0.2%</w:t>
      </w:r>
      <w:r>
        <w:t xml:space="preserve"> </w:t>
      </w:r>
      <w:r>
        <w:t xml:space="preserve">-3%</w:t>
      </w:r>
      <w:r>
        <w:t xml:space="preserve"> </w:t>
      </w:r>
      <w:r>
        <w:t xml:space="preserve">0.047</w:t>
      </w:r>
      <w:r>
        <w:t xml:space="preserve"> </w:t>
      </w:r>
      <w:r>
        <w:t xml:space="preserve">Dried</w:t>
      </w:r>
      <w:r>
        <w:t xml:space="preserve"> </w:t>
      </w:r>
      <w:r>
        <w:t xml:space="preserve">secondary</w:t>
      </w:r>
      <w:r>
        <w:t xml:space="preserve"> </w:t>
      </w:r>
      <w:r>
        <w:t xml:space="preserve">gypsum</w:t>
      </w:r>
      <w:r>
        <w:t xml:space="preserve"> </w:t>
      </w:r>
      <w:r>
        <w:t xml:space="preserve">t CO2e/t</w:t>
      </w:r>
      <w:r>
        <w:t xml:space="preserve"> </w:t>
      </w:r>
      <w:r>
        <w:t xml:space="preserve">0.017</w:t>
      </w:r>
      <w:r>
        <w:t xml:space="preserve"> </w:t>
      </w:r>
      <w:r>
        <w:t xml:space="preserve">0.008</w:t>
      </w:r>
      <w:r>
        <w:t xml:space="preserve"> </w:t>
      </w:r>
      <w:r>
        <w:t xml:space="preserve">-6.1%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0.013</w:t>
      </w:r>
      <w:r>
        <w:t xml:space="preserve"> </w:t>
      </w:r>
      <w:r>
        <w:t xml:space="preserve">Plasterboard</w:t>
      </w:r>
      <w:r>
        <w:t xml:space="preserve"> </w:t>
      </w:r>
      <w:r>
        <w:t xml:space="preserve">t CO2e/t</w:t>
      </w:r>
      <w:r>
        <w:t xml:space="preserve"> </w:t>
      </w:r>
      <w:r>
        <w:t xml:space="preserve">0.131</w:t>
      </w:r>
      <w:r>
        <w:t xml:space="preserve"> </w:t>
      </w:r>
      <w:r>
        <w:t xml:space="preserve">0.119</w:t>
      </w:r>
      <w:r>
        <w:t xml:space="preserve"> </w:t>
      </w:r>
      <w:r>
        <w:t xml:space="preserve">-1.1%</w:t>
      </w:r>
      <w:r>
        <w:t xml:space="preserve"> </w:t>
      </w:r>
      <w:r>
        <w:t xml:space="preserve">-1.1%</w:t>
      </w:r>
      <w:r>
        <w:t xml:space="preserve"> </w:t>
      </w:r>
      <w:r>
        <w:t xml:space="preserve">-16%</w:t>
      </w:r>
      <w:r>
        <w:t xml:space="preserve"> </w:t>
      </w:r>
      <w:r>
        <w:t xml:space="preserve">0.110</w:t>
      </w:r>
      <w:r>
        <w:t xml:space="preserve"> </w:t>
      </w:r>
      <w:r>
        <w:t xml:space="preserve">Short fibre</w:t>
      </w:r>
      <w:r>
        <w:t xml:space="preserve"> </w:t>
      </w:r>
      <w:r>
        <w:t xml:space="preserve">kraft pulp</w:t>
      </w:r>
      <w:r>
        <w:t xml:space="preserve"> </w:t>
      </w:r>
      <w:r>
        <w:t xml:space="preserve">t CO2e/Adt</w:t>
      </w:r>
      <w:r>
        <w:t xml:space="preserve"> </w:t>
      </w:r>
      <w:r>
        <w:t xml:space="preserve">0.120</w:t>
      </w:r>
      <w:r>
        <w:t xml:space="preserve"> </w:t>
      </w:r>
      <w:r>
        <w:t xml:space="preserve">0.000</w:t>
      </w:r>
      <w:r>
        <w:t xml:space="preserve"> </w:t>
      </w:r>
      <w:r>
        <w:t xml:space="preserve">-11.1%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0.091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Long fibre</w:t>
      </w:r>
      <w:r>
        <w:t xml:space="preserve"> </w:t>
      </w:r>
      <w:r>
        <w:t xml:space="preserve">kraft pulp</w:t>
      </w:r>
      <w:r>
        <w:t xml:space="preserve"> </w:t>
      </w:r>
      <w:r>
        <w:t xml:space="preserve">t CO2e/Adt</w:t>
      </w:r>
      <w:r>
        <w:t xml:space="preserve"> </w:t>
      </w:r>
      <w:r>
        <w:t xml:space="preserve">0.060</w:t>
      </w:r>
      <w:r>
        <w:t xml:space="preserve"> </w:t>
      </w:r>
      <w:r>
        <w:t xml:space="preserve">0.001</w:t>
      </w:r>
      <w:r>
        <w:t xml:space="preserve"> </w:t>
      </w:r>
      <w:r>
        <w:t xml:space="preserve">-11.0%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0.046</w:t>
      </w:r>
      <w:r>
        <w:t xml:space="preserve"> </w:t>
      </w:r>
      <w:r>
        <w:t xml:space="preserve">Sulphite</w:t>
      </w:r>
      <w:r>
        <w:t xml:space="preserve"> </w:t>
      </w:r>
      <w:r>
        <w:t xml:space="preserve">pulp</w:t>
      </w:r>
      <w:r>
        <w:t xml:space="preserve"> </w:t>
      </w:r>
      <w:r>
        <w:t xml:space="preserve">t CO2e/Adt</w:t>
      </w:r>
      <w:r>
        <w:t xml:space="preserve"> </w:t>
      </w:r>
      <w:r>
        <w:t xml:space="preserve">0.020</w:t>
      </w:r>
      <w:r>
        <w:t xml:space="preserve"> </w:t>
      </w:r>
      <w:r>
        <w:t xml:space="preserve">0.000</w:t>
      </w:r>
      <w:r>
        <w:t xml:space="preserve"> </w:t>
      </w:r>
      <w:r>
        <w:t xml:space="preserve">-11.1%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0.015</w:t>
      </w:r>
      <w:r>
        <w:t xml:space="preserve"> </w:t>
      </w:r>
      <w:r>
        <w:t xml:space="preserve">Recovered</w:t>
      </w:r>
      <w:r>
        <w:t xml:space="preserve"> </w:t>
      </w:r>
      <w:r>
        <w:t xml:space="preserve">paper pulp</w:t>
      </w:r>
      <w:r>
        <w:t xml:space="preserve"> </w:t>
      </w:r>
      <w:r>
        <w:t xml:space="preserve">t CO2e/Adt</w:t>
      </w:r>
      <w:r>
        <w:t xml:space="preserve"> </w:t>
      </w:r>
      <w:r>
        <w:t xml:space="preserve">0.039</w:t>
      </w:r>
      <w:r>
        <w:t xml:space="preserve"> </w:t>
      </w:r>
      <w:r>
        <w:t xml:space="preserve">0.000</w:t>
      </w:r>
      <w:r>
        <w:t xml:space="preserve"> </w:t>
      </w:r>
      <w:r>
        <w:t xml:space="preserve">-11.1%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0.030</w:t>
      </w:r>
      <w:r>
        <w:t xml:space="preserve"> </w:t>
      </w:r>
      <w:r>
        <w:t xml:space="preserve">Newsprint</w:t>
      </w:r>
      <w:r>
        <w:t xml:space="preserve"> </w:t>
      </w:r>
      <w:r>
        <w:t xml:space="preserve">t CO2e/Adt</w:t>
      </w:r>
      <w:r>
        <w:t xml:space="preserve"> </w:t>
      </w:r>
      <w:r>
        <w:t xml:space="preserve">0.298</w:t>
      </w:r>
      <w:r>
        <w:t xml:space="preserve"> </w:t>
      </w:r>
      <w:r>
        <w:t xml:space="preserve">0.007</w:t>
      </w:r>
      <w:r>
        <w:t xml:space="preserve"> </w:t>
      </w:r>
      <w:r>
        <w:t xml:space="preserve">-10.9%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0.226</w:t>
      </w:r>
      <w:r>
        <w:t xml:space="preserve"> </w:t>
      </w:r>
      <w:r>
        <w:t xml:space="preserve">Uncoated</w:t>
      </w:r>
      <w:r>
        <w:t xml:space="preserve"> </w:t>
      </w:r>
      <w:r>
        <w:t xml:space="preserve">fine paper</w:t>
      </w:r>
      <w:r>
        <w:t xml:space="preserve"> </w:t>
      </w:r>
      <w:r>
        <w:t xml:space="preserve">t CO2e/Adt</w:t>
      </w:r>
      <w:r>
        <w:t xml:space="preserve"> </w:t>
      </w:r>
      <w:r>
        <w:t xml:space="preserve">0.318</w:t>
      </w:r>
      <w:r>
        <w:t xml:space="preserve"> </w:t>
      </w:r>
      <w:r>
        <w:t xml:space="preserve">0.011</w:t>
      </w:r>
      <w:r>
        <w:t xml:space="preserve"> </w:t>
      </w:r>
      <w:r>
        <w:t xml:space="preserve">-10.7%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0.242</w:t>
      </w:r>
      <w:r>
        <w:t xml:space="preserve"> </w:t>
      </w:r>
      <w:r>
        <w:t xml:space="preserve">Coated fine</w:t>
      </w:r>
      <w:r>
        <w:t xml:space="preserve"> </w:t>
      </w:r>
      <w:r>
        <w:t xml:space="preserve">paper</w:t>
      </w:r>
      <w:r>
        <w:t xml:space="preserve"> </w:t>
      </w:r>
      <w:r>
        <w:t xml:space="preserve">t CO2e/Adt</w:t>
      </w:r>
      <w:r>
        <w:t xml:space="preserve"> </w:t>
      </w:r>
      <w:r>
        <w:t xml:space="preserve">0.318</w:t>
      </w:r>
      <w:r>
        <w:t xml:space="preserve"> </w:t>
      </w:r>
      <w:r>
        <w:t xml:space="preserve">0.043</w:t>
      </w:r>
      <w:r>
        <w:t xml:space="preserve"> </w:t>
      </w:r>
      <w:r>
        <w:t xml:space="preserve">-9.6%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0.242</w:t>
      </w:r>
      <w:r>
        <w:t xml:space="preserve"> </w:t>
      </w:r>
      <w:r>
        <w:t xml:space="preserve">Tissue</w:t>
      </w:r>
      <w:r>
        <w:t xml:space="preserve"> </w:t>
      </w:r>
      <w:r>
        <w:t xml:space="preserve">t CO2e/t</w:t>
      </w:r>
      <w:r>
        <w:t xml:space="preserve"> </w:t>
      </w:r>
      <w:r>
        <w:t xml:space="preserve">0.334</w:t>
      </w:r>
      <w:r>
        <w:t xml:space="preserve"> </w:t>
      </w:r>
      <w:r>
        <w:t xml:space="preserve">0.139</w:t>
      </w:r>
      <w:r>
        <w:t xml:space="preserve"> </w:t>
      </w:r>
      <w:r>
        <w:t xml:space="preserve">-6.5%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0.254</w:t>
      </w:r>
      <w:r>
        <w:t xml:space="preserve"> </w:t>
      </w:r>
      <w:r>
        <w:t xml:space="preserve">Testliner</w:t>
      </w:r>
      <w:r>
        <w:t xml:space="preserve"> </w:t>
      </w:r>
      <w:r>
        <w:t xml:space="preserve">and fluting</w:t>
      </w:r>
      <w:r>
        <w:t xml:space="preserve"> </w:t>
      </w:r>
      <w:r>
        <w:t xml:space="preserve">t CO2e/Adt</w:t>
      </w:r>
      <w:r>
        <w:t xml:space="preserve"> </w:t>
      </w:r>
      <w:r>
        <w:t xml:space="preserve">0.248</w:t>
      </w:r>
      <w:r>
        <w:t xml:space="preserve"> </w:t>
      </w:r>
      <w:r>
        <w:t xml:space="preserve">0.071</w:t>
      </w:r>
      <w:r>
        <w:t xml:space="preserve"> </w:t>
      </w:r>
      <w:r>
        <w:t xml:space="preserve">-7.9%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0.188</w:t>
      </w:r>
      <w:r>
        <w:t xml:space="preserve"> </w:t>
      </w:r>
      <w:r>
        <w:t xml:space="preserve">Uncoated</w:t>
      </w:r>
      <w:r>
        <w:t xml:space="preserve"> </w:t>
      </w:r>
      <w:r>
        <w:t xml:space="preserve">carton board</w:t>
      </w:r>
      <w:r>
        <w:t xml:space="preserve"> </w:t>
      </w:r>
      <w:r>
        <w:t xml:space="preserve">t CO2e/Adt</w:t>
      </w:r>
      <w:r>
        <w:t xml:space="preserve"> </w:t>
      </w:r>
      <w:r>
        <w:t xml:space="preserve">0.237</w:t>
      </w:r>
      <w:r>
        <w:t xml:space="preserve"> </w:t>
      </w:r>
      <w:r>
        <w:t xml:space="preserve">0.009</w:t>
      </w:r>
      <w:r>
        <w:t xml:space="preserve"> </w:t>
      </w:r>
      <w:r>
        <w:t xml:space="preserve">-10.7%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0.180</w:t>
      </w:r>
      <w:r>
        <w:t xml:space="preserve"> </w:t>
      </w:r>
      <w:r>
        <w:t xml:space="preserve">Coated</w:t>
      </w:r>
      <w:r>
        <w:t xml:space="preserve"> </w:t>
      </w:r>
      <w:r>
        <w:t xml:space="preserve">carton board</w:t>
      </w:r>
      <w:r>
        <w:t xml:space="preserve"> </w:t>
      </w:r>
      <w:r>
        <w:t xml:space="preserve">t CO2e/Adt</w:t>
      </w:r>
      <w:r>
        <w:t xml:space="preserve"> </w:t>
      </w:r>
      <w:r>
        <w:t xml:space="preserve">0.273</w:t>
      </w:r>
      <w:r>
        <w:t xml:space="preserve"> </w:t>
      </w:r>
      <w:r>
        <w:t xml:space="preserve">0.011</w:t>
      </w:r>
      <w:r>
        <w:t xml:space="preserve"> </w:t>
      </w:r>
      <w:r>
        <w:t xml:space="preserve">-10.7%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0.207</w:t>
      </w:r>
      <w:r>
        <w:t xml:space="preserve"> </w:t>
      </w:r>
      <w:r>
        <w:t xml:space="preserve">Carbon</w:t>
      </w:r>
      <w:r>
        <w:t xml:space="preserve"> </w:t>
      </w:r>
      <w:r>
        <w:t xml:space="preserve">black</w:t>
      </w:r>
      <w:r>
        <w:t xml:space="preserve"> </w:t>
      </w:r>
      <w:r>
        <w:t xml:space="preserve">t CO2e/t</w:t>
      </w:r>
      <w:r>
        <w:t xml:space="preserve"> </w:t>
      </w:r>
      <w:r>
        <w:t xml:space="preserve">1.954</w:t>
      </w:r>
      <w:r>
        <w:t xml:space="preserve"> </w:t>
      </w:r>
      <w:r>
        <w:t xml:space="preserve">1.141</w:t>
      </w:r>
      <w:r>
        <w:t xml:space="preserve"> </w:t>
      </w:r>
      <w:r>
        <w:t xml:space="preserve">-4.6%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1.485</w:t>
      </w:r>
      <w:r>
        <w:t xml:space="preserve"> </w:t>
      </w:r>
      <w:r>
        <w:t xml:space="preserve">Nitric acid</w:t>
      </w:r>
      <w:r>
        <w:t xml:space="preserve"> </w:t>
      </w:r>
      <w:r>
        <w:t xml:space="preserve">t CO2e/t</w:t>
      </w:r>
      <w:r>
        <w:t xml:space="preserve"> </w:t>
      </w:r>
      <w:r>
        <w:t xml:space="preserve">0.302</w:t>
      </w:r>
      <w:r>
        <w:t xml:space="preserve"> </w:t>
      </w:r>
      <w:r>
        <w:t xml:space="preserve">0.038</w:t>
      </w:r>
      <w:r>
        <w:t xml:space="preserve"> </w:t>
      </w:r>
      <w:r>
        <w:t xml:space="preserve">-9.7%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0.230</w:t>
      </w:r>
      <w:r>
        <w:t xml:space="preserve"> </w:t>
      </w:r>
      <w:r>
        <w:t xml:space="preserve">Adipic acid</w:t>
      </w:r>
      <w:r>
        <w:t xml:space="preserve"> </w:t>
      </w:r>
      <w:r>
        <w:t xml:space="preserve">t CO2e/t</w:t>
      </w:r>
      <w:r>
        <w:t xml:space="preserve"> </w:t>
      </w:r>
      <w:r>
        <w:t xml:space="preserve">2.79</w:t>
      </w:r>
      <w:r>
        <w:t xml:space="preserve"> </w:t>
      </w:r>
      <w:r>
        <w:t xml:space="preserve">0.320</w:t>
      </w:r>
      <w:r>
        <w:t xml:space="preserve"> </w:t>
      </w:r>
      <w:r>
        <w:t xml:space="preserve">-9.8%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2.120</w:t>
      </w:r>
      <w:r>
        <w:t xml:space="preserve"> </w:t>
      </w:r>
      <w:r>
        <w:t xml:space="preserve">Ammonia</w:t>
      </w:r>
      <w:r>
        <w:t xml:space="preserve"> </w:t>
      </w:r>
      <w:r>
        <w:t xml:space="preserve">t CO2e/t</w:t>
      </w:r>
      <w:r>
        <w:t xml:space="preserve"> </w:t>
      </w:r>
      <w:r>
        <w:t xml:space="preserve">1.619</w:t>
      </w:r>
      <w:r>
        <w:t xml:space="preserve"> </w:t>
      </w:r>
      <w:r>
        <w:t xml:space="preserve">1.604</w:t>
      </w:r>
      <w:r>
        <w:t xml:space="preserve"> </w:t>
      </w:r>
      <w:r>
        <w:t xml:space="preserve">-0.11%</w:t>
      </w:r>
      <w:r>
        <w:t xml:space="preserve"> </w:t>
      </w:r>
      <w:r>
        <w:t xml:space="preserve">-0.2%</w:t>
      </w:r>
      <w:r>
        <w:t xml:space="preserve"> </w:t>
      </w:r>
      <w:r>
        <w:t xml:space="preserve">-3%</w:t>
      </w:r>
      <w:r>
        <w:t xml:space="preserve"> </w:t>
      </w:r>
      <w:r>
        <w:t xml:space="preserve">1.570</w:t>
      </w:r>
      <w:r>
        <w:t xml:space="preserve"> </w:t>
      </w:r>
      <w:r>
        <w:t xml:space="preserve">Steam</w:t>
      </w:r>
      <w:r>
        <w:t xml:space="preserve"> </w:t>
      </w:r>
      <w:r>
        <w:t xml:space="preserve">cracking</w:t>
      </w:r>
      <w:r>
        <w:t xml:space="preserve"> </w:t>
      </w:r>
      <w:r>
        <w:t xml:space="preserve">t CO2e/t</w:t>
      </w:r>
      <w:r>
        <w:t xml:space="preserve"> </w:t>
      </w:r>
      <w:r>
        <w:t xml:space="preserve">0.702</w:t>
      </w:r>
      <w:r>
        <w:t xml:space="preserve"> </w:t>
      </w:r>
      <w:r>
        <w:t xml:space="preserve">0.693</w:t>
      </w:r>
      <w:r>
        <w:t xml:space="preserve"> </w:t>
      </w:r>
      <w:r>
        <w:t xml:space="preserve">-0.15%</w:t>
      </w:r>
      <w:r>
        <w:t xml:space="preserve"> </w:t>
      </w:r>
      <w:r>
        <w:t xml:space="preserve">-0.2%</w:t>
      </w:r>
      <w:r>
        <w:t xml:space="preserve"> </w:t>
      </w:r>
      <w:r>
        <w:t xml:space="preserve">-3%</w:t>
      </w:r>
      <w:r>
        <w:t xml:space="preserve"> </w:t>
      </w:r>
      <w:r>
        <w:t xml:space="preserve">0.681</w:t>
      </w:r>
      <w:r>
        <w:t xml:space="preserve"> </w:t>
      </w:r>
      <w:r>
        <w:t xml:space="preserve">Aromatics*</w:t>
      </w:r>
      <w:r>
        <w:t xml:space="preserve"> </w:t>
      </w:r>
      <w:r>
        <w:t xml:space="preserve">t</w:t>
      </w:r>
      <w:r>
        <w:t xml:space="preserve"> </w:t>
      </w:r>
      <w:r>
        <w:t xml:space="preserve">CO2e/CWT</w:t>
      </w:r>
      <w:r>
        <w:t xml:space="preserve"> </w:t>
      </w:r>
      <w:r>
        <w:t xml:space="preserve">0.0295</w:t>
      </w:r>
      <w:r>
        <w:t xml:space="preserve"> </w:t>
      </w:r>
      <w:r>
        <w:t xml:space="preserve">0.0072</w:t>
      </w:r>
      <w:r>
        <w:t xml:space="preserve"> </w:t>
      </w:r>
      <w:r>
        <w:t xml:space="preserve">-8.4%</w:t>
      </w:r>
      <w:r>
        <w:t xml:space="preserve"> </w:t>
      </w:r>
      <w:r>
        <w:t xml:space="preserve">-1.5%</w:t>
      </w:r>
      <w:r>
        <w:t xml:space="preserve"> </w:t>
      </w:r>
      <w:r>
        <w:t xml:space="preserve">23%</w:t>
      </w:r>
      <w:r>
        <w:t xml:space="preserve"> </w:t>
      </w:r>
      <w:r>
        <w:t xml:space="preserve">0.0228</w:t>
      </w:r>
      <w:r>
        <w:t xml:space="preserve"> </w:t>
      </w:r>
      <w:r>
        <w:t xml:space="preserve">Styrene</w:t>
      </w:r>
      <w:r>
        <w:t xml:space="preserve"> </w:t>
      </w:r>
      <w:r>
        <w:t xml:space="preserve">t CO2e/t</w:t>
      </w:r>
      <w:r>
        <w:t xml:space="preserve"> </w:t>
      </w:r>
      <w:r>
        <w:t xml:space="preserve">0.527</w:t>
      </w:r>
      <w:r>
        <w:t xml:space="preserve"> </w:t>
      </w:r>
      <w:r>
        <w:t xml:space="preserve">0.419</w:t>
      </w:r>
      <w:r>
        <w:t xml:space="preserve"> </w:t>
      </w:r>
      <w:r>
        <w:t xml:space="preserve">-2.3%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0.401</w:t>
      </w:r>
      <w:r>
        <w:t xml:space="preserve"> </w:t>
      </w:r>
      <w:r>
        <w:t xml:space="preserve">Phenol/</w:t>
      </w:r>
      <w:r>
        <w:t xml:space="preserve"> </w:t>
      </w:r>
      <w:r>
        <w:t xml:space="preserve">acetone</w:t>
      </w:r>
      <w:r>
        <w:t xml:space="preserve"> </w:t>
      </w:r>
      <w:r>
        <w:t xml:space="preserve">t CO2e/t</w:t>
      </w:r>
      <w:r>
        <w:t xml:space="preserve"> </w:t>
      </w:r>
      <w:r>
        <w:t xml:space="preserve">0.266</w:t>
      </w:r>
      <w:r>
        <w:t xml:space="preserve"> </w:t>
      </w:r>
      <w:r>
        <w:t xml:space="preserve">0.244</w:t>
      </w:r>
      <w:r>
        <w:t xml:space="preserve"> </w:t>
      </w:r>
      <w:r>
        <w:t xml:space="preserve">-0.9%</w:t>
      </w:r>
      <w:r>
        <w:t xml:space="preserve"> </w:t>
      </w:r>
      <w:r>
        <w:t xml:space="preserve">-0.9%</w:t>
      </w:r>
      <w:r>
        <w:t xml:space="preserve"> </w:t>
      </w:r>
      <w:r>
        <w:t xml:space="preserve">-14%</w:t>
      </w:r>
      <w:r>
        <w:t xml:space="preserve"> </w:t>
      </w:r>
      <w:r>
        <w:t xml:space="preserve">0.230</w:t>
      </w:r>
      <w:r>
        <w:t xml:space="preserve"> </w:t>
      </w:r>
      <w:r>
        <w:t xml:space="preserve">Ethylene</w:t>
      </w:r>
      <w:r>
        <w:t xml:space="preserve"> </w:t>
      </w:r>
      <w:r>
        <w:t xml:space="preserve">oxide</w:t>
      </w:r>
      <w:r>
        <w:t xml:space="preserve"> </w:t>
      </w:r>
      <w:r>
        <w:t xml:space="preserve">&amp;</w:t>
      </w:r>
      <w:r>
        <w:t xml:space="preserve"> </w:t>
      </w:r>
      <w:r>
        <w:t xml:space="preserve">t CO2e/t</w:t>
      </w:r>
      <w:r>
        <w:t xml:space="preserve"> </w:t>
      </w:r>
      <w:r>
        <w:t xml:space="preserve">0.512</w:t>
      </w:r>
      <w:r>
        <w:t xml:space="preserve"> </w:t>
      </w:r>
      <w:r>
        <w:t xml:space="preserve">0.314</w:t>
      </w:r>
      <w:r>
        <w:t xml:space="preserve"> </w:t>
      </w:r>
      <w:r>
        <w:t xml:space="preserve">-4.3%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0.389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Note:</w:t>
      </w:r>
      <w:r>
        <w:t xml:space="preserve"> </w:t>
      </w:r>
      <w:r>
        <w:t xml:space="preserve">Pursuant to Article 10a(2) of Directive 2003/87/EC, specific provisions apply for the update of the</w:t>
      </w:r>
      <w:r>
        <w:t xml:space="preserve"> </w:t>
      </w:r>
      <w:r>
        <w:t xml:space="preserve">benchmark values for aromatics, hydrogen, syngas, which are adjusted by the same percentage as the refineries</w:t>
      </w:r>
      <w:r>
        <w:t xml:space="preserve"> </w:t>
      </w:r>
      <w:r>
        <w:t xml:space="preserve">benchmark and also for the hot metal benchmark, which is updated with an annual reduction rate of 0.2%.</w:t>
      </w:r>
      <w:r>
        <w:t xml:space="preserve"> </w:t>
      </w:r>
      <w:r>
        <w:t xml:space="preserve">Source:</w:t>
      </w:r>
      <w:r>
        <w:br/>
      </w:r>
      <w:r>
        <w:t xml:space="preserve">policy_ets_allowances_bm_curve_factsheets_en.pdf</w:t>
      </w:r>
      <w:r>
        <w:t xml:space="preserve"> </w:t>
      </w:r>
      <w:r>
        <w:t xml:space="preserve">Figure 23 provides a summary of how selected product benchmark values that were applied in</w:t>
      </w:r>
      <w:r>
        <w:t xml:space="preserve"> </w:t>
      </w:r>
      <w:r>
        <w:t xml:space="preserve">Phase III (2013-20) and Phase IV (2021-25) compared with estimates for the 2016/17 and</w:t>
      </w:r>
      <w:r>
        <w:t xml:space="preserve"> </w:t>
      </w:r>
      <w:r>
        <w:t xml:space="preserve">2021/22 average specific emissions respectively of all sub-installations covered.157 The</w:t>
      </w:r>
      <w:r>
        <w:t xml:space="preserve"> </w:t>
      </w:r>
      <w:r>
        <w:t xml:space="preserve">provisional results show that the selected benchmarks for Phase IV (2021-25) are in many cases</w:t>
      </w:r>
      <w:r>
        <w:t xml:space="preserve"> </w:t>
      </w:r>
      <w:r>
        <w:t xml:space="preserve">lower than the specific average emissions for 2021/22 and this indicates that the benchmarks</w:t>
      </w:r>
      <w:r>
        <w:t xml:space="preserve"> </w:t>
      </w:r>
      <w:r>
        <w:t xml:space="preserve">have been set to incentivise further improvements in performance over Phase IV. In many</w:t>
      </w:r>
      <w:r>
        <w:t xml:space="preserve"> </w:t>
      </w:r>
      <w:r>
        <w:t xml:space="preserve">cases, the distance between the product benchmark values and specific average emissions were</w:t>
      </w:r>
      <w:r>
        <w:t xml:space="preserve"> </w:t>
      </w:r>
      <w:r>
        <w:t xml:space="preserve">higher in Phase IV than in Phase III.158</w:t>
      </w:r>
      <w:r>
        <w:br/>
      </w:r>
      <w:r>
        <w:t xml:space="preserve">Evaluating the effectiveness of how the updated benchmark values were calculated will</w:t>
      </w:r>
      <w:r>
        <w:t xml:space="preserve"> </w:t>
      </w:r>
      <w:r>
        <w:t xml:space="preserve">ultimately depend upon whether the level of performance required is technically feasible. A</w:t>
      </w:r>
      <w:r>
        <w:t xml:space="preserve"> </w:t>
      </w:r>
      <w:r>
        <w:t xml:space="preserve">concern raised frequently by industrial associations during the stakeholder interviews was in</w:t>
      </w:r>
    </w:p>
    <w:p>
      <w:pPr>
        <w:pStyle w:val="BodyText"/>
      </w:pPr>
      <w:r>
        <w:t xml:space="preserve">157 Only preliminary information from NIMs 2019-23 dataset was available at the time of writing the evaluation</w:t>
      </w:r>
      <w:r>
        <w:t xml:space="preserve"> </w:t>
      </w:r>
      <w:r>
        <w:t xml:space="preserve">and therefore the results are provisional and should be updated following the finalisation of the NIMs dataset</w:t>
      </w:r>
      <w:r>
        <w:t xml:space="preserve"> </w:t>
      </w:r>
      <w:r>
        <w:t xml:space="preserve">for 2019-23.</w:t>
      </w:r>
      <w:r>
        <w:br/>
      </w:r>
      <w:r>
        <w:t xml:space="preserve">158 The Phase III product benchmark values were compared with average 2016/17 specific emissions data</w:t>
      </w:r>
      <w:r>
        <w:t xml:space="preserve"> </w:t>
      </w:r>
      <w:r>
        <w:t xml:space="preserve">provided in a Commission publication (refer to DG CLIMA, 2021. “Update benchmark values for the years</w:t>
      </w:r>
      <w:r>
        <w:t xml:space="preserve"> </w:t>
      </w:r>
      <w:r>
        <w:t xml:space="preserve">2021-2025 of phase 4 of the EU ETS”, https://climate.ec.europa.eu/system/files/2021). Phase IV product</w:t>
      </w:r>
      <w:r>
        <w:t xml:space="preserve"> </w:t>
      </w:r>
      <w:r>
        <w:t xml:space="preserve">benchmark values for 2021-25 were also taken from policy_ets_allowances_bm_curve_factsheets_en.pdf and</w:t>
      </w:r>
      <w:r>
        <w:t xml:space="preserve"> </w:t>
      </w:r>
      <w:r>
        <w:t xml:space="preserve">were then compared with average specific emissions for 2021/22 that were provisionally estimated based</w:t>
      </w:r>
      <w:r>
        <w:t xml:space="preserve"> </w:t>
      </w:r>
      <w:r>
        <w:t xml:space="preserve">upon preliminary NIMs data for 2019-23 for all the sub-installations covered by a product benchmark.</w:t>
      </w:r>
      <w:r>
        <w:t xml:space="preserve"> </w:t>
      </w:r>
      <w:r>
        <w:t xml:space="preserve">ethylene</w:t>
      </w:r>
      <w:r>
        <w:t xml:space="preserve"> </w:t>
      </w:r>
      <w:r>
        <w:t xml:space="preserve">glycols</w:t>
      </w:r>
      <w:r>
        <w:t xml:space="preserve"> </w:t>
      </w:r>
      <w:r>
        <w:t xml:space="preserve">Vinyl</w:t>
      </w:r>
      <w:r>
        <w:t xml:space="preserve"> </w:t>
      </w:r>
      <w:r>
        <w:t xml:space="preserve">chloride</w:t>
      </w:r>
      <w:r>
        <w:t xml:space="preserve"> </w:t>
      </w:r>
      <w:r>
        <w:t xml:space="preserve">monomer</w:t>
      </w:r>
      <w:r>
        <w:t xml:space="preserve"> </w:t>
      </w:r>
      <w:r>
        <w:t xml:space="preserve">t CO2e/t</w:t>
      </w:r>
      <w:r>
        <w:t xml:space="preserve"> </w:t>
      </w:r>
      <w:r>
        <w:t xml:space="preserve">0.204</w:t>
      </w:r>
      <w:r>
        <w:t xml:space="preserve"> </w:t>
      </w:r>
      <w:r>
        <w:t xml:space="preserve">0.171</w:t>
      </w:r>
      <w:r>
        <w:t xml:space="preserve"> </w:t>
      </w:r>
      <w:r>
        <w:t xml:space="preserve">-1.8%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0.155</w:t>
      </w:r>
      <w:r>
        <w:t xml:space="preserve"> </w:t>
      </w:r>
      <w:r>
        <w:t xml:space="preserve">S-PVC</w:t>
      </w:r>
      <w:r>
        <w:t xml:space="preserve"> </w:t>
      </w:r>
      <w:r>
        <w:t xml:space="preserve">t CO2e/t</w:t>
      </w:r>
      <w:r>
        <w:t xml:space="preserve"> </w:t>
      </w:r>
      <w:r>
        <w:t xml:space="preserve">0.085</w:t>
      </w:r>
      <w:r>
        <w:t xml:space="preserve"> </w:t>
      </w:r>
      <w:r>
        <w:t xml:space="preserve">0.073</w:t>
      </w:r>
      <w:r>
        <w:t xml:space="preserve"> </w:t>
      </w:r>
      <w:r>
        <w:t xml:space="preserve">-1.5%</w:t>
      </w:r>
      <w:r>
        <w:t xml:space="preserve"> </w:t>
      </w:r>
      <w:r>
        <w:t xml:space="preserve">-1.5%</w:t>
      </w:r>
      <w:r>
        <w:t xml:space="preserve"> </w:t>
      </w:r>
      <w:r>
        <w:t xml:space="preserve">-23%</w:t>
      </w:r>
      <w:r>
        <w:t xml:space="preserve"> </w:t>
      </w:r>
      <w:r>
        <w:t xml:space="preserve">0.066</w:t>
      </w:r>
      <w:r>
        <w:t xml:space="preserve"> </w:t>
      </w:r>
      <w:r>
        <w:t xml:space="preserve">E-PVC</w:t>
      </w:r>
      <w:r>
        <w:t xml:space="preserve"> </w:t>
      </w:r>
      <w:r>
        <w:t xml:space="preserve">t CO2e/t</w:t>
      </w:r>
      <w:r>
        <w:t xml:space="preserve"> </w:t>
      </w:r>
      <w:r>
        <w:t xml:space="preserve">0.238</w:t>
      </w:r>
      <w:r>
        <w:t xml:space="preserve"> </w:t>
      </w:r>
      <w:r>
        <w:t xml:space="preserve">0.103</w:t>
      </w:r>
      <w:r>
        <w:t xml:space="preserve"> </w:t>
      </w:r>
      <w:r>
        <w:t xml:space="preserve">-6.3%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0.181</w:t>
      </w:r>
      <w:r>
        <w:t xml:space="preserve"> </w:t>
      </w:r>
      <w:r>
        <w:t xml:space="preserve">Hydrogen*</w:t>
      </w:r>
      <w:r>
        <w:t xml:space="preserve"> </w:t>
      </w:r>
      <w:r>
        <w:t xml:space="preserve">t CO2e/t</w:t>
      </w:r>
      <w:r>
        <w:t xml:space="preserve"> </w:t>
      </w:r>
      <w:r>
        <w:t xml:space="preserve">8.85</w:t>
      </w:r>
      <w:r>
        <w:t xml:space="preserve"> </w:t>
      </w:r>
      <w:r>
        <w:t xml:space="preserve">4.09</w:t>
      </w:r>
      <w:r>
        <w:t xml:space="preserve"> </w:t>
      </w:r>
      <w:r>
        <w:t xml:space="preserve">-6.0%</w:t>
      </w:r>
      <w:r>
        <w:t xml:space="preserve"> </w:t>
      </w:r>
      <w:r>
        <w:t xml:space="preserve">-1.5%</w:t>
      </w:r>
      <w:r>
        <w:t xml:space="preserve"> </w:t>
      </w:r>
      <w:r>
        <w:t xml:space="preserve">-23%</w:t>
      </w:r>
      <w:r>
        <w:t xml:space="preserve"> </w:t>
      </w:r>
      <w:r>
        <w:t xml:space="preserve">6.84</w:t>
      </w:r>
      <w:r>
        <w:t xml:space="preserve"> </w:t>
      </w:r>
      <w:r>
        <w:t xml:space="preserve">Synthesis</w:t>
      </w:r>
      <w:r>
        <w:t xml:space="preserve"> </w:t>
      </w:r>
      <w:r>
        <w:t xml:space="preserve">gas*</w:t>
      </w:r>
      <w:r>
        <w:t xml:space="preserve"> </w:t>
      </w:r>
      <w:r>
        <w:t xml:space="preserve">t CO2e/t</w:t>
      </w:r>
      <w:r>
        <w:t xml:space="preserve"> </w:t>
      </w:r>
      <w:r>
        <w:t xml:space="preserve">0.242</w:t>
      </w:r>
      <w:r>
        <w:t xml:space="preserve"> </w:t>
      </w:r>
      <w:r>
        <w:t xml:space="preserve">0.009</w:t>
      </w:r>
      <w:r>
        <w:t xml:space="preserve"> </w:t>
      </w:r>
      <w:r>
        <w:t xml:space="preserve">-10.7%</w:t>
      </w:r>
      <w:r>
        <w:t xml:space="preserve"> </w:t>
      </w:r>
      <w:r>
        <w:t xml:space="preserve">-1.5%</w:t>
      </w:r>
      <w:r>
        <w:t xml:space="preserve"> </w:t>
      </w:r>
      <w:r>
        <w:t xml:space="preserve">-23%</w:t>
      </w:r>
      <w:r>
        <w:t xml:space="preserve"> </w:t>
      </w:r>
      <w:r>
        <w:t xml:space="preserve">0.187</w:t>
      </w:r>
      <w:r>
        <w:t xml:space="preserve"> </w:t>
      </w:r>
      <w:r>
        <w:t xml:space="preserve">Soda ash</w:t>
      </w:r>
      <w:r>
        <w:t xml:space="preserve"> </w:t>
      </w:r>
      <w:r>
        <w:t xml:space="preserve">t CO2e/t</w:t>
      </w:r>
      <w:r>
        <w:t xml:space="preserve"> </w:t>
      </w:r>
      <w:r>
        <w:t xml:space="preserve">0.843</w:t>
      </w:r>
      <w:r>
        <w:t xml:space="preserve"> </w:t>
      </w:r>
      <w:r>
        <w:t xml:space="preserve">0.789</w:t>
      </w:r>
      <w:r>
        <w:t xml:space="preserve"> </w:t>
      </w:r>
      <w:r>
        <w:t xml:space="preserve">-0.7%</w:t>
      </w:r>
      <w:r>
        <w:t xml:space="preserve"> </w:t>
      </w:r>
      <w:r>
        <w:t xml:space="preserve">-0.7%</w:t>
      </w:r>
      <w:r>
        <w:t xml:space="preserve"> </w:t>
      </w:r>
      <w:r>
        <w:t xml:space="preserve">-11%</w:t>
      </w:r>
      <w:r>
        <w:t xml:space="preserve"> </w:t>
      </w:r>
      <w:r>
        <w:t xml:space="preserve">0.753</w:t>
      </w:r>
      <w:r>
        <w:t xml:space="preserve"> </w:t>
      </w:r>
      <w:r>
        <w:t xml:space="preserve">Heat</w:t>
      </w:r>
      <w:r>
        <w:t xml:space="preserve"> </w:t>
      </w:r>
      <w:r>
        <w:t xml:space="preserve">benchmark</w:t>
      </w:r>
      <w:r>
        <w:br/>
      </w:r>
      <w:r>
        <w:t xml:space="preserve">t CO2e/TJ</w:t>
      </w:r>
      <w:r>
        <w:t xml:space="preserve"> </w:t>
      </w:r>
      <w:r>
        <w:t xml:space="preserve">62.3</w:t>
      </w:r>
      <w:r>
        <w:t xml:space="preserve"> </w:t>
      </w:r>
      <w:r>
        <w:t xml:space="preserve">1.6</w:t>
      </w:r>
      <w:r>
        <w:t xml:space="preserve"> </w:t>
      </w:r>
      <w:r>
        <w:t xml:space="preserve">-10.8%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47.3</w:t>
      </w:r>
      <w:r>
        <w:t xml:space="preserve"> </w:t>
      </w:r>
      <w:r>
        <w:t xml:space="preserve">Fuel</w:t>
      </w:r>
      <w:r>
        <w:t xml:space="preserve"> </w:t>
      </w:r>
      <w:r>
        <w:t xml:space="preserve">benchmark</w:t>
      </w:r>
      <w:r>
        <w:t xml:space="preserve"> </w:t>
      </w:r>
      <w:r>
        <w:t xml:space="preserve">t CO2e/TJ</w:t>
      </w:r>
      <w:r>
        <w:t xml:space="preserve"> </w:t>
      </w:r>
      <w:r>
        <w:t xml:space="preserve">56.1</w:t>
      </w:r>
      <w:r>
        <w:t xml:space="preserve"> </w:t>
      </w:r>
      <w:r>
        <w:t xml:space="preserve">34.3</w:t>
      </w:r>
      <w:r>
        <w:t xml:space="preserve"> </w:t>
      </w:r>
      <w:r>
        <w:t xml:space="preserve">-4.3%</w:t>
      </w:r>
      <w:r>
        <w:t xml:space="preserve"> </w:t>
      </w:r>
      <w:r>
        <w:t xml:space="preserve">-1.6%</w:t>
      </w:r>
      <w:r>
        <w:t xml:space="preserve"> </w:t>
      </w:r>
      <w:r>
        <w:t xml:space="preserve">-24%</w:t>
      </w:r>
      <w:r>
        <w:t xml:space="preserve"> </w:t>
      </w:r>
      <w:r>
        <w:t xml:space="preserve">42.6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relation to the setting of benchmark values that go beyond what is achievable. The main issue</w:t>
      </w:r>
      <w:r>
        <w:t xml:space="preserve"> </w:t>
      </w:r>
      <w:r>
        <w:t xml:space="preserve">that emerged was to do with the extrapolation of the benchmark values based on annual rates</w:t>
      </w:r>
      <w:r>
        <w:t xml:space="preserve"> </w:t>
      </w:r>
      <w:r>
        <w:t xml:space="preserve">of improvements with the concern raised that such an approach may result in the setting of</w:t>
      </w:r>
      <w:r>
        <w:t xml:space="preserve"> </w:t>
      </w:r>
      <w:r>
        <w:t xml:space="preserve">benchmark values that are simply not possible in practice. Given the abatement potential</w:t>
      </w:r>
      <w:r>
        <w:t xml:space="preserve"> </w:t>
      </w:r>
      <w:r>
        <w:t xml:space="preserve">identified in various industry roadmaps for decarbonisation pathways up until 2050, these</w:t>
      </w:r>
      <w:r>
        <w:t xml:space="preserve"> </w:t>
      </w:r>
      <w:r>
        <w:t xml:space="preserve">technical limits are unlikely to be reached based on the extrapolated values used for the 2021-</w:t>
      </w:r>
      <w:r>
        <w:t xml:space="preserve"> </w:t>
      </w:r>
      <w:r>
        <w:t xml:space="preserve">25 benchmark values, but concerns have been raised more for the viability of future benchmark</w:t>
      </w:r>
      <w:r>
        <w:t xml:space="preserve"> </w:t>
      </w:r>
      <w:r>
        <w:t xml:space="preserve">setting.</w:t>
      </w:r>
      <w:r>
        <w:t xml:space="preserve"> </w:t>
      </w:r>
      <w:r>
        <w:t xml:space="preserve">Figure 23: Comparison of the average specific emissions in relation to the benchmark for selected</w:t>
      </w:r>
      <w:r>
        <w:t xml:space="preserve"> </w:t>
      </w:r>
      <w:r>
        <w:t xml:space="preserve">products in Phase III and IV</w:t>
      </w:r>
    </w:p>
    <w:p>
      <w:pPr>
        <w:pStyle w:val="BodyText"/>
      </w:pPr>
      <w:r>
        <w:t xml:space="preserve">Source: policy_ets_allowances_bm_curve_factsheets_en.pdf, own calculation based upon preliminary NIMs</w:t>
      </w:r>
      <w:r>
        <w:t xml:space="preserve"> </w:t>
      </w:r>
      <w:r>
        <w:t xml:space="preserve">dataset 2019-23</w:t>
      </w:r>
      <w:r>
        <w:t xml:space="preserve"> </w:t>
      </w:r>
      <w:r>
        <w:t xml:space="preserve">During the interview process, further views were put forward regarding the effectiveness of the</w:t>
      </w:r>
      <w:r>
        <w:t xml:space="preserve"> </w:t>
      </w:r>
      <w:r>
        <w:t xml:space="preserve">setting of the benchmark values.</w:t>
      </w:r>
      <w:r>
        <w:br/>
      </w:r>
      <w:r>
        <w:t xml:space="preserve">• Eurometaux criticised the fact that fallback benchmarks group all sectors together under</w:t>
      </w:r>
      <w:r>
        <w:t xml:space="preserve"> </w:t>
      </w:r>
      <w:r>
        <w:t xml:space="preserve">one fallback benchmark value for fuel and heat, regardless of the differences in</w:t>
      </w:r>
      <w:r>
        <w:t xml:space="preserve"> </w:t>
      </w:r>
      <w:r>
        <w:t xml:space="preserve">technologies that can be used in the sectors covered. This leads to inaccurate values,</w:t>
      </w:r>
      <w:r>
        <w:t xml:space="preserve"> </w:t>
      </w:r>
      <w:r>
        <w:t xml:space="preserve">and today, the heat and fuel fallback benchmarks do not adequately reflect the reality</w:t>
      </w:r>
      <w:r>
        <w:t xml:space="preserve"> </w:t>
      </w:r>
      <w:r>
        <w:t xml:space="preserve">of some of the sectors that rely on these benchmarks for the allocation of free</w:t>
      </w:r>
      <w:r>
        <w:t xml:space="preserve"> </w:t>
      </w:r>
      <w:r>
        <w:t xml:space="preserve">allowances to their installations. These fallback benchmarks are currently based on the</w:t>
      </w:r>
      <w:r>
        <w:t xml:space="preserve"> </w:t>
      </w:r>
      <w:r>
        <w:t xml:space="preserve">abatement potential of sectors that can widely use biomass to reduce their emissions.</w:t>
      </w:r>
      <w:r>
        <w:t xml:space="preserve"> </w:t>
      </w:r>
      <w:r>
        <w:t xml:space="preserve">However, some of the sectors covered, such as copper and other non-ferrous metals,</w:t>
      </w:r>
      <w:r>
        <w:t xml:space="preserve"> </w:t>
      </w:r>
      <w:r>
        <w:t xml:space="preserve">cannot rely on biomass to reduce emissions. This is because (1) the use of biomass is</w:t>
      </w:r>
      <w:r>
        <w:t xml:space="preserve"> </w:t>
      </w:r>
      <w:r>
        <w:t xml:space="preserve">not suitable for production processes in every sector, especially those processes that</w:t>
      </w:r>
      <w:r>
        <w:t xml:space="preserve"> </w:t>
      </w:r>
      <w:r>
        <w:t xml:space="preserve">require high-temperature heat, and (2) the supply of biomass is inherently constrained,</w:t>
      </w:r>
      <w:r>
        <w:t xml:space="preserve"> </w:t>
      </w:r>
      <w:r>
        <w:t xml:space="preserve">and not equally available in every Member State.</w:t>
      </w:r>
      <w:r>
        <w:t xml:space="preserve"> </w:t>
      </w:r>
      <w:r>
        <w:t xml:space="preserve">• EULA also suggested limitations with the current application of the fall-back options</w:t>
      </w:r>
      <w:r>
        <w:t xml:space="preserve"> </w:t>
      </w:r>
      <w:r>
        <w:t xml:space="preserve">expressing how the current benchmarking approach lacks flexibility to consider the</w:t>
      </w:r>
      <w:r>
        <w:t xml:space="preserve"> </w:t>
      </w:r>
      <w:r>
        <w:t xml:space="preserve">issue of process emissions that cannot easily be mitigated without technologies such as</w:t>
      </w:r>
      <w:r>
        <w:t xml:space="preserve"> </w:t>
      </w:r>
      <w:r>
        <w:t xml:space="preserve">CCS that have not so far been economically viable based on the existing carbon price.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In addition to the setting of more ambitious benchmarks in Phase IV, reforms were made to</w:t>
      </w:r>
      <w:r>
        <w:t xml:space="preserve"> </w:t>
      </w:r>
      <w:r>
        <w:t xml:space="preserve">better align free allocation with actual levels of production. Figure 24 shows for selected</w:t>
      </w:r>
      <w:r>
        <w:t xml:space="preserve"> </w:t>
      </w:r>
      <w:r>
        <w:t xml:space="preserve">product benchmarks a simplification for illustrative purposes of the adjustment to free</w:t>
      </w:r>
      <w:r>
        <w:t xml:space="preserve"> </w:t>
      </w:r>
      <w:r>
        <w:t xml:space="preserve">allocation to better align with levels of production over Phase IV. Preliminary NIMs data for</w:t>
      </w:r>
      <w:r>
        <w:t xml:space="preserve"> </w:t>
      </w:r>
      <w:r>
        <w:t xml:space="preserve">2019-23 on activity levels were used to ascertain at the sub-installation level whether an</w:t>
      </w:r>
      <w:r>
        <w:t xml:space="preserve"> </w:t>
      </w:r>
      <w:r>
        <w:t xml:space="preserve">increase or decrease above or below the 15% threshold had occurred. The original allocation</w:t>
      </w:r>
      <w:r>
        <w:t xml:space="preserve"> </w:t>
      </w:r>
      <w:r>
        <w:t xml:space="preserve">of free allowances was then compared to the adjusted volume of free allowances that consider</w:t>
      </w:r>
      <w:r>
        <w:t xml:space="preserve"> </w:t>
      </w:r>
      <w:r>
        <w:t xml:space="preserve">changes from the previous two-year rolling average159. The outcome of this exercise</w:t>
      </w:r>
      <w:r>
        <w:t xml:space="preserve"> </w:t>
      </w:r>
      <w:r>
        <w:t xml:space="preserve">demonstrates how the effectiveness of free allocation has been improved by this better</w:t>
      </w:r>
      <w:r>
        <w:t xml:space="preserve"> </w:t>
      </w:r>
      <w:r>
        <w:t xml:space="preserve">alignment with actual levels of production. Activity levels have declined and rebounded in</w:t>
      </w:r>
      <w:r>
        <w:t xml:space="preserve"> </w:t>
      </w:r>
      <w:r>
        <w:t xml:space="preserve">most industrial sectors after the COVID-19 pandemic and were then further impacted by the</w:t>
      </w:r>
      <w:r>
        <w:t xml:space="preserve"> </w:t>
      </w:r>
      <w:r>
        <w:t xml:space="preserve">energy price crisis triggered by the illegal Russian invasion of Ukraine. The adjustment to</w:t>
      </w:r>
      <w:r>
        <w:t xml:space="preserve"> </w:t>
      </w:r>
      <w:r>
        <w:t xml:space="preserve">allocation because of these externalities further improved the resilience of the EU ETS and</w:t>
      </w:r>
      <w:r>
        <w:t xml:space="preserve"> </w:t>
      </w:r>
      <w:r>
        <w:t xml:space="preserve">ensured that free allocation was better targeted in Phase IV compared to Phase III.</w:t>
      </w:r>
      <w:r>
        <w:t xml:space="preserve"> </w:t>
      </w:r>
      <w:r>
        <w:t xml:space="preserve">Figure 24: Estimation of the impact of dynamic allocation on the provision of free allocation to</w:t>
      </w:r>
      <w:r>
        <w:t xml:space="preserve"> </w:t>
      </w:r>
      <w:r>
        <w:t xml:space="preserve">selected benchmarks in Phase IV</w:t>
      </w:r>
    </w:p>
    <w:p>
      <w:pPr>
        <w:pStyle w:val="BodyText"/>
      </w:pPr>
      <w:r>
        <w:t xml:space="preserve">Source:</w:t>
      </w:r>
      <w:r>
        <w:br/>
      </w:r>
      <w:r>
        <w:t xml:space="preserve">Own calculation based upon preliminary NIMs dataset 2019-23</w:t>
      </w:r>
      <w:r>
        <w:t xml:space="preserve"> </w:t>
      </w:r>
      <w:r>
        <w:t xml:space="preserve">Evidence of actual adjustments in response to changes in activity levels beyond the simplified</w:t>
      </w:r>
      <w:r>
        <w:t xml:space="preserve"> </w:t>
      </w:r>
      <w:r>
        <w:t xml:space="preserve">quantitative exercise presented above have been reported by competent authorities. For</w:t>
      </w:r>
      <w:r>
        <w:t xml:space="preserve"> </w:t>
      </w:r>
      <w:r>
        <w:t xml:space="preserve">example, the competent authority in Germany (i.e. DEHSt) reported that levels of free</w:t>
      </w:r>
    </w:p>
    <w:p>
      <w:pPr>
        <w:pStyle w:val="BodyText"/>
      </w:pPr>
      <w:r>
        <w:t xml:space="preserve">159 Article 5 of Regulation (EU) 2019/1842 outlines the conditions for adjusting allocation to reflect changes in</w:t>
      </w:r>
      <w:r>
        <w:t xml:space="preserve"> </w:t>
      </w:r>
      <w:r>
        <w:t xml:space="preserve">activity levels. The calculation is a simplification as for each year the allocation is adjusted if the two-year</w:t>
      </w:r>
      <w:r>
        <w:t xml:space="preserve"> </w:t>
      </w:r>
      <w:r>
        <w:t xml:space="preserve">rolling average of the activity level of a sub-installation is 15 % higher or lower than the historical activity</w:t>
      </w:r>
      <w:r>
        <w:t xml:space="preserve"> </w:t>
      </w:r>
      <w:r>
        <w:t xml:space="preserve">level (i.e. 2014-18 average) used to set the original free allocation. The preliminary NIMs dataset for 2019-</w:t>
      </w:r>
      <w:r>
        <w:t xml:space="preserve"> </w:t>
      </w:r>
      <w:r>
        <w:t xml:space="preserve">23 is used to compare the activity level data for the sub-installations with their average historical activity</w:t>
      </w:r>
      <w:r>
        <w:t xml:space="preserve"> </w:t>
      </w:r>
      <w:r>
        <w:t xml:space="preserve">level for 2014-18, which is matched to each sub-installation from the NIMs dataset for 2014-18. In</w:t>
      </w:r>
      <w:r>
        <w:t xml:space="preserve"> </w:t>
      </w:r>
      <w:r>
        <w:t xml:space="preserve">circumstances where the 15% threshold is exceeded, free allocation is recalculated for a sub-installation based</w:t>
      </w:r>
      <w:r>
        <w:t xml:space="preserve"> </w:t>
      </w:r>
      <w:r>
        <w:t xml:space="preserve">upon the previous rolling two-year average activity level and this is multiplied by the corresponding</w:t>
      </w:r>
      <w:r>
        <w:t xml:space="preserve"> </w:t>
      </w:r>
      <w:r>
        <w:t xml:space="preserve">benchmark, carbon leakage exposure factor and cross sectoral correction factor. The original and adjusted</w:t>
      </w:r>
      <w:r>
        <w:t xml:space="preserve"> </w:t>
      </w:r>
      <w:r>
        <w:t xml:space="preserve">allocation was then aggregated for all sub-installations covered by a product benchmark to estimate the</w:t>
      </w:r>
      <w:r>
        <w:t xml:space="preserve"> </w:t>
      </w:r>
      <w:r>
        <w:t xml:space="preserve">potential impact of the intervention.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allocation declined across many industrial sectors in 2024 with the declines in activity observed</w:t>
      </w:r>
      <w:r>
        <w:t xml:space="preserve"> </w:t>
      </w:r>
      <w:r>
        <w:t xml:space="preserve">after the energy price shock of 2022 fully reflected in the two-year rolling average.160</w:t>
      </w:r>
      <w:r>
        <w:t xml:space="preserve"> </w:t>
      </w:r>
      <w:r>
        <w:t xml:space="preserve">A consensus emerged from the stakeholder interviews with industrial associations that the</w:t>
      </w:r>
      <w:r>
        <w:t xml:space="preserve"> </w:t>
      </w:r>
      <w:r>
        <w:t xml:space="preserve">better alignment of free allocation with levels of activity change was regarded as a welcome</w:t>
      </w:r>
      <w:r>
        <w:t xml:space="preserve"> </w:t>
      </w:r>
      <w:r>
        <w:t xml:space="preserve">improvement. The main critique of the reform from industry, however, related to the setting of</w:t>
      </w:r>
      <w:r>
        <w:t xml:space="preserve"> </w:t>
      </w:r>
      <w:r>
        <w:t xml:space="preserve">an activity threshold that was often seen as a disincentive for an installation to incrementally</w:t>
      </w:r>
      <w:r>
        <w:t xml:space="preserve"> </w:t>
      </w:r>
      <w:r>
        <w:t xml:space="preserve">increase their production as any change up to 15% would be subject to the full carbon price.</w:t>
      </w:r>
      <w:r>
        <w:t xml:space="preserve"> </w:t>
      </w:r>
      <w:r>
        <w:t xml:space="preserve">Indeed, this point was made repeatedly by industrial stakeholders in the context of their own</w:t>
      </w:r>
      <w:r>
        <w:t xml:space="preserve"> </w:t>
      </w:r>
      <w:r>
        <w:t xml:space="preserve">production process. However, the 15% a threshold level for activity level changes represents a</w:t>
      </w:r>
      <w:r>
        <w:t xml:space="preserve"> </w:t>
      </w:r>
      <w:r>
        <w:t xml:space="preserve">balance between ensuring that the free allocation level reflects the actual production level, with</w:t>
      </w:r>
      <w:r>
        <w:t xml:space="preserve"> </w:t>
      </w:r>
      <w:r>
        <w:t xml:space="preserve">minimising the administrative burden for operators and competent authorities of reporting,</w:t>
      </w:r>
      <w:r>
        <w:t xml:space="preserve"> </w:t>
      </w:r>
      <w:r>
        <w:t xml:space="preserve">verifying and approving adjustments to free allocation based on small changes in activity</w:t>
      </w:r>
      <w:r>
        <w:t xml:space="preserve"> </w:t>
      </w:r>
      <w:r>
        <w:t xml:space="preserve">levels. Furthermore, it can be said that this provision provides industrial installations a buffer</w:t>
      </w:r>
      <w:r>
        <w:t xml:space="preserve"> </w:t>
      </w:r>
      <w:r>
        <w:t xml:space="preserve">of free allocation for a production decrease of less than 15%, as the allocation levels are not</w:t>
      </w:r>
      <w:r>
        <w:t xml:space="preserve"> </w:t>
      </w:r>
      <w:r>
        <w:t xml:space="preserve">adjusted.</w:t>
      </w:r>
      <w:r>
        <w:t xml:space="preserve"> </w:t>
      </w:r>
      <w:r>
        <w:t xml:space="preserve">As part of the effective implementation of free allocation provision, the cross sectoral</w:t>
      </w:r>
      <w:r>
        <w:t xml:space="preserve"> </w:t>
      </w:r>
      <w:r>
        <w:t xml:space="preserve">correction factor (CSCF) ensures that volumes of free allocation do not exceed the ETS cap. In</w:t>
      </w:r>
      <w:r>
        <w:t xml:space="preserve"> </w:t>
      </w:r>
      <w:r>
        <w:t xml:space="preserve">Phase III it was necessary to apply the CSCF in all years between 2013 and 2020 to reduce free</w:t>
      </w:r>
      <w:r>
        <w:t xml:space="preserve"> </w:t>
      </w:r>
      <w:r>
        <w:t xml:space="preserve">allocation volumes and so a CSCF buffer was introduced at the start of Phase IV to reduce the</w:t>
      </w:r>
      <w:r>
        <w:t xml:space="preserve"> </w:t>
      </w:r>
      <w:r>
        <w:t xml:space="preserve">likelihood of the CSCF needing to be applied. However, Figure 25 illustrates mainly that</w:t>
      </w:r>
      <w:r>
        <w:t xml:space="preserve"> </w:t>
      </w:r>
      <w:r>
        <w:t xml:space="preserve">because of the introduction of more ambitious benchmarks at the start of Phase IV, the resulting</w:t>
      </w:r>
      <w:r>
        <w:t xml:space="preserve"> </w:t>
      </w:r>
      <w:r>
        <w:t xml:space="preserve">reduction in free allocation volumes meant that it was not necessary to apply the CSCF.</w:t>
      </w:r>
      <w:r>
        <w:t xml:space="preserve"> </w:t>
      </w:r>
      <w:r>
        <w:t xml:space="preserve">Figure 25: Free allocation (preliminary) volumes in 2021-25 compared to the free allocation</w:t>
      </w:r>
      <w:r>
        <w:t xml:space="preserve"> </w:t>
      </w:r>
      <w:r>
        <w:t xml:space="preserve">budget and CSCF buffer</w:t>
      </w:r>
    </w:p>
    <w:p>
      <w:pPr>
        <w:pStyle w:val="BodyText"/>
      </w:pPr>
      <w:r>
        <w:t xml:space="preserve">Source:</w:t>
      </w:r>
      <w:r>
        <w:br/>
      </w:r>
      <w:r>
        <w:t xml:space="preserve">Own calculation based upon NIMs dataset 2019-23161</w:t>
      </w:r>
    </w:p>
    <w:p>
      <w:pPr>
        <w:pStyle w:val="BodyText"/>
      </w:pPr>
      <w:r>
        <w:t xml:space="preserve">160 Emissions Situation in EU ETS 1 in 2024 - Stationary Installations, “Aviation and Maritime Transport Subject</w:t>
      </w:r>
      <w:r>
        <w:t xml:space="preserve"> </w:t>
      </w:r>
      <w:r>
        <w:t xml:space="preserve">to</w:t>
      </w:r>
      <w:r>
        <w:t xml:space="preserve"> </w:t>
      </w:r>
      <w:r>
        <w:t xml:space="preserve">Emissions</w:t>
      </w:r>
      <w:r>
        <w:t xml:space="preserve"> </w:t>
      </w:r>
      <w:r>
        <w:t xml:space="preserve">Trading</w:t>
      </w:r>
      <w:r>
        <w:t xml:space="preserve"> </w:t>
      </w:r>
      <w:r>
        <w:t xml:space="preserve">in</w:t>
      </w:r>
      <w:r>
        <w:t xml:space="preserve"> </w:t>
      </w:r>
      <w:r>
        <w:t xml:space="preserve">Germany”,</w:t>
      </w:r>
      <w:r>
        <w:t xml:space="preserve"> </w:t>
      </w:r>
      <w:r>
        <w:t xml:space="preserve">https://www.dehst.de/SharedDocs/downloads/EN/publications/2024_VET-</w:t>
      </w:r>
      <w:r>
        <w:t xml:space="preserve"> </w:t>
      </w:r>
      <w:r>
        <w:t xml:space="preserve">Report.pdf?__blob=publicationFile&amp;v=2</w:t>
      </w:r>
      <w:r>
        <w:t xml:space="preserve"> </w:t>
      </w:r>
      <w:r>
        <w:t xml:space="preserve">161 Based upon the ETS cap, the free allocation budget for each year is calculated as 43% of the ETS cap and a</w:t>
      </w:r>
      <w:r>
        <w:t xml:space="preserve"> </w:t>
      </w:r>
      <w:r>
        <w:t xml:space="preserve">further 3% of the ETS cap is added each year as a further CSCF buffer. The preliminary free allocation for</w:t>
      </w:r>
      <w:r>
        <w:t xml:space="preserve"> </w:t>
      </w:r>
      <w:r>
        <w:t xml:space="preserve">2021-25 was taken directly from the total annual provisional values provided in the NIMs database.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•</w:t>
      </w:r>
      <w:r>
        <w:t xml:space="preserve"> </w:t>
      </w:r>
      <w:r>
        <w:t xml:space="preserve">EQ4: Has the indirect cost compensation been an effective measure to support the</w:t>
      </w:r>
      <w:r>
        <w:t xml:space="preserve"> </w:t>
      </w:r>
      <w:r>
        <w:t xml:space="preserve">sectors under EU ETS to prevent occurrence of carbon leakage?</w:t>
      </w:r>
      <w:r>
        <w:t xml:space="preserve"> </w:t>
      </w:r>
      <w:r>
        <w:t xml:space="preserve">Effectiveness in compensating installations at risk of carbon leakage</w:t>
      </w:r>
      <w:r>
        <w:t xml:space="preserve"> </w:t>
      </w:r>
      <w:r>
        <w:t xml:space="preserve">Under the EU ETS, firms incur two types of carbon costs: direct costs from purchasing</w:t>
      </w:r>
      <w:r>
        <w:t xml:space="preserve"> </w:t>
      </w:r>
      <w:r>
        <w:t xml:space="preserve">allowances for their emissions, and indirect costs passed through in electricity prices, as power</w:t>
      </w:r>
      <w:r>
        <w:t xml:space="preserve"> </w:t>
      </w:r>
      <w:r>
        <w:t xml:space="preserve">generators must also cover their emissions. These indirect costs can be significant, especially</w:t>
      </w:r>
      <w:r>
        <w:t xml:space="preserve"> </w:t>
      </w:r>
      <w:r>
        <w:t xml:space="preserve">for energy-intensive sectors. To address the risk of carbon leakage brought by indirect costs,</w:t>
      </w:r>
      <w:r>
        <w:t xml:space="preserve"> </w:t>
      </w:r>
      <w:r>
        <w:t xml:space="preserve">the ETS Directive encourages Member States to compensate selected sectors through State aid.</w:t>
      </w:r>
      <w:r>
        <w:t xml:space="preserve"> </w:t>
      </w:r>
      <w:r>
        <w:t xml:space="preserve">This compensation is optional at the MS level, creating heterogeneity in application and raising</w:t>
      </w:r>
      <w:r>
        <w:t xml:space="preserve"> </w:t>
      </w:r>
      <w:r>
        <w:t xml:space="preserve">questions about its efficiency.</w:t>
      </w:r>
      <w:r>
        <w:t xml:space="preserve"> </w:t>
      </w:r>
      <w:r>
        <w:t xml:space="preserve">Governance of indirect carbon cost compensation is split between the ETS Directive and the</w:t>
      </w:r>
      <w:r>
        <w:t xml:space="preserve"> </w:t>
      </w:r>
      <w:r>
        <w:t xml:space="preserve">relevant State aid guidelines162. The ETS Directive (Article 10a(6)) provides general guidance</w:t>
      </w:r>
      <w:r>
        <w:t xml:space="preserve"> </w:t>
      </w:r>
      <w:r>
        <w:t xml:space="preserve">to Member States. It encourages them to provide compensation to sectors and subsectors at</w:t>
      </w:r>
      <w:r>
        <w:t xml:space="preserve"> </w:t>
      </w:r>
      <w:r>
        <w:t xml:space="preserve">genuine risk of carbon leakage due to significant indirect costs passed on in electricity prices,</w:t>
      </w:r>
      <w:r>
        <w:t xml:space="preserve"> </w:t>
      </w:r>
      <w:r>
        <w:t xml:space="preserve">in accordance with State aid rules, and outlines that they should seek to use no more than 25%</w:t>
      </w:r>
      <w:r>
        <w:t xml:space="preserve"> </w:t>
      </w:r>
      <w:r>
        <w:t xml:space="preserve">of their auction revenues for this purpose. The Directive also specifies that the aid should be</w:t>
      </w:r>
      <w:r>
        <w:t xml:space="preserve"> </w:t>
      </w:r>
      <w:r>
        <w:t xml:space="preserve">based on benchmarks for indirect emissions per unit of production corresponding to the most</w:t>
      </w:r>
      <w:r>
        <w:t xml:space="preserve"> </w:t>
      </w:r>
      <w:r>
        <w:t xml:space="preserve">efficient available technologies and on the CO2 emissions of the relevant electricity production</w:t>
      </w:r>
      <w:r>
        <w:t xml:space="preserve"> </w:t>
      </w:r>
      <w:r>
        <w:t xml:space="preserve">mix.</w:t>
      </w:r>
      <w:r>
        <w:br/>
      </w:r>
      <w:r>
        <w:t xml:space="preserve">The State aid guidelines themselves identify eligible sectors, benchmarks, emissions factors</w:t>
      </w:r>
      <w:r>
        <w:t xml:space="preserve"> </w:t>
      </w:r>
      <w:r>
        <w:t xml:space="preserve">and conditions for granting the aid. State aid guidelines governing indirect carbon cost (ICC)</w:t>
      </w:r>
      <w:r>
        <w:t xml:space="preserve"> </w:t>
      </w:r>
      <w:r>
        <w:t xml:space="preserve">compensation were first adopted in 2012 for the period 2013-20. New guidelines for the post-</w:t>
      </w:r>
      <w:r>
        <w:t xml:space="preserve"> </w:t>
      </w:r>
      <w:r>
        <w:t xml:space="preserve">2021 period were adopted in 2020 and amended in 2025163. Therefore, it is the guidelines,</w:t>
      </w:r>
      <w:r>
        <w:t xml:space="preserve"> </w:t>
      </w:r>
      <w:r>
        <w:t xml:space="preserve">rather than the ETS Directive itself, that define which sectors are at risk of carbon leakage due</w:t>
      </w:r>
      <w:r>
        <w:t xml:space="preserve"> </w:t>
      </w:r>
      <w:r>
        <w:t xml:space="preserve">to indirect carbon cost.</w:t>
      </w:r>
      <w:r>
        <w:br/>
      </w:r>
      <w:r>
        <w:t xml:space="preserve">Article 10a(6) was amended in the 2018 amendment of the ETS Directive. The main changes</w:t>
      </w:r>
      <w:r>
        <w:t xml:space="preserve"> </w:t>
      </w:r>
      <w:r>
        <w:t xml:space="preserve">introduced were:</w:t>
      </w:r>
      <w:r>
        <w:t xml:space="preserve"> </w:t>
      </w:r>
      <w:r>
        <w:t xml:space="preserve">•</w:t>
      </w:r>
      <w:r>
        <w:t xml:space="preserve"> </w:t>
      </w:r>
      <w:r>
        <w:t xml:space="preserve">To introduce a ‘soft’ cap on ICC compensation (Member States shall seek to use no</w:t>
      </w:r>
      <w:r>
        <w:t xml:space="preserve"> </w:t>
      </w:r>
      <w:r>
        <w:t xml:space="preserve">more than 25% of their annual auction revenues).</w:t>
      </w:r>
      <w:r>
        <w:t xml:space="preserve"> </w:t>
      </w:r>
      <w:r>
        <w:t xml:space="preserve">•</w:t>
      </w:r>
      <w:r>
        <w:t xml:space="preserve"> </w:t>
      </w:r>
      <w:r>
        <w:t xml:space="preserve">To introduce reporting requirements for Member States and a requirement for the</w:t>
      </w:r>
      <w:r>
        <w:t xml:space="preserve"> </w:t>
      </w:r>
      <w:r>
        <w:t xml:space="preserve">Commission to assess ICC compensation in its annual report on the functioning of the</w:t>
      </w:r>
      <w:r>
        <w:t xml:space="preserve"> </w:t>
      </w:r>
      <w:r>
        <w:t xml:space="preserve">European carbon market164. Member States are report on the amount of ICC provided</w:t>
      </w:r>
      <w:r>
        <w:t xml:space="preserve"> </w:t>
      </w:r>
      <w:r>
        <w:t xml:space="preserve">per sector and subsector, on why aid exceeds 25% of revenues (if applicable), on</w:t>
      </w:r>
      <w:r>
        <w:t xml:space="preserve"> </w:t>
      </w:r>
      <w:r>
        <w:t xml:space="preserve">electricity prices for industrial consumers, and whether they have considered other</w:t>
      </w:r>
      <w:r>
        <w:t xml:space="preserve"> </w:t>
      </w:r>
      <w:r>
        <w:t xml:space="preserve">measures to lower indirect carbon costs.</w:t>
      </w:r>
      <w:r>
        <w:t xml:space="preserve"> </w:t>
      </w:r>
      <w:r>
        <w:t xml:space="preserve">•</w:t>
      </w:r>
      <w:r>
        <w:t xml:space="preserve"> </w:t>
      </w:r>
      <w:r>
        <w:t xml:space="preserve">To amend other elements. For example, the invitation to Member States to provide ICC</w:t>
      </w:r>
      <w:r>
        <w:t xml:space="preserve"> </w:t>
      </w:r>
      <w:r>
        <w:t xml:space="preserve">compensation changed from ‘may’ to ‘should’, and the sectors eligible were changed</w:t>
      </w:r>
      <w:r>
        <w:t xml:space="preserve"> </w:t>
      </w:r>
      <w:r>
        <w:t xml:space="preserve">from those ‘determined to be exposed to a significant risk of carbon leakage’ to those</w:t>
      </w:r>
      <w:r>
        <w:t xml:space="preserve"> </w:t>
      </w:r>
      <w:r>
        <w:t xml:space="preserve">‘exposed to a genuine risk of carbon leakage’ due to indirect costs ‘actually incurred’.</w:t>
      </w:r>
    </w:p>
    <w:p>
      <w:pPr>
        <w:pStyle w:val="BodyText"/>
      </w:pPr>
      <w:r>
        <w:t xml:space="preserve">162 Guidelines on certain State aid measures in the context of the system for greenhouse gas emission allowance</w:t>
      </w:r>
      <w:r>
        <w:t xml:space="preserve"> </w:t>
      </w:r>
      <w:r>
        <w:t xml:space="preserve">trading post-2021 (2020/C 317/04)</w:t>
      </w:r>
      <w:r>
        <w:t xml:space="preserve"> </w:t>
      </w:r>
      <w:r>
        <w:t xml:space="preserve">163 These guidelines are communications 2012/C 158/04, 2020/C 317/04 and C/2026/196 respectively.</w:t>
      </w:r>
      <w:r>
        <w:t xml:space="preserve"> </w:t>
      </w:r>
      <w:r>
        <w:t xml:space="preserve">164 COM(2024) 538 final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The amount of aid provided depends on the limits set out in the State aid guidelines (where the</w:t>
      </w:r>
      <w:r>
        <w:t xml:space="preserve"> </w:t>
      </w:r>
      <w:r>
        <w:t xml:space="preserve">aid permitted is a function of activity level, carbon price, sectoral efficiency benchmarks and</w:t>
      </w:r>
      <w:r>
        <w:t xml:space="preserve"> </w:t>
      </w:r>
      <w:r>
        <w:t xml:space="preserve">emission intensity of the power sector). It also depends on the preferences of Member States</w:t>
      </w:r>
      <w:r>
        <w:t xml:space="preserve"> </w:t>
      </w:r>
      <w:r>
        <w:t xml:space="preserve">regarding whether to operate a State Aid scheme, how much budget to allocate to it, and which</w:t>
      </w:r>
      <w:r>
        <w:t xml:space="preserve"> </w:t>
      </w:r>
      <w:r>
        <w:t xml:space="preserve">sectors to cover. Total ICC compensation has risen over time, from EUR 0.5bn for costs</w:t>
      </w:r>
      <w:r>
        <w:t xml:space="preserve"> </w:t>
      </w:r>
      <w:r>
        <w:t xml:space="preserve">incurred in 2017, to EUR 1.8bn for costs incurred in 2019, EUR 2.3 bn in 2020, EUR 3.1 bn in</w:t>
      </w:r>
      <w:r>
        <w:t xml:space="preserve"> </w:t>
      </w:r>
      <w:r>
        <w:t xml:space="preserve">2022 and EUR 5.5 bn in 2023. The increase is mainly due to increases in the EUA price over</w:t>
      </w:r>
      <w:r>
        <w:t xml:space="preserve"> </w:t>
      </w:r>
      <w:r>
        <w:t xml:space="preserve">the same period (which generate both the need for compensation and the resources to fund it).</w:t>
      </w:r>
      <w:r>
        <w:t xml:space="preserve"> </w:t>
      </w:r>
      <w:r>
        <w:t xml:space="preserve">It is also partly due to increases in budget and participation by Member States (though this can</w:t>
      </w:r>
      <w:r>
        <w:t xml:space="preserve"> </w:t>
      </w:r>
      <w:r>
        <w:t xml:space="preserve">vary year-on-year). Reports from Member States include justifications for exceeding 25% of</w:t>
      </w:r>
      <w:r>
        <w:t xml:space="preserve"> </w:t>
      </w:r>
      <w:r>
        <w:t xml:space="preserve">auctioning revenues where applicable. Member States typically attribute this to the level of</w:t>
      </w:r>
      <w:r>
        <w:t xml:space="preserve"> </w:t>
      </w:r>
      <w:r>
        <w:t xml:space="preserve">carbon prices, with some also attributing it to a high historical national share of low-carbon</w:t>
      </w:r>
      <w:r>
        <w:t xml:space="preserve"> </w:t>
      </w:r>
      <w:r>
        <w:t xml:space="preserve">electricity generation compared to their share of electro-intensive industries (i.e. more demand</w:t>
      </w:r>
      <w:r>
        <w:t xml:space="preserve"> </w:t>
      </w:r>
      <w:r>
        <w:t xml:space="preserve">for compensation relative to available auction revenues).</w:t>
      </w:r>
      <w:r>
        <w:t xml:space="preserve"> </w:t>
      </w:r>
      <w:r>
        <w:t xml:space="preserve">The total payments for indirect costs incurred in 2022 were equivalent to 16% of the 2022</w:t>
      </w:r>
      <w:r>
        <w:t xml:space="preserve"> </w:t>
      </w:r>
      <w:r>
        <w:t xml:space="preserve">auction revenue collected by 15 Member States. However, five Member States (Austria,</w:t>
      </w:r>
      <w:r>
        <w:t xml:space="preserve"> </w:t>
      </w:r>
      <w:r>
        <w:t xml:space="preserve">Belgium, France, Luxembourg and Romania) provided aid in excess of the recommended 25%</w:t>
      </w:r>
      <w:r>
        <w:t xml:space="preserve"> </w:t>
      </w:r>
      <w:r>
        <w:t xml:space="preserve">limit.165 This demonstrates that Member States differ in their prioritisation of ICC payments.</w:t>
      </w:r>
      <w:r>
        <w:t xml:space="preserve"> </w:t>
      </w:r>
      <w:r>
        <w:t xml:space="preserve">However, each Member State’s share of national ETS auction revenues is not necessarily</w:t>
      </w:r>
      <w:r>
        <w:t xml:space="preserve"> </w:t>
      </w:r>
      <w:r>
        <w:t xml:space="preserve">correlated to the size of its electro-intensive industries.</w:t>
      </w:r>
      <w:r>
        <w:br/>
      </w:r>
      <w:r>
        <w:t xml:space="preserve">Reports from Member States are used by the Commission to assess ICC payments as part of</w:t>
      </w:r>
      <w:r>
        <w:t xml:space="preserve"> </w:t>
      </w:r>
      <w:r>
        <w:t xml:space="preserve">the annual report on the functioning of the European carbon market. The level of detail possible</w:t>
      </w:r>
      <w:r>
        <w:t xml:space="preserve"> </w:t>
      </w:r>
      <w:r>
        <w:t xml:space="preserve">in this assessment is limited due to differences between Member States in the level of detail</w:t>
      </w:r>
      <w:r>
        <w:t xml:space="preserve"> </w:t>
      </w:r>
      <w:r>
        <w:t xml:space="preserve">and topics covered. This in turn is not surprising, given the low level of precision in the Article</w:t>
      </w:r>
      <w:r>
        <w:t xml:space="preserve"> </w:t>
      </w:r>
      <w:r>
        <w:t xml:space="preserve">10a(6) reporting provisions. In order to estimate how the potential need for ICC payments are</w:t>
      </w:r>
      <w:r>
        <w:t xml:space="preserve"> </w:t>
      </w:r>
      <w:r>
        <w:t xml:space="preserve">distributed across Member States, Eurostat data on the electricity consumption of each Member</w:t>
      </w:r>
      <w:r>
        <w:t xml:space="preserve"> </w:t>
      </w:r>
      <w:r>
        <w:t xml:space="preserve">State by NACE activity was combined with Prodcom data on sold production to provide a</w:t>
      </w:r>
      <w:r>
        <w:t xml:space="preserve"> </w:t>
      </w:r>
      <w:r>
        <w:t xml:space="preserve">simplified comparison of each Members State’s ICC payment relative to its share of EU27</w:t>
      </w:r>
      <w:r>
        <w:t xml:space="preserve"> </w:t>
      </w:r>
      <w:r>
        <w:t xml:space="preserve">indirect emissions in relevant sectors (a rough metric for their potential to provide ICC</w:t>
      </w:r>
      <w:r>
        <w:t xml:space="preserve"> </w:t>
      </w:r>
      <w:r>
        <w:t xml:space="preserve">compensation if they wished).</w:t>
      </w:r>
      <w:r>
        <w:br/>
      </w:r>
      <w:r>
        <w:t xml:space="preserve">The outcome of this exercise is illustrated in Figure 26 below. It indicates that Germany</w:t>
      </w:r>
      <w:r>
        <w:t xml:space="preserve"> </w:t>
      </w:r>
      <w:r>
        <w:t xml:space="preserve">provides the most aid and has greatest need, while Italy and Spain provide relatively little</w:t>
      </w:r>
      <w:r>
        <w:t xml:space="preserve"> </w:t>
      </w:r>
      <w:r>
        <w:t xml:space="preserve">compared to their industry size.</w:t>
      </w:r>
      <w:r>
        <w:t xml:space="preserve"> </w:t>
      </w:r>
      <w:r>
        <w:t xml:space="preserve">While the figure suggests that Finland and Sweden have a substantial need for compensation,</w:t>
      </w:r>
      <w:r>
        <w:t xml:space="preserve"> </w:t>
      </w:r>
      <w:r>
        <w:t xml:space="preserve">this may be misleading. In the case of Sweden, the high share shown in the figure replicates</w:t>
      </w:r>
      <w:r>
        <w:t xml:space="preserve"> </w:t>
      </w:r>
      <w:r>
        <w:t xml:space="preserve">the State aid guidelines, which use a national emission factor to represent. However, the</w:t>
      </w:r>
      <w:r>
        <w:t xml:space="preserve"> </w:t>
      </w:r>
      <w:r>
        <w:t xml:space="preserve">Swedish electricity market is split into four zones, with much of industry represented in</w:t>
      </w:r>
      <w:r>
        <w:t xml:space="preserve"> </w:t>
      </w:r>
      <w:r>
        <w:t xml:space="preserve">Northern zones where electricity is both cheaper and less carbon intensive. In the case of</w:t>
      </w:r>
      <w:r>
        <w:t xml:space="preserve"> </w:t>
      </w:r>
      <w:r>
        <w:t xml:space="preserve">Finland, the exposure of industry to indirect carbon costs may be lower than shown in the figure</w:t>
      </w:r>
      <w:r>
        <w:t xml:space="preserve"> </w:t>
      </w:r>
      <w:r>
        <w:t xml:space="preserve">since a proportion of Finnish industries tend to generate their own electricity, so will not be</w:t>
      </w:r>
      <w:r>
        <w:t xml:space="preserve"> </w:t>
      </w:r>
      <w:r>
        <w:t xml:space="preserve">exposed to indirect carbon cost passed on through marginal electricity pricing to the same</w:t>
      </w:r>
      <w:r>
        <w:t xml:space="preserve"> </w:t>
      </w:r>
      <w:r>
        <w:t xml:space="preserve">extent as firms reliant on traded electricity.</w:t>
      </w:r>
    </w:p>
    <w:p>
      <w:pPr>
        <w:pStyle w:val="BodyText"/>
      </w:pPr>
      <w:r>
        <w:t xml:space="preserve">165 REPORT FROM THE COMMISSION TO THE EUROPEAN PARLIAMENT AND THE COUNCIL on the</w:t>
      </w:r>
      <w:r>
        <w:t xml:space="preserve"> </w:t>
      </w:r>
      <w:r>
        <w:t xml:space="preserve">functioning of the European carbon market in 2023, SWD(2024) 264 final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Figure 26: Indirect cost compensation (2021-23 average) of each Member State compared to their</w:t>
      </w:r>
      <w:r>
        <w:t xml:space="preserve"> </w:t>
      </w:r>
      <w:r>
        <w:t xml:space="preserve">share of the total EU indirect emissions (2021-23 average) that were eligible for ICC payments</w:t>
      </w:r>
    </w:p>
    <w:p>
      <w:pPr>
        <w:pStyle w:val="BodyText"/>
      </w:pPr>
      <w:r>
        <w:t xml:space="preserve">Note:</w:t>
      </w:r>
      <w:r>
        <w:t xml:space="preserve"> </w:t>
      </w:r>
      <w:r>
        <w:t xml:space="preserve">No information on PRODVAL for NACE code 19.20 (i.e. refined petroleum products) so excluded from</w:t>
      </w:r>
      <w:r>
        <w:t xml:space="preserve"> </w:t>
      </w:r>
      <w:r>
        <w:t xml:space="preserve">the graph and calculation of indirect emissions but ICC payments to sector are represented by the blue bar.</w:t>
      </w:r>
      <w:r>
        <w:br/>
      </w:r>
      <w:r>
        <w:t xml:space="preserve">Source:</w:t>
      </w:r>
      <w:r>
        <w:br/>
      </w:r>
      <w:r>
        <w:t xml:space="preserve">Eurostat (2025), Own calculation.</w:t>
      </w:r>
      <w:r>
        <w:t xml:space="preserve"> </w:t>
      </w:r>
      <w:r>
        <w:t xml:space="preserve">Effectiveness of reporting and conditionality framework in guiding expenditure by</w:t>
      </w:r>
      <w:r>
        <w:t xml:space="preserve"> </w:t>
      </w:r>
      <w:r>
        <w:t xml:space="preserve">beneficiaries</w:t>
      </w:r>
      <w:r>
        <w:t xml:space="preserve"> </w:t>
      </w:r>
      <w:r>
        <w:t xml:space="preserve">Both the ETS Directive and State aid guidelines include reporting requirements for Member</w:t>
      </w:r>
      <w:r>
        <w:t xml:space="preserve"> </w:t>
      </w:r>
      <w:r>
        <w:t xml:space="preserve">States. These are summarised in Table 11 below. As the table shows, the reporting requirement</w:t>
      </w:r>
      <w:r>
        <w:t xml:space="preserve"> </w:t>
      </w:r>
      <w:r>
        <w:t xml:space="preserve">under the ETS Directive is more qualitative, open to Member State interpretation and intended</w:t>
      </w:r>
      <w:r>
        <w:t xml:space="preserve"> </w:t>
      </w:r>
      <w:r>
        <w:t xml:space="preserve">for a public audience. On the other hand, the reporting requirements from the State aid</w:t>
      </w:r>
      <w:r>
        <w:t xml:space="preserve"> </w:t>
      </w:r>
      <w:r>
        <w:t xml:space="preserve">guidelines are more specific.</w:t>
      </w:r>
      <w:r>
        <w:t xml:space="preserve"> </w:t>
      </w:r>
      <w:r>
        <w:t xml:space="preserve">Table 11: Reporting Requirements for Member States providing State aid for Indirect Carbon Cost</w:t>
      </w:r>
      <w:r>
        <w:t xml:space="preserve"> </w:t>
      </w:r>
      <w:r>
        <w:t xml:space="preserve">Compensation</w:t>
      </w:r>
      <w:r>
        <w:t xml:space="preserve"> </w:t>
      </w:r>
      <w:r>
        <w:t xml:space="preserve">ETS Directive</w:t>
      </w:r>
      <w:r>
        <w:t xml:space="preserve"> </w:t>
      </w:r>
      <w:r>
        <w:t xml:space="preserve">State aid guidelines</w:t>
      </w:r>
      <w:r>
        <w:t xml:space="preserve"> </w:t>
      </w:r>
      <w:r>
        <w:t xml:space="preserve">Article 10a(6)</w:t>
      </w:r>
      <w:r>
        <w:t xml:space="preserve"> </w:t>
      </w:r>
      <w:r>
        <w:t xml:space="preserve">Member States shall make available to the public,</w:t>
      </w:r>
      <w:r>
        <w:t xml:space="preserve"> </w:t>
      </w:r>
      <w:r>
        <w:t xml:space="preserve">in an easily accessible form, within three months</w:t>
      </w:r>
      <w:r>
        <w:t xml:space="preserve"> </w:t>
      </w:r>
      <w:r>
        <w:t xml:space="preserve">of the end of each year:</w:t>
      </w:r>
      <w:r>
        <w:t xml:space="preserve"> </w:t>
      </w:r>
      <w:r>
        <w:t xml:space="preserve">• Total amount of compensation provided per</w:t>
      </w:r>
      <w:r>
        <w:t xml:space="preserve"> </w:t>
      </w:r>
      <w:r>
        <w:t xml:space="preserve">benefitting sector &amp; subsector.</w:t>
      </w:r>
      <w:r>
        <w:t xml:space="preserve"> </w:t>
      </w:r>
      <w:r>
        <w:t xml:space="preserve">• The reasons for exceeding 25% of auction</w:t>
      </w:r>
      <w:r>
        <w:t xml:space="preserve"> </w:t>
      </w:r>
      <w:r>
        <w:t xml:space="preserve">revenues (if applicable).</w:t>
      </w:r>
      <w:r>
        <w:t xml:space="preserve"> </w:t>
      </w:r>
      <w:r>
        <w:t xml:space="preserve">2020/C 317/04. Point 60</w:t>
      </w:r>
      <w:r>
        <w:t xml:space="preserve"> </w:t>
      </w:r>
      <w:r>
        <w:t xml:space="preserve">Member States report annually to the</w:t>
      </w:r>
      <w:r>
        <w:t xml:space="preserve"> </w:t>
      </w:r>
      <w:r>
        <w:t xml:space="preserve">Commission using the standard form,</w:t>
      </w:r>
      <w:r>
        <w:t xml:space="preserve"> </w:t>
      </w:r>
      <w:r>
        <w:t xml:space="preserve">including:</w:t>
      </w:r>
      <w:r>
        <w:t xml:space="preserve"> </w:t>
      </w:r>
      <w:r>
        <w:t xml:space="preserve">• name of each beneficiary &amp; aided</w:t>
      </w:r>
      <w:r>
        <w:t xml:space="preserve"> </w:t>
      </w:r>
      <w:r>
        <w:t xml:space="preserve">installation.</w:t>
      </w:r>
      <w:r>
        <w:t xml:space="preserve"> </w:t>
      </w:r>
      <w:r>
        <w:t xml:space="preserve">• sector(s) in which beneficiary is</w:t>
      </w:r>
      <w:r>
        <w:t xml:space="preserve"> </w:t>
      </w:r>
      <w:r>
        <w:t xml:space="preserve">active (NACE-4 code).</w:t>
      </w:r>
      <w:r>
        <w:t xml:space="preserve"> </w:t>
      </w:r>
      <w:r>
        <w:t xml:space="preserve">• year for which aid is granted and</w:t>
      </w:r>
      <w:r>
        <w:t xml:space="preserve"> </w:t>
      </w:r>
      <w:r>
        <w:t xml:space="preserve">year paid.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• Information on electricity prices for large</w:t>
      </w:r>
      <w:r>
        <w:t xml:space="preserve"> </w:t>
      </w:r>
      <w:r>
        <w:t xml:space="preserve">industrial consumers benefitting from ICC</w:t>
      </w:r>
      <w:r>
        <w:t xml:space="preserve"> </w:t>
      </w:r>
      <w:r>
        <w:t xml:space="preserve">compensation.</w:t>
      </w:r>
      <w:r>
        <w:t xml:space="preserve"> </w:t>
      </w:r>
      <w:r>
        <w:t xml:space="preserve">• Whether due consideration has been given to</w:t>
      </w:r>
      <w:r>
        <w:t xml:space="preserve"> </w:t>
      </w:r>
      <w:r>
        <w:t xml:space="preserve">other measures to sustainably lower ICC costs</w:t>
      </w:r>
      <w:r>
        <w:t xml:space="preserve"> </w:t>
      </w:r>
      <w:r>
        <w:t xml:space="preserve">in the medium to long term.</w:t>
      </w:r>
      <w:r>
        <w:t xml:space="preserve"> </w:t>
      </w:r>
      <w:r>
        <w:t xml:space="preserve">Commission</w:t>
      </w:r>
      <w:r>
        <w:t xml:space="preserve"> </w:t>
      </w:r>
      <w:r>
        <w:t xml:space="preserve">• Assessment, in the annual report on the</w:t>
      </w:r>
      <w:r>
        <w:t xml:space="preserve"> </w:t>
      </w:r>
      <w:r>
        <w:t xml:space="preserve">functioning of the European carbon market, of</w:t>
      </w:r>
      <w:r>
        <w:t xml:space="preserve"> </w:t>
      </w:r>
      <w:r>
        <w:t xml:space="preserve">effects of ICC compensation on the internal</w:t>
      </w:r>
      <w:r>
        <w:t xml:space="preserve"> </w:t>
      </w:r>
      <w:r>
        <w:t xml:space="preserve">market.</w:t>
      </w:r>
      <w:r>
        <w:t xml:space="preserve"> </w:t>
      </w:r>
      <w:r>
        <w:t xml:space="preserve">• where appropriate, recommend any measures</w:t>
      </w:r>
      <w:r>
        <w:t xml:space="preserve"> </w:t>
      </w:r>
      <w:r>
        <w:t xml:space="preserve">that may be necessary.</w:t>
      </w:r>
      <w:r>
        <w:t xml:space="preserve"> </w:t>
      </w:r>
      <w:r>
        <w:t xml:space="preserve">• actual output for each aided</w:t>
      </w:r>
      <w:r>
        <w:t xml:space="preserve"> </w:t>
      </w:r>
      <w:r>
        <w:t xml:space="preserve">installation.</w:t>
      </w:r>
      <w:r>
        <w:t xml:space="preserve"> </w:t>
      </w:r>
      <w:r>
        <w:t xml:space="preserve">• actual electricity consumption for</w:t>
      </w:r>
      <w:r>
        <w:t xml:space="preserve"> </w:t>
      </w:r>
      <w:r>
        <w:t xml:space="preserve">each aided installation (if aid is</w:t>
      </w:r>
      <w:r>
        <w:t xml:space="preserve"> </w:t>
      </w:r>
      <w:r>
        <w:t xml:space="preserve">given using a fallback benchmark).</w:t>
      </w:r>
      <w:r>
        <w:t xml:space="preserve"> </w:t>
      </w:r>
      <w:r>
        <w:t xml:space="preserve">• EUA forward price used to compute</w:t>
      </w:r>
      <w:r>
        <w:t xml:space="preserve"> </w:t>
      </w:r>
      <w:r>
        <w:t xml:space="preserve">aid amount</w:t>
      </w:r>
      <w:r>
        <w:t xml:space="preserve"> </w:t>
      </w:r>
      <w:r>
        <w:t xml:space="preserve">• Aid intensity</w:t>
      </w:r>
      <w:r>
        <w:t xml:space="preserve"> </w:t>
      </w:r>
      <w:r>
        <w:t xml:space="preserve">• National CO2 emission factor</w:t>
      </w:r>
      <w:r>
        <w:t xml:space="preserve"> </w:t>
      </w:r>
      <w:r>
        <w:t xml:space="preserve">From 2021 onwards, the State aid guidelines for ICC compensation include the requirement</w:t>
      </w:r>
      <w:r>
        <w:t xml:space="preserve"> </w:t>
      </w:r>
      <w:r>
        <w:t xml:space="preserve">that beneficiaries of the aid take action to improve their environmental performance by either</w:t>
      </w:r>
      <w:r>
        <w:t xml:space="preserve"> </w:t>
      </w:r>
      <w:r>
        <w:t xml:space="preserve">i) implementing recommendations of an energy audit (provided the pay-back time does not</w:t>
      </w:r>
      <w:r>
        <w:t xml:space="preserve"> </w:t>
      </w:r>
      <w:r>
        <w:t xml:space="preserve">exceed three years); ii) covering at least 30% of their electricity consumption from carbon-free</w:t>
      </w:r>
      <w:r>
        <w:t xml:space="preserve"> </w:t>
      </w:r>
      <w:r>
        <w:t xml:space="preserve">sources; or iii) investing at least 50% of the aid amount in projects leading to substantial</w:t>
      </w:r>
      <w:r>
        <w:t xml:space="preserve"> </w:t>
      </w:r>
      <w:r>
        <w:t xml:space="preserve">reductions in the installation’s greenhouse gas emissions. Member States are not required to</w:t>
      </w:r>
      <w:r>
        <w:t xml:space="preserve"> </w:t>
      </w:r>
      <w:r>
        <w:t xml:space="preserve">report on how these conditions are implemented, although in several cases documentation of</w:t>
      </w:r>
      <w:r>
        <w:t xml:space="preserve"> </w:t>
      </w:r>
      <w:r>
        <w:t xml:space="preserve">the Member States’ implementation rules is publicly available.</w:t>
      </w:r>
      <w:r>
        <w:br/>
      </w:r>
      <w:r>
        <w:t xml:space="preserve">Commercial stakeholders were also consulted for this evaluation. Their observations included</w:t>
      </w:r>
      <w:r>
        <w:t xml:space="preserve"> </w:t>
      </w:r>
      <w:r>
        <w:t xml:space="preserve">that due to the functioning of the electricity market based on marginal pricing, indirect costs</w:t>
      </w:r>
      <w:r>
        <w:t xml:space="preserve"> </w:t>
      </w:r>
      <w:r>
        <w:t xml:space="preserve">paid by EU industry in the electricity price are not linked to the actual emissions of the</w:t>
      </w:r>
      <w:r>
        <w:t xml:space="preserve"> </w:t>
      </w:r>
      <w:r>
        <w:t xml:space="preserve">electricity consumption but to the emissions of the marginal electricity producer, which they</w:t>
      </w:r>
      <w:r>
        <w:t xml:space="preserve"> </w:t>
      </w:r>
      <w:r>
        <w:t xml:space="preserve">expect to remain largely fossil-based beyond 2030. While this may be true, the design of the</w:t>
      </w:r>
      <w:r>
        <w:t xml:space="preserve"> </w:t>
      </w:r>
      <w:r>
        <w:t xml:space="preserve">State aid guidelines already takes this into account since their emissions factors are based on</w:t>
      </w:r>
      <w:r>
        <w:t xml:space="preserve"> </w:t>
      </w:r>
      <w:r>
        <w:t xml:space="preserve">CO2 intensity of electricity produced from fossil fuels in the relevant geographical zone (the</w:t>
      </w:r>
      <w:r>
        <w:t xml:space="preserve"> </w:t>
      </w:r>
      <w:r>
        <w:t xml:space="preserve">long-term implications of this are explore in Annex 12 of the Impact Assessment). The</w:t>
      </w:r>
      <w:r>
        <w:t xml:space="preserve"> </w:t>
      </w:r>
      <w:r>
        <w:t xml:space="preserve">guidelines also provide Member States with the option of instead using an emissions factor</w:t>
      </w:r>
      <w:r>
        <w:t xml:space="preserve"> </w:t>
      </w:r>
      <w:r>
        <w:t xml:space="preserve">based on market-based modelling, though only two Member States currently make use of this.</w:t>
      </w:r>
      <w:r>
        <w:t xml:space="preserve"> </w:t>
      </w:r>
      <w:r>
        <w:t xml:space="preserve">Stakeholders also pointed out that financial compensation is typically only allowed for 75% of</w:t>
      </w:r>
      <w:r>
        <w:t xml:space="preserve"> </w:t>
      </w:r>
      <w:r>
        <w:t xml:space="preserve">eligible costs and is not implemented (at all or to the full extent) in several Member States,</w:t>
      </w:r>
      <w:r>
        <w:t xml:space="preserve"> </w:t>
      </w:r>
      <w:r>
        <w:t xml:space="preserve">which leaves local industries exposed to indirect costs without protection. Limiting the aid</w:t>
      </w:r>
      <w:r>
        <w:t xml:space="preserve"> </w:t>
      </w:r>
      <w:r>
        <w:t xml:space="preserve">intensity to 75% is an intentional feature of the guidelines, designed to limit negative effects</w:t>
      </w:r>
      <w:r>
        <w:t xml:space="preserve"> </w:t>
      </w:r>
      <w:r>
        <w:t xml:space="preserve">on competition and maintain an incentive to reduce indirect emissions (e.g. by improving</w:t>
      </w:r>
      <w:r>
        <w:t xml:space="preserve"> </w:t>
      </w:r>
      <w:r>
        <w:t xml:space="preserve">energy efficiency).</w:t>
      </w:r>
      <w:r>
        <w:br/>
      </w:r>
      <w:r>
        <w:t xml:space="preserve">Stakeholders from sectors that at that point were not eligible for ICC compensation (such as</w:t>
      </w:r>
      <w:r>
        <w:t xml:space="preserve"> </w:t>
      </w:r>
      <w:r>
        <w:t xml:space="preserve">glass and ceramics) stressed how their inclusion would help their sectors to switch to electrified</w:t>
      </w:r>
      <w:r>
        <w:t xml:space="preserve"> </w:t>
      </w:r>
      <w:r>
        <w:t xml:space="preserve">processes. These sectors have since become eligible in the 2025 amendment to the State aid</w:t>
      </w:r>
      <w:r>
        <w:t xml:space="preserve"> </w:t>
      </w:r>
      <w:r>
        <w:t xml:space="preserve">guidelines.</w:t>
      </w:r>
      <w:r>
        <w:t xml:space="preserve"> </w:t>
      </w:r>
      <w:r>
        <w:t xml:space="preserve">8.3.4.2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efficiency of free allocation as a measure for reducing the risk of carbon leakage is</w:t>
      </w:r>
      <w:r>
        <w:t xml:space="preserve"> </w:t>
      </w:r>
      <w:r>
        <w:t xml:space="preserve">evaluated on the basis of the following questions: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•</w:t>
      </w:r>
      <w:r>
        <w:t xml:space="preserve"> </w:t>
      </w:r>
      <w:r>
        <w:t xml:space="preserve">EQ1: Are the current carbon leakage provisions only applied to those (sub-)sectors</w:t>
      </w:r>
      <w:r>
        <w:t xml:space="preserve"> </w:t>
      </w:r>
      <w:r>
        <w:t xml:space="preserve">where it is necessary?</w:t>
      </w:r>
      <w:r>
        <w:br/>
      </w:r>
      <w:r>
        <w:t xml:space="preserve">Based upon the quantitative assessment undertaken in the previous section on effectiveness,</w:t>
      </w:r>
      <w:r>
        <w:t xml:space="preserve"> </w:t>
      </w:r>
      <w:r>
        <w:t xml:space="preserve">the change to a single metric for determining the carbon leakage list in Phase IV resulted in</w:t>
      </w:r>
      <w:r>
        <w:t xml:space="preserve"> </w:t>
      </w:r>
      <w:r>
        <w:t xml:space="preserve">free allocation becoming more targeted in comparison to Phase III. The removal of many</w:t>
      </w:r>
      <w:r>
        <w:t xml:space="preserve"> </w:t>
      </w:r>
      <w:r>
        <w:t xml:space="preserve">sectors and sub-sectors from the carbon leakage list that previously only qualified for free</w:t>
      </w:r>
      <w:r>
        <w:t xml:space="preserve"> </w:t>
      </w:r>
      <w:r>
        <w:t xml:space="preserve">allocation on the basis of trade intensity alone represents an improvement in overall</w:t>
      </w:r>
      <w:r>
        <w:t xml:space="preserve"> </w:t>
      </w:r>
      <w:r>
        <w:t xml:space="preserve">effectiveness.</w:t>
      </w:r>
      <w:r>
        <w:t xml:space="preserve"> </w:t>
      </w:r>
      <w:r>
        <w:t xml:space="preserve">•</w:t>
      </w:r>
      <w:r>
        <w:t xml:space="preserve"> </w:t>
      </w:r>
      <w:r>
        <w:t xml:space="preserve">EQ2: Is the increased amount of free allocation due to the carbon leakage provisions</w:t>
      </w:r>
      <w:r>
        <w:t xml:space="preserve"> </w:t>
      </w:r>
      <w:r>
        <w:t xml:space="preserve">cost-efficient, in particular with a view to reduced auctioning revenues for MS? Is there</w:t>
      </w:r>
      <w:r>
        <w:t xml:space="preserve"> </w:t>
      </w:r>
      <w:r>
        <w:t xml:space="preserve">evidence for significant cases of windfall profits, which would prove inefficiency in</w:t>
      </w:r>
      <w:r>
        <w:t xml:space="preserve"> </w:t>
      </w:r>
      <w:r>
        <w:t xml:space="preserve">this regard?</w:t>
      </w:r>
      <w:r>
        <w:br/>
      </w:r>
      <w:r>
        <w:t xml:space="preserve">Evidence of windfall profits</w:t>
      </w:r>
      <w:r>
        <w:t xml:space="preserve"> </w:t>
      </w:r>
      <w:r>
        <w:t xml:space="preserve">The EU ETS aims to internalise the cost of carbon into economic decisions, particularly by</w:t>
      </w:r>
      <w:r>
        <w:t xml:space="preserve"> </w:t>
      </w:r>
      <w:r>
        <w:t xml:space="preserve">creating a price signal that influences both producers and consumers. A key component of this</w:t>
      </w:r>
      <w:r>
        <w:t xml:space="preserve"> </w:t>
      </w:r>
      <w:r>
        <w:t xml:space="preserve">mechanism is cost-pass-through, which occurs when firms factor the carbon price into product</w:t>
      </w:r>
      <w:r>
        <w:t xml:space="preserve"> </w:t>
      </w:r>
      <w:r>
        <w:t xml:space="preserve">prices, even if they receive emission allowances for free. This is grounded in standard economic</w:t>
      </w:r>
      <w:r>
        <w:t xml:space="preserve"> </w:t>
      </w:r>
      <w:r>
        <w:t xml:space="preserve">theory: if a company uses a free allowance to comply with emission rules, it gives up the</w:t>
      </w:r>
      <w:r>
        <w:t xml:space="preserve"> </w:t>
      </w:r>
      <w:r>
        <w:t xml:space="preserve">opportunity to sell it, meaning the opportunity cost of that allowance is equal to its market</w:t>
      </w:r>
      <w:r>
        <w:t xml:space="preserve"> </w:t>
      </w:r>
      <w:r>
        <w:t xml:space="preserve">value. Firms seeking to recover all costs, including opportunity costs, are thus incentivised to</w:t>
      </w:r>
      <w:r>
        <w:t xml:space="preserve"> </w:t>
      </w:r>
      <w:r>
        <w:t xml:space="preserve">pass those costs to consumers through higher prices.</w:t>
      </w:r>
      <w:r>
        <w:t xml:space="preserve"> </w:t>
      </w:r>
      <w:r>
        <w:t xml:space="preserve">It should be noted that cost-pass through itself is not a flaw, but rather a design feature of the</w:t>
      </w:r>
      <w:r>
        <w:t xml:space="preserve"> </w:t>
      </w:r>
      <w:r>
        <w:t xml:space="preserve">EU ETS. By raising the prices of carbon-intensive goods, the ETS aims to steer consumption</w:t>
      </w:r>
      <w:r>
        <w:t xml:space="preserve"> </w:t>
      </w:r>
      <w:r>
        <w:t xml:space="preserve">toward cleaner alternatives. This makes the ETS more efficient by ensuring that the carbon</w:t>
      </w:r>
      <w:r>
        <w:t xml:space="preserve"> </w:t>
      </w:r>
      <w:r>
        <w:t xml:space="preserve">costs are reflected throughout the economy. The potential issue, however, arises when firms</w:t>
      </w:r>
      <w:r>
        <w:t xml:space="preserve"> </w:t>
      </w:r>
      <w:r>
        <w:t xml:space="preserve">receive allowances for free and still raise prices. This results in altered consumer behaviour,</w:t>
      </w:r>
      <w:r>
        <w:t xml:space="preserve"> </w:t>
      </w:r>
      <w:r>
        <w:t xml:space="preserve">but also in windfall profits.</w:t>
      </w:r>
      <w:r>
        <w:t xml:space="preserve"> </w:t>
      </w:r>
      <w:r>
        <w:t xml:space="preserve">Windfall profits occur when companies can pass through carbon cost and consequentially raise</w:t>
      </w:r>
      <w:r>
        <w:t xml:space="preserve"> </w:t>
      </w:r>
      <w:r>
        <w:t xml:space="preserve">prices based on the market value of emission allowances they receive for free. The CE Delft</w:t>
      </w:r>
      <w:r>
        <w:t xml:space="preserve"> </w:t>
      </w:r>
      <w:r>
        <w:t xml:space="preserve">report166 quantifies windfall profits by estimating the additional profits companies earned</w:t>
      </w:r>
      <w:r>
        <w:t xml:space="preserve"> </w:t>
      </w:r>
      <w:r>
        <w:t xml:space="preserve">through the EU ETS, primarily as a result of receiving free emission allowances. The core</w:t>
      </w:r>
      <w:r>
        <w:t xml:space="preserve"> </w:t>
      </w:r>
      <w:r>
        <w:t xml:space="preserve">component of the methodology focused on calculating the value of cost-pass through for carbon</w:t>
      </w:r>
      <w:r>
        <w:t xml:space="preserve"> </w:t>
      </w:r>
      <w:r>
        <w:t xml:space="preserve">allowances. These profits were calculated by multiplying verified emissions by the estimated</w:t>
      </w:r>
      <w:r>
        <w:t xml:space="preserve"> </w:t>
      </w:r>
      <w:r>
        <w:t xml:space="preserve">cost pass through rate and the annual EUA price. To reflect real-world conditions, the analysis</w:t>
      </w:r>
      <w:r>
        <w:t xml:space="preserve"> </w:t>
      </w:r>
      <w:r>
        <w:t xml:space="preserve">also adjusts for potential loss in market share due to higher prices, by comparing firm-level</w:t>
      </w:r>
      <w:r>
        <w:t xml:space="preserve"> </w:t>
      </w:r>
      <w:r>
        <w:t xml:space="preserve">profits under a cost pass through scenario to a counterfactual scenario with no pass-through.</w:t>
      </w:r>
      <w:r>
        <w:t xml:space="preserve"> </w:t>
      </w:r>
      <w:r>
        <w:t xml:space="preserve">Additional sources of windfall profits identified by the CE Delft report include profits from the</w:t>
      </w:r>
      <w:r>
        <w:t xml:space="preserve"> </w:t>
      </w:r>
      <w:r>
        <w:t xml:space="preserve">overallocation of allowances and the use of cheaper international offsets for compliance,</w:t>
      </w:r>
      <w:r>
        <w:t xml:space="preserve"> </w:t>
      </w:r>
      <w:r>
        <w:t xml:space="preserve">which, however, is no longer allowed in the EU ETS. Cost pass through was identified to be</w:t>
      </w:r>
      <w:r>
        <w:t xml:space="preserve"> </w:t>
      </w:r>
      <w:r>
        <w:t xml:space="preserve">the largest driver of windfall profits, with an estimated EUR 26-46 billion between 2008 and</w:t>
      </w:r>
      <w:r>
        <w:t xml:space="preserve"> </w:t>
      </w:r>
      <w:r>
        <w:t xml:space="preserve">2019, after adjusting for market share losses. The study shows that in almost all sectors, the</w:t>
      </w:r>
      <w:r>
        <w:t xml:space="preserve"> </w:t>
      </w:r>
      <w:r>
        <w:t xml:space="preserve">additional profits from cost pass through largely outweighed any loss in profits due to reduced</w:t>
      </w:r>
      <w:r>
        <w:t xml:space="preserve"> </w:t>
      </w:r>
      <w:r>
        <w:t xml:space="preserve">market share. The iron and steel, refineries and cement sectors accrued respectively up to 16</w:t>
      </w:r>
    </w:p>
    <w:p>
      <w:pPr>
        <w:pStyle w:val="BodyText"/>
      </w:pPr>
      <w:r>
        <w:t xml:space="preserve">166 CE Delft, 2021. “Additional profits of sectors and firms from the EU ETS 2008-2019”, Delft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billion EUR, 12 billion EUR, and 7 billion EUR of windfall profits from carbon cost pass</w:t>
      </w:r>
      <w:r>
        <w:t xml:space="preserve"> </w:t>
      </w:r>
      <w:r>
        <w:t xml:space="preserve">through.167</w:t>
      </w:r>
      <w:r>
        <w:br/>
      </w:r>
      <w:r>
        <w:t xml:space="preserve">1. Evidence on cost pass‑through of EU ETS carbon costs in industry is very limited,</w:t>
      </w:r>
      <w:r>
        <w:t xml:space="preserve"> </w:t>
      </w:r>
      <w:r>
        <w:t xml:space="preserve">especially when compared to the extensive literature for the power sector. The only systematic,</w:t>
      </w:r>
      <w:r>
        <w:t xml:space="preserve"> </w:t>
      </w:r>
      <w:r>
        <w:t xml:space="preserve">multi‑sector econometric evidence available remains the ex‑post study by Cludius et al. </w:t>
      </w:r>
      <w:r>
        <w:t xml:space="preserve"> </w:t>
      </w:r>
      <w:r>
        <w:t xml:space="preserve">(2020)168, which is now relatively dated and covers mainly Phases II and III of the EU ETS</w:t>
      </w:r>
      <w:r>
        <w:t xml:space="preserve"> </w:t>
      </w:r>
      <w:r>
        <w:t xml:space="preserve">(roughly 2008–2014). Using product‑level price data for more than 50 product–country</w:t>
      </w:r>
      <w:r>
        <w:t xml:space="preserve"> </w:t>
      </w:r>
      <w:r>
        <w:t xml:space="preserve">combinations across six industrial sectors (cement, iron and steel, refineries, fertilisers,</w:t>
      </w:r>
      <w:r>
        <w:t xml:space="preserve"> </w:t>
      </w:r>
      <w:r>
        <w:t xml:space="preserve">petrochemicals and glass), the study applies econometric cost‑price models to identify whether</w:t>
      </w:r>
      <w:r>
        <w:t xml:space="preserve"> </w:t>
      </w:r>
      <w:r>
        <w:t xml:space="preserve">changes in EUA prices are reflected in product prices. The analysis finds statistically significant</w:t>
      </w:r>
      <w:r>
        <w:t xml:space="preserve"> </w:t>
      </w:r>
      <w:r>
        <w:t xml:space="preserve">evidence of carbon cost pass‑through in around 60% of the cases examined, with results most</w:t>
      </w:r>
      <w:r>
        <w:t xml:space="preserve"> </w:t>
      </w:r>
      <w:r>
        <w:t xml:space="preserve">robust for cement, iron and steel, and refineries. Indicative pass‑through rates are estimated to</w:t>
      </w:r>
      <w:r>
        <w:t xml:space="preserve"> </w:t>
      </w:r>
      <w:r>
        <w:t xml:space="preserve">range from about 20-40% for bulk cement products, rising to 90-100% for Portland cement,</w:t>
      </w:r>
      <w:r>
        <w:t xml:space="preserve"> </w:t>
      </w:r>
      <w:r>
        <w:t xml:space="preserve">55-85% for most steel products, and 80-100% for refinery products, while results for fertilisers,</w:t>
      </w:r>
      <w:r>
        <w:t xml:space="preserve"> </w:t>
      </w:r>
      <w:r>
        <w:t xml:space="preserve">petrochemicals and glass are more mixed and less robust due to data and modelling limitations.</w:t>
      </w:r>
      <w:r>
        <w:t xml:space="preserve"> </w:t>
      </w:r>
      <w:r>
        <w:t xml:space="preserve">Importantly, the authors stress that these rates are indicative rather than precise, reflecting</w:t>
      </w:r>
      <w:r>
        <w:t xml:space="preserve"> </w:t>
      </w:r>
      <w:r>
        <w:t xml:space="preserve">substantial heterogeneity across products and countries and the inherent difficulty of estimating</w:t>
      </w:r>
      <w:r>
        <w:t xml:space="preserve"> </w:t>
      </w:r>
      <w:r>
        <w:t xml:space="preserve">pass‑through in industrial markets with opaque pricing, limited high‑frequency data and</w:t>
      </w:r>
      <w:r>
        <w:t xml:space="preserve"> </w:t>
      </w:r>
      <w:r>
        <w:t xml:space="preserve">complex market structures.</w:t>
      </w:r>
      <w:r>
        <w:t xml:space="preserve"> </w:t>
      </w:r>
      <w:r>
        <w:t xml:space="preserve">2. For the power sector, a small number of empirical studies provide more systematic</w:t>
      </w:r>
      <w:r>
        <w:t xml:space="preserve"> </w:t>
      </w:r>
      <w:r>
        <w:t xml:space="preserve">evidence, albeit with important limitations. In particular, Bai and Okullo (2023)169 analyse</w:t>
      </w:r>
      <w:r>
        <w:t xml:space="preserve"> </w:t>
      </w:r>
      <w:r>
        <w:t xml:space="preserve">carbon cost pass‑through in electricity markets using futures price data for seven European</w:t>
      </w:r>
      <w:r>
        <w:t xml:space="preserve"> </w:t>
      </w:r>
      <w:r>
        <w:t xml:space="preserve">power markets (Germany, France, Italy, the Netherlands, Belgium, the UK and Nord Pool)</w:t>
      </w:r>
      <w:r>
        <w:t xml:space="preserve"> </w:t>
      </w:r>
      <w:r>
        <w:t xml:space="preserve">over EU ETS Phases II and III, finding that allowance costs are fully or more‑than‑fully passed</w:t>
      </w:r>
      <w:r>
        <w:t xml:space="preserve"> </w:t>
      </w:r>
      <w:r>
        <w:t xml:space="preserve">through to wholesale electricity prices, consistent with marginal cost pricing and fuel‑switching</w:t>
      </w:r>
      <w:r>
        <w:t xml:space="preserve"> </w:t>
      </w:r>
      <w:r>
        <w:t xml:space="preserve">under competitive power market conditions. More recent evidence for Italy170 alone suggests</w:t>
      </w:r>
      <w:r>
        <w:t xml:space="preserve"> </w:t>
      </w:r>
      <w:r>
        <w:t xml:space="preserve">that pass‑through in electricity markets during Phases III and IV is positive but incomplete,</w:t>
      </w:r>
      <w:r>
        <w:t xml:space="preserve"> </w:t>
      </w:r>
      <w:r>
        <w:t xml:space="preserve">with average pass‑through rates of around 30% and substantial regional heterogeneity across</w:t>
      </w:r>
      <w:r>
        <w:t xml:space="preserve"> </w:t>
      </w:r>
      <w:r>
        <w:t xml:space="preserve">bidding zones, reflecting differences in generation mix and market structure. While these</w:t>
      </w:r>
      <w:r>
        <w:t xml:space="preserve"> </w:t>
      </w:r>
      <w:r>
        <w:t xml:space="preserve">studies support the conclusion that carbon costs are at least partially reflected in electricity</w:t>
      </w:r>
      <w:r>
        <w:t xml:space="preserve"> </w:t>
      </w:r>
      <w:r>
        <w:t xml:space="preserve">prices, their applicability is constrained by data coverage (futures or zone‑specific prices),</w:t>
      </w:r>
      <w:r>
        <w:t xml:space="preserve"> </w:t>
      </w:r>
      <w:r>
        <w:t xml:space="preserve">sectoral focus (power only), and geography, and none provides EU‑wide, multi‑country</w:t>
      </w:r>
      <w:r>
        <w:t xml:space="preserve"> </w:t>
      </w:r>
      <w:r>
        <w:t xml:space="preserve">evidence for Phase IV as a whole.</w:t>
      </w:r>
      <w:r>
        <w:t xml:space="preserve"> </w:t>
      </w:r>
      <w:r>
        <w:t xml:space="preserve">These findings have significant implications for the efficiency of the ETS. Although cost pass</w:t>
      </w:r>
      <w:r>
        <w:t xml:space="preserve"> </w:t>
      </w:r>
      <w:r>
        <w:t xml:space="preserve">through helps internalise the cost of carbon, windfall profits arising from free allocation do not</w:t>
      </w:r>
      <w:r>
        <w:t xml:space="preserve"> </w:t>
      </w:r>
      <w:r>
        <w:t xml:space="preserve">necessarily contribute to decarbonisation. Free allocation is considered to be the primary cause</w:t>
      </w:r>
    </w:p>
    <w:p>
      <w:pPr>
        <w:pStyle w:val="BodyText"/>
      </w:pPr>
      <w:r>
        <w:t xml:space="preserve">167 However, the cost pass through rates applied in the CE Delft study were based on a range of literature sources</w:t>
      </w:r>
      <w:r>
        <w:t xml:space="preserve"> </w:t>
      </w:r>
      <w:r>
        <w:t xml:space="preserve">that are not accepted by industrial sectors who argued strongly during the stakeholder consultation that their</w:t>
      </w:r>
      <w:r>
        <w:t xml:space="preserve"> </w:t>
      </w:r>
      <w:r>
        <w:t xml:space="preserve">ability to pass through costs were very limited.</w:t>
      </w:r>
      <w:r>
        <w:t xml:space="preserve"> </w:t>
      </w:r>
      <w:r>
        <w:t xml:space="preserve">168 Johanna Cludius, Sander de Bruyn, Katja Schumacher, Robert Vergeer, 2021. “Ex-post investigation of cost</w:t>
      </w:r>
      <w:r>
        <w:t xml:space="preserve"> </w:t>
      </w:r>
      <w:r>
        <w:t xml:space="preserve">pass-through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ETS</w:t>
      </w:r>
      <w:r>
        <w:t xml:space="preserve"> </w:t>
      </w:r>
      <w:r>
        <w:t xml:space="preserve">-</w:t>
      </w:r>
      <w:r>
        <w:t xml:space="preserve"> </w:t>
      </w:r>
      <w:r>
        <w:t xml:space="preserve">an</w:t>
      </w:r>
      <w:r>
        <w:t xml:space="preserve"> </w:t>
      </w:r>
      <w:r>
        <w:t xml:space="preserve">analysis</w:t>
      </w:r>
      <w:r>
        <w:t xml:space="preserve"> </w:t>
      </w:r>
      <w:r>
        <w:t xml:space="preserve">for</w:t>
      </w:r>
      <w:r>
        <w:t xml:space="preserve"> </w:t>
      </w:r>
      <w:r>
        <w:t xml:space="preserve">six</w:t>
      </w:r>
      <w:r>
        <w:t xml:space="preserve"> </w:t>
      </w:r>
      <w:r>
        <w:t xml:space="preserve">industry</w:t>
      </w:r>
      <w:r>
        <w:t xml:space="preserve"> </w:t>
      </w:r>
      <w:r>
        <w:t xml:space="preserve">sectors”,</w:t>
      </w:r>
      <w:r>
        <w:t xml:space="preserve"> </w:t>
      </w:r>
      <w:r>
        <w:t xml:space="preserve">https://doi.org/10.1016/j.eneco.2020.104883.</w:t>
      </w:r>
      <w:r>
        <w:t xml:space="preserve"> </w:t>
      </w:r>
      <w:r>
        <w:t xml:space="preserve">169 Yiyi Bai, Samuel J. Okullo, 2023. “Drivers and pass-through of the EU ETS price: Evidence from the power</w:t>
      </w:r>
      <w:r>
        <w:t xml:space="preserve"> </w:t>
      </w:r>
      <w:r>
        <w:t xml:space="preserve">sector”, Energy Economics, https://doi.org/10.1016/j.eneco.2023.106698.</w:t>
      </w:r>
      <w:r>
        <w:t xml:space="preserve"> </w:t>
      </w:r>
      <w:r>
        <w:t xml:space="preserve">170 Pierdomenico Duttilo, Francesco Lisi, 2026. “Carbon cost pass-through rate in power system: evidence from</w:t>
      </w:r>
      <w:r>
        <w:t xml:space="preserve"> </w:t>
      </w:r>
      <w:r>
        <w:t xml:space="preserve">Italy under the EU ETS”, https://arxiv.org/pdf/2604.03076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of windfall profits under the ETS. As the system matures, a reduction in free allowances,</w:t>
      </w:r>
      <w:r>
        <w:t xml:space="preserve"> </w:t>
      </w:r>
      <w:r>
        <w:t xml:space="preserve">combined with increased auctioning and the full implementation of the EU CBAM is expected</w:t>
      </w:r>
      <w:r>
        <w:t xml:space="preserve"> </w:t>
      </w:r>
      <w:r>
        <w:t xml:space="preserve">to reduce these undue rents and improve the system’s effectiveness, while still shielding</w:t>
      </w:r>
      <w:r>
        <w:t xml:space="preserve"> </w:t>
      </w:r>
      <w:r>
        <w:t xml:space="preserve">industries from international competition.</w:t>
      </w:r>
      <w:r>
        <w:t xml:space="preserve"> </w:t>
      </w:r>
      <w:r>
        <w:t xml:space="preserve">The extent to which carbon costs could be passed through was, however, strongly contested by</w:t>
      </w:r>
      <w:r>
        <w:t xml:space="preserve"> </w:t>
      </w:r>
      <w:r>
        <w:t xml:space="preserve">industry during interviews with stakeholders from all sectors.</w:t>
      </w:r>
      <w:r>
        <w:br/>
      </w:r>
      <w:r>
        <w:t xml:space="preserve">• Eurofer outlined that, in their view, the carbon cost cannot be passed through to the</w:t>
      </w:r>
      <w:r>
        <w:t xml:space="preserve"> </w:t>
      </w:r>
      <w:r>
        <w:t xml:space="preserve">consumer with the fundamental reason being that there is simply too much competition</w:t>
      </w:r>
      <w:r>
        <w:t xml:space="preserve"> </w:t>
      </w:r>
      <w:r>
        <w:t xml:space="preserve">from imports entering the domestic market for steel products in Europe. On average,</w:t>
      </w:r>
      <w:r>
        <w:t xml:space="preserve"> </w:t>
      </w:r>
      <w:r>
        <w:t xml:space="preserve">imports currently account for around 25% of the domestic consumption of finished steel</w:t>
      </w:r>
      <w:r>
        <w:t xml:space="preserve"> </w:t>
      </w:r>
      <w:r>
        <w:t xml:space="preserve">products in the EU. As a consequence, there is a constant downward pressure on prices</w:t>
      </w:r>
      <w:r>
        <w:t xml:space="preserve"> </w:t>
      </w:r>
      <w:r>
        <w:t xml:space="preserve">to remain competitive, and this limits the ability of EU producers to pass through the</w:t>
      </w:r>
      <w:r>
        <w:t xml:space="preserve"> </w:t>
      </w:r>
      <w:r>
        <w:t xml:space="preserve">carbon cost. It was, however, acknowledged that some markets may in the future be</w:t>
      </w:r>
      <w:r>
        <w:t xml:space="preserve"> </w:t>
      </w:r>
      <w:r>
        <w:t xml:space="preserve">more open for accepting green products, but this is not currently the case. The pressure</w:t>
      </w:r>
      <w:r>
        <w:t xml:space="preserve"> </w:t>
      </w:r>
      <w:r>
        <w:t xml:space="preserve">faced by EU firms in the steel sector is reflected by the overall negative financial results</w:t>
      </w:r>
      <w:r>
        <w:t xml:space="preserve"> </w:t>
      </w:r>
      <w:r>
        <w:t xml:space="preserve">in recent years with the exception of the post COVID-19 recovery that benefited most</w:t>
      </w:r>
      <w:r>
        <w:t xml:space="preserve"> </w:t>
      </w:r>
      <w:r>
        <w:t xml:space="preserve">industrial sectors.</w:t>
      </w:r>
      <w:r>
        <w:t xml:space="preserve"> </w:t>
      </w:r>
      <w:r>
        <w:t xml:space="preserve">• Eurometaux further argued that the sector operates on thin margins in global markets</w:t>
      </w:r>
      <w:r>
        <w:t xml:space="preserve"> </w:t>
      </w:r>
      <w:r>
        <w:t xml:space="preserve">where carbon costs cannot be passed on, and where competitors (e.g. China) do not face</w:t>
      </w:r>
      <w:r>
        <w:t xml:space="preserve"> </w:t>
      </w:r>
      <w:r>
        <w:t xml:space="preserve">equivalent rules and carbon pricing. As a price-taker industry, these additional carbon</w:t>
      </w:r>
      <w:r>
        <w:t xml:space="preserve"> </w:t>
      </w:r>
      <w:r>
        <w:t xml:space="preserve">costs cannot be passed on to customers without losing significant market share.</w:t>
      </w:r>
      <w:r>
        <w:t xml:space="preserve"> </w:t>
      </w:r>
      <w:r>
        <w:t xml:space="preserve">• Fertilisers Europe stated that as European producers are often the marginal producer,</w:t>
      </w:r>
      <w:r>
        <w:t xml:space="preserve"> </w:t>
      </w:r>
      <w:r>
        <w:t xml:space="preserve">this means that the additional unilateral carbon cost element could act as the trigger that</w:t>
      </w:r>
      <w:r>
        <w:t xml:space="preserve"> </w:t>
      </w:r>
      <w:r>
        <w:t xml:space="preserve">results in a loss in market share and exacerbates issues with the other main cost element</w:t>
      </w:r>
      <w:r>
        <w:t xml:space="preserve"> </w:t>
      </w:r>
      <w:r>
        <w:t xml:space="preserve">of production i.e. the relatively high natural gas prices in Europe. It is not possible, in</w:t>
      </w:r>
      <w:r>
        <w:t xml:space="preserve"> </w:t>
      </w:r>
      <w:r>
        <w:t xml:space="preserve">the view of Fertilisers Europe, to pass through the carbon cost.</w:t>
      </w:r>
      <w:r>
        <w:t xml:space="preserve"> </w:t>
      </w:r>
      <w:r>
        <w:t xml:space="preserve">• Glass for Europe argue that the carbon price is a unilateral cost and there remains a fear</w:t>
      </w:r>
      <w:r>
        <w:t xml:space="preserve"> </w:t>
      </w:r>
      <w:r>
        <w:t xml:space="preserve">within the flat glass industry that a continuation of the recent rising trend in EUA prices</w:t>
      </w:r>
      <w:r>
        <w:t xml:space="preserve"> </w:t>
      </w:r>
      <w:r>
        <w:t xml:space="preserve">will only exacerbate the problems that the industry faces in a very volatile trading</w:t>
      </w:r>
      <w:r>
        <w:t xml:space="preserve"> </w:t>
      </w:r>
      <w:r>
        <w:t xml:space="preserve">environment. In this context, products with low margins means any extra cost will be a</w:t>
      </w:r>
      <w:r>
        <w:t xml:space="preserve"> </w:t>
      </w:r>
      <w:r>
        <w:t xml:space="preserve">great source of concern.</w:t>
      </w:r>
      <w:r>
        <w:t xml:space="preserve"> </w:t>
      </w:r>
      <w:r>
        <w:t xml:space="preserve">• CEPI emphasise that their members operate on small margins and continue to compete</w:t>
      </w:r>
      <w:r>
        <w:t xml:space="preserve"> </w:t>
      </w:r>
      <w:r>
        <w:t xml:space="preserve">at a global level but warn that the risk of carbon leakage is real and may only be</w:t>
      </w:r>
      <w:r>
        <w:t xml:space="preserve"> </w:t>
      </w:r>
      <w:r>
        <w:t xml:space="preserve">definitely proven when it is too late and industry has relocated elsewhere.</w:t>
      </w:r>
      <w:r>
        <w:br/>
      </w:r>
      <w:r>
        <w:t xml:space="preserve">• CEFIC underlined that the carbon cost is one of the main elements impacting the</w:t>
      </w:r>
      <w:r>
        <w:t xml:space="preserve"> </w:t>
      </w:r>
      <w:r>
        <w:t xml:space="preserve">business operations in Europe due to its role in the marginal price of electricity.</w:t>
      </w:r>
      <w:r>
        <w:t xml:space="preserve"> </w:t>
      </w:r>
      <w:r>
        <w:t xml:space="preserve">Distortion of the carbon price signal</w:t>
      </w:r>
      <w:r>
        <w:t xml:space="preserve"> </w:t>
      </w:r>
      <w:r>
        <w:t xml:space="preserve">One of the primary objectives of the EU ETS is to reduce GHG emissions by putting a price</w:t>
      </w:r>
      <w:r>
        <w:t xml:space="preserve"> </w:t>
      </w:r>
      <w:r>
        <w:t xml:space="preserve">on carbon and using market forces to drive cost-effective decarbonisation. The carbon price,</w:t>
      </w:r>
      <w:r>
        <w:t xml:space="preserve"> </w:t>
      </w:r>
      <w:r>
        <w:t xml:space="preserve">set by the market through the trading of emissions allowances, is intended to signal to firms</w:t>
      </w:r>
      <w:r>
        <w:t xml:space="preserve"> </w:t>
      </w:r>
      <w:r>
        <w:t xml:space="preserve">that pollution has a cost and that investing in cleaner technologies is economically desirable.</w:t>
      </w:r>
      <w:r>
        <w:t xml:space="preserve"> </w:t>
      </w:r>
      <w:r>
        <w:t xml:space="preserve">In theory, this price signal should guide both operational and investment decisions,</w:t>
      </w:r>
      <w:r>
        <w:t xml:space="preserve"> </w:t>
      </w:r>
      <w:r>
        <w:t xml:space="preserve">encouraging emitters to reduce emissions and innovate toward low-carbon alternatives.</w:t>
      </w:r>
      <w:r>
        <w:t xml:space="preserve"> </w:t>
      </w:r>
      <w:r>
        <w:t xml:space="preserve">However, in its earlier phases, the EU ETS failed to deliver on these expectations due to</w:t>
      </w:r>
      <w:r>
        <w:t xml:space="preserve"> </w:t>
      </w:r>
      <w:r>
        <w:t xml:space="preserve">significant design flaws. During Phase I and II, the system was undermined by over-allocation</w:t>
      </w:r>
      <w:r>
        <w:t xml:space="preserve"> </w:t>
      </w:r>
      <w:r>
        <w:t xml:space="preserve">of free allowances, the use of the National Allocation Plan that lacked coordination, and a lack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of robust demand for allowances. This resulted in a persistently low and volatile carbon price,</w:t>
      </w:r>
      <w:r>
        <w:t xml:space="preserve"> </w:t>
      </w:r>
      <w:r>
        <w:t xml:space="preserve">at times close to zero. With allowances in oversupply and compliance costs minimal, many</w:t>
      </w:r>
      <w:r>
        <w:t xml:space="preserve"> </w:t>
      </w:r>
      <w:r>
        <w:t xml:space="preserve">firms opted to trade permits rather than invest in cleaner technologies. This blunted the price</w:t>
      </w:r>
      <w:r>
        <w:t xml:space="preserve"> </w:t>
      </w:r>
      <w:r>
        <w:t xml:space="preserve">signal and significantly weakened the incentive for innovation. The opportunity to reduce</w:t>
      </w:r>
      <w:r>
        <w:t xml:space="preserve"> </w:t>
      </w:r>
      <w:r>
        <w:t xml:space="preserve">emissions for profit by using fewer allowances and selling the surplus, was present in theory</w:t>
      </w:r>
      <w:r>
        <w:t xml:space="preserve"> </w:t>
      </w:r>
      <w:r>
        <w:t xml:space="preserve">but undermined in practice by weak market conditions and allocation choices.</w:t>
      </w:r>
      <w:r>
        <w:t xml:space="preserve"> </w:t>
      </w:r>
      <w:r>
        <w:t xml:space="preserve">Recognising these shortcomings, the EU gradually improved the ETS. From Phase III onwards,</w:t>
      </w:r>
      <w:r>
        <w:t xml:space="preserve"> </w:t>
      </w:r>
      <w:r>
        <w:t xml:space="preserve">substantial reforms were introduced to improve market functioning and restore the credibility</w:t>
      </w:r>
      <w:r>
        <w:t xml:space="preserve"> </w:t>
      </w:r>
      <w:r>
        <w:t xml:space="preserve">of the price signal. Notably, the system moved from decentralised allocation to a centralised</w:t>
      </w:r>
      <w:r>
        <w:t xml:space="preserve"> </w:t>
      </w:r>
      <w:r>
        <w:t xml:space="preserve">EU-wide cap, tightened the supply of allowances, introduced benchmarking for free allocation</w:t>
      </w:r>
      <w:r>
        <w:t xml:space="preserve"> </w:t>
      </w:r>
      <w:r>
        <w:t xml:space="preserve">based on the most efficient installations, and made auctioning the default method for allocating</w:t>
      </w:r>
      <w:r>
        <w:t xml:space="preserve"> </w:t>
      </w:r>
      <w:r>
        <w:t xml:space="preserve">allowances.</w:t>
      </w:r>
      <w:r>
        <w:br/>
      </w:r>
      <w:r>
        <w:t xml:space="preserve">Another persistent challenge is the continued use of free allocation, particularly in sectors</w:t>
      </w:r>
      <w:r>
        <w:t xml:space="preserve"> </w:t>
      </w:r>
      <w:r>
        <w:t xml:space="preserve">deemed at risk of carbon leakage. While free allocation helps shield European industry from</w:t>
      </w:r>
      <w:r>
        <w:t xml:space="preserve"> </w:t>
      </w:r>
      <w:r>
        <w:t xml:space="preserve">competitiveness impacts, it also distorts the carbon price signal by reducing the effective carbon</w:t>
      </w:r>
      <w:r>
        <w:t xml:space="preserve"> </w:t>
      </w:r>
      <w:r>
        <w:t xml:space="preserve">cost faced by firms.171172 Sectors with higher pass-through capacity firms may pass the notional</w:t>
      </w:r>
      <w:r>
        <w:t xml:space="preserve"> </w:t>
      </w:r>
      <w:r>
        <w:t xml:space="preserve">cost of allowances to consumers while still receiving them for free, leading to windfall profits</w:t>
      </w:r>
      <w:r>
        <w:t xml:space="preserve"> </w:t>
      </w:r>
      <w:r>
        <w:t xml:space="preserve">rather than actual emissions reductions or innovation. In contrast, sectors with lower pass-</w:t>
      </w:r>
      <w:r>
        <w:t xml:space="preserve"> </w:t>
      </w:r>
      <w:r>
        <w:t xml:space="preserve">through ability more likely to show stronger innovation responses to the ETS price signal173.</w:t>
      </w:r>
      <w:r>
        <w:t xml:space="preserve"> </w:t>
      </w:r>
      <w:r>
        <w:t xml:space="preserve">These distortions have important implications for ETS efficiency. The system’s design</w:t>
      </w:r>
      <w:r>
        <w:t xml:space="preserve"> </w:t>
      </w:r>
      <w:r>
        <w:t xml:space="preserve">improvements have made the ETS more effective, but empirical evidence remains mixed,</w:t>
      </w:r>
      <w:r>
        <w:t xml:space="preserve"> </w:t>
      </w:r>
      <w:r>
        <w:t xml:space="preserve">particularly for Phase III and IV. The scarcity of research focused on these later phases limits</w:t>
      </w:r>
      <w:r>
        <w:t xml:space="preserve"> </w:t>
      </w:r>
      <w:r>
        <w:t xml:space="preserve">our understanding of whether reforms have fully addressed past distortions and sufficiently</w:t>
      </w:r>
      <w:r>
        <w:t xml:space="preserve"> </w:t>
      </w:r>
      <w:r>
        <w:t xml:space="preserve">improved the incentive for innovation.174175</w:t>
      </w:r>
      <w:r>
        <w:t xml:space="preserve"> </w:t>
      </w:r>
      <w:r>
        <w:t xml:space="preserve">•</w:t>
      </w:r>
      <w:r>
        <w:t xml:space="preserve"> </w:t>
      </w:r>
      <w:r>
        <w:t xml:space="preserve">EQ3: What are the impacts of the allocation rules and carbon leakage provisions on the</w:t>
      </w:r>
      <w:r>
        <w:t xml:space="preserve"> </w:t>
      </w:r>
      <w:r>
        <w:t xml:space="preserve">administrative costs? Can improvements be observed by the harmonised rules</w:t>
      </w:r>
      <w:r>
        <w:t xml:space="preserve"> </w:t>
      </w:r>
      <w:r>
        <w:t xml:space="preserve">compared to previous phases?</w:t>
      </w:r>
      <w:r>
        <w:br/>
      </w:r>
      <w:r>
        <w:t xml:space="preserve">A 2025 survey conducted for this evaluation aimed at EU stationary installations operators</w:t>
      </w:r>
      <w:r>
        <w:t xml:space="preserve"> </w:t>
      </w:r>
      <w:r>
        <w:t xml:space="preserve">provides insights on the administrative costs of allocation rules, with responses from 278</w:t>
      </w:r>
      <w:r>
        <w:br/>
      </w:r>
      <w:r>
        <w:t xml:space="preserve">installations. Respondents were asked to provide an estimate of the hours per person required</w:t>
      </w:r>
      <w:r>
        <w:t xml:space="preserve"> </w:t>
      </w:r>
      <w:r>
        <w:t xml:space="preserve">to fulfil specific activities related to free allocation rules, including time spent on data reporting,</w:t>
      </w:r>
      <w:r>
        <w:t xml:space="preserve"> </w:t>
      </w:r>
      <w:r>
        <w:t xml:space="preserve">learning rules, purchasing equipment, etc.</w:t>
      </w:r>
      <w:r>
        <w:t xml:space="preserve"> </w:t>
      </w:r>
      <w:r>
        <w:t xml:space="preserve">Table 12 summarises the estimated average administrative cost by industry176, considering the</w:t>
      </w:r>
      <w:r>
        <w:t xml:space="preserve"> </w:t>
      </w:r>
      <w:r>
        <w:t xml:space="preserve">data on hours per person required for the activities and the level of emissions indicated by</w:t>
      </w:r>
      <w:r>
        <w:t xml:space="preserve"> </w:t>
      </w:r>
      <w:r>
        <w:t xml:space="preserve">operators.</w:t>
      </w:r>
    </w:p>
    <w:p>
      <w:pPr>
        <w:pStyle w:val="BodyText"/>
      </w:pPr>
      <w:r>
        <w:t xml:space="preserve">171 Nguyen, P.-V. and Pellerin-Carlin, T. (2021)</w:t>
      </w:r>
      <w:r>
        <w:br/>
      </w:r>
      <w:r>
        <w:t xml:space="preserve">172 Scotti, F., Flori, A., Crescenzi, R., &amp; Pammolli, F. (2025).</w:t>
      </w:r>
      <w:r>
        <w:t xml:space="preserve"> </w:t>
      </w:r>
      <w:r>
        <w:t xml:space="preserve">173 Ibid</w:t>
      </w:r>
      <w:r>
        <w:t xml:space="preserve"> </w:t>
      </w:r>
      <w:r>
        <w:t xml:space="preserve">174 Rahel Mandaroux, Kai Schindelhauer, Houdou Basse Mama, 2023. “How to reinforce the effectiveness of</w:t>
      </w:r>
      <w:r>
        <w:t xml:space="preserve"> </w:t>
      </w:r>
      <w:r>
        <w:t xml:space="preserve">the EU emissions trading system in stimulating low-carbon technological change? Taking stock and future</w:t>
      </w:r>
      <w:r>
        <w:t xml:space="preserve"> </w:t>
      </w:r>
      <w:r>
        <w:t xml:space="preserve">directions”, https://doi.org/10.1016/j.enpol.2023.113697.</w:t>
      </w:r>
      <w:r>
        <w:t xml:space="preserve"> </w:t>
      </w:r>
      <w:r>
        <w:t xml:space="preserve">175 Sitarz, J., Pahle, M., Osorio, S. et al., 2024. “EU carbon prices signal high policy credibility and farsighted</w:t>
      </w:r>
      <w:r>
        <w:t xml:space="preserve"> </w:t>
      </w:r>
      <w:r>
        <w:t xml:space="preserve">actors”. Nat Energy 9, 691–702, https://doi.org/10.1038/s41560-024-01505-x</w:t>
      </w:r>
      <w:r>
        <w:t xml:space="preserve"> </w:t>
      </w:r>
      <w:r>
        <w:t xml:space="preserve">176 Data on labour costs per hours by industry and EU country was extracted from Eurostat.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Our estimates indicate that, on average, the administrative cost per tonne of emissions across</w:t>
      </w:r>
      <w:r>
        <w:t xml:space="preserve"> </w:t>
      </w:r>
      <w:r>
        <w:t xml:space="preserve">industry and country is 0.98 EUR. Considering an average EU ETS price in 2025 of 68.77</w:t>
      </w:r>
      <w:r>
        <w:t xml:space="preserve"> </w:t>
      </w:r>
      <w:r>
        <w:t xml:space="preserve">EUR,177 the administrative cost is approximately 1.43% of the carbon cost.</w:t>
      </w:r>
      <w:r>
        <w:t xml:space="preserve"> </w:t>
      </w:r>
      <w:r>
        <w:t xml:space="preserve">Table 12: Average administrator costs per tonne of CO2 emissions</w:t>
      </w:r>
      <w:r>
        <w:t xml:space="preserve"> </w:t>
      </w:r>
      <w:r>
        <w:t xml:space="preserve">Industrial activity</w:t>
      </w:r>
      <w:r>
        <w:t xml:space="preserve"> </w:t>
      </w:r>
      <w:r>
        <w:t xml:space="preserve">Average administrative cost per tonne of CO2-eq</w:t>
      </w:r>
      <w:r>
        <w:t xml:space="preserve"> </w:t>
      </w:r>
      <w:r>
        <w:t xml:space="preserve">Ammonia production</w:t>
      </w:r>
      <w:r>
        <w:t xml:space="preserve"> </w:t>
      </w:r>
      <w:r>
        <w:t xml:space="preserve">N/A</w:t>
      </w:r>
      <w:r>
        <w:t xml:space="preserve"> </w:t>
      </w:r>
      <w:r>
        <w:t xml:space="preserve">Bulk organic chemicals production</w:t>
      </w:r>
      <w:r>
        <w:t xml:space="preserve"> </w:t>
      </w:r>
      <w:r>
        <w:t xml:space="preserve">EUR 0.36</w:t>
      </w:r>
      <w:r>
        <w:t xml:space="preserve"> </w:t>
      </w:r>
      <w:r>
        <w:t xml:space="preserve">Carbon black production</w:t>
      </w:r>
      <w:r>
        <w:t xml:space="preserve"> </w:t>
      </w:r>
      <w:r>
        <w:t xml:space="preserve">EUR 0.09</w:t>
      </w:r>
      <w:r>
        <w:t xml:space="preserve"> </w:t>
      </w:r>
      <w:r>
        <w:t xml:space="preserve">Cement clinker production</w:t>
      </w:r>
      <w:r>
        <w:t xml:space="preserve"> </w:t>
      </w:r>
      <w:r>
        <w:t xml:space="preserve">N/A</w:t>
      </w:r>
      <w:r>
        <w:t xml:space="preserve"> </w:t>
      </w:r>
      <w:r>
        <w:t xml:space="preserve">Ceramics manufacture</w:t>
      </w:r>
      <w:r>
        <w:t xml:space="preserve"> </w:t>
      </w:r>
      <w:r>
        <w:t xml:space="preserve">EUR 0.42</w:t>
      </w:r>
      <w:r>
        <w:t xml:space="preserve"> </w:t>
      </w:r>
      <w:r>
        <w:t xml:space="preserve">Combustion of fuels</w:t>
      </w:r>
      <w:r>
        <w:t xml:space="preserve"> </w:t>
      </w:r>
      <w:r>
        <w:t xml:space="preserve">EUR 1.92</w:t>
      </w:r>
      <w:r>
        <w:t xml:space="preserve"> </w:t>
      </w:r>
      <w:r>
        <w:t xml:space="preserve">Drying or calcination of gypsum</w:t>
      </w:r>
      <w:r>
        <w:t xml:space="preserve"> </w:t>
      </w:r>
      <w:r>
        <w:t xml:space="preserve">N/A</w:t>
      </w:r>
      <w:r>
        <w:t xml:space="preserve"> </w:t>
      </w:r>
      <w:r>
        <w:t xml:space="preserve">Ferrous metals production</w:t>
      </w:r>
      <w:r>
        <w:t xml:space="preserve"> </w:t>
      </w:r>
      <w:r>
        <w:t xml:space="preserve">EUR 0.17</w:t>
      </w:r>
      <w:r>
        <w:t xml:space="preserve"> </w:t>
      </w:r>
      <w:r>
        <w:t xml:space="preserve">Glass manufacture</w:t>
      </w:r>
      <w:r>
        <w:t xml:space="preserve"> </w:t>
      </w:r>
      <w:r>
        <w:t xml:space="preserve">EUR 0.13</w:t>
      </w:r>
      <w:r>
        <w:t xml:space="preserve"> </w:t>
      </w:r>
      <w:r>
        <w:t xml:space="preserve">Hydrogen production</w:t>
      </w:r>
      <w:r>
        <w:t xml:space="preserve"> </w:t>
      </w:r>
      <w:r>
        <w:t xml:space="preserve">N/A</w:t>
      </w:r>
      <w:r>
        <w:t xml:space="preserve"> </w:t>
      </w:r>
      <w:r>
        <w:t xml:space="preserve">Iron &amp; steel production</w:t>
      </w:r>
      <w:r>
        <w:t xml:space="preserve"> </w:t>
      </w:r>
      <w:r>
        <w:t xml:space="preserve">EUR 0.2</w:t>
      </w:r>
      <w:r>
        <w:t xml:space="preserve"> </w:t>
      </w:r>
      <w:r>
        <w:t xml:space="preserve">Lime,</w:t>
      </w:r>
      <w:r>
        <w:t xml:space="preserve"> </w:t>
      </w:r>
      <w:r>
        <w:t xml:space="preserve">dolomite,</w:t>
      </w:r>
      <w:r>
        <w:t xml:space="preserve"> </w:t>
      </w:r>
      <w:r>
        <w:t xml:space="preserve">or</w:t>
      </w:r>
      <w:r>
        <w:t xml:space="preserve"> </w:t>
      </w:r>
      <w:r>
        <w:t xml:space="preserve">magnesite</w:t>
      </w:r>
      <w:r>
        <w:t xml:space="preserve"> </w:t>
      </w:r>
      <w:r>
        <w:t xml:space="preserve">calcination</w:t>
      </w:r>
      <w:r>
        <w:t xml:space="preserve"> </w:t>
      </w:r>
      <w:r>
        <w:t xml:space="preserve">EUR 0.18</w:t>
      </w:r>
      <w:r>
        <w:t xml:space="preserve"> </w:t>
      </w:r>
      <w:r>
        <w:t xml:space="preserve">Metal ore production</w:t>
      </w:r>
      <w:r>
        <w:t xml:space="preserve"> </w:t>
      </w:r>
      <w:r>
        <w:t xml:space="preserve">N/A</w:t>
      </w:r>
      <w:r>
        <w:t xml:space="preserve"> </w:t>
      </w:r>
      <w:r>
        <w:t xml:space="preserve">Mineral wool manufacture</w:t>
      </w:r>
      <w:r>
        <w:t xml:space="preserve"> </w:t>
      </w:r>
      <w:r>
        <w:t xml:space="preserve">EUR 0.42</w:t>
      </w:r>
      <w:r>
        <w:t xml:space="preserve"> </w:t>
      </w:r>
      <w:r>
        <w:t xml:space="preserve">Nitric acid production</w:t>
      </w:r>
      <w:r>
        <w:t xml:space="preserve"> </w:t>
      </w:r>
      <w:r>
        <w:t xml:space="preserve">N/A</w:t>
      </w:r>
      <w:r>
        <w:t xml:space="preserve"> </w:t>
      </w:r>
      <w:r>
        <w:t xml:space="preserve">Non-ferrous metals production or</w:t>
      </w:r>
      <w:r>
        <w:t xml:space="preserve"> </w:t>
      </w:r>
      <w:r>
        <w:t xml:space="preserve">processing</w:t>
      </w:r>
      <w:r>
        <w:t xml:space="preserve"> </w:t>
      </w:r>
      <w:r>
        <w:t xml:space="preserve">N/A</w:t>
      </w:r>
      <w:r>
        <w:t xml:space="preserve"> </w:t>
      </w:r>
      <w:r>
        <w:t xml:space="preserve">Paper production</w:t>
      </w:r>
      <w:r>
        <w:t xml:space="preserve"> </w:t>
      </w:r>
      <w:r>
        <w:t xml:space="preserve">EUR 0.50</w:t>
      </w:r>
      <w:r>
        <w:t xml:space="preserve"> </w:t>
      </w:r>
      <w:r>
        <w:t xml:space="preserve">Primary aluminium production</w:t>
      </w:r>
      <w:r>
        <w:t xml:space="preserve"> </w:t>
      </w:r>
      <w:r>
        <w:t xml:space="preserve">EUR 0.04</w:t>
      </w:r>
      <w:r>
        <w:t xml:space="preserve"> </w:t>
      </w:r>
      <w:r>
        <w:t xml:space="preserve">Pulp production</w:t>
      </w:r>
      <w:r>
        <w:t xml:space="preserve"> </w:t>
      </w:r>
      <w:r>
        <w:t xml:space="preserve">EUR 0.58</w:t>
      </w:r>
    </w:p>
    <w:p>
      <w:pPr>
        <w:pStyle w:val="BodyText"/>
      </w:pPr>
      <w:r>
        <w:t xml:space="preserve">177 Data on EU ETS price is available on ICAP Allowance Price Explorer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Refining of oil</w:t>
      </w:r>
      <w:r>
        <w:t xml:space="preserve"> </w:t>
      </w:r>
      <w:r>
        <w:t xml:space="preserve">EUR 0.07</w:t>
      </w:r>
      <w:r>
        <w:t xml:space="preserve"> </w:t>
      </w:r>
      <w:r>
        <w:t xml:space="preserve">Secondary aluminium production</w:t>
      </w:r>
      <w:r>
        <w:t xml:space="preserve"> </w:t>
      </w:r>
      <w:r>
        <w:t xml:space="preserve">EUR 0.04</w:t>
      </w:r>
      <w:r>
        <w:t xml:space="preserve"> </w:t>
      </w:r>
      <w:r>
        <w:t xml:space="preserve">Soda ash and sodium bicarbonate</w:t>
      </w:r>
      <w:r>
        <w:t xml:space="preserve"> </w:t>
      </w:r>
      <w:r>
        <w:t xml:space="preserve">production</w:t>
      </w:r>
      <w:r>
        <w:t xml:space="preserve"> </w:t>
      </w:r>
      <w:r>
        <w:t xml:space="preserve">EUR 0.03</w:t>
      </w:r>
      <w:r>
        <w:t xml:space="preserve"> </w:t>
      </w:r>
      <w:r>
        <w:t xml:space="preserve">Total</w:t>
      </w:r>
      <w:r>
        <w:t xml:space="preserve"> </w:t>
      </w:r>
      <w:r>
        <w:t xml:space="preserve">EUR 0.98</w:t>
      </w:r>
      <w:r>
        <w:t xml:space="preserve"> </w:t>
      </w:r>
      <w:r>
        <w:t xml:space="preserve">Source:</w:t>
      </w:r>
      <w:r>
        <w:br/>
      </w:r>
      <w:r>
        <w:t xml:space="preserve">Own calculation following the Standard Cost Model using survey data collected from ETS operators</w:t>
      </w:r>
      <w:r>
        <w:t xml:space="preserve"> </w:t>
      </w:r>
      <w:r>
        <w:t xml:space="preserve">for the purpose of this evaluation.</w:t>
      </w:r>
      <w:r>
        <w:t xml:space="preserve"> </w:t>
      </w:r>
      <w:r>
        <w:t xml:space="preserve">The survey inquired on the administrative costs for applying free allocation rules in Phase IV</w:t>
      </w:r>
      <w:r>
        <w:t xml:space="preserve"> </w:t>
      </w:r>
      <w:r>
        <w:t xml:space="preserve">compared to Phase III. Across sectors, the majority of respondents reported either slight</w:t>
      </w:r>
      <w:r>
        <w:t xml:space="preserve"> </w:t>
      </w:r>
      <w:r>
        <w:t xml:space="preserve">increase or a significant increase in costs, with very few perceiving a decrease. This trend was</w:t>
      </w:r>
      <w:r>
        <w:t xml:space="preserve"> </w:t>
      </w:r>
      <w:r>
        <w:t xml:space="preserve">consistent across company size, although larger installations (&gt;500 staff) more frequently</w:t>
      </w:r>
      <w:r>
        <w:t xml:space="preserve"> </w:t>
      </w:r>
      <w:r>
        <w:t xml:space="preserve">reported significant increases, while very small operators (&lt;10 staff) were more likely to report</w:t>
      </w:r>
      <w:r>
        <w:t xml:space="preserve"> </w:t>
      </w:r>
      <w:r>
        <w:t xml:space="preserve">“do not know”, or only slight increases. Open responses provide context for these answers.</w:t>
      </w:r>
      <w:r>
        <w:t xml:space="preserve"> </w:t>
      </w:r>
      <w:r>
        <w:t xml:space="preserve">Operators pointed to the additional requirements introduced in Phase IV, in particular to the</w:t>
      </w:r>
      <w:r>
        <w:t xml:space="preserve"> </w:t>
      </w:r>
      <w:r>
        <w:t xml:space="preserve">new Activity Level Change rules, expanded monitoring and reporting obligations, and more</w:t>
      </w:r>
      <w:r>
        <w:t xml:space="preserve"> </w:t>
      </w:r>
      <w:r>
        <w:t xml:space="preserve">complex verification procedures. Many respondents highlighted a greater need for external</w:t>
      </w:r>
      <w:r>
        <w:t xml:space="preserve"> </w:t>
      </w:r>
      <w:r>
        <w:t xml:space="preserve">consultants and verifiers, with some reporting fee increases of 15-18%. Inflation, rising staff</w:t>
      </w:r>
      <w:r>
        <w:t xml:space="preserve"> </w:t>
      </w:r>
      <w:r>
        <w:t xml:space="preserve">costs, and a shortage of accredited verifiers further compounds the costs.</w:t>
      </w:r>
      <w:r>
        <w:t xml:space="preserve"> </w:t>
      </w:r>
      <w:r>
        <w:t xml:space="preserve">Figure 27: Compared to Phase III of the EU ETS, has the administrative cost of applying for free</w:t>
      </w:r>
      <w:r>
        <w:t xml:space="preserve"> </w:t>
      </w:r>
      <w:r>
        <w:t xml:space="preserve">allocation in Phase IV for your company (categorised by industry)</w:t>
      </w:r>
    </w:p>
    <w:p>
      <w:pPr>
        <w:pStyle w:val="BodyText"/>
      </w:pPr>
      <w:r>
        <w:t xml:space="preserve">Source: Own calculation following the Standard Cost Model using survey data collected from ETS operators for</w:t>
      </w:r>
      <w:r>
        <w:t xml:space="preserve"> </w:t>
      </w:r>
      <w:r>
        <w:t xml:space="preserve">the purpose of this evaluation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Table 13: Compared to Phase III of the EU ETS, has the administrative cost of applying for free</w:t>
      </w:r>
      <w:r>
        <w:t xml:space="preserve"> </w:t>
      </w:r>
      <w:r>
        <w:t xml:space="preserve">allocation in Phase IV for your company (categorised by company size)</w:t>
      </w:r>
      <w:r>
        <w:t xml:space="preserve"> </w:t>
      </w:r>
      <w:r>
        <w:t xml:space="preserve">Size</w:t>
      </w:r>
      <w:r>
        <w:t xml:space="preserve"> </w:t>
      </w:r>
      <w:r>
        <w:t xml:space="preserve">Do not</w:t>
      </w:r>
      <w:r>
        <w:t xml:space="preserve"> </w:t>
      </w:r>
      <w:r>
        <w:t xml:space="preserve">know</w:t>
      </w:r>
      <w:r>
        <w:t xml:space="preserve"> </w:t>
      </w:r>
      <w:r>
        <w:t xml:space="preserve">Increased</w:t>
      </w:r>
      <w:r>
        <w:t xml:space="preserve"> </w:t>
      </w:r>
      <w:r>
        <w:t xml:space="preserve">slightly</w:t>
      </w:r>
      <w:r>
        <w:t xml:space="preserve"> </w:t>
      </w:r>
      <w:r>
        <w:t xml:space="preserve">Increased</w:t>
      </w:r>
      <w:r>
        <w:t xml:space="preserve"> </w:t>
      </w:r>
      <w:r>
        <w:t xml:space="preserve">significantl</w:t>
      </w:r>
      <w:r>
        <w:t xml:space="preserve"> </w:t>
      </w:r>
      <w:r>
        <w:t xml:space="preserve">y</w:t>
      </w:r>
      <w:r>
        <w:t xml:space="preserve"> </w:t>
      </w:r>
      <w:r>
        <w:t xml:space="preserve">Stayed</w:t>
      </w:r>
      <w:r>
        <w:t xml:space="preserve"> </w:t>
      </w:r>
      <w:r>
        <w:t xml:space="preserve">about the</w:t>
      </w:r>
      <w:r>
        <w:t xml:space="preserve"> </w:t>
      </w:r>
      <w:r>
        <w:t xml:space="preserve">same</w:t>
      </w:r>
      <w:r>
        <w:t xml:space="preserve"> </w:t>
      </w:r>
      <w:r>
        <w:t xml:space="preserve">Decreased</w:t>
      </w:r>
      <w:r>
        <w:t xml:space="preserve"> </w:t>
      </w:r>
      <w:r>
        <w:t xml:space="preserve">significantl</w:t>
      </w:r>
      <w:r>
        <w:t xml:space="preserve"> </w:t>
      </w:r>
      <w:r>
        <w:t xml:space="preserve">y</w:t>
      </w:r>
      <w:r>
        <w:t xml:space="preserve"> </w:t>
      </w:r>
      <w:r>
        <w:t xml:space="preserve">Row total</w:t>
      </w:r>
      <w:r>
        <w:t xml:space="preserve"> </w:t>
      </w:r>
      <w:r>
        <w:t xml:space="preserve">&lt;</w:t>
      </w:r>
      <w:r>
        <w:t xml:space="preserve"> </w:t>
      </w:r>
      <w:r>
        <w:t xml:space="preserve">10</w:t>
      </w:r>
      <w:r>
        <w:t xml:space="preserve"> </w:t>
      </w:r>
      <w:r>
        <w:t xml:space="preserve">persons</w:t>
      </w:r>
      <w:r>
        <w:t xml:space="preserve"> </w:t>
      </w:r>
      <w:r>
        <w:t xml:space="preserve">29%</w:t>
      </w:r>
      <w:r>
        <w:t xml:space="preserve"> </w:t>
      </w:r>
      <w:r>
        <w:t xml:space="preserve">29%</w:t>
      </w:r>
      <w:r>
        <w:t xml:space="preserve"> </w:t>
      </w:r>
      <w:r>
        <w:t xml:space="preserve">0%</w:t>
      </w:r>
      <w:r>
        <w:t xml:space="preserve"> </w:t>
      </w:r>
      <w:r>
        <w:t xml:space="preserve">43%</w:t>
      </w:r>
      <w:r>
        <w:t xml:space="preserve"> </w:t>
      </w:r>
      <w:r>
        <w:t xml:space="preserve">0%</w:t>
      </w:r>
      <w:r>
        <w:t xml:space="preserve"> </w:t>
      </w:r>
      <w:r>
        <w:t xml:space="preserve">7</w:t>
      </w:r>
      <w:r>
        <w:t xml:space="preserve"> </w:t>
      </w:r>
      <w:r>
        <w:t xml:space="preserve">10</w:t>
      </w:r>
      <w:r>
        <w:t xml:space="preserve"> </w:t>
      </w:r>
      <w:r>
        <w:t xml:space="preserve">-</w:t>
      </w:r>
      <w:r>
        <w:t xml:space="preserve"> </w:t>
      </w:r>
      <w:r>
        <w:t xml:space="preserve">49</w:t>
      </w:r>
      <w:r>
        <w:t xml:space="preserve"> </w:t>
      </w:r>
      <w:r>
        <w:t xml:space="preserve">persons</w:t>
      </w:r>
      <w:r>
        <w:t xml:space="preserve"> </w:t>
      </w:r>
      <w:r>
        <w:t xml:space="preserve">17%</w:t>
      </w:r>
      <w:r>
        <w:t xml:space="preserve"> </w:t>
      </w:r>
      <w:r>
        <w:t xml:space="preserve">37%</w:t>
      </w:r>
      <w:r>
        <w:t xml:space="preserve"> </w:t>
      </w:r>
      <w:r>
        <w:t xml:space="preserve">23%</w:t>
      </w:r>
      <w:r>
        <w:t xml:space="preserve"> </w:t>
      </w:r>
      <w:r>
        <w:t xml:space="preserve">23%</w:t>
      </w:r>
      <w:r>
        <w:t xml:space="preserve"> </w:t>
      </w:r>
      <w:r>
        <w:t xml:space="preserve">0%</w:t>
      </w:r>
      <w:r>
        <w:t xml:space="preserve"> </w:t>
      </w:r>
      <w:r>
        <w:t xml:space="preserve">30</w:t>
      </w:r>
      <w:r>
        <w:t xml:space="preserve"> </w:t>
      </w:r>
      <w:r>
        <w:t xml:space="preserve">50</w:t>
      </w:r>
      <w:r>
        <w:t xml:space="preserve"> </w:t>
      </w:r>
      <w:r>
        <w:t xml:space="preserve">-</w:t>
      </w:r>
      <w:r>
        <w:t xml:space="preserve"> </w:t>
      </w:r>
      <w:r>
        <w:t xml:space="preserve">99</w:t>
      </w:r>
      <w:r>
        <w:t xml:space="preserve"> </w:t>
      </w:r>
      <w:r>
        <w:t xml:space="preserve">persons</w:t>
      </w:r>
      <w:r>
        <w:t xml:space="preserve"> </w:t>
      </w:r>
      <w:r>
        <w:t xml:space="preserve">25%</w:t>
      </w:r>
      <w:r>
        <w:t xml:space="preserve"> </w:t>
      </w:r>
      <w:r>
        <w:t xml:space="preserve">13%</w:t>
      </w:r>
      <w:r>
        <w:t xml:space="preserve"> </w:t>
      </w:r>
      <w:r>
        <w:t xml:space="preserve">28%</w:t>
      </w:r>
      <w:r>
        <w:t xml:space="preserve"> </w:t>
      </w:r>
      <w:r>
        <w:t xml:space="preserve">34%</w:t>
      </w:r>
      <w:r>
        <w:t xml:space="preserve"> </w:t>
      </w:r>
      <w:r>
        <w:t xml:space="preserve">0%</w:t>
      </w:r>
      <w:r>
        <w:t xml:space="preserve"> </w:t>
      </w:r>
      <w:r>
        <w:t xml:space="preserve">32</w:t>
      </w:r>
      <w:r>
        <w:t xml:space="preserve"> </w:t>
      </w:r>
      <w:r>
        <w:t xml:space="preserve">100 - 199</w:t>
      </w:r>
      <w:r>
        <w:t xml:space="preserve"> </w:t>
      </w:r>
      <w:r>
        <w:t xml:space="preserve">persons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36%</w:t>
      </w:r>
      <w:r>
        <w:t xml:space="preserve"> </w:t>
      </w:r>
      <w:r>
        <w:t xml:space="preserve">14%</w:t>
      </w:r>
      <w:r>
        <w:t xml:space="preserve"> </w:t>
      </w:r>
      <w:r>
        <w:t xml:space="preserve">0%</w:t>
      </w:r>
      <w:r>
        <w:t xml:space="preserve"> </w:t>
      </w:r>
      <w:r>
        <w:t xml:space="preserve">50</w:t>
      </w:r>
      <w:r>
        <w:t xml:space="preserve"> </w:t>
      </w:r>
      <w:r>
        <w:t xml:space="preserve">200 - 249</w:t>
      </w:r>
      <w:r>
        <w:t xml:space="preserve"> </w:t>
      </w:r>
      <w:r>
        <w:t xml:space="preserve">persons</w:t>
      </w:r>
      <w:r>
        <w:t xml:space="preserve"> </w:t>
      </w:r>
      <w:r>
        <w:t xml:space="preserve">13%</w:t>
      </w:r>
      <w:r>
        <w:t xml:space="preserve"> </w:t>
      </w:r>
      <w:r>
        <w:t xml:space="preserve">42%</w:t>
      </w:r>
      <w:r>
        <w:t xml:space="preserve"> </w:t>
      </w:r>
      <w:r>
        <w:t xml:space="preserve">19%</w:t>
      </w:r>
      <w:r>
        <w:t xml:space="preserve"> </w:t>
      </w:r>
      <w:r>
        <w:t xml:space="preserve">26%</w:t>
      </w:r>
      <w:r>
        <w:t xml:space="preserve"> </w:t>
      </w:r>
      <w:r>
        <w:t xml:space="preserve">0%</w:t>
      </w:r>
      <w:r>
        <w:t xml:space="preserve"> </w:t>
      </w:r>
      <w:r>
        <w:t xml:space="preserve">31</w:t>
      </w:r>
      <w:r>
        <w:t xml:space="preserve"> </w:t>
      </w:r>
      <w:r>
        <w:t xml:space="preserve">250 - 499</w:t>
      </w:r>
      <w:r>
        <w:t xml:space="preserve"> </w:t>
      </w:r>
      <w:r>
        <w:t xml:space="preserve">persons</w:t>
      </w:r>
      <w:r>
        <w:t xml:space="preserve"> </w:t>
      </w:r>
      <w:r>
        <w:t xml:space="preserve">19%</w:t>
      </w:r>
      <w:r>
        <w:t xml:space="preserve"> </w:t>
      </w:r>
      <w:r>
        <w:t xml:space="preserve">45%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0%</w:t>
      </w:r>
      <w:r>
        <w:t xml:space="preserve"> </w:t>
      </w:r>
      <w:r>
        <w:t xml:space="preserve">62</w:t>
      </w:r>
      <w:r>
        <w:t xml:space="preserve"> </w:t>
      </w:r>
      <w:r>
        <w:t xml:space="preserve">&gt;</w:t>
      </w:r>
      <w:r>
        <w:t xml:space="preserve"> </w:t>
      </w:r>
      <w:r>
        <w:t xml:space="preserve">500</w:t>
      </w:r>
      <w:r>
        <w:t xml:space="preserve"> </w:t>
      </w:r>
      <w:r>
        <w:t xml:space="preserve">persons</w:t>
      </w:r>
      <w:r>
        <w:t xml:space="preserve"> </w:t>
      </w:r>
      <w:r>
        <w:t xml:space="preserve">3%</w:t>
      </w:r>
      <w:r>
        <w:t xml:space="preserve"> </w:t>
      </w:r>
      <w:r>
        <w:t xml:space="preserve">40%</w:t>
      </w:r>
      <w:r>
        <w:t xml:space="preserve"> </w:t>
      </w:r>
      <w:r>
        <w:t xml:space="preserve">27%</w:t>
      </w:r>
      <w:r>
        <w:t xml:space="preserve"> </w:t>
      </w:r>
      <w:r>
        <w:t xml:space="preserve">29%</w:t>
      </w:r>
      <w:r>
        <w:t xml:space="preserve"> </w:t>
      </w:r>
      <w:r>
        <w:t xml:space="preserve">2%</w:t>
      </w:r>
      <w:r>
        <w:t xml:space="preserve"> </w:t>
      </w:r>
      <w:r>
        <w:t xml:space="preserve">63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know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3</w:t>
      </w:r>
      <w:r>
        <w:t xml:space="preserve"> </w:t>
      </w:r>
      <w:r>
        <w:t xml:space="preserve">Source:</w:t>
      </w:r>
      <w:r>
        <w:br/>
      </w:r>
      <w:r>
        <w:t xml:space="preserve">Own calculation following the Standard Cost Model using survey data collected from ETS operators</w:t>
      </w:r>
      <w:r>
        <w:t xml:space="preserve"> </w:t>
      </w:r>
      <w:r>
        <w:t xml:space="preserve">for the purpose of this evaluation.</w:t>
      </w:r>
      <w:r>
        <w:t xml:space="preserve"> </w:t>
      </w:r>
      <w:r>
        <w:t xml:space="preserve">The stakeholders that were interviewed as part of the evaluation were given the opportunity to</w:t>
      </w:r>
      <w:r>
        <w:t xml:space="preserve"> </w:t>
      </w:r>
      <w:r>
        <w:t xml:space="preserve">provide their view on the administrative burden associated with compliance with the EU ETS</w:t>
      </w:r>
      <w:r>
        <w:t xml:space="preserve"> </w:t>
      </w:r>
      <w:r>
        <w:t xml:space="preserve">and specifically with reference to the free allocation application process. Views varied amongst</w:t>
      </w:r>
      <w:r>
        <w:t xml:space="preserve"> </w:t>
      </w:r>
      <w:r>
        <w:t xml:space="preserve">respondents on the proportionality of the administrative burden:</w:t>
      </w:r>
      <w:r>
        <w:t xml:space="preserve"> </w:t>
      </w:r>
      <w:r>
        <w:t xml:space="preserve">• Eurofer discussed that steel is a very large emitter, so the sector has a big responsibility.</w:t>
      </w:r>
      <w:r>
        <w:t xml:space="preserve"> </w:t>
      </w:r>
      <w:r>
        <w:t xml:space="preserve">They believed that the overall administrative burden was proportionate and reflected</w:t>
      </w:r>
      <w:r>
        <w:t xml:space="preserve"> </w:t>
      </w:r>
      <w:r>
        <w:t xml:space="preserve">the relevance of the sector, however recent new administrative requirements related</w:t>
      </w:r>
      <w:r>
        <w:t xml:space="preserve"> </w:t>
      </w:r>
      <w:r>
        <w:t xml:space="preserve">especially to the Activity Level Change reporting feels more disproportionate and</w:t>
      </w:r>
      <w:r>
        <w:t xml:space="preserve"> </w:t>
      </w:r>
      <w:r>
        <w:t xml:space="preserve">especially for installations lower than the value chain with lower emissions such as</w:t>
      </w:r>
      <w:r>
        <w:t xml:space="preserve"> </w:t>
      </w:r>
      <w:r>
        <w:t xml:space="preserve">rolling mills. Given the large number of PRODCOM codes associated with steel these</w:t>
      </w:r>
      <w:r>
        <w:t xml:space="preserve"> </w:t>
      </w:r>
      <w:r>
        <w:t xml:space="preserve">inputs require considerable administrative efforts. Simplification could be improved by</w:t>
      </w:r>
      <w:r>
        <w:t xml:space="preserve"> </w:t>
      </w:r>
      <w:r>
        <w:t xml:space="preserve">improving some rules on free allocation, for instance with fully dynamic free allocation</w:t>
      </w:r>
      <w:r>
        <w:t xml:space="preserve"> </w:t>
      </w:r>
      <w:r>
        <w:t xml:space="preserve">and with simpler rules on conditionality.</w:t>
      </w:r>
      <w:r>
        <w:br/>
      </w:r>
      <w:r>
        <w:t xml:space="preserve">• Cerame-Unie emphasised that the ceramic industry is composed mainly of SMEs (over</w:t>
      </w:r>
      <w:r>
        <w:t xml:space="preserve"> </w:t>
      </w:r>
      <w:r>
        <w:t xml:space="preserve">80%) and is the most numerous industrial sector in terms of installations in the ETS</w:t>
      </w:r>
      <w:r>
        <w:t xml:space="preserve"> </w:t>
      </w:r>
      <w:r>
        <w:t xml:space="preserve">system (over 1200) however, they constitute only below 1% of all industrial emissions.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The administrative burden connected with the ETS is extremely high for companies,</w:t>
      </w:r>
      <w:r>
        <w:t xml:space="preserve"> </w:t>
      </w:r>
      <w:r>
        <w:t xml:space="preserve">especially the small emitters and the SMEs, which do not have human or financial</w:t>
      </w:r>
      <w:r>
        <w:t xml:space="preserve"> </w:t>
      </w:r>
      <w:r>
        <w:t xml:space="preserve">resources to hire staff dealing with the administration. Also, the activity changes</w:t>
      </w:r>
      <w:r>
        <w:t xml:space="preserve"> </w:t>
      </w:r>
      <w:r>
        <w:t xml:space="preserve">regulations add up to this burden. With regards to the different types of costs – the</w:t>
      </w:r>
      <w:r>
        <w:t xml:space="preserve"> </w:t>
      </w:r>
      <w:r>
        <w:t xml:space="preserve">question on specific elements of monitoring, reporting, hedging, surrendering must be</w:t>
      </w:r>
      <w:r>
        <w:t xml:space="preserve"> </w:t>
      </w:r>
      <w:r>
        <w:t xml:space="preserve">made to specific companies. For reduction of costs – please see the section on</w:t>
      </w:r>
      <w:r>
        <w:t xml:space="preserve"> </w:t>
      </w:r>
      <w:r>
        <w:t xml:space="preserve">simplification of admin burden.</w:t>
      </w:r>
      <w:r>
        <w:br/>
      </w:r>
      <w:r>
        <w:t xml:space="preserve">8.3.4.3</w:t>
      </w:r>
      <w:r>
        <w:t xml:space="preserve"> </w:t>
      </w:r>
      <w:r>
        <w:t xml:space="preserve">Coherence</w:t>
      </w:r>
      <w:r>
        <w:t xml:space="preserve"> </w:t>
      </w:r>
      <w:r>
        <w:t xml:space="preserve">At first sight, free allocation appears inconsistent with the core objective of the EU ETS, which</w:t>
      </w:r>
      <w:r>
        <w:t xml:space="preserve"> </w:t>
      </w:r>
      <w:r>
        <w:t xml:space="preserve">is to drive cost-effective emissions reductions through a market-based price on carbon. By</w:t>
      </w:r>
      <w:r>
        <w:t xml:space="preserve"> </w:t>
      </w:r>
      <w:r>
        <w:t xml:space="preserve">granting allowances to certain industries at no cost, it shields them - partially or fully - from</w:t>
      </w:r>
      <w:r>
        <w:t xml:space="preserve"> </w:t>
      </w:r>
      <w:r>
        <w:t xml:space="preserve">the carbon price signal that should incentivise decarbonisation and investment in low-carbon</w:t>
      </w:r>
      <w:r>
        <w:t xml:space="preserve"> </w:t>
      </w:r>
      <w:r>
        <w:t xml:space="preserve">technologies. Yet free allocation has been justified as a necessary measure to prevent carbon</w:t>
      </w:r>
      <w:r>
        <w:t xml:space="preserve"> </w:t>
      </w:r>
      <w:r>
        <w:t xml:space="preserve">leakage: without it, there would be a risk not of decarbonisation, but of deindustrialisation, with</w:t>
      </w:r>
      <w:r>
        <w:t xml:space="preserve"> </w:t>
      </w:r>
      <w:r>
        <w:t xml:space="preserve">production and emissions simply relocating outside the EU, harming both growth and</w:t>
      </w:r>
      <w:r>
        <w:t xml:space="preserve"> </w:t>
      </w:r>
      <w:r>
        <w:t xml:space="preserve">employment. In this sense, free allocation can be seen as coherent with the ETS’s long-term</w:t>
      </w:r>
      <w:r>
        <w:t xml:space="preserve"> </w:t>
      </w:r>
      <w:r>
        <w:t xml:space="preserve">aim, as it provides a transitional pathway. It has allowed energy-intensive industries to remain</w:t>
      </w:r>
      <w:r>
        <w:t xml:space="preserve"> </w:t>
      </w:r>
      <w:r>
        <w:t xml:space="preserve">competitive while being gradually exposed to the carbon price, giving them time to internalise</w:t>
      </w:r>
      <w:r>
        <w:t xml:space="preserve"> </w:t>
      </w:r>
      <w:r>
        <w:t xml:space="preserve">costs, adjust investment strategies, and prepare for deeper decarbonisation. Ultimately, free</w:t>
      </w:r>
      <w:r>
        <w:t xml:space="preserve"> </w:t>
      </w:r>
      <w:r>
        <w:t xml:space="preserve">allocation is only effective if accompanied by the right enabling conditions, such as access to</w:t>
      </w:r>
      <w:r>
        <w:t xml:space="preserve"> </w:t>
      </w:r>
      <w:r>
        <w:t xml:space="preserve">affordable low-carbon energy, that ensure domestic production can continue while the cost of</w:t>
      </w:r>
      <w:r>
        <w:t xml:space="preserve"> </w:t>
      </w:r>
      <w:r>
        <w:t xml:space="preserve">mitigation technologies falls and the ETS price signal strengthens.</w:t>
      </w:r>
      <w:r>
        <w:t xml:space="preserve"> </w:t>
      </w:r>
      <w:r>
        <w:t xml:space="preserve">Feedback from the Open Public Consultation highlighted diverging views on the coherence of</w:t>
      </w:r>
      <w:r>
        <w:t xml:space="preserve"> </w:t>
      </w:r>
      <w:r>
        <w:t xml:space="preserve">free allocation: while critics argued it undermines the EU ETS and the ‘polluter pays’ principle,</w:t>
      </w:r>
      <w:r>
        <w:t xml:space="preserve"> </w:t>
      </w:r>
      <w:r>
        <w:t xml:space="preserve">industry respondents saw it as essential for preventing carbon leakage and maintaining</w:t>
      </w:r>
      <w:r>
        <w:t xml:space="preserve"> </w:t>
      </w:r>
      <w:r>
        <w:t xml:space="preserve">competitiveness. Many noted that the CBAM could enhance coherence if it enables a phase-</w:t>
      </w:r>
      <w:r>
        <w:t xml:space="preserve"> </w:t>
      </w:r>
      <w:r>
        <w:t xml:space="preserve">out of free allocation without harming industry.</w:t>
      </w:r>
      <w:r>
        <w:t xml:space="preserve"> </w:t>
      </w:r>
      <w:r>
        <w:t xml:space="preserve">8.3.4.4</w:t>
      </w:r>
      <w:r>
        <w:t xml:space="preserve"> </w:t>
      </w:r>
      <w:r>
        <w:t xml:space="preserve">EU added value</w:t>
      </w:r>
      <w:r>
        <w:br/>
      </w:r>
      <w:r>
        <w:t xml:space="preserve">In addition to the findings in Section 4.2.1. on the EU added value of the EU ETS as a whole,</w:t>
      </w:r>
      <w:r>
        <w:t xml:space="preserve"> </w:t>
      </w:r>
      <w:r>
        <w:t xml:space="preserve">some further considerations should be made concerning the EU added value in the area of</w:t>
      </w:r>
      <w:r>
        <w:t xml:space="preserve"> </w:t>
      </w:r>
      <w:r>
        <w:t xml:space="preserve">carbon leakage and free allocation.</w:t>
      </w:r>
      <w:r>
        <w:br/>
      </w:r>
      <w:r>
        <w:t xml:space="preserve">Harmonisation at the EU level ensures that there is no carbon price difference within the EU,</w:t>
      </w:r>
      <w:r>
        <w:t xml:space="preserve"> </w:t>
      </w:r>
      <w:r>
        <w:t xml:space="preserve">which affects the domestic market and prevents internal carbon leakage. If the ETS had been</w:t>
      </w:r>
      <w:r>
        <w:t xml:space="preserve"> </w:t>
      </w:r>
      <w:r>
        <w:t xml:space="preserve">established at the Member States level instead of the EU level, differences in carbon prices</w:t>
      </w:r>
      <w:r>
        <w:t xml:space="preserve"> </w:t>
      </w:r>
      <w:r>
        <w:t xml:space="preserve">would easily move production to the country(ies) within the EU with the lowest carbon prices.</w:t>
      </w:r>
      <w:r>
        <w:t xml:space="preserve"> </w:t>
      </w:r>
      <w:r>
        <w:t xml:space="preserve">Moreover, harmonisation of free allocation rules across Member States and, more specifically,</w:t>
      </w:r>
      <w:r>
        <w:t xml:space="preserve"> </w:t>
      </w:r>
      <w:r>
        <w:t xml:space="preserve">of product benchmarks since Phase III of the EU ETS ensures that firms across the EU are</w:t>
      </w:r>
      <w:r>
        <w:t xml:space="preserve"> </w:t>
      </w:r>
      <w:r>
        <w:t xml:space="preserve">treated equally to prevent any potential market distortions.</w:t>
      </w:r>
      <w:r>
        <w:br/>
      </w:r>
      <w:r>
        <w:t xml:space="preserve">8.3.4.5</w:t>
      </w:r>
      <w:r>
        <w:t xml:space="preserve"> </w:t>
      </w:r>
      <w:r>
        <w:t xml:space="preserve">Relevance</w:t>
      </w:r>
      <w:r>
        <w:t xml:space="preserve"> </w:t>
      </w:r>
      <w:r>
        <w:t xml:space="preserve">The relevance of free allocation as a measure for reducing the risk of carbon leakage is</w:t>
      </w:r>
      <w:r>
        <w:t xml:space="preserve"> </w:t>
      </w:r>
      <w:r>
        <w:t xml:space="preserve">evaluated on the basis of the following questions:</w:t>
      </w:r>
      <w:r>
        <w:br/>
      </w:r>
      <w:r>
        <w:t xml:space="preserve">•</w:t>
      </w:r>
      <w:r>
        <w:t xml:space="preserve"> </w:t>
      </w:r>
      <w:r>
        <w:t xml:space="preserve">EQ1: To what extent is the concept of carbon leakage valid in the context of the EU</w:t>
      </w:r>
      <w:r>
        <w:t xml:space="preserve"> </w:t>
      </w:r>
      <w:r>
        <w:t xml:space="preserve">ETS?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As long as certain industrial sectors remain high emitters of CO2 and assuming that comparable</w:t>
      </w:r>
      <w:r>
        <w:t xml:space="preserve"> </w:t>
      </w:r>
      <w:r>
        <w:t xml:space="preserve">levels of carbon pricing do not exist in key trading partners, then carbon leakage will remain a</w:t>
      </w:r>
      <w:r>
        <w:t xml:space="preserve"> </w:t>
      </w:r>
      <w:r>
        <w:t xml:space="preserve">valid concern in the context of the EU ETS. The following two subsections will briefly examine</w:t>
      </w:r>
      <w:r>
        <w:t xml:space="preserve"> </w:t>
      </w:r>
      <w:r>
        <w:t xml:space="preserve">both the emission intensity of European industrial production and carbon pricing</w:t>
      </w:r>
      <w:r>
        <w:t xml:space="preserve"> </w:t>
      </w:r>
      <w:r>
        <w:t xml:space="preserve">internationally to evaluate the relevance of carbon leakage as a valid concept in the context of</w:t>
      </w:r>
      <w:r>
        <w:t xml:space="preserve"> </w:t>
      </w:r>
      <w:r>
        <w:t xml:space="preserve">the EU ETS.</w:t>
      </w:r>
      <w:r>
        <w:t xml:space="preserve"> </w:t>
      </w:r>
      <w:r>
        <w:t xml:space="preserve">Sectors currently deemed exposed to a carbon leakage risk</w:t>
      </w:r>
      <w:r>
        <w:t xml:space="preserve"> </w:t>
      </w:r>
      <w:r>
        <w:t xml:space="preserve">Figure 28 shows a comparison of export intensity178 and emission intensity179 values for a</w:t>
      </w:r>
      <w:r>
        <w:t xml:space="preserve"> </w:t>
      </w:r>
      <w:r>
        <w:t xml:space="preserve">selection of CN codes from certain emission intensive sectors covered under the EU ETS that</w:t>
      </w:r>
      <w:r>
        <w:t xml:space="preserve"> </w:t>
      </w:r>
      <w:r>
        <w:t xml:space="preserve">are also currently within the scope of the CBAM (i.e. iron and steel, cement, aluminium,</w:t>
      </w:r>
      <w:r>
        <w:t xml:space="preserve"> </w:t>
      </w:r>
      <w:r>
        <w:t xml:space="preserve">fertilisers and hydrogen).</w:t>
      </w:r>
      <w:r>
        <w:t xml:space="preserve"> </w:t>
      </w:r>
      <w:r>
        <w:t xml:space="preserve">Figure 28: Comparison of export intensity with emission intensity based on a 2022-24 average for</w:t>
      </w:r>
      <w:r>
        <w:t xml:space="preserve"> </w:t>
      </w:r>
      <w:r>
        <w:t xml:space="preserve">CN codes covered under the CBAM</w:t>
      </w:r>
    </w:p>
    <w:p>
      <w:pPr>
        <w:pStyle w:val="BodyText"/>
      </w:pPr>
      <w:r>
        <w:t xml:space="preserve">Source:</w:t>
      </w:r>
      <w:r>
        <w:br/>
      </w:r>
      <w:r>
        <w:t xml:space="preserve">Own illustration based upon information from PRODCOM, COMEXT and values from JRC (refer to</w:t>
      </w:r>
      <w:r>
        <w:t xml:space="preserve"> </w:t>
      </w:r>
      <w:r>
        <w:t xml:space="preserve">JRC Publications Repository - Greenhouse gas emission intensities of the steel, fertilisers, aluminium and cement</w:t>
      </w:r>
      <w:r>
        <w:t xml:space="preserve"> </w:t>
      </w:r>
      <w:r>
        <w:t xml:space="preserve">industries in the EU and its main trading partners)</w:t>
      </w:r>
      <w:r>
        <w:t xml:space="preserve"> </w:t>
      </w:r>
      <w:r>
        <w:t xml:space="preserve">For the more emission intensive products that are more frequently traded, carbon leakage</w:t>
      </w:r>
      <w:r>
        <w:t xml:space="preserve"> </w:t>
      </w:r>
      <w:r>
        <w:t xml:space="preserve">remains a valid concept in the context of the EU ETS with the additional cost of compliance</w:t>
      </w:r>
      <w:r>
        <w:t xml:space="preserve"> </w:t>
      </w:r>
      <w:r>
        <w:t xml:space="preserve">potentially undermining levels of international competitiveness. Of course, competitiveness is</w:t>
      </w:r>
      <w:r>
        <w:t xml:space="preserve"> </w:t>
      </w:r>
      <w:r>
        <w:t xml:space="preserve">the result of many factors beyond carbon pricing but the fact that trade intensive products</w:t>
      </w:r>
      <w:r>
        <w:t xml:space="preserve"> </w:t>
      </w:r>
      <w:r>
        <w:t xml:space="preserve">remain currently emission intensive means that the concept of carbon leakage remains relevant</w:t>
      </w:r>
      <w:r>
        <w:t xml:space="preserve"> </w:t>
      </w:r>
      <w:r>
        <w:t xml:space="preserve">and needs to be carefully evaluated.</w:t>
      </w:r>
    </w:p>
    <w:p>
      <w:pPr>
        <w:pStyle w:val="BodyText"/>
      </w:pPr>
      <w:r>
        <w:t xml:space="preserve">178 Export intensity here is a ratio based upon the following calculation: (export value) / (production value).</w:t>
      </w:r>
      <w:r>
        <w:t xml:space="preserve"> </w:t>
      </w:r>
      <w:r>
        <w:t xml:space="preserve">Export value refers to extra EU without the UK, Switzerland or EEA countries.</w:t>
      </w:r>
      <w:r>
        <w:t xml:space="preserve"> </w:t>
      </w:r>
      <w:r>
        <w:t xml:space="preserve">179 Emission intensity is expressed in kg CO2 / EUR and is calculated based upon the following: (direct carbon</w:t>
      </w:r>
      <w:r>
        <w:t xml:space="preserve"> </w:t>
      </w:r>
      <w:r>
        <w:t xml:space="preserve">cost / GVA).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Carbon pricing outside the EU</w:t>
      </w:r>
      <w:r>
        <w:t xml:space="preserve"> </w:t>
      </w:r>
      <w:r>
        <w:t xml:space="preserve">Figure 29 shows that the number of jurisdictions with carbon pricing has increased</w:t>
      </w:r>
      <w:r>
        <w:t xml:space="preserve"> </w:t>
      </w:r>
      <w:r>
        <w:t xml:space="preserve">considerably so production costs in third countries now also include carbon costs.</w:t>
      </w:r>
      <w:r>
        <w:br/>
      </w:r>
      <w:r>
        <w:t xml:space="preserve">Figure 29: Global expansion of emissions trading</w:t>
      </w:r>
    </w:p>
    <w:p>
      <w:pPr>
        <w:pStyle w:val="BodyText"/>
      </w:pPr>
      <w:r>
        <w:t xml:space="preserve">Source: ICAP180</w:t>
      </w:r>
      <w:r>
        <w:t xml:space="preserve"> </w:t>
      </w:r>
      <w:r>
        <w:t xml:space="preserve">Figure 30 shows that carbon pricing instruments outside of the EU show considerable regional</w:t>
      </w:r>
      <w:r>
        <w:t xml:space="preserve"> </w:t>
      </w:r>
      <w:r>
        <w:t xml:space="preserve">diversity in both price levels and coverage of emissions, though many jurisdictions are</w:t>
      </w:r>
      <w:r>
        <w:t xml:space="preserve"> </w:t>
      </w:r>
      <w:r>
        <w:t xml:space="preserve">positioned for price increases as their systems mature. In Asia, Japan’s carbon tax remains</w:t>
      </w:r>
      <w:r>
        <w:t xml:space="preserve"> </w:t>
      </w:r>
      <w:r>
        <w:t xml:space="preserve">significantly lower than the EU ETS price, while South Korea’s ETS has experienced price</w:t>
      </w:r>
      <w:r>
        <w:t xml:space="preserve"> </w:t>
      </w:r>
      <w:r>
        <w:t xml:space="preserve">volatility but is expected to stabilise and potentially increase as market mechanisms strengthen.</w:t>
      </w:r>
      <w:r>
        <w:t xml:space="preserve"> </w:t>
      </w:r>
      <w:r>
        <w:t xml:space="preserve">China’s national ETS, still in its early stages, maintains relatively low prices, focusing on</w:t>
      </w:r>
      <w:r>
        <w:t xml:space="preserve"> </w:t>
      </w:r>
      <w:r>
        <w:t xml:space="preserve">compliance, but plans to expand sectoral coverage and implement price adjustments, which</w:t>
      </w:r>
      <w:r>
        <w:t xml:space="preserve"> </w:t>
      </w:r>
      <w:r>
        <w:t xml:space="preserve">could eventually see prices increase. Indonesia, having just launched its ETS, has low price</w:t>
      </w:r>
      <w:r>
        <w:t xml:space="preserve"> </w:t>
      </w:r>
      <w:r>
        <w:t xml:space="preserve">levels, but these could increase as the system matures.</w:t>
      </w:r>
      <w:r>
        <w:t xml:space="preserve"> </w:t>
      </w:r>
      <w:r>
        <w:t xml:space="preserve">In the Americas, California and Québec operate linked ETSs with prices above USD 50 per</w:t>
      </w:r>
      <w:r>
        <w:t xml:space="preserve"> </w:t>
      </w:r>
      <w:r>
        <w:t xml:space="preserve">tCO₂e, positioning them closer to EU ETS levels, though still below the EU average. Argentina</w:t>
      </w:r>
      <w:r>
        <w:t xml:space="preserve"> </w:t>
      </w:r>
      <w:r>
        <w:t xml:space="preserve">and Mexico currently have lower prices through modest taxes targeting fossil fuel combustion,</w:t>
      </w:r>
      <w:r>
        <w:t xml:space="preserve"> </w:t>
      </w:r>
      <w:r>
        <w:t xml:space="preserve">but ongoing discussions around sectoral expansions and price floor adjustments could increase</w:t>
      </w:r>
      <w:r>
        <w:t xml:space="preserve"> </w:t>
      </w:r>
      <w:r>
        <w:t xml:space="preserve">prices over time. Canada’s comprehensive approach, which includes both federal and</w:t>
      </w:r>
      <w:r>
        <w:t xml:space="preserve"> </w:t>
      </w:r>
      <w:r>
        <w:t xml:space="preserve">provincial carbon pricing, has already seen some provinces approach EU price levels, with</w:t>
      </w:r>
      <w:r>
        <w:t xml:space="preserve"> </w:t>
      </w:r>
      <w:r>
        <w:t xml:space="preserve">further increases expected as climate targets tighten. Emerging markets like Brazil and</w:t>
      </w:r>
      <w:r>
        <w:t xml:space="preserve"> </w:t>
      </w:r>
      <w:r>
        <w:t xml:space="preserve">Uruguay are also in the early stages of establishing ETSs, with frameworks that have the</w:t>
      </w:r>
      <w:r>
        <w:t xml:space="preserve"> </w:t>
      </w:r>
      <w:r>
        <w:t xml:space="preserve">potential to drive higher prices in the medium term as mechanisms are refined, and market</w:t>
      </w:r>
      <w:r>
        <w:t xml:space="preserve"> </w:t>
      </w:r>
      <w:r>
        <w:t xml:space="preserve">confidence builds.</w:t>
      </w:r>
    </w:p>
    <w:p>
      <w:pPr>
        <w:pStyle w:val="BodyText"/>
      </w:pPr>
      <w:r>
        <w:t xml:space="preserve">180 ICAP Status Report 2025, Emissions Trading Worldwide, https://icapcarbonaction.com/system/files/2025-</w:t>
      </w:r>
      <w:r>
        <w:t xml:space="preserve"> </w:t>
      </w:r>
      <w:r>
        <w:t xml:space="preserve">04/250409_icap_sr25_final_1.pdf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In Africa, South Africa’s carbon tax remains well below EU ETS levels, yet the government</w:t>
      </w:r>
      <w:r>
        <w:t xml:space="preserve"> </w:t>
      </w:r>
      <w:r>
        <w:t xml:space="preserve">has signalled intentions to increase the rate, aligning it more closely with international</w:t>
      </w:r>
      <w:r>
        <w:t xml:space="preserve"> </w:t>
      </w:r>
      <w:r>
        <w:t xml:space="preserve">benchmarks. Similarly, countries like Kazakhstan and Ukraine, which have introduced carbon</w:t>
      </w:r>
      <w:r>
        <w:t xml:space="preserve"> </w:t>
      </w:r>
      <w:r>
        <w:t xml:space="preserve">pricing mechanisms at relatively low levels, are expected to gradually increase prices as market</w:t>
      </w:r>
      <w:r>
        <w:t xml:space="preserve"> </w:t>
      </w:r>
      <w:r>
        <w:t xml:space="preserve">structures solidify and policy frameworks evolve.</w:t>
      </w:r>
      <w:r>
        <w:br/>
      </w:r>
      <w:r>
        <w:t xml:space="preserve">Figure 30: Annual ETS revenues across different systems</w:t>
      </w:r>
    </w:p>
    <w:p>
      <w:pPr>
        <w:pStyle w:val="BodyText"/>
      </w:pPr>
      <w:r>
        <w:t xml:space="preserve">Source: ICAP</w:t>
      </w:r>
      <w:r>
        <w:t xml:space="preserve"> </w:t>
      </w:r>
      <w:r>
        <w:t xml:space="preserve">While most carbon pricing instruments outside the EU currently cover a limited share of</w:t>
      </w:r>
      <w:r>
        <w:t xml:space="preserve"> </w:t>
      </w:r>
      <w:r>
        <w:t xml:space="preserve">emissions, many jurisdictions are considering expanding sectoral coverage and tightening caps,</w:t>
      </w:r>
      <w:r>
        <w:t xml:space="preserve"> </w:t>
      </w:r>
      <w:r>
        <w:t xml:space="preserve">indicating a clear trajectory toward higher prices and broader coverage over time, aligning more</w:t>
      </w:r>
      <w:r>
        <w:t xml:space="preserve"> </w:t>
      </w:r>
      <w:r>
        <w:t xml:space="preserve">closely with the comprehensive approach seen in the EU ETS. The comparability of these</w:t>
      </w:r>
      <w:r>
        <w:t xml:space="preserve"> </w:t>
      </w:r>
      <w:r>
        <w:t xml:space="preserve">schemes is, however, difficult to determine and, in many cases, the carbon price is significantly</w:t>
      </w:r>
      <w:r>
        <w:t xml:space="preserve"> </w:t>
      </w:r>
      <w:r>
        <w:t xml:space="preserve">lower than the EU. In several key trading partners, it is unlikely that carbon costs are equivalent</w:t>
      </w:r>
      <w:r>
        <w:t xml:space="preserve"> </w:t>
      </w:r>
      <w:r>
        <w:t xml:space="preserve">to those faced by operators in the EU ETS and therefore the provision of free allocation</w:t>
      </w:r>
      <w:r>
        <w:t xml:space="preserve"> </w:t>
      </w:r>
      <w:r>
        <w:t xml:space="preserve">remained relevant to supporting the competitiveness of European industrial production.</w:t>
      </w:r>
      <w:r>
        <w:t xml:space="preserve"> </w:t>
      </w:r>
      <w:r>
        <w:t xml:space="preserve">However, Figure 33 above shows that auction revenues are increasing in international systems</w:t>
      </w:r>
      <w:r>
        <w:t xml:space="preserve"> </w:t>
      </w:r>
      <w:r>
        <w:t xml:space="preserve">too suggesting that free allocation provision is in decline.</w:t>
      </w:r>
      <w:r>
        <w:t xml:space="preserve"> </w:t>
      </w:r>
      <w:r>
        <w:t xml:space="preserve">•</w:t>
      </w:r>
      <w:r>
        <w:t xml:space="preserve"> </w:t>
      </w:r>
      <w:r>
        <w:t xml:space="preserve">EQ2: Is there evidence whether or not carbon leakage actually happened since the start</w:t>
      </w:r>
      <w:r>
        <w:t xml:space="preserve"> </w:t>
      </w:r>
      <w:r>
        <w:t xml:space="preserve">of the EU ETS?</w:t>
      </w:r>
      <w:r>
        <w:t xml:space="preserve"> </w:t>
      </w:r>
      <w:r>
        <w:t xml:space="preserve">Short term competitiveness channel</w:t>
      </w:r>
      <w:r>
        <w:t xml:space="preserve"> </w:t>
      </w:r>
      <w:r>
        <w:t xml:space="preserve">The empirical literature on carbon leakage in the context of the EU ETS presents a complex,</w:t>
      </w:r>
      <w:r>
        <w:t xml:space="preserve"> </w:t>
      </w:r>
      <w:r>
        <w:t xml:space="preserve">but increasingly compelling picture. Earlier research, based largely on datasets covering the</w:t>
      </w:r>
      <w:r>
        <w:t xml:space="preserve"> </w:t>
      </w:r>
      <w:r>
        <w:t xml:space="preserve">first phases of the EU ETS, generally found little or no evidence of significant leakage. This</w:t>
      </w:r>
      <w:r>
        <w:t xml:space="preserve"> </w:t>
      </w:r>
      <w:r>
        <w:t xml:space="preserve">result is consistent across different methodologies, including trade flow analyses, sector-level</w:t>
      </w:r>
      <w:r>
        <w:t xml:space="preserve"> </w:t>
      </w:r>
      <w:r>
        <w:t xml:space="preserve">and firm-level assessments. The most commonly accepted explanation for these findings is that</w:t>
      </w:r>
      <w:r>
        <w:t xml:space="preserve"> </w:t>
      </w:r>
      <w:r>
        <w:t xml:space="preserve">the combination of very low carbon prices and the generous allocation of free allowances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during the early stages of the EU ETS significantly reduced any incentive for companies to</w:t>
      </w:r>
      <w:r>
        <w:t xml:space="preserve"> </w:t>
      </w:r>
      <w:r>
        <w:t xml:space="preserve">relocate production or shift emissions outside the EU. Studies such as Naegele &amp; Zaklan (2019)</w:t>
      </w:r>
      <w:r>
        <w:t xml:space="preserve"> </w:t>
      </w:r>
      <w:r>
        <w:t xml:space="preserve">and Dechezleprêtre et al (2022) found no significant evidence that the EU ETS prompted</w:t>
      </w:r>
      <w:r>
        <w:t xml:space="preserve"> </w:t>
      </w:r>
      <w:r>
        <w:t xml:space="preserve">displacement of emissions to countries outside the EU, neither through trade flows nor through</w:t>
      </w:r>
      <w:r>
        <w:t xml:space="preserve"> </w:t>
      </w:r>
      <w:r>
        <w:t xml:space="preserve">adjustments within multinational corporate structures. Similarly, literature reviews like Grubb</w:t>
      </w:r>
      <w:r>
        <w:t xml:space="preserve"> </w:t>
      </w:r>
      <w:r>
        <w:t xml:space="preserve">et al (2022) concluded that existing climate policies have not been substantially undermined</w:t>
      </w:r>
      <w:r>
        <w:t xml:space="preserve"> </w:t>
      </w:r>
      <w:r>
        <w:t xml:space="preserve">by carbon leakage.</w:t>
      </w:r>
      <w:r>
        <w:t xml:space="preserve"> </w:t>
      </w:r>
      <w:r>
        <w:t xml:space="preserve">However, more recent studies benefitting from updated data, have started to detect clearer signs</w:t>
      </w:r>
      <w:r>
        <w:t xml:space="preserve"> </w:t>
      </w:r>
      <w:r>
        <w:t xml:space="preserve">of carbon leakage. These studies tend to focus on more recent periods, where the EU ETS was</w:t>
      </w:r>
      <w:r>
        <w:t xml:space="preserve"> </w:t>
      </w:r>
      <w:r>
        <w:t xml:space="preserve">more stringent, carbon prices were higher, and free allocation was reduced.</w:t>
      </w:r>
      <w:r>
        <w:br/>
      </w:r>
      <w:r>
        <w:t xml:space="preserve">Wang &amp; Kuusi (2024)181 show that, although the overall effect remains small relative to total</w:t>
      </w:r>
      <w:r>
        <w:t xml:space="preserve"> </w:t>
      </w:r>
      <w:r>
        <w:t xml:space="preserve">trade, there is a measurable increase in the carbon content of imports to the EU, rising by 13%</w:t>
      </w:r>
      <w:r>
        <w:t xml:space="preserve"> </w:t>
      </w:r>
      <w:r>
        <w:t xml:space="preserve">and offsetting a 12% reduction in the carbon content of EU exports.182 Similarly, a study by</w:t>
      </w:r>
      <w:r>
        <w:t xml:space="preserve"> </w:t>
      </w:r>
      <w:r>
        <w:t xml:space="preserve">Misch &amp; Wingender (2024)183 use panel data on country and sector specific changes in</w:t>
      </w:r>
      <w:r>
        <w:t xml:space="preserve"> </w:t>
      </w:r>
      <w:r>
        <w:t xml:space="preserve">effectives energy prices to identify changes in domestic carbon emissions and other flows.184</w:t>
      </w:r>
      <w:r>
        <w:t xml:space="preserve"> </w:t>
      </w:r>
      <w:r>
        <w:t xml:space="preserve">Short-term carbon leakage rates185 from unilateral policies were then subsequently derived in</w:t>
      </w:r>
      <w:r>
        <w:t xml:space="preserve"> </w:t>
      </w:r>
      <w:r>
        <w:t xml:space="preserve">the study based upon a simple accounting framework to reflect short run responses of carbon</w:t>
      </w:r>
      <w:r>
        <w:t xml:space="preserve"> </w:t>
      </w:r>
      <w:r>
        <w:t xml:space="preserve">flows to energy price changes. A carbon leakage rate of 0.15 is estimated for the EU14+</w:t>
      </w:r>
      <w:r>
        <w:t xml:space="preserve"> </w:t>
      </w:r>
      <w:r>
        <w:t xml:space="preserve">group,186 pointing to a modest but statistically significant evidence of carbon leakage. Another</w:t>
      </w:r>
      <w:r>
        <w:t xml:space="preserve"> </w:t>
      </w:r>
      <w:r>
        <w:t xml:space="preserve">study focusing on the risk of carbon leakage from the French carbon tax by Känzig et al. </w:t>
      </w:r>
      <w:r>
        <w:t xml:space="preserve"> </w:t>
      </w:r>
      <w:r>
        <w:t xml:space="preserve">(2024)187 highlights that carbon leakage may also occur through multinational firms, showing</w:t>
      </w:r>
      <w:r>
        <w:t xml:space="preserve"> </w:t>
      </w:r>
      <w:r>
        <w:t xml:space="preserve">that emissions from African subsidiaries of French multinationals grew by 2.4 times more than</w:t>
      </w:r>
      <w:r>
        <w:t xml:space="preserve"> </w:t>
      </w:r>
      <w:r>
        <w:t xml:space="preserve">emissions from German subsidiaries, at times when the French carbon tax was higher.188</w:t>
      </w:r>
      <w:r>
        <w:t xml:space="preserve"> </w:t>
      </w:r>
      <w:r>
        <w:t xml:space="preserve">Further evidence on the risk of carbon leakage is shown a study by the OECD (2024).189 The</w:t>
      </w:r>
    </w:p>
    <w:p>
      <w:pPr>
        <w:pStyle w:val="BodyText"/>
      </w:pPr>
      <w:r>
        <w:t xml:space="preserve">181 Wang M. &amp; Kuusi T., 2024. “Trade flows, carbon leakage, and the EU Emissions Trading System”, Energy</w:t>
      </w:r>
      <w:r>
        <w:t xml:space="preserve"> </w:t>
      </w:r>
      <w:r>
        <w:t xml:space="preserve">Economics, June 2024, https://www.sciencedirect.com/science/article/pii/S0140988324002640</w:t>
      </w:r>
      <w:r>
        <w:t xml:space="preserve"> </w:t>
      </w:r>
      <w:r>
        <w:t xml:space="preserve">182 The empirical analysis uses a gravity model on a sectoral level based on the use of international manufacturing</w:t>
      </w:r>
      <w:r>
        <w:t xml:space="preserve"> </w:t>
      </w:r>
      <w:r>
        <w:t xml:space="preserve">trade flows for 2000-2018 from the UN Comtrade database and subsequently combine the trade value data</w:t>
      </w:r>
      <w:r>
        <w:t xml:space="preserve"> </w:t>
      </w:r>
      <w:r>
        <w:t xml:space="preserve">with data on emission intensities of imports from the OECD’s ‘Carbon dioxide emissions embodied in</w:t>
      </w:r>
      <w:r>
        <w:t xml:space="preserve"> </w:t>
      </w:r>
      <w:r>
        <w:t xml:space="preserve">international trade’ database.</w:t>
      </w:r>
      <w:r>
        <w:br/>
      </w:r>
      <w:r>
        <w:t xml:space="preserve">183 Misch &amp; Wingender, 2024. Revisiting carbon leakage”, Energy Economics, December 2024,</w:t>
      </w:r>
      <w:r>
        <w:t xml:space="preserve"> </w:t>
      </w:r>
      <w:r>
        <w:t xml:space="preserve">https://www.sciencedirect.com/science/article/pii/S0140988324004948</w:t>
      </w:r>
      <w:r>
        <w:t xml:space="preserve"> </w:t>
      </w:r>
      <w:r>
        <w:t xml:space="preserve">184 The analysis relies upon 1) the OECD’s Trade in Embodied CO2 Database to measure carbon emissions and</w:t>
      </w:r>
      <w:r>
        <w:t xml:space="preserve"> </w:t>
      </w:r>
      <w:r>
        <w:t xml:space="preserve">carbon embodied in goods and services trade and final demand and 2) sectoral energy prices based on a</w:t>
      </w:r>
      <w:r>
        <w:t xml:space="preserve"> </w:t>
      </w:r>
      <w:r>
        <w:t xml:space="preserve">dataset compiled by Sato et al. (2019). Merging the two datasets results in an unbalanced panel data at an</w:t>
      </w:r>
      <w:r>
        <w:t xml:space="preserve"> </w:t>
      </w:r>
      <w:r>
        <w:t xml:space="preserve">annual frequency that covers 38 countries and 21 sectors over the 2005-15 period.</w:t>
      </w:r>
      <w:r>
        <w:br/>
      </w:r>
      <w:r>
        <w:t xml:space="preserve">185 Wang and Kuusi (2024) define the use of a carbon leakage rate by explaining than a value of one occurs when</w:t>
      </w:r>
      <w:r>
        <w:t xml:space="preserve"> </w:t>
      </w:r>
      <w:r>
        <w:t xml:space="preserve">domestic reductions of emissions are fully offset by emissions abroad leaving global emissions unchanged.</w:t>
      </w:r>
      <w:r>
        <w:t xml:space="preserve"> </w:t>
      </w:r>
      <w:r>
        <w:t xml:space="preserve">186 EU14 + 1 countries include Austria, Belgium, Denmark, Finland, France, Germany, Greece, Ireland, Italy,</w:t>
      </w:r>
      <w:r>
        <w:t xml:space="preserve"> </w:t>
      </w:r>
      <w:r>
        <w:t xml:space="preserve">Luxembourg, Netherlands, Portugal, Spain, Sweden, and United Kingdom.</w:t>
      </w:r>
      <w:r>
        <w:t xml:space="preserve"> </w:t>
      </w:r>
      <w:r>
        <w:t xml:space="preserve">187 Känzig</w:t>
      </w:r>
      <w:r>
        <w:t xml:space="preserve"> </w:t>
      </w:r>
      <w:r>
        <w:t xml:space="preserve">et</w:t>
      </w:r>
      <w:r>
        <w:t xml:space="preserve"> </w:t>
      </w:r>
      <w:r>
        <w:t xml:space="preserve">al,</w:t>
      </w:r>
      <w:r>
        <w:t xml:space="preserve"> </w:t>
      </w:r>
      <w:r>
        <w:t xml:space="preserve">2024.</w:t>
      </w:r>
      <w:r>
        <w:t xml:space="preserve"> </w:t>
      </w:r>
      <w:r>
        <w:t xml:space="preserve">“Carbon</w:t>
      </w:r>
      <w:r>
        <w:t xml:space="preserve"> </w:t>
      </w:r>
      <w:r>
        <w:t xml:space="preserve">Leakage</w:t>
      </w:r>
      <w:r>
        <w:t xml:space="preserve"> </w:t>
      </w:r>
      <w:r>
        <w:t xml:space="preserve">to</w:t>
      </w:r>
      <w:r>
        <w:t xml:space="preserve"> </w:t>
      </w:r>
      <w:r>
        <w:t xml:space="preserve">Developing</w:t>
      </w:r>
      <w:r>
        <w:t xml:space="preserve"> </w:t>
      </w:r>
      <w:r>
        <w:t xml:space="preserve">Countries”,</w:t>
      </w:r>
      <w:r>
        <w:t xml:space="preserve"> </w:t>
      </w:r>
      <w:r>
        <w:t xml:space="preserve">https://dkaenzig.github.io/diegokaenzig.com/Papers/kmo_leakage.pdf</w:t>
      </w:r>
      <w:r>
        <w:t xml:space="preserve"> </w:t>
      </w:r>
      <w:r>
        <w:t xml:space="preserve">188 Känzig et al (2024) construct a unique dataset that combines financial information on multinational firms</w:t>
      </w:r>
      <w:r>
        <w:t xml:space="preserve"> </w:t>
      </w:r>
      <w:r>
        <w:t xml:space="preserve">with exposure to European carbon policies, ownership links in Europe and Africa, information on subsidiary</w:t>
      </w:r>
      <w:r>
        <w:t xml:space="preserve"> </w:t>
      </w:r>
      <w:r>
        <w:t xml:space="preserve">locations, and spatial emissions data. The panel dataset used in the study included more than 1,500 large</w:t>
      </w:r>
      <w:r>
        <w:t xml:space="preserve"> </w:t>
      </w:r>
      <w:r>
        <w:t xml:space="preserve">multinational firms with almost 16,000 unique African subsidiaries spanning the period from 2010 to 2019.</w:t>
      </w:r>
      <w:r>
        <w:t xml:space="preserve"> </w:t>
      </w:r>
      <w:r>
        <w:t xml:space="preserve">189 OECD, 2025. “How different climate policies affect carbon leakage through trade”, available at:</w:t>
      </w:r>
      <w:r>
        <w:t xml:space="preserve"> </w:t>
      </w:r>
      <w:r>
        <w:t xml:space="preserve">https://www.oecd.org/en/publications/how-different-climate-policies-affect-carbon-leakage-through-</w:t>
      </w:r>
      <w:r>
        <w:t xml:space="preserve"> </w:t>
      </w:r>
      <w:r>
        <w:t xml:space="preserve">trade_5819ce91-en.html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study uses a gravity model on trade to empirically find that, as the carbon price difference</w:t>
      </w:r>
      <w:r>
        <w:t xml:space="preserve"> </w:t>
      </w:r>
      <w:r>
        <w:t xml:space="preserve">between importer and exporter countries widens, the emissions embodied in imports also</w:t>
      </w:r>
      <w:r>
        <w:t xml:space="preserve"> </w:t>
      </w:r>
      <w:r>
        <w:t xml:space="preserve">increase.190 The OECD study shows that the carbon leakage effect is robust even when</w:t>
      </w:r>
      <w:r>
        <w:t xml:space="preserve"> </w:t>
      </w:r>
      <w:r>
        <w:t xml:space="preserve">accounting for variables like fuel prices and exchange rates, suggesting that carbon price</w:t>
      </w:r>
      <w:r>
        <w:t xml:space="preserve"> </w:t>
      </w:r>
      <w:r>
        <w:t xml:space="preserve">asymmetries caused by the EU ETS may result in carbon leakage in globally traded goods,</w:t>
      </w:r>
      <w:r>
        <w:t xml:space="preserve"> </w:t>
      </w:r>
      <w:r>
        <w:t xml:space="preserve">however the overall carbon leakage rates empirically estimated were deemed to be moderate</w:t>
      </w:r>
      <w:r>
        <w:t xml:space="preserve"> </w:t>
      </w:r>
      <w:r>
        <w:t xml:space="preserve">and varied by country and sector.191</w:t>
      </w:r>
      <w:r>
        <w:t xml:space="preserve"> </w:t>
      </w:r>
      <w:r>
        <w:t xml:space="preserve">Despite these emerging findings, the literature widely acknowledges that the design of the EU</w:t>
      </w:r>
      <w:r>
        <w:t xml:space="preserve"> </w:t>
      </w:r>
      <w:r>
        <w:t xml:space="preserve">ETS, particularly the use of free allocation, has played a decisive role in keeping leakage risks</w:t>
      </w:r>
      <w:r>
        <w:t xml:space="preserve"> </w:t>
      </w:r>
      <w:r>
        <w:t xml:space="preserve">relatively contained so far. Free allocation was introduced to shield firms from the full cost of</w:t>
      </w:r>
      <w:r>
        <w:t xml:space="preserve"> </w:t>
      </w:r>
      <w:r>
        <w:t xml:space="preserve">carbon and protect their competitiveness, especially in sectors most exposed to international</w:t>
      </w:r>
      <w:r>
        <w:t xml:space="preserve"> </w:t>
      </w:r>
      <w:r>
        <w:t xml:space="preserve">trade. By offsetting direct emissions costs and reducing the likelihood of cost-pass-through,</w:t>
      </w:r>
      <w:r>
        <w:t xml:space="preserve"> </w:t>
      </w:r>
      <w:r>
        <w:t xml:space="preserve">this mechanism helped prevent significant relocation of production or loss of market share due</w:t>
      </w:r>
      <w:r>
        <w:t xml:space="preserve"> </w:t>
      </w:r>
      <w:r>
        <w:t xml:space="preserve">to carbon pricing. Many studies attribute the limited carbon leakage observed in the earlier</w:t>
      </w:r>
      <w:r>
        <w:t xml:space="preserve"> </w:t>
      </w:r>
      <w:r>
        <w:t xml:space="preserve">phases of the EU ETS directly to this design feature. In conclusion, earlier studies found little</w:t>
      </w:r>
      <w:r>
        <w:t xml:space="preserve"> </w:t>
      </w:r>
      <w:r>
        <w:t xml:space="preserve">evidence of carbon leakage, largely because the EU ETS in its early stages was designed to</w:t>
      </w:r>
      <w:r>
        <w:t xml:space="preserve"> </w:t>
      </w:r>
      <w:r>
        <w:t xml:space="preserve">minimise such risks. However, as the system matures, the carbon price increases, and free</w:t>
      </w:r>
      <w:r>
        <w:t xml:space="preserve"> </w:t>
      </w:r>
      <w:r>
        <w:t xml:space="preserve">allocation is phased out, more recent analyses find small but increasingly significant evidence</w:t>
      </w:r>
      <w:r>
        <w:t xml:space="preserve"> </w:t>
      </w:r>
      <w:r>
        <w:t xml:space="preserve">of carbon leakage. While the overall magnitude remains moderate, studies using different</w:t>
      </w:r>
      <w:r>
        <w:t xml:space="preserve"> </w:t>
      </w:r>
      <w:r>
        <w:t xml:space="preserve">methods and datasets suggests that carbon leakage is becoming more visible, especially in</w:t>
      </w:r>
      <w:r>
        <w:t xml:space="preserve"> </w:t>
      </w:r>
      <w:r>
        <w:t xml:space="preserve">emission-intensive and trade-exposed sectors and potentially through channels like</w:t>
      </w:r>
      <w:r>
        <w:t xml:space="preserve"> </w:t>
      </w:r>
      <w:r>
        <w:t xml:space="preserve">multinational corporate structures.</w:t>
      </w:r>
      <w:r>
        <w:t xml:space="preserve"> </w:t>
      </w:r>
      <w:r>
        <w:t xml:space="preserve">A report published by Bruegel in 2026192 argues that the EU ETS has so far been broadly</w:t>
      </w:r>
      <w:r>
        <w:t xml:space="preserve"> </w:t>
      </w:r>
      <w:r>
        <w:t xml:space="preserve">compatible with industrial competitiveness, while stressing that this outcome has depended</w:t>
      </w:r>
      <w:r>
        <w:t xml:space="preserve"> </w:t>
      </w:r>
      <w:r>
        <w:t xml:space="preserve">critically on policy design choices rather than the absence of carbon costs. Drawing on a large</w:t>
      </w:r>
      <w:r>
        <w:t xml:space="preserve"> </w:t>
      </w:r>
      <w:r>
        <w:t xml:space="preserve">empirical literature, it finds that the EU ETS reduced emissions substantially with only modest</w:t>
      </w:r>
      <w:r>
        <w:t xml:space="preserve"> </w:t>
      </w:r>
      <w:r>
        <w:t xml:space="preserve">impacts on firm profitability, employment and output, and no clear evidence of large‑scale</w:t>
      </w:r>
      <w:r>
        <w:t xml:space="preserve"> </w:t>
      </w:r>
      <w:r>
        <w:t xml:space="preserve">carbon leakage to date, largely because extensive free allowance allocation and cost</w:t>
      </w:r>
      <w:r>
        <w:t xml:space="preserve"> </w:t>
      </w:r>
      <w:r>
        <w:t xml:space="preserve">pass‑through mechanisms muted exposure for energy‑intensive industries in earlier phases.</w:t>
      </w:r>
      <w:r>
        <w:t xml:space="preserve"> </w:t>
      </w:r>
      <w:r>
        <w:t xml:space="preserve">However, Bruegel emphasises that generous free allocation has also produced sizeable windfall</w:t>
      </w:r>
      <w:r>
        <w:t xml:space="preserve"> </w:t>
      </w:r>
      <w:r>
        <w:t xml:space="preserve">profits and failed to trigger deep industrial transformation, leaving emissions reductions in</w:t>
      </w:r>
      <w:r>
        <w:t xml:space="preserve"> </w:t>
      </w:r>
      <w:r>
        <w:t xml:space="preserve">industry lagging far behind those in the power sector. Looking forward, the report makes clear</w:t>
      </w:r>
      <w:r>
        <w:t xml:space="preserve"> </w:t>
      </w:r>
      <w:r>
        <w:t xml:space="preserve">that competitiveness concerns stem not from the EU ETS per se, but from the next phase of its</w:t>
      </w:r>
      <w:r>
        <w:t xml:space="preserve"> </w:t>
      </w:r>
      <w:r>
        <w:t xml:space="preserve">implementation: as carbon prices rise, free allowances are phased out and CBAM’s ability to</w:t>
      </w:r>
      <w:r>
        <w:t xml:space="preserve"> </w:t>
      </w:r>
      <w:r>
        <w:t xml:space="preserve">protect exporters remains uncertain, EU firms are expected to face growing cost pressures. The</w:t>
      </w:r>
      <w:r>
        <w:t xml:space="preserve"> </w:t>
      </w:r>
      <w:r>
        <w:t xml:space="preserve">central competitiveness message is therefore conditional: weakening the ETS would undermine</w:t>
      </w:r>
      <w:r>
        <w:t xml:space="preserve"> </w:t>
      </w:r>
      <w:r>
        <w:t xml:space="preserve">investment signals and penalise first movers, but maintaining competitiveness requires shifting</w:t>
      </w:r>
    </w:p>
    <w:p>
      <w:pPr>
        <w:pStyle w:val="BodyText"/>
      </w:pPr>
      <w:r>
        <w:t xml:space="preserve">190 The analysis uses a gravity model of trade to provide empirical estimates of carbon leakage rates (defined as</w:t>
      </w:r>
      <w:r>
        <w:t xml:space="preserve"> </w:t>
      </w:r>
      <w:r>
        <w:t xml:space="preserve">the ratio of policy-induced changes in imported emissions to changes in domestic emissions) for 14</w:t>
      </w:r>
      <w:r>
        <w:t xml:space="preserve"> </w:t>
      </w:r>
      <w:r>
        <w:t xml:space="preserve">manufacturing sectors, 49 countries and a broad set of climate policy instruments, covering the 2000-2020</w:t>
      </w:r>
      <w:r>
        <w:t xml:space="preserve"> </w:t>
      </w:r>
      <w:r>
        <w:t xml:space="preserve">period.</w:t>
      </w:r>
      <w:r>
        <w:br/>
      </w:r>
      <w:r>
        <w:t xml:space="preserve">191 The median leakage rate was estimated by the OECD at around 3% (i.e. for every 100 tonnes of emissions</w:t>
      </w:r>
      <w:r>
        <w:t xml:space="preserve"> </w:t>
      </w:r>
      <w:r>
        <w:t xml:space="preserve">that reduced domestically from a unilateral increase in climate policies, imported emissions rise by around</w:t>
      </w:r>
      <w:r>
        <w:t xml:space="preserve"> </w:t>
      </w:r>
      <w:r>
        <w:t xml:space="preserve">3.0 tonnes.</w:t>
      </w:r>
      <w:r>
        <w:br/>
      </w:r>
      <w:r>
        <w:t xml:space="preserve">192 Mramor, T. and S. Tagliapietra, 2026. “Europe’s emissions trading system is an ally, not an enemy, of</w:t>
      </w:r>
      <w:r>
        <w:t xml:space="preserve"> </w:t>
      </w:r>
      <w:r>
        <w:t xml:space="preserve">industrial competitiveness”, Analysis 03/2026, Bruegel, available at https://doi.org/10.64153/GZCE1979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from a “cap‑and‑trade” to a “cap‑and‑invest” logic, using auction revenues more transparently</w:t>
      </w:r>
      <w:r>
        <w:t xml:space="preserve"> </w:t>
      </w:r>
      <w:r>
        <w:t xml:space="preserve">and conditionally to finance industrial decarbonisation rather than permanent compensation.</w:t>
      </w:r>
      <w:r>
        <w:t xml:space="preserve"> </w:t>
      </w:r>
      <w:r>
        <w:t xml:space="preserve">The impacts of the EU ETS on downstream sectors will depend on the extent to which regulated</w:t>
      </w:r>
      <w:r>
        <w:t xml:space="preserve"> </w:t>
      </w:r>
      <w:r>
        <w:t xml:space="preserve">entities are able to pass through cost on product prices, which can affect customers and</w:t>
      </w:r>
      <w:r>
        <w:t xml:space="preserve"> </w:t>
      </w:r>
      <w:r>
        <w:t xml:space="preserve">businesses operating downstream. However, evidence on impacts of the EU ETS on</w:t>
      </w:r>
      <w:r>
        <w:t xml:space="preserve"> </w:t>
      </w:r>
      <w:r>
        <w:t xml:space="preserve">downstream sectors is limited, and more research is required.</w:t>
      </w:r>
      <w:r>
        <w:br/>
      </w:r>
      <w:r>
        <w:t xml:space="preserve">While it was acknowledged by industrial stakeholders that carbon pricing alone was not</w:t>
      </w:r>
      <w:r>
        <w:t xml:space="preserve"> </w:t>
      </w:r>
      <w:r>
        <w:t xml:space="preserve">responsible for changes observed in production and trade, it was widely argued that the carbon</w:t>
      </w:r>
      <w:r>
        <w:t xml:space="preserve"> </w:t>
      </w:r>
      <w:r>
        <w:t xml:space="preserve">cost is unilateral in nature and therefore undermines their short-term competitiveness.</w:t>
      </w:r>
      <w:r>
        <w:br/>
      </w:r>
      <w:r>
        <w:t xml:space="preserve">• Eurofer advanced the position that free allocation has proven an essential instrument to</w:t>
      </w:r>
      <w:r>
        <w:t xml:space="preserve"> </w:t>
      </w:r>
      <w:r>
        <w:t xml:space="preserve">avoid carbon leakage due to the unilateral EU ETS cost but was only moderately</w:t>
      </w:r>
      <w:r>
        <w:t xml:space="preserve"> </w:t>
      </w:r>
      <w:r>
        <w:t xml:space="preserve">effective against other causes of carbon leakage. In the last few years, the combination</w:t>
      </w:r>
      <w:r>
        <w:t xml:space="preserve"> </w:t>
      </w:r>
      <w:r>
        <w:t xml:space="preserve">of increased carbon and energy costs and the proliferation of global excess capacity has</w:t>
      </w:r>
      <w:r>
        <w:t xml:space="preserve"> </w:t>
      </w:r>
      <w:r>
        <w:t xml:space="preserve">severely impacted the steel sector. Since 2017-2018, the steel sector has lost around 30</w:t>
      </w:r>
      <w:r>
        <w:t xml:space="preserve"> </w:t>
      </w:r>
      <w:r>
        <w:t xml:space="preserve">million tonnes of production, of which around 10 million tonnes on export markets.</w:t>
      </w:r>
      <w:r>
        <w:t xml:space="preserve"> </w:t>
      </w:r>
      <w:r>
        <w:t xml:space="preserve">While this negative trend is due to the above mentioned several elements, it should be</w:t>
      </w:r>
      <w:r>
        <w:t xml:space="preserve"> </w:t>
      </w:r>
      <w:r>
        <w:t xml:space="preserve">considered in any case as carbon leakage, since it results in higher production by third</w:t>
      </w:r>
      <w:r>
        <w:t xml:space="preserve"> </w:t>
      </w:r>
      <w:r>
        <w:t xml:space="preserve">country producers that are not subject to equivalent climate policy.</w:t>
      </w:r>
      <w:r>
        <w:br/>
      </w:r>
      <w:r>
        <w:t xml:space="preserve">• European Aluminium believe that there is evidence of carbon leakage for the production</w:t>
      </w:r>
      <w:r>
        <w:t xml:space="preserve"> </w:t>
      </w:r>
      <w:r>
        <w:t xml:space="preserve">of primary aluminium but less clear for downstream processes and this would require</w:t>
      </w:r>
      <w:r>
        <w:t xml:space="preserve"> </w:t>
      </w:r>
      <w:r>
        <w:t xml:space="preserve">further research to determine fully. In terms of carbon leakage, European Aluminium</w:t>
      </w:r>
      <w:r>
        <w:t xml:space="preserve"> </w:t>
      </w:r>
      <w:r>
        <w:t xml:space="preserve">outline that there has been an observable drop in the production of primary aluminium</w:t>
      </w:r>
      <w:r>
        <w:t xml:space="preserve"> </w:t>
      </w:r>
      <w:r>
        <w:t xml:space="preserve">in Europe. For downstream processes there has been an increase in production for semi-</w:t>
      </w:r>
      <w:r>
        <w:t xml:space="preserve"> </w:t>
      </w:r>
      <w:r>
        <w:t xml:space="preserve">fabricated products, but European Aluminium also state that imports have risen. For</w:t>
      </w:r>
      <w:r>
        <w:t xml:space="preserve"> </w:t>
      </w:r>
      <w:r>
        <w:t xml:space="preserve">example, noticeable increase in imports of aluminium wire which needs pure</w:t>
      </w:r>
      <w:r>
        <w:t xml:space="preserve"> </w:t>
      </w:r>
      <w:r>
        <w:t xml:space="preserve">aluminium from primary process to manufacture.</w:t>
      </w:r>
      <w:r>
        <w:t xml:space="preserve"> </w:t>
      </w:r>
      <w:r>
        <w:t xml:space="preserve">• Fertilisers Europe noted that plant closures have been observed in the EU along with</w:t>
      </w:r>
      <w:r>
        <w:t xml:space="preserve"> </w:t>
      </w:r>
      <w:r>
        <w:t xml:space="preserve">production volume reductions not only due to these closures but also due to other</w:t>
      </w:r>
      <w:r>
        <w:t xml:space="preserve"> </w:t>
      </w:r>
      <w:r>
        <w:t xml:space="preserve">operators running at a lower capacity. This is mainly impacting ammonia production,</w:t>
      </w:r>
      <w:r>
        <w:t xml:space="preserve"> </w:t>
      </w:r>
      <w:r>
        <w:t xml:space="preserve">which has declined from around 15 Mt to 10 Mt. This represents a reduction of around</w:t>
      </w:r>
      <w:r>
        <w:t xml:space="preserve"> </w:t>
      </w:r>
      <w:r>
        <w:t xml:space="preserve">one third in recent times. This drop in domestic production has been replaced with the</w:t>
      </w:r>
      <w:r>
        <w:t xml:space="preserve"> </w:t>
      </w:r>
      <w:r>
        <w:t xml:space="preserve">import of products from outside the EU with a higher carbon footprint and therefore</w:t>
      </w:r>
      <w:r>
        <w:t xml:space="preserve"> </w:t>
      </w:r>
      <w:r>
        <w:t xml:space="preserve">this represents, in the view of Fertilisers Europe, carbon leakage.</w:t>
      </w:r>
      <w:r>
        <w:br/>
      </w:r>
      <w:r>
        <w:t xml:space="preserve">• Cement Europe explained that as competitors such as Turkey can produce cement at a</w:t>
      </w:r>
      <w:r>
        <w:t xml:space="preserve"> </w:t>
      </w:r>
      <w:r>
        <w:t xml:space="preserve">cost of around 65 EUR per tonne – this is substantially less than the average European</w:t>
      </w:r>
      <w:r>
        <w:t xml:space="preserve"> </w:t>
      </w:r>
      <w:r>
        <w:t xml:space="preserve">production cost of around 90 EUR even after subtracting shipping costs. Cement</w:t>
      </w:r>
      <w:r>
        <w:t xml:space="preserve"> </w:t>
      </w:r>
      <w:r>
        <w:t xml:space="preserve">Europe argue that producers in Turkey and Northern Africa do not have a CO2 cost,</w:t>
      </w:r>
      <w:r>
        <w:t xml:space="preserve"> </w:t>
      </w:r>
      <w:r>
        <w:t xml:space="preserve">have cheaper energy costs and are therefore more competitive and this situation is</w:t>
      </w:r>
      <w:r>
        <w:t xml:space="preserve"> </w:t>
      </w:r>
      <w:r>
        <w:t xml:space="preserve">unlikely to change in the near future. The imported product is mainly clinker &amp; CEM I</w:t>
      </w:r>
      <w:r>
        <w:t xml:space="preserve"> </w:t>
      </w:r>
      <w:r>
        <w:t xml:space="preserve">(which is 95 % clinker – the most energy intensive part of the production process).</w:t>
      </w:r>
      <w:r>
        <w:t xml:space="preserve"> </w:t>
      </w:r>
      <w:r>
        <w:t xml:space="preserve">• Cefic outlined that carbon cost is one of the main elements impacting the business</w:t>
      </w:r>
      <w:r>
        <w:t xml:space="preserve"> </w:t>
      </w:r>
      <w:r>
        <w:t xml:space="preserve">operations in Europe due to its role in the marginal price of electricity. Indirect carbon</w:t>
      </w:r>
      <w:r>
        <w:t xml:space="preserve"> </w:t>
      </w:r>
      <w:r>
        <w:t xml:space="preserve">cost, factored into the company - already high - energy bills is clearly a source of</w:t>
      </w:r>
      <w:r>
        <w:t xml:space="preserve"> </w:t>
      </w:r>
      <w:r>
        <w:t xml:space="preserve">concern. More broadly, energy costs and weak demand remains the top issues for the</w:t>
      </w:r>
      <w:r>
        <w:t xml:space="preserve"> </w:t>
      </w:r>
      <w:r>
        <w:t xml:space="preserve">chemical sector operating in the EU. Compared to the USA, the gas price in Europe</w:t>
      </w:r>
      <w:r>
        <w:t xml:space="preserve"> </w:t>
      </w:r>
      <w:r>
        <w:t xml:space="preserve">(Jan-Mar 2025) is 3.3 times higher, leaving Europe at a competitive disadvantage. The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EU27 chemicals business environment continues to face a limited demand since March</w:t>
      </w:r>
      <w:r>
        <w:t xml:space="preserve"> </w:t>
      </w:r>
      <w:r>
        <w:t xml:space="preserve">2022.193 High energy costs and weak demand has a dramatic impact on plant closures.</w:t>
      </w:r>
      <w:r>
        <w:t xml:space="preserve"> </w:t>
      </w:r>
      <w:r>
        <w:t xml:space="preserve">• Glass for Europe confirmed that European production has fallen in the last 15 years</w:t>
      </w:r>
      <w:r>
        <w:t xml:space="preserve"> </w:t>
      </w:r>
      <w:r>
        <w:t xml:space="preserve">quite dramatically whereas global production has increased. While this cannot be</w:t>
      </w:r>
      <w:r>
        <w:t xml:space="preserve"> </w:t>
      </w:r>
      <w:r>
        <w:t xml:space="preserve">attributed to carbon pricing solely and there are clearly many factors that are</w:t>
      </w:r>
      <w:r>
        <w:t xml:space="preserve"> </w:t>
      </w:r>
      <w:r>
        <w:t xml:space="preserve">contributing whether this be the spike in energy prices as a consequence of geo-political</w:t>
      </w:r>
      <w:r>
        <w:t xml:space="preserve"> </w:t>
      </w:r>
      <w:r>
        <w:t xml:space="preserve">events or the abrupt change in international tariff regimes. However, the carbon price</w:t>
      </w:r>
      <w:r>
        <w:t xml:space="preserve"> </w:t>
      </w:r>
      <w:r>
        <w:t xml:space="preserve">is a unilateral cost and there remains a fear within the flat glass industry that a</w:t>
      </w:r>
      <w:r>
        <w:t xml:space="preserve"> </w:t>
      </w:r>
      <w:r>
        <w:t xml:space="preserve">continuation of the recent rising trend in EUA prices will only exacerbate the problems</w:t>
      </w:r>
      <w:r>
        <w:t xml:space="preserve"> </w:t>
      </w:r>
      <w:r>
        <w:t xml:space="preserve">that the industry faces in a very volatile trading environment. In this context, products</w:t>
      </w:r>
      <w:r>
        <w:t xml:space="preserve"> </w:t>
      </w:r>
      <w:r>
        <w:t xml:space="preserve">with low margins means any extra cost will be a great source of concern.</w:t>
      </w:r>
      <w:r>
        <w:t xml:space="preserve"> </w:t>
      </w:r>
      <w:r>
        <w:t xml:space="preserve">• CEPI acknowledge that the last few years have been challenging but it is very difficult</w:t>
      </w:r>
      <w:r>
        <w:t xml:space="preserve"> </w:t>
      </w:r>
      <w:r>
        <w:t xml:space="preserve">to isolate the impact of carbon pricing against a very volatile wider context with</w:t>
      </w:r>
      <w:r>
        <w:t xml:space="preserve"> </w:t>
      </w:r>
      <w:r>
        <w:t xml:space="preserve">industry having to respond to the challenges posed by both the COVID pandemic as</w:t>
      </w:r>
      <w:r>
        <w:t xml:space="preserve"> </w:t>
      </w:r>
      <w:r>
        <w:t xml:space="preserve">well as geopolitical instability and the subsequent impact on energy prices. However,</w:t>
      </w:r>
      <w:r>
        <w:t xml:space="preserve"> </w:t>
      </w:r>
      <w:r>
        <w:t xml:space="preserve">regardless of the contribution of each factor the result has been a loss of market share</w:t>
      </w:r>
      <w:r>
        <w:t xml:space="preserve"> </w:t>
      </w:r>
      <w:r>
        <w:t xml:space="preserve">in recent years with a loss in production capacity and lower levels of employment</w:t>
      </w:r>
      <w:r>
        <w:t xml:space="preserve"> </w:t>
      </w:r>
      <w:r>
        <w:t xml:space="preserve">compared to before the onset of the recent years of volatility.</w:t>
      </w:r>
      <w:r>
        <w:br/>
      </w:r>
      <w:r>
        <w:t xml:space="preserve">Investment channel</w:t>
      </w:r>
      <w:r>
        <w:t xml:space="preserve"> </w:t>
      </w:r>
      <w:r>
        <w:t xml:space="preserve">The question on whether the EU ETS has led to investment leakage, defined as increased firms’</w:t>
      </w:r>
      <w:r>
        <w:t xml:space="preserve"> </w:t>
      </w:r>
      <w:r>
        <w:t xml:space="preserve">investment outside of the EU to avoid carbon costs, has been studied using different methods</w:t>
      </w:r>
      <w:r>
        <w:t xml:space="preserve"> </w:t>
      </w:r>
      <w:r>
        <w:t xml:space="preserve">and firm-level datasets. Koch &amp; Mama, (2019)194 focus on German multinational firms,</w:t>
      </w:r>
      <w:r>
        <w:t xml:space="preserve"> </w:t>
      </w:r>
      <w:r>
        <w:t xml:space="preserve">combining Bundesbank data on outward FDI with the EU ETS registry195. Using a difference-</w:t>
      </w:r>
      <w:r>
        <w:t xml:space="preserve"> </w:t>
      </w:r>
      <w:r>
        <w:t xml:space="preserve">in-differences matching approach, they find no overall effect of the ETS on foreign investment.</w:t>
      </w:r>
      <w:r>
        <w:t xml:space="preserve"> </w:t>
      </w:r>
      <w:r>
        <w:t xml:space="preserve">On average, regulated firms invested just 0.2% less abroad than unregulated firms, although</w:t>
      </w:r>
      <w:r>
        <w:t xml:space="preserve"> </w:t>
      </w:r>
      <w:r>
        <w:t xml:space="preserve">the result is not statistically significant. However, when looking at a subgroup of “footloose”</w:t>
      </w:r>
      <w:r>
        <w:t xml:space="preserve"> </w:t>
      </w:r>
      <w:r>
        <w:t xml:space="preserve">firms (those in less capital-intensive sectors that can shift production more easily), they</w:t>
      </w:r>
      <w:r>
        <w:t xml:space="preserve"> </w:t>
      </w:r>
      <w:r>
        <w:t xml:space="preserve">estimate that FDI outside the EU was about 52% higher compared to unregulated firms,</w:t>
      </w:r>
      <w:r>
        <w:t xml:space="preserve"> </w:t>
      </w:r>
      <w:r>
        <w:t xml:space="preserve">although the confidence interval is quite wide (±47%). These firms also expanded their network</w:t>
      </w:r>
      <w:r>
        <w:t xml:space="preserve"> </w:t>
      </w:r>
      <w:r>
        <w:t xml:space="preserve">of foreign affiliates by 28%, suggesting that while most German firms did not relocate</w:t>
      </w:r>
      <w:r>
        <w:t xml:space="preserve"> </w:t>
      </w:r>
      <w:r>
        <w:t xml:space="preserve">investment, some mobile firms may have started building options for future relocation.</w:t>
      </w:r>
      <w:r>
        <w:t xml:space="preserve"> </w:t>
      </w:r>
      <w:r>
        <w:t xml:space="preserve">Other studies confirm the picture of modest and selective effects. D’Arcangelo &amp; Galeotti</w:t>
      </w:r>
      <w:r>
        <w:t xml:space="preserve"> </w:t>
      </w:r>
      <w:r>
        <w:t xml:space="preserve">(2025)196 study a panel of European firms 2005-2012, focusing on greenfield investments as a</w:t>
      </w:r>
      <w:r>
        <w:t xml:space="preserve"> </w:t>
      </w:r>
      <w:r>
        <w:t xml:space="preserve">direct measure of new productive capacity. Their empirical strategy estimates firms’</w:t>
      </w:r>
      <w:r>
        <w:t xml:space="preserve"> </w:t>
      </w:r>
      <w:r>
        <w:t xml:space="preserve">compliance costs and relates them to investment location choices through a discrete choice</w:t>
      </w:r>
      <w:r>
        <w:t xml:space="preserve"> </w:t>
      </w:r>
      <w:r>
        <w:t xml:space="preserve">model. They find that higher expected carbon costs slightly reduce the probability of investing</w:t>
      </w:r>
      <w:r>
        <w:t xml:space="preserve"> </w:t>
      </w:r>
      <w:r>
        <w:t xml:space="preserve">within the EU ETS area, but the overall effect is economically small. In fact, they conclude</w:t>
      </w:r>
      <w:r>
        <w:t xml:space="preserve"> </w:t>
      </w:r>
      <w:r>
        <w:t xml:space="preserve">that the diversion of investments outside the EU is too limited to justify the very large</w:t>
      </w:r>
    </w:p>
    <w:p>
      <w:pPr>
        <w:pStyle w:val="BodyText"/>
      </w:pPr>
      <w:r>
        <w:t xml:space="preserve">193 Chemical Trends Report available at Cefic website.</w:t>
      </w:r>
      <w:r>
        <w:br/>
      </w:r>
      <w:r>
        <w:t xml:space="preserve">194 Koch &amp; Mama, 2019. “Does the EU Emissions Trading System induce investment leakage? Evidence from</w:t>
      </w:r>
      <w:r>
        <w:t xml:space="preserve"> </w:t>
      </w:r>
      <w:r>
        <w:t xml:space="preserve">German</w:t>
      </w:r>
      <w:r>
        <w:t xml:space="preserve"> </w:t>
      </w:r>
      <w:r>
        <w:t xml:space="preserve">multinational</w:t>
      </w:r>
      <w:r>
        <w:t xml:space="preserve"> </w:t>
      </w:r>
      <w:r>
        <w:t xml:space="preserve">firms”,</w:t>
      </w:r>
      <w:r>
        <w:t xml:space="preserve"> </w:t>
      </w:r>
      <w:r>
        <w:t xml:space="preserve">Energy</w:t>
      </w:r>
      <w:r>
        <w:t xml:space="preserve"> </w:t>
      </w:r>
      <w:r>
        <w:t xml:space="preserve">Economics,</w:t>
      </w:r>
      <w:r>
        <w:t xml:space="preserve"> </w:t>
      </w:r>
      <w:r>
        <w:t xml:space="preserve">June</w:t>
      </w:r>
      <w:r>
        <w:t xml:space="preserve"> </w:t>
      </w:r>
      <w:r>
        <w:t xml:space="preserve">2019,</w:t>
      </w:r>
      <w:r>
        <w:t xml:space="preserve"> </w:t>
      </w:r>
      <w:r>
        <w:t xml:space="preserve">https://www.sciencedirect.com/science/article/abs/pii/S014098831930132X</w:t>
      </w:r>
      <w:r>
        <w:t xml:space="preserve"> </w:t>
      </w:r>
      <w:r>
        <w:t xml:space="preserve">195 The study combines panel (sample period: 1999–2013) of firm-level data on outward FDI stocks with a plant-</w:t>
      </w:r>
      <w:r>
        <w:t xml:space="preserve"> </w:t>
      </w:r>
      <w:r>
        <w:t xml:space="preserve">level database detailing which firms operate any installations subject to the EU ETS.</w:t>
      </w:r>
      <w:r>
        <w:t xml:space="preserve"> </w:t>
      </w:r>
      <w:r>
        <w:t xml:space="preserve">196 Filippo Maria D’Arcangelo, Marzio Galeotti, 2025. “Environmental policy and investment location: The risk</w:t>
      </w:r>
      <w:r>
        <w:t xml:space="preserve"> </w:t>
      </w:r>
      <w:r>
        <w:t xml:space="preserve">of carbon leakage in the EU ETS”, https://doi.org/10.1016/j.enpol.2025.114587.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compensations, via free allowances, that have been used to protect firms. Looking at Phase III</w:t>
      </w:r>
      <w:r>
        <w:t xml:space="preserve"> </w:t>
      </w:r>
      <w:r>
        <w:t xml:space="preserve">(2013-20), De Beule, Schoubben, &amp; Struyfs (2022)197 provide evidence of a pollution haven</w:t>
      </w:r>
      <w:r>
        <w:t xml:space="preserve"> </w:t>
      </w:r>
      <w:r>
        <w:t xml:space="preserve">effect. Using data on 358 listed multinationals and their worldwide FDI projects, they show</w:t>
      </w:r>
      <w:r>
        <w:t xml:space="preserve"> </w:t>
      </w:r>
      <w:r>
        <w:t xml:space="preserve">that carbon inefficient firms are significantly more likely to locate investments in countries</w:t>
      </w:r>
      <w:r>
        <w:t xml:space="preserve"> </w:t>
      </w:r>
      <w:r>
        <w:t xml:space="preserve">with weaker environmental regulation. This shift is attributed to rising carbon prices in Phase</w:t>
      </w:r>
      <w:r>
        <w:t xml:space="preserve"> </w:t>
      </w:r>
      <w:r>
        <w:t xml:space="preserve">III, which made compliance more costly and created incentives for relocation. The</w:t>
      </w:r>
      <w:r>
        <w:t xml:space="preserve"> </w:t>
      </w:r>
      <w:r>
        <w:t xml:space="preserve">aforementioned study by Känzig et al. (2024)198 shows that European firms’ domestic</w:t>
      </w:r>
      <w:r>
        <w:t xml:space="preserve"> </w:t>
      </w:r>
      <w:r>
        <w:t xml:space="preserve">investment decreased while overall global investment remained constant, which is consistent</w:t>
      </w:r>
      <w:r>
        <w:t xml:space="preserve"> </w:t>
      </w:r>
      <w:r>
        <w:t xml:space="preserve">with the hypothesis of partial relocation abroad. By contrast, the study by Dechezleprêtre et al. </w:t>
      </w:r>
      <w:r>
        <w:t xml:space="preserve"> </w:t>
      </w:r>
      <w:r>
        <w:t xml:space="preserve">(2022)199 estimated that the ETS reduced emissions while not only increasing revenues, but</w:t>
      </w:r>
      <w:r>
        <w:t xml:space="preserve"> </w:t>
      </w:r>
      <w:r>
        <w:t xml:space="preserve">also fixed assets of regulated firms, which suggests that firms reinvested domestically in</w:t>
      </w:r>
      <w:r>
        <w:t xml:space="preserve"> </w:t>
      </w:r>
      <w:r>
        <w:t xml:space="preserve">productive assets and efficiency improvements rather than cutting or offshoring investment.</w:t>
      </w:r>
      <w:r>
        <w:t xml:space="preserve"> </w:t>
      </w:r>
      <w:r>
        <w:t xml:space="preserve">Overall, evidence on investment leakage the literature remains limited and incomplete but</w:t>
      </w:r>
      <w:r>
        <w:t xml:space="preserve"> </w:t>
      </w:r>
      <w:r>
        <w:t xml:space="preserve">large-scale systematic investment leakage has not yet occurred under the EU ETS. Instead,</w:t>
      </w:r>
      <w:r>
        <w:t xml:space="preserve"> </w:t>
      </w:r>
      <w:r>
        <w:t xml:space="preserve">effects are modest and heterogeneous, with some mobile and carbon inefficient firms appearing</w:t>
      </w:r>
      <w:r>
        <w:t xml:space="preserve"> </w:t>
      </w:r>
      <w:r>
        <w:t xml:space="preserve">to have shifted investments abroad, particularly after prices rose in Phase III, while many</w:t>
      </w:r>
      <w:r>
        <w:t xml:space="preserve"> </w:t>
      </w:r>
      <w:r>
        <w:t xml:space="preserve">regulated firms actually increased investment at home.</w:t>
      </w:r>
      <w:r>
        <w:t xml:space="preserve"> </w:t>
      </w:r>
      <w:r>
        <w:t xml:space="preserve">The extent to which investment leakage has occurred was, however, more strongly suggested</w:t>
      </w:r>
      <w:r>
        <w:t xml:space="preserve"> </w:t>
      </w:r>
      <w:r>
        <w:t xml:space="preserve">as a likely possibility by industry during interviews with stakeholders from all sectors.</w:t>
      </w:r>
      <w:r>
        <w:br/>
      </w:r>
      <w:r>
        <w:t xml:space="preserve">• Eurofer regard the EU ETS as the overarching instrument to provide the price signal</w:t>
      </w:r>
      <w:r>
        <w:t xml:space="preserve"> </w:t>
      </w:r>
      <w:r>
        <w:t xml:space="preserve">for the necessary investments in the medium term. Investors in EU steel production are</w:t>
      </w:r>
      <w:r>
        <w:t xml:space="preserve"> </w:t>
      </w:r>
      <w:r>
        <w:t xml:space="preserve">aware that if they want their assets to remain viable for the next 30 years that future</w:t>
      </w:r>
      <w:r>
        <w:t xml:space="preserve"> </w:t>
      </w:r>
      <w:r>
        <w:t xml:space="preserve">investments need to be compatible with the ambitious climate policies of the EU.</w:t>
      </w:r>
      <w:r>
        <w:t xml:space="preserve"> </w:t>
      </w:r>
      <w:r>
        <w:t xml:space="preserve">Indeed, in recent years the sector has already seen investments change in response to</w:t>
      </w:r>
      <w:r>
        <w:t xml:space="preserve"> </w:t>
      </w:r>
      <w:r>
        <w:t xml:space="preserve">the price signal of the EU ETS. However, investments are more likely to involve the</w:t>
      </w:r>
      <w:r>
        <w:t xml:space="preserve"> </w:t>
      </w:r>
      <w:r>
        <w:t xml:space="preserve">replacement of existing capacity with new assets rather than retrofitting current assets.</w:t>
      </w:r>
      <w:r>
        <w:t xml:space="preserve"> </w:t>
      </w:r>
      <w:r>
        <w:t xml:space="preserve">The iron and steel sector is impacted by global overcapacity due to an increase in</w:t>
      </w:r>
      <w:r>
        <w:t xml:space="preserve"> </w:t>
      </w:r>
      <w:r>
        <w:t xml:space="preserve">investments in production capacity internationally as more countries wish to capture</w:t>
      </w:r>
      <w:r>
        <w:t xml:space="preserve"> </w:t>
      </w:r>
      <w:r>
        <w:t xml:space="preserve">their own domestic demand, but this is often over-estimated exacerbating oversupply</w:t>
      </w:r>
      <w:r>
        <w:t xml:space="preserve"> </w:t>
      </w:r>
      <w:r>
        <w:t xml:space="preserve">globally.</w:t>
      </w:r>
      <w:r>
        <w:t xml:space="preserve"> </w:t>
      </w:r>
      <w:r>
        <w:t xml:space="preserve">• Fertiliser Europe stated that with regards to evidence of investment leakage, Fertilisers</w:t>
      </w:r>
      <w:r>
        <w:t xml:space="preserve"> </w:t>
      </w:r>
      <w:r>
        <w:t xml:space="preserve">Europe stated that there has been no recent investment in new capacity within the EU,</w:t>
      </w:r>
      <w:r>
        <w:t xml:space="preserve"> </w:t>
      </w:r>
      <w:r>
        <w:t xml:space="preserve">with the last ammonia plant built in the EU was in Slovakia in 2018. In contrast, more</w:t>
      </w:r>
      <w:r>
        <w:t xml:space="preserve"> </w:t>
      </w:r>
      <w:r>
        <w:t xml:space="preserve">investment has occurred outside of the EU and it is already noticeable that the CBAM</w:t>
      </w:r>
      <w:r>
        <w:t xml:space="preserve"> </w:t>
      </w:r>
      <w:r>
        <w:t xml:space="preserve">policy has encouraged new investments in technology abroad to lower the carbon</w:t>
      </w:r>
      <w:r>
        <w:t xml:space="preserve"> </w:t>
      </w:r>
      <w:r>
        <w:t xml:space="preserve">intensity of their production processes. For example, the US has recently invested in</w:t>
      </w:r>
      <w:r>
        <w:t xml:space="preserve"> </w:t>
      </w:r>
      <w:r>
        <w:t xml:space="preserve">blue ammonia with the clear objective of targeting the EU market.</w:t>
      </w:r>
      <w:r>
        <w:br/>
      </w:r>
      <w:r>
        <w:t xml:space="preserve">• European aluminium noted that since the introduction of the ETS, the EU has lost</w:t>
      </w:r>
      <w:r>
        <w:t xml:space="preserve"> </w:t>
      </w:r>
      <w:r>
        <w:t xml:space="preserve">around 50% of its primary aluminium smelting capacity, with 30% lost since 2008</w:t>
      </w:r>
      <w:r>
        <w:t xml:space="preserve"> </w:t>
      </w:r>
      <w:r>
        <w:t xml:space="preserve">alone. Several smelters have permanently closed or suspended operations in countries</w:t>
      </w:r>
      <w:r>
        <w:t xml:space="preserve"> </w:t>
      </w:r>
      <w:r>
        <w:t xml:space="preserve">such as Germany, the Netherlands, Slovenia, and Slovakia, citing unsustainable</w:t>
      </w:r>
      <w:r>
        <w:t xml:space="preserve"> </w:t>
      </w:r>
      <w:r>
        <w:t xml:space="preserve">electricity and carbon costs. In 2022, European smelters curtailed over 900,000 tonnes</w:t>
      </w:r>
    </w:p>
    <w:p>
      <w:pPr>
        <w:pStyle w:val="BodyText"/>
      </w:pPr>
      <w:r>
        <w:t xml:space="preserve">197 Filip De Beule, Frederiek Schoubben, Kristof Struyfs, 2022. “The pollution haven effect and investment</w:t>
      </w:r>
      <w:r>
        <w:t xml:space="preserve"> </w:t>
      </w:r>
      <w:r>
        <w:t xml:space="preserve">leakage: The case of the EU-ETS”, https://doi.org/10.1016/j.econlet.2022.110536.</w:t>
      </w:r>
      <w:r>
        <w:t xml:space="preserve"> </w:t>
      </w:r>
      <w:r>
        <w:t xml:space="preserve">198 Känzig et al (2024)</w:t>
      </w:r>
      <w:r>
        <w:br/>
      </w:r>
      <w:r>
        <w:t xml:space="preserve">199 Antoine Dechezleprêtre, Caterina Gennaioli, Ralf Martin, Mirabelle Muûls, Thomas Stoerk (2021)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of capacity amid soaring electricity and ETS prices, while global competitors including</w:t>
      </w:r>
      <w:r>
        <w:t xml:space="preserve"> </w:t>
      </w:r>
      <w:r>
        <w:t xml:space="preserve">China, India, and the Middle East expanded production using fossil-based power.</w:t>
      </w:r>
      <w:r>
        <w:br/>
      </w:r>
      <w:r>
        <w:t xml:space="preserve">• Cement Europe highlighted their concern that multinational companies are now</w:t>
      </w:r>
      <w:r>
        <w:t xml:space="preserve"> </w:t>
      </w:r>
      <w:r>
        <w:t xml:space="preserve">investing more in clinker grinders within the EU at the border / coast to receive</w:t>
      </w:r>
      <w:r>
        <w:t xml:space="preserve"> </w:t>
      </w:r>
      <w:r>
        <w:t xml:space="preserve">imported clinker from outside the EU.</w:t>
      </w:r>
      <w:r>
        <w:br/>
      </w:r>
      <w:r>
        <w:t xml:space="preserve">• FuelsEurope see a clear pattern of refineries in Europe closing over the last twenty</w:t>
      </w:r>
      <w:r>
        <w:t xml:space="preserve"> </w:t>
      </w:r>
      <w:r>
        <w:t xml:space="preserve">years. Around 30 installations have ceased operation with only 85 refineries remaining.</w:t>
      </w:r>
      <w:r>
        <w:t xml:space="preserve"> </w:t>
      </w:r>
      <w:r>
        <w:t xml:space="preserve">As a consequence, there has been a decline in capacity with no new investments in</w:t>
      </w:r>
      <w:r>
        <w:t xml:space="preserve"> </w:t>
      </w:r>
      <w:r>
        <w:t xml:space="preserve">Europe. New refineries are coming on stream in Africa, the Middle East and Asia.</w:t>
      </w:r>
      <w:r>
        <w:t xml:space="preserve"> </w:t>
      </w:r>
      <w:r>
        <w:t xml:space="preserve">While nearly 400,000 b/d of capacity, around 3pc of Europe’s total, is scheduled for</w:t>
      </w:r>
      <w:r>
        <w:t xml:space="preserve"> </w:t>
      </w:r>
      <w:r>
        <w:t xml:space="preserve">permanent closure in 2025 outside Europe, the world has added more than 2.5mn b/d</w:t>
      </w:r>
      <w:r>
        <w:t xml:space="preserve"> </w:t>
      </w:r>
      <w:r>
        <w:t xml:space="preserve">of crude distillation capacity in the last three years.</w:t>
      </w:r>
      <w:r>
        <w:br/>
      </w:r>
      <w:r>
        <w:t xml:space="preserve">• CEFIC commented that progressively they have seen a significant shift in the</w:t>
      </w:r>
      <w:r>
        <w:t xml:space="preserve"> </w:t>
      </w:r>
      <w:r>
        <w:t xml:space="preserve">companies’ strategy, passing from a long-term planning to a short-term (2/3 years) due</w:t>
      </w:r>
      <w:r>
        <w:t xml:space="preserve"> </w:t>
      </w:r>
      <w:r>
        <w:t xml:space="preserve">to the dramatically changed context in which they operate in the EU. About 11 million</w:t>
      </w:r>
      <w:r>
        <w:t xml:space="preserve"> </w:t>
      </w:r>
      <w:r>
        <w:t xml:space="preserve">tons worth capacity has been lost because of closure announcements between 2023 and</w:t>
      </w:r>
      <w:r>
        <w:t xml:space="preserve"> </w:t>
      </w:r>
      <w:r>
        <w:t xml:space="preserve">2024200.</w:t>
      </w:r>
      <w:r>
        <w:br/>
      </w:r>
      <w:r>
        <w:t xml:space="preserve">• Glass for Europe see that in recent investment decisions with more flat glass plants</w:t>
      </w:r>
      <w:r>
        <w:t xml:space="preserve"> </w:t>
      </w:r>
      <w:r>
        <w:t xml:space="preserve">opening outside of the EU but close to the EU border.</w:t>
      </w:r>
      <w:r>
        <w:t xml:space="preserve"> </w:t>
      </w:r>
      <w:r>
        <w:t xml:space="preserve">• CEPI emphasise that their members operate on small margins and continue to compete</w:t>
      </w:r>
      <w:r>
        <w:t xml:space="preserve"> </w:t>
      </w:r>
      <w:r>
        <w:t xml:space="preserve">at a global level but warn that the risk of carbon leakage is real and may only be proven</w:t>
      </w:r>
      <w:r>
        <w:t xml:space="preserve"> </w:t>
      </w:r>
      <w:r>
        <w:t xml:space="preserve">when it is too late and industry has relocated elsewhere. Investments are still happening</w:t>
      </w:r>
      <w:r>
        <w:t xml:space="preserve"> </w:t>
      </w:r>
      <w:r>
        <w:t xml:space="preserve">but if you stop having visibility on carbon leakage protection, if free allocation is</w:t>
      </w:r>
      <w:r>
        <w:t xml:space="preserve"> </w:t>
      </w:r>
      <w:r>
        <w:t xml:space="preserve">regarded as being riskier i.e. conditionality – then this may deter future investments.</w:t>
      </w:r>
      <w:r>
        <w:br/>
      </w:r>
      <w:r>
        <w:t xml:space="preserve">3. Firm‑level evidence indicates that the EU ETS has induced low‑carbon innovation among</w:t>
      </w:r>
      <w:r>
        <w:t xml:space="preserve"> </w:t>
      </w:r>
      <w:r>
        <w:t xml:space="preserve">regulated firms, but that these effects have been uneven and limited in aggregate.</w:t>
      </w:r>
      <w:r>
        <w:t xml:space="preserve"> </w:t>
      </w:r>
      <w:r>
        <w:t xml:space="preserve">4. Calel and Dechezleprêtre (2016)201 analyse the early years of the EU ETS (covering Phases</w:t>
      </w:r>
      <w:r>
        <w:t xml:space="preserve"> </w:t>
      </w:r>
      <w:r>
        <w:t xml:space="preserve">I and II, 2005–2009) using a matched difference‑in‑differences design at firm level, exploiting</w:t>
      </w:r>
      <w:r>
        <w:t xml:space="preserve"> </w:t>
      </w:r>
      <w:r>
        <w:t xml:space="preserve">installation‑size thresholds to compare ETS and non‑ETS firms with similar pre‑policy</w:t>
      </w:r>
      <w:r>
        <w:t xml:space="preserve"> </w:t>
      </w:r>
      <w:r>
        <w:t xml:space="preserve">characteristics. They find that ETS firms increased low‑carbon patenting by 8–10% on average</w:t>
      </w:r>
      <w:r>
        <w:t xml:space="preserve"> </w:t>
      </w:r>
      <w:r>
        <w:t xml:space="preserve">relative to non‑ETS firms, while patenting in other technologies was not crowded out.</w:t>
      </w:r>
      <w:r>
        <w:br/>
      </w:r>
      <w:r>
        <w:t xml:space="preserve">5. Complementary evidence from Joltreau and Sommerfeld (2018)202 reinforces this</w:t>
      </w:r>
      <w:r>
        <w:t xml:space="preserve"> </w:t>
      </w:r>
      <w:r>
        <w:t xml:space="preserve">conclusion, showing that carbon pricing under the EU ETS primarily stimulated innovation</w:t>
      </w:r>
      <w:r>
        <w:t xml:space="preserve"> </w:t>
      </w:r>
      <w:r>
        <w:t xml:space="preserve">responses among firms with higher absorptive capacity and pre‑existing technological</w:t>
      </w:r>
      <w:r>
        <w:t xml:space="preserve"> </w:t>
      </w:r>
      <w:r>
        <w:t xml:space="preserve">capabilities, while having little effect on lagging firms or on technological diffusion across</w:t>
      </w:r>
      <w:r>
        <w:t xml:space="preserve"> </w:t>
      </w:r>
      <w:r>
        <w:t xml:space="preserve">sectors. Together, these studies suggest that early ETS phases reinforced existing innovation</w:t>
      </w:r>
      <w:r>
        <w:t xml:space="preserve"> </w:t>
      </w:r>
      <w:r>
        <w:t xml:space="preserve">trajectories rather than triggering broad-based technological change. This interpretation is</w:t>
      </w:r>
      <w:r>
        <w:t xml:space="preserve"> </w:t>
      </w:r>
      <w:r>
        <w:t xml:space="preserve">consistent with the wider synthesis by Grubb et al. (2021)203, which concludes that carbon</w:t>
      </w:r>
    </w:p>
    <w:p>
      <w:pPr>
        <w:pStyle w:val="BodyText"/>
      </w:pPr>
      <w:r>
        <w:t xml:space="preserve">200 Cefic and Advancy “The Competitiveness of the European Chemical Industry”. p.7.</w:t>
      </w:r>
      <w:r>
        <w:br/>
      </w:r>
      <w:r>
        <w:t xml:space="preserve">201 Raphael Calel &amp; Antoine Dechezleprêtre (2016)</w:t>
      </w:r>
      <w:r>
        <w:br/>
      </w:r>
      <w:r>
        <w:t xml:space="preserve">202 Joltreau, Eugénie; Sommerfeld, Katrin, 2018. “Why does emissions trading under the EU Emissions Trading</w:t>
      </w:r>
      <w:r>
        <w:t xml:space="preserve"> </w:t>
      </w:r>
      <w:r>
        <w:t xml:space="preserve">System (ETS) not affect firms’ competitiveness? Empirical findings from the literature”, Climate Policy,</w:t>
      </w:r>
      <w:r>
        <w:t xml:space="preserve"> </w:t>
      </w:r>
      <w:r>
        <w:t xml:space="preserve">ISSN</w:t>
      </w:r>
      <w:r>
        <w:t xml:space="preserve"> </w:t>
      </w:r>
      <w:r>
        <w:t xml:space="preserve">1469-3062,</w:t>
      </w:r>
      <w:r>
        <w:t xml:space="preserve"> </w:t>
      </w:r>
      <w:r>
        <w:t xml:space="preserve">Taylor</w:t>
      </w:r>
      <w:r>
        <w:t xml:space="preserve"> </w:t>
      </w:r>
      <w:r>
        <w:t xml:space="preserve">&amp;</w:t>
      </w:r>
      <w:r>
        <w:t xml:space="preserve"> </w:t>
      </w:r>
      <w:r>
        <w:t xml:space="preserve">Francis,</w:t>
      </w:r>
      <w:r>
        <w:t xml:space="preserve"> </w:t>
      </w:r>
      <w:r>
        <w:t xml:space="preserve">London,</w:t>
      </w:r>
      <w:r>
        <w:t xml:space="preserve"> </w:t>
      </w:r>
      <w:r>
        <w:t xml:space="preserve">Latest</w:t>
      </w:r>
      <w:r>
        <w:t xml:space="preserve"> </w:t>
      </w:r>
      <w:r>
        <w:t xml:space="preserve">articles,</w:t>
      </w:r>
      <w:r>
        <w:t xml:space="preserve"> </w:t>
      </w:r>
      <w:r>
        <w:t xml:space="preserve">pp. </w:t>
      </w:r>
      <w:r>
        <w:t xml:space="preserve"> </w:t>
      </w:r>
      <w:r>
        <w:t xml:space="preserve">1-19,</w:t>
      </w:r>
      <w:r>
        <w:t xml:space="preserve"> </w:t>
      </w:r>
      <w:r>
        <w:t xml:space="preserve">https://doi.org/10.1080/14693062.2018.1502145</w:t>
      </w:r>
      <w:r>
        <w:br/>
      </w:r>
      <w:r>
        <w:t xml:space="preserve">203 Michael Grubb et al, 2021. “Induced innovation in energy technologies and systems: a review of evidence</w:t>
      </w:r>
      <w:r>
        <w:t xml:space="preserve"> </w:t>
      </w:r>
      <w:r>
        <w:t xml:space="preserve">and</w:t>
      </w:r>
      <w:r>
        <w:t xml:space="preserve"> </w:t>
      </w:r>
      <w:r>
        <w:t xml:space="preserve">potential</w:t>
      </w:r>
      <w:r>
        <w:t xml:space="preserve"> </w:t>
      </w:r>
      <w:r>
        <w:t xml:space="preserve">implications</w:t>
      </w:r>
      <w:r>
        <w:t xml:space="preserve"> </w:t>
      </w:r>
      <w:r>
        <w:t xml:space="preserve">for</w:t>
      </w:r>
      <w:r>
        <w:t xml:space="preserve"> </w:t>
      </w:r>
      <w:r>
        <w:t xml:space="preserve">CO2 mitigation”,</w:t>
      </w:r>
      <w:r>
        <w:t xml:space="preserve"> </w:t>
      </w:r>
      <w:r>
        <w:t xml:space="preserve">Environ.</w:t>
      </w:r>
      <w:r>
        <w:t xml:space="preserve"> </w:t>
      </w:r>
      <w:r>
        <w:t xml:space="preserve">Res.</w:t>
      </w:r>
      <w:r>
        <w:t xml:space="preserve"> </w:t>
      </w:r>
      <w:r>
        <w:t xml:space="preserve">Lett. 16 043007,</w:t>
      </w:r>
      <w:r>
        <w:t xml:space="preserve"> </w:t>
      </w:r>
      <w:r>
        <w:t xml:space="preserve">https://iopscience.iop.org/article/10.1088/1748-9326/abde07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pricing and other market‑wide demand‑pull instruments consistently induce innovation, but</w:t>
      </w:r>
      <w:r>
        <w:t xml:space="preserve"> </w:t>
      </w:r>
      <w:r>
        <w:t xml:space="preserve">tend to deliver incremental and path‑dependent outcomes when applied in isolation. The review</w:t>
      </w:r>
      <w:r>
        <w:t xml:space="preserve"> </w:t>
      </w:r>
      <w:r>
        <w:t xml:space="preserve">further highlights the central role of cumulative deployment and complementary policy</w:t>
      </w:r>
      <w:r>
        <w:t xml:space="preserve"> </w:t>
      </w:r>
      <w:r>
        <w:t xml:space="preserve">instruments in translating innovation activity into sustained cost reductions and structural</w:t>
      </w:r>
      <w:r>
        <w:t xml:space="preserve"> </w:t>
      </w:r>
      <w:r>
        <w:t xml:space="preserve">change, implying that carbon pricing alone is unlikely to drive large‑scale low‑carbon</w:t>
      </w:r>
      <w:r>
        <w:t xml:space="preserve"> </w:t>
      </w:r>
      <w:r>
        <w:t xml:space="preserve">transformation without stable expectations and targeted support measures.</w:t>
      </w:r>
      <w:r>
        <w:t xml:space="preserve"> </w:t>
      </w:r>
      <w:r>
        <w:t xml:space="preserve">6. In general, evidence of impacts of Phase IV of the EU ETS on patent innovation is lacking,</w:t>
      </w:r>
      <w:r>
        <w:t xml:space="preserve"> </w:t>
      </w:r>
      <w:r>
        <w:t xml:space="preserve">suggesting a need for more research in this field. The evidence provided in this section relates</w:t>
      </w:r>
      <w:r>
        <w:t xml:space="preserve"> </w:t>
      </w:r>
      <w:r>
        <w:t xml:space="preserve">to the previous phases and is complemented by the findings in stakeholder consultation and</w:t>
      </w:r>
      <w:r>
        <w:t xml:space="preserve"> </w:t>
      </w:r>
      <w:r>
        <w:t xml:space="preserve">interviews.</w:t>
      </w:r>
      <w:r>
        <w:t xml:space="preserve"> </w:t>
      </w:r>
      <w:r>
        <w:t xml:space="preserve">8.3.5 Conclusion</w:t>
      </w:r>
      <w:r>
        <w:t xml:space="preserve"> </w:t>
      </w:r>
      <w:r>
        <w:t xml:space="preserve">The point of comparison for this section of the evaluation focuses on the introduction of</w:t>
      </w:r>
      <w:r>
        <w:t xml:space="preserve"> </w:t>
      </w:r>
      <w:r>
        <w:t xml:space="preserve">revisions to both the provision of free allocation and indirect cost compensation at the start of</w:t>
      </w:r>
      <w:r>
        <w:t xml:space="preserve"> </w:t>
      </w:r>
      <w:r>
        <w:t xml:space="preserve">Phase IV of the EU ETS in order to prevent the occurrence of carbon leakage. The</w:t>
      </w:r>
      <w:r>
        <w:t xml:space="preserve"> </w:t>
      </w:r>
      <w:r>
        <w:t xml:space="preserve">implementation of these revisions was firstly evaluated before further work was then</w:t>
      </w:r>
      <w:r>
        <w:t xml:space="preserve"> </w:t>
      </w:r>
      <w:r>
        <w:t xml:space="preserve">subsequently undertaken to assess the impact of these changes to the provision of support in</w:t>
      </w:r>
      <w:r>
        <w:t xml:space="preserve"> </w:t>
      </w:r>
      <w:r>
        <w:t xml:space="preserve">terms of the international competitiveness of European producers.</w:t>
      </w:r>
      <w:r>
        <w:br/>
      </w:r>
      <w:r>
        <w:t xml:space="preserve">• As a consequence of the revision to free allocation rules, the overall volume of free</w:t>
      </w:r>
      <w:r>
        <w:t xml:space="preserve"> </w:t>
      </w:r>
      <w:r>
        <w:t xml:space="preserve">allowances that has been provided to industry has declined in Phase IV compared to</w:t>
      </w:r>
      <w:r>
        <w:t xml:space="preserve"> </w:t>
      </w:r>
      <w:r>
        <w:t xml:space="preserve">Phase III. This reduction was primarily as a result of a more targeted carbon leakage</w:t>
      </w:r>
      <w:r>
        <w:t xml:space="preserve"> </w:t>
      </w:r>
      <w:r>
        <w:t xml:space="preserve">list, more ambitious benchmarks and the introduction of adjustments to allocation to</w:t>
      </w:r>
      <w:r>
        <w:t xml:space="preserve"> </w:t>
      </w:r>
      <w:r>
        <w:t xml:space="preserve">better take into account changes in activity levels across installations. However, despite</w:t>
      </w:r>
      <w:r>
        <w:t xml:space="preserve"> </w:t>
      </w:r>
      <w:r>
        <w:t xml:space="preserve">these reforms, the share of verified emissions that continue to be covered by free</w:t>
      </w:r>
      <w:r>
        <w:t xml:space="preserve"> </w:t>
      </w:r>
      <w:r>
        <w:t xml:space="preserve">allowances still remains high for the energy intensive sectors.</w:t>
      </w:r>
      <w:r>
        <w:br/>
      </w:r>
      <w:r>
        <w:t xml:space="preserve">• With the introduction of further guidance from the Commission in 2021, the maximum</w:t>
      </w:r>
      <w:r>
        <w:t xml:space="preserve"> </w:t>
      </w:r>
      <w:r>
        <w:t xml:space="preserve">state aid payable was reduced to 75 % of the total indirect carbon cost. Some revisions</w:t>
      </w:r>
      <w:r>
        <w:t xml:space="preserve"> </w:t>
      </w:r>
      <w:r>
        <w:t xml:space="preserve">were also made to number of sectors and sub-sectors that were eligible for indirect cost</w:t>
      </w:r>
      <w:r>
        <w:t xml:space="preserve"> </w:t>
      </w:r>
      <w:r>
        <w:t xml:space="preserve">compensation and the provision of the support remained at the discretion of Member</w:t>
      </w:r>
      <w:r>
        <w:t xml:space="preserve"> </w:t>
      </w:r>
      <w:r>
        <w:t xml:space="preserve">States. However, the evaluation demonstrated through a quantitative analysis that the</w:t>
      </w:r>
      <w:r>
        <w:t xml:space="preserve"> </w:t>
      </w:r>
      <w:r>
        <w:t xml:space="preserve">majority of electro-intensive production is located in Member States that provide</w:t>
      </w:r>
      <w:r>
        <w:t xml:space="preserve"> </w:t>
      </w:r>
      <w:r>
        <w:t xml:space="preserve">indirect cost compensation.</w:t>
      </w:r>
      <w:r>
        <w:br/>
      </w:r>
      <w:r>
        <w:t xml:space="preserve">With the exposure to a rising carbon price signal likely to have increased for many ETS</w:t>
      </w:r>
      <w:r>
        <w:t xml:space="preserve"> </w:t>
      </w:r>
      <w:r>
        <w:t xml:space="preserve">operators, and without fully comparable carbon prices in key trading partners, the relevance of</w:t>
      </w:r>
      <w:r>
        <w:t xml:space="preserve"> </w:t>
      </w:r>
      <w:r>
        <w:t xml:space="preserve">carbon leakage risk remains, and the focus of the evaluation therefore was to assess a range of</w:t>
      </w:r>
      <w:r>
        <w:t xml:space="preserve"> </w:t>
      </w:r>
      <w:r>
        <w:t xml:space="preserve">evidence to provide further insights into the extent to which carbon pricing is influencing the</w:t>
      </w:r>
      <w:r>
        <w:t xml:space="preserve"> </w:t>
      </w:r>
      <w:r>
        <w:t xml:space="preserve">international competitiveness of European industrial producers.</w:t>
      </w:r>
      <w:r>
        <w:br/>
      </w:r>
      <w:r>
        <w:t xml:space="preserve">The evaluation involved detailed consultations with industry via both the OPC and follow up</w:t>
      </w:r>
      <w:r>
        <w:t xml:space="preserve"> </w:t>
      </w:r>
      <w:r>
        <w:t xml:space="preserve">interviews that were further supplemented with quantitative and qualitative assessments of the</w:t>
      </w:r>
      <w:r>
        <w:t xml:space="preserve"> </w:t>
      </w:r>
      <w:r>
        <w:t xml:space="preserve">potential impact of changes to the provision of free allocation and indirect cost compensation</w:t>
      </w:r>
      <w:r>
        <w:t xml:space="preserve"> </w:t>
      </w:r>
      <w:r>
        <w:t xml:space="preserve">on the competitiveness of industry. It was undeniable that industrial output in the EU has</w:t>
      </w:r>
      <w:r>
        <w:t xml:space="preserve"> </w:t>
      </w:r>
      <w:r>
        <w:t xml:space="preserve">declined in recent years and that imports have at the same time increased for a range of emission</w:t>
      </w:r>
      <w:r>
        <w:t xml:space="preserve"> </w:t>
      </w:r>
      <w:r>
        <w:t xml:space="preserve">intensive products. However, the extent to which these observed trends can be attributed to</w:t>
      </w:r>
      <w:r>
        <w:t xml:space="preserve"> </w:t>
      </w:r>
      <w:r>
        <w:t xml:space="preserve">carbon pricing was very difficult to ascertain given the volatility that has been experienced</w:t>
      </w:r>
      <w:r>
        <w:t xml:space="preserve"> </w:t>
      </w:r>
      <w:r>
        <w:t xml:space="preserve">from the start of Phase IV. Indeed, industrial stakeholders themselves acknowledged that the</w:t>
      </w:r>
      <w:r>
        <w:t xml:space="preserve"> </w:t>
      </w:r>
      <w:r>
        <w:t xml:space="preserve">energy price crisis that followed the illegal Russian invasion of Ukraine was more likely to</w:t>
      </w:r>
      <w:r>
        <w:t xml:space="preserve"> </w:t>
      </w:r>
      <w:r>
        <w:t xml:space="preserve">explain the challenging operating environment for European producers. Nevertheless, industry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still strongly argued that the additional unilateral carbon cost has only exacerbated the</w:t>
      </w:r>
      <w:r>
        <w:t xml:space="preserve"> </w:t>
      </w:r>
      <w:r>
        <w:t xml:space="preserve">challenges presented by the recent economic volatility as a consequence of geo-political events.</w:t>
      </w:r>
      <w:r>
        <w:br/>
      </w:r>
      <w:r>
        <w:t xml:space="preserve">The risk of carbon leakage will ultimately decline as industry fully decarbonises, however the</w:t>
      </w:r>
      <w:r>
        <w:t xml:space="preserve"> </w:t>
      </w:r>
      <w:r>
        <w:t xml:space="preserve">rate of progress towards this outcome was observed as being more incremental than</w:t>
      </w:r>
      <w:r>
        <w:t xml:space="preserve"> </w:t>
      </w:r>
      <w:r>
        <w:t xml:space="preserve">transformative. While there were examples of the carbon price driving rapid abatement (i.e. the</w:t>
      </w:r>
      <w:r>
        <w:t xml:space="preserve"> </w:t>
      </w:r>
      <w:r>
        <w:t xml:space="preserve">improvements in the specific emissions of adipic acid production), energy intensive production</w:t>
      </w:r>
      <w:r>
        <w:t xml:space="preserve"> </w:t>
      </w:r>
      <w:r>
        <w:t xml:space="preserve">such as hot metal for steel remains very limited. This likely reflects the high share of free</w:t>
      </w:r>
      <w:r>
        <w:t xml:space="preserve"> </w:t>
      </w:r>
      <w:r>
        <w:t xml:space="preserve">allocation that remains available to industry as well as the carbon price not yet reaching a level</w:t>
      </w:r>
      <w:r>
        <w:t xml:space="preserve"> </w:t>
      </w:r>
      <w:r>
        <w:t xml:space="preserve">that would make the more innovative abatement solutions financially viable. Although the</w:t>
      </w:r>
      <w:r>
        <w:t xml:space="preserve"> </w:t>
      </w:r>
      <w:r>
        <w:t xml:space="preserve">more ambitious benchmarks set for Phase IV are likely to have increased the incentives for</w:t>
      </w:r>
      <w:r>
        <w:t xml:space="preserve"> </w:t>
      </w:r>
      <w:r>
        <w:t xml:space="preserve">abatement across industry, the provision of free allocation in high volumes still protects</w:t>
      </w:r>
      <w:r>
        <w:t xml:space="preserve"> </w:t>
      </w:r>
      <w:r>
        <w:t xml:space="preserve">industry from higher levels of exposure to the carbon price signal. However, industry stressed</w:t>
      </w:r>
      <w:r>
        <w:t xml:space="preserve"> </w:t>
      </w:r>
      <w:r>
        <w:t xml:space="preserve">that these abatement solutions will not be realised simply through more exposure to a higher</w:t>
      </w:r>
      <w:r>
        <w:t xml:space="preserve"> </w:t>
      </w:r>
      <w:r>
        <w:t xml:space="preserve">carbon price signal alone and emphasised consistently the need for enabling conditions to be</w:t>
      </w:r>
      <w:r>
        <w:t xml:space="preserve"> </w:t>
      </w:r>
      <w:r>
        <w:t xml:space="preserve">met (i.e. access to low carbon electricity, CCS/CCU infrastructure, demand for low-carbon</w:t>
      </w:r>
      <w:r>
        <w:t xml:space="preserve"> </w:t>
      </w:r>
      <w:r>
        <w:t xml:space="preserve">products) for more ambitious reductions in emissions to be achieved.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8.4</w:t>
      </w:r>
      <w:r>
        <w:t xml:space="preserve"> </w:t>
      </w:r>
      <w:r>
        <w:t xml:space="preserve">Monitoring, Reporting, Verification and Accreditation (MRVA)</w:t>
      </w:r>
      <w:r>
        <w:t xml:space="preserve"> </w:t>
      </w:r>
      <w:r>
        <w:t xml:space="preserve">8.4.1 Introduction</w:t>
      </w:r>
      <w:r>
        <w:t xml:space="preserve"> </w:t>
      </w:r>
      <w:r>
        <w:t xml:space="preserve">The Monitoring, Reporting, Verification, and Accreditation (MRVA) system is a cornerstone</w:t>
      </w:r>
      <w:r>
        <w:t xml:space="preserve"> </w:t>
      </w:r>
      <w:r>
        <w:t xml:space="preserve">of the EU Emissions Trading System (ETS), ensuring the accuracy, transparency, and</w:t>
      </w:r>
      <w:r>
        <w:t xml:space="preserve"> </w:t>
      </w:r>
      <w:r>
        <w:t xml:space="preserve">consistency of emissions data that underpin compliance, market trust, and environmental</w:t>
      </w:r>
      <w:r>
        <w:t xml:space="preserve"> </w:t>
      </w:r>
      <w:r>
        <w:t xml:space="preserve">integrity. Enshrined in Articles 14 and 15 of the ETS Directive and detailed in the Monitoring</w:t>
      </w:r>
      <w:r>
        <w:t xml:space="preserve"> </w:t>
      </w:r>
      <w:r>
        <w:t xml:space="preserve">and Reporting Regulation204 (MRR) and Accreditation and Verification Regulation205 (AVR).</w:t>
      </w:r>
      <w:r>
        <w:t xml:space="preserve"> </w:t>
      </w:r>
      <w:r>
        <w:t xml:space="preserve">This evaluation builds on the 2015 ETS Directive evaluation, analysing the role of the MRVA</w:t>
      </w:r>
      <w:r>
        <w:t xml:space="preserve"> </w:t>
      </w:r>
      <w:r>
        <w:t xml:space="preserve">system as the backbone of the ETS. It assesses the effectiveness of provisions requiring</w:t>
      </w:r>
      <w:r>
        <w:t xml:space="preserve"> </w:t>
      </w:r>
      <w:r>
        <w:t xml:space="preserve">approved monitoring plans, annual verified reporting, and accredited verification oversight.</w:t>
      </w:r>
      <w:r>
        <w:t xml:space="preserve"> </w:t>
      </w:r>
      <w:r>
        <w:t xml:space="preserve">The system supports the annual compliance cycle—monitoring, reporting, verification, and</w:t>
      </w:r>
      <w:r>
        <w:t xml:space="preserve"> </w:t>
      </w:r>
      <w:r>
        <w:t xml:space="preserve">allowance surrender—which sustains the ETS’s credibility and efficiency. The legal basis for</w:t>
      </w:r>
      <w:r>
        <w:t xml:space="preserve"> </w:t>
      </w:r>
      <w:r>
        <w:t xml:space="preserve">MRVA derives from multiple Articles of the Directive, Articles 4-7 of the ETS Directive, as</w:t>
      </w:r>
      <w:r>
        <w:t xml:space="preserve"> </w:t>
      </w:r>
      <w:r>
        <w:t xml:space="preserve">well as Article 14 and 16 and Annexes IV and V. These provisions in the ETS Directive</w:t>
      </w:r>
      <w:r>
        <w:t xml:space="preserve"> </w:t>
      </w:r>
      <w:r>
        <w:t xml:space="preserve">establish the requirements for GHG emissions permits, monitoring and reporting obligations,</w:t>
      </w:r>
      <w:r>
        <w:t xml:space="preserve"> </w:t>
      </w:r>
      <w:r>
        <w:t xml:space="preserve">verification and accreditation rules. They also require Member States to impose penalties when</w:t>
      </w:r>
      <w:r>
        <w:t xml:space="preserve"> </w:t>
      </w:r>
      <w:r>
        <w:t xml:space="preserve">operators or aircraft operators are not complying with the said rules. The framework is</w:t>
      </w:r>
      <w:r>
        <w:t xml:space="preserve"> </w:t>
      </w:r>
      <w:r>
        <w:t xml:space="preserve">operationalised through the MRR and AVR, and their subsequent amendments, including those</w:t>
      </w:r>
      <w:r>
        <w:t xml:space="preserve"> </w:t>
      </w:r>
      <w:r>
        <w:t xml:space="preserve">adopted in 2020 and 2022, which refined monitoring rules, improved data quality, and aligned</w:t>
      </w:r>
      <w:r>
        <w:t xml:space="preserve"> </w:t>
      </w:r>
      <w:r>
        <w:t xml:space="preserve">procedures with evolving EU climate policy, including with the changes done to the Renewable</w:t>
      </w:r>
      <w:r>
        <w:t xml:space="preserve"> </w:t>
      </w:r>
      <w:r>
        <w:t xml:space="preserve">Energy Directive. Updates in 2023–2025 (as part of the ‘Fit for 55’ package) will apply from</w:t>
      </w:r>
      <w:r>
        <w:t xml:space="preserve"> </w:t>
      </w:r>
      <w:r>
        <w:t xml:space="preserve">2024 and 2025 onwards but fall outside this evaluation’s scope.</w:t>
      </w:r>
      <w:r>
        <w:t xml:space="preserve"> </w:t>
      </w:r>
      <w:r>
        <w:t xml:space="preserve">In addition, guidance and templates were developed and updated to ensure a harmonised</w:t>
      </w:r>
      <w:r>
        <w:t xml:space="preserve"> </w:t>
      </w:r>
      <w:r>
        <w:t xml:space="preserve">interpretation of the MRR and AVR, and to structure reporting across sectors and operators.</w:t>
      </w:r>
      <w:r>
        <w:t xml:space="preserve"> </w:t>
      </w:r>
      <w:r>
        <w:t xml:space="preserve">These reforms increased harmonisation and transparency in the application of MRV</w:t>
      </w:r>
      <w:r>
        <w:t xml:space="preserve"> </w:t>
      </w:r>
      <w:r>
        <w:t xml:space="preserve">requirements, not only because of the increased application of standardised methodologies and</w:t>
      </w:r>
      <w:r>
        <w:t xml:space="preserve"> </w:t>
      </w:r>
      <w:r>
        <w:t xml:space="preserve">tools to facilitate implementation but also because several measures were taken to improve</w:t>
      </w:r>
      <w:r>
        <w:t xml:space="preserve"> </w:t>
      </w:r>
      <w:r>
        <w:t xml:space="preserve">MRVA procedures: e.g., rotation of lead auditors to mitigate the risks to impartiality, update</w:t>
      </w:r>
      <w:r>
        <w:t xml:space="preserve"> </w:t>
      </w:r>
      <w:r>
        <w:t xml:space="preserve">of the AVR as a result of revisions in ISO standards, allowing virtual site visits of the verifier</w:t>
      </w:r>
      <w:r>
        <w:t xml:space="preserve"> </w:t>
      </w:r>
      <w:r>
        <w:t xml:space="preserve">in force majeure circumstances such as COVID-19 pandemic. These revisions show that both</w:t>
      </w:r>
      <w:r>
        <w:t xml:space="preserve"> </w:t>
      </w:r>
      <w:r>
        <w:t xml:space="preserve">regulations are adaptable and flexible to political, environmental and social developments.</w:t>
      </w:r>
      <w:r>
        <w:t xml:space="preserve"> </w:t>
      </w:r>
      <w:r>
        <w:t xml:space="preserve">During the third and fourth trading period also the institutional frameworks and external and</w:t>
      </w:r>
      <w:r>
        <w:t xml:space="preserve"> </w:t>
      </w:r>
      <w:r>
        <w:t xml:space="preserve">internal coordination within Member States strengthened having clearer institutional roles, the</w:t>
      </w:r>
      <w:r>
        <w:t xml:space="preserve"> </w:t>
      </w:r>
      <w:r>
        <w:t xml:space="preserve">increased use of IT systems, strengthened competent authority’s procedures to approve</w:t>
      </w:r>
      <w:r>
        <w:t xml:space="preserve"> </w:t>
      </w:r>
      <w:r>
        <w:t xml:space="preserve">monitoring plans, review of reports and inspections. These improvements led to more</w:t>
      </w:r>
      <w:r>
        <w:t xml:space="preserve"> </w:t>
      </w:r>
      <w:r>
        <w:t xml:space="preserve">consistent, transparent, and reliable emissions data across Member States.</w:t>
      </w:r>
    </w:p>
    <w:p>
      <w:pPr>
        <w:pStyle w:val="BodyText"/>
      </w:pPr>
      <w:r>
        <w:t xml:space="preserve">204 Commission Implementing Regulation (EU) 2018/2066 of 19 December 2018 on the monitoring and</w:t>
      </w:r>
      <w:r>
        <w:t xml:space="preserve"> </w:t>
      </w:r>
      <w:r>
        <w:t xml:space="preserve">reporting of greenhouse gas emissions pursuant to Directive 2003/87/EC of the European Parliament and of</w:t>
      </w:r>
      <w:r>
        <w:t xml:space="preserve"> </w:t>
      </w:r>
      <w:r>
        <w:t xml:space="preserve">the Council and amending Commission Regulation (EU) No 601/2012. In 2020 and 2022 it was revised for</w:t>
      </w:r>
      <w:r>
        <w:t xml:space="preserve"> </w:t>
      </w:r>
      <w:r>
        <w:t xml:space="preserve">Phase IV of the EU ETS.</w:t>
      </w:r>
      <w:r>
        <w:t xml:space="preserve"> </w:t>
      </w:r>
      <w:r>
        <w:t xml:space="preserve">205 Commission Implementing Regulation (EU) 2018/2067 of 19 December 2018 on the verification of data and</w:t>
      </w:r>
      <w:r>
        <w:t xml:space="preserve"> </w:t>
      </w:r>
      <w:r>
        <w:t xml:space="preserve">on the accreditation of verifiers pursuant to Directive 2003/87/EC of the European Parliament and of the</w:t>
      </w:r>
      <w:r>
        <w:t xml:space="preserve"> </w:t>
      </w:r>
      <w:r>
        <w:t xml:space="preserve">Council, OJ 31 December 2018, L 334/94. In 2020 it was revised for Phase IV of the EU ETS.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Despite challenges such as varying national capacities and pandemic-related disruptions, the</w:t>
      </w:r>
      <w:r>
        <w:t xml:space="preserve"> </w:t>
      </w:r>
      <w:r>
        <w:t xml:space="preserve">MRVA system remains central to maintaining the environmental and market integrity of the</w:t>
      </w:r>
      <w:r>
        <w:t xml:space="preserve"> </w:t>
      </w:r>
      <w:r>
        <w:t xml:space="preserve">EU ETS and ensuring its continued effectiveness in achieving the EU’s climate goals.</w:t>
      </w:r>
      <w:r>
        <w:t xml:space="preserve"> </w:t>
      </w:r>
      <w:r>
        <w:t xml:space="preserve">8.4.2 Point of comparison</w:t>
      </w:r>
      <w:r>
        <w:t xml:space="preserve"> </w:t>
      </w:r>
      <w:r>
        <w:t xml:space="preserve">The evaluation of the MRVA system is based on the provisions of the ETS Directive and its</w:t>
      </w:r>
      <w:r>
        <w:t xml:space="preserve"> </w:t>
      </w:r>
      <w:r>
        <w:t xml:space="preserve">related implementing regulations. The key legal provisions of the ETS Directive relevant to the</w:t>
      </w:r>
      <w:r>
        <w:t xml:space="preserve"> </w:t>
      </w:r>
      <w:r>
        <w:t xml:space="preserve">MRVA are:</w:t>
      </w:r>
      <w:r>
        <w:t xml:space="preserve"> </w:t>
      </w:r>
      <w:r>
        <w:t xml:space="preserve">• Article 4: Greenhouse gas emissions permits. Requires that no installation within the</w:t>
      </w:r>
      <w:r>
        <w:t xml:space="preserve"> </w:t>
      </w:r>
      <w:r>
        <w:t xml:space="preserve">ETS scope may operate without a GHG permit issued by a competent authority.</w:t>
      </w:r>
      <w:r>
        <w:t xml:space="preserve"> </w:t>
      </w:r>
      <w:r>
        <w:t xml:space="preserve">• Article 5: Application of GHG permits. Outlines the information that operators must</w:t>
      </w:r>
      <w:r>
        <w:t xml:space="preserve"> </w:t>
      </w:r>
      <w:r>
        <w:t xml:space="preserve">provide when applying for a permit, including a description of activities, emission</w:t>
      </w:r>
      <w:r>
        <w:t xml:space="preserve"> </w:t>
      </w:r>
      <w:r>
        <w:t xml:space="preserve">sources, and monitoring methodology.</w:t>
      </w:r>
      <w:r>
        <w:t xml:space="preserve"> </w:t>
      </w:r>
      <w:r>
        <w:t xml:space="preserve">• Article 6: Conditions for and contents of the GHG permits. Specifies that permits</w:t>
      </w:r>
      <w:r>
        <w:t xml:space="preserve"> </w:t>
      </w:r>
      <w:r>
        <w:t xml:space="preserve">must include monitoring and reporting requirements, and that operators must comply</w:t>
      </w:r>
      <w:r>
        <w:t xml:space="preserve"> </w:t>
      </w:r>
      <w:r>
        <w:t xml:space="preserve">with conditions laid down in the permit.</w:t>
      </w:r>
      <w:r>
        <w:t xml:space="preserve"> </w:t>
      </w:r>
      <w:r>
        <w:t xml:space="preserve">• Article 7: Changes relating to installations. Requires operators to notify the CA of</w:t>
      </w:r>
      <w:r>
        <w:t xml:space="preserve"> </w:t>
      </w:r>
      <w:r>
        <w:t xml:space="preserve">any planned changes that may affect emissions or the permit’s validity, triggering</w:t>
      </w:r>
      <w:r>
        <w:t xml:space="preserve"> </w:t>
      </w:r>
      <w:r>
        <w:t xml:space="preserve">update to the monitoring plan.</w:t>
      </w:r>
      <w:r>
        <w:t xml:space="preserve"> </w:t>
      </w:r>
      <w:r>
        <w:t xml:space="preserve">• Article 14: Guidelines for monitoring and reporting of emissions. Provides the legal</w:t>
      </w:r>
      <w:r>
        <w:t xml:space="preserve"> </w:t>
      </w:r>
      <w:r>
        <w:t xml:space="preserve">mandate for the Commission to adopt detailed rules on monitoring and reporting, which</w:t>
      </w:r>
      <w:r>
        <w:t xml:space="preserve"> </w:t>
      </w:r>
      <w:r>
        <w:t xml:space="preserve">provide the legal basis for the Monitoring and Reporting Regulation.</w:t>
      </w:r>
      <w:r>
        <w:t xml:space="preserve"> </w:t>
      </w:r>
      <w:r>
        <w:t xml:space="preserve">• Article 15: Verification and accreditation of verifiers. Requires that emissions</w:t>
      </w:r>
      <w:r>
        <w:t xml:space="preserve"> </w:t>
      </w:r>
      <w:r>
        <w:t xml:space="preserve">reports be verified by accredited independent verifiers and provides the legal basis for</w:t>
      </w:r>
      <w:r>
        <w:t xml:space="preserve"> </w:t>
      </w:r>
      <w:r>
        <w:t xml:space="preserve">the Accreditation and Verification Regulation.</w:t>
      </w:r>
      <w:r>
        <w:t xml:space="preserve"> </w:t>
      </w:r>
      <w:r>
        <w:t xml:space="preserve">• Article 16: Penalties. Establishes the enforcement regime, including penalties for non-</w:t>
      </w:r>
      <w:r>
        <w:t xml:space="preserve"> </w:t>
      </w:r>
      <w:r>
        <w:t xml:space="preserve">compliance with MRVA obligations, such as failing to surrender allowances equal to</w:t>
      </w:r>
      <w:r>
        <w:t xml:space="preserve"> </w:t>
      </w:r>
      <w:r>
        <w:t xml:space="preserve">verified emissions.</w:t>
      </w:r>
      <w:r>
        <w:t xml:space="preserve"> </w:t>
      </w:r>
      <w:r>
        <w:t xml:space="preserve">In line with Articles 14 and 15 of the ETS Directive, the Commission has adopted a series of</w:t>
      </w:r>
      <w:r>
        <w:t xml:space="preserve"> </w:t>
      </w:r>
      <w:r>
        <w:t xml:space="preserve">implementing measures to operationalise the MRVA framework. These implementing acts</w:t>
      </w:r>
      <w:r>
        <w:t xml:space="preserve"> </w:t>
      </w:r>
      <w:r>
        <w:t xml:space="preserve">provide technical rules and procedures to ensure the accurate quantification, reporting, and</w:t>
      </w:r>
      <w:r>
        <w:t xml:space="preserve"> </w:t>
      </w:r>
      <w:r>
        <w:t xml:space="preserve">verification of emissions. The key implementing measures for MRVA are the 2018 Monitoring</w:t>
      </w:r>
      <w:r>
        <w:t xml:space="preserve"> </w:t>
      </w:r>
      <w:r>
        <w:t xml:space="preserve">and Reporting Regulation and the 2018 Accreditation and Verification Regulation, which</w:t>
      </w:r>
      <w:r>
        <w:t xml:space="preserve"> </w:t>
      </w:r>
      <w:r>
        <w:t xml:space="preserve">replaced earlier versions of the legislation and introduced a more robust, flexible, and</w:t>
      </w:r>
      <w:r>
        <w:t xml:space="preserve"> </w:t>
      </w:r>
      <w:r>
        <w:t xml:space="preserve">harmonised system with compliance and oversight. Since their implementation, several</w:t>
      </w:r>
      <w:r>
        <w:t xml:space="preserve"> </w:t>
      </w:r>
      <w:r>
        <w:t xml:space="preserve">amendments have been made to address practical challenges, including the improvement of</w:t>
      </w:r>
      <w:r>
        <w:t xml:space="preserve"> </w:t>
      </w:r>
      <w:r>
        <w:t xml:space="preserve">data quality and the alignment with evolving technical standards. These implementing</w:t>
      </w:r>
      <w:r>
        <w:t xml:space="preserve"> </w:t>
      </w:r>
      <w:r>
        <w:t xml:space="preserve">regulations and their amendments are key points of comparison for this evaluation. More</w:t>
      </w:r>
      <w:r>
        <w:t xml:space="preserve"> </w:t>
      </w:r>
      <w:r>
        <w:t xml:space="preserve">specifically, the legislation we will be referring to include:</w:t>
      </w:r>
      <w:r>
        <w:t xml:space="preserve"> </w:t>
      </w:r>
      <w:r>
        <w:t xml:space="preserve">• Commission Implementing Regulation (EU) 2018/2066 of 19 December 2018</w:t>
      </w:r>
      <w:r>
        <w:t xml:space="preserve"> </w:t>
      </w:r>
      <w:r>
        <w:t xml:space="preserve">on the monitoring and reporting of greenhouse gas emissions pursuant to</w:t>
      </w:r>
      <w:r>
        <w:t xml:space="preserve"> </w:t>
      </w:r>
      <w:r>
        <w:t xml:space="preserve">Directive 2003/87/EC of the European Parliament and of the Council and</w:t>
      </w:r>
      <w:r>
        <w:t xml:space="preserve"> </w:t>
      </w:r>
      <w:r>
        <w:t xml:space="preserve">amending Commission Regulation (EU) No 601/2012</w:t>
      </w:r>
      <w:r>
        <w:t xml:space="preserve"> </w:t>
      </w:r>
      <w:r>
        <w:t xml:space="preserve">• Commission Implementing Regulation (EU) 2018/2067 of 19 December 2018</w:t>
      </w:r>
      <w:r>
        <w:t xml:space="preserve"> </w:t>
      </w:r>
      <w:r>
        <w:t xml:space="preserve">on the verification of data and on the accreditation of verifiers pursuant to</w:t>
      </w:r>
      <w:r>
        <w:t xml:space="preserve"> </w:t>
      </w:r>
      <w:r>
        <w:t xml:space="preserve">Directive 2003/87/EC of the European Parliament and of the Council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• Commission Implementing Regulation (EU) 2020/2085 of 14 December 2020</w:t>
      </w:r>
      <w:r>
        <w:t xml:space="preserve"> </w:t>
      </w:r>
      <w:r>
        <w:t xml:space="preserve">amending and correcting Implementing Regulation (EU) 2018/2066 on the</w:t>
      </w:r>
      <w:r>
        <w:t xml:space="preserve"> </w:t>
      </w:r>
      <w:r>
        <w:t xml:space="preserve">monitoring and reporting of greenhouse gas emissions pursuant to Directive</w:t>
      </w:r>
      <w:r>
        <w:t xml:space="preserve"> </w:t>
      </w:r>
      <w:r>
        <w:t xml:space="preserve">2003/87/EC of the European Parliament and of the Council</w:t>
      </w:r>
      <w:r>
        <w:t xml:space="preserve"> </w:t>
      </w:r>
      <w:r>
        <w:t xml:space="preserve">• Commission Implementing Regulation (EU) 2022/388 of 8 March 2022</w:t>
      </w:r>
      <w:r>
        <w:t xml:space="preserve"> </w:t>
      </w:r>
      <w:r>
        <w:t xml:space="preserve">amending Implementing Regulation (EU) 2018/2066 on the monitoring and</w:t>
      </w:r>
      <w:r>
        <w:t xml:space="preserve"> </w:t>
      </w:r>
      <w:r>
        <w:t xml:space="preserve">reporting of greenhouse gas emissions pursuant to Directive 2003/87/EC of the</w:t>
      </w:r>
      <w:r>
        <w:t xml:space="preserve"> </w:t>
      </w:r>
      <w:r>
        <w:t xml:space="preserve">European Parliament and of the Council</w:t>
      </w:r>
      <w:r>
        <w:t xml:space="preserve"> </w:t>
      </w:r>
      <w:r>
        <w:t xml:space="preserve">• Commission Implementing Regulation (EU) 2020/2084 of 14 December 2020</w:t>
      </w:r>
      <w:r>
        <w:t xml:space="preserve"> </w:t>
      </w:r>
      <w:r>
        <w:t xml:space="preserve">amending and correcting Implementing Regulation (EU) 2018/2067 on the</w:t>
      </w:r>
      <w:r>
        <w:t xml:space="preserve"> </w:t>
      </w:r>
      <w:r>
        <w:t xml:space="preserve">verification of data and on the accreditation of verifiers pursuant to Directive</w:t>
      </w:r>
      <w:r>
        <w:t xml:space="preserve"> </w:t>
      </w:r>
      <w:r>
        <w:t xml:space="preserve">2003/87/EC of the European Parliament and of the Council.</w:t>
      </w:r>
      <w:r>
        <w:t xml:space="preserve"> </w:t>
      </w:r>
      <w:r>
        <w:t xml:space="preserve">From the period 2020 to 2023 the MRR and the AVR were also amended to improve the</w:t>
      </w:r>
      <w:r>
        <w:t xml:space="preserve"> </w:t>
      </w:r>
      <w:r>
        <w:t xml:space="preserve">effectiveness of MRV of emissions and to align with other EU ETS legislation. One of the key</w:t>
      </w:r>
      <w:r>
        <w:t xml:space="preserve"> </w:t>
      </w:r>
      <w:r>
        <w:t xml:space="preserve">amendments was the incorporation of a stronger link between the MRR and the REDII,</w:t>
      </w:r>
      <w:r>
        <w:t xml:space="preserve"> </w:t>
      </w:r>
      <w:r>
        <w:t xml:space="preserve">regarding biomass sustainability, the clarification of provisions on how to monitor zero-rated</w:t>
      </w:r>
      <w:r>
        <w:t xml:space="preserve"> </w:t>
      </w:r>
      <w:r>
        <w:t xml:space="preserve">biomass fuels, and revisions to simplify certain elements of the monitoring process: e.g.,</w:t>
      </w:r>
      <w:r>
        <w:t xml:space="preserve"> </w:t>
      </w:r>
      <w:r>
        <w:t xml:space="preserve">allowing operators not to submit an improvement report, if the improvement report was only</w:t>
      </w:r>
      <w:r>
        <w:t xml:space="preserve"> </w:t>
      </w:r>
      <w:r>
        <w:t xml:space="preserve">necessary to ensure that non-conformities in accordance with Article 69(4) of the MRR were</w:t>
      </w:r>
      <w:r>
        <w:t xml:space="preserve"> </w:t>
      </w:r>
      <w:r>
        <w:t xml:space="preserve">being managed and that these non-conformities had already been resolved. The revised</w:t>
      </w:r>
      <w:r>
        <w:t xml:space="preserve"> </w:t>
      </w:r>
      <w:r>
        <w:t xml:space="preserve">requirements in the MRR on biomass also had an impact on the verification requirements in</w:t>
      </w:r>
      <w:r>
        <w:t xml:space="preserve"> </w:t>
      </w:r>
      <w:r>
        <w:t xml:space="preserve">the AVR. Provisions were included to clarify the verifier’s role in assessing the evidence of the</w:t>
      </w:r>
      <w:r>
        <w:t xml:space="preserve"> </w:t>
      </w:r>
      <w:r>
        <w:t xml:space="preserve">operator. Further changes in the AVR included virtual site visits of verifiers in the case of force</w:t>
      </w:r>
      <w:r>
        <w:t xml:space="preserve"> </w:t>
      </w:r>
      <w:r>
        <w:t xml:space="preserve">majeure circumstances, and rotation of lead auditors that have carried out verification for the</w:t>
      </w:r>
      <w:r>
        <w:t xml:space="preserve"> </w:t>
      </w:r>
      <w:r>
        <w:t xml:space="preserve">same operator of the installation for five consecutive years. Other changes in the AVR included</w:t>
      </w:r>
      <w:r>
        <w:t xml:space="preserve"> </w:t>
      </w:r>
      <w:r>
        <w:t xml:space="preserve">revisions that were made to incorporate the new harmonised verification standard, ISO 17029</w:t>
      </w:r>
      <w:r>
        <w:t xml:space="preserve"> </w:t>
      </w:r>
      <w:r>
        <w:t xml:space="preserve">and the updated standard ISO 14065 that are used by accreditation bodies to accredit verifiers.</w:t>
      </w:r>
      <w:r>
        <w:br/>
      </w:r>
      <w:r>
        <w:t xml:space="preserve">In the years 2023 to 2025 both the Monitoring and Reporting Regulation and the Accreditation</w:t>
      </w:r>
      <w:r>
        <w:t xml:space="preserve"> </w:t>
      </w:r>
      <w:r>
        <w:t xml:space="preserve">and Verification Regulation underwent significant revisions. Among other things MRV</w:t>
      </w:r>
      <w:r>
        <w:t xml:space="preserve"> </w:t>
      </w:r>
      <w:r>
        <w:t xml:space="preserve">requirements were included for the new ETS scheme on road transport, buildings and</w:t>
      </w:r>
      <w:r>
        <w:t xml:space="preserve"> </w:t>
      </w:r>
      <w:r>
        <w:t xml:space="preserve">additional sectors, MRV of non-aviation effects for aircraft operators and new requirements</w:t>
      </w:r>
      <w:r>
        <w:t xml:space="preserve"> </w:t>
      </w:r>
      <w:r>
        <w:t xml:space="preserve">because the scope of ETS activities in Annex I of the Directive has extended (e.g. transfer of</w:t>
      </w:r>
      <w:r>
        <w:t xml:space="preserve"> </w:t>
      </w:r>
      <w:r>
        <w:t xml:space="preserve">CO2 through other modes than pipelines). These new revisions are however out of scope of this</w:t>
      </w:r>
      <w:r>
        <w:t xml:space="preserve"> </w:t>
      </w:r>
      <w:r>
        <w:t xml:space="preserve">evaluation.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8.4.3 Intervention logic</w:t>
      </w:r>
      <w:r>
        <w:t xml:space="preserve"> </w:t>
      </w:r>
      <w:r>
        <w:t xml:space="preserve">Figure 31: Intervention logic diagram (MRVA)</w:t>
      </w:r>
    </w:p>
    <w:p>
      <w:pPr>
        <w:pStyle w:val="BodyText"/>
      </w:pPr>
      <w:r>
        <w:t xml:space="preserve">Source: Own illustration</w:t>
      </w:r>
      <w:r>
        <w:t xml:space="preserve"> </w:t>
      </w:r>
      <w:r>
        <w:t xml:space="preserve">8.4.3.1</w:t>
      </w:r>
      <w:r>
        <w:t xml:space="preserve"> </w:t>
      </w:r>
      <w:r>
        <w:t xml:space="preserve">Problem to address</w:t>
      </w:r>
      <w:r>
        <w:t xml:space="preserve"> </w:t>
      </w:r>
      <w:r>
        <w:t xml:space="preserve">A reliable and efficient system for monitoring, reporting, verification, and accreditation</w:t>
      </w:r>
      <w:r>
        <w:t xml:space="preserve"> </w:t>
      </w:r>
      <w:r>
        <w:t xml:space="preserve">(MRVA) is fundamental to the effective functioning of the European Union Emissions Trading</w:t>
      </w:r>
      <w:r>
        <w:t xml:space="preserve"> </w:t>
      </w:r>
      <w:r>
        <w:t xml:space="preserve">System (EU ETS). Without a robust MRVA framework, the accuracy and transparency of</w:t>
      </w:r>
      <w:r>
        <w:t xml:space="preserve"> </w:t>
      </w:r>
      <w:r>
        <w:t xml:space="preserve">emissions data may be compromised, undermining the environmental integrity of the system.</w:t>
      </w:r>
      <w:r>
        <w:t xml:space="preserve"> </w:t>
      </w:r>
      <w:r>
        <w:t xml:space="preserve">There is a clear need to ensure that the administrative burden associated with MRVA processes</w:t>
      </w:r>
      <w:r>
        <w:t xml:space="preserve"> </w:t>
      </w:r>
      <w:r>
        <w:t xml:space="preserve">is proportionate. This is crucial to maintain the integrity of the EU ETS while also supporting</w:t>
      </w:r>
      <w:r>
        <w:t xml:space="preserve"> </w:t>
      </w:r>
      <w:r>
        <w:t xml:space="preserve">the overarching goal of reducing greenhouse gas emissions. This calls for balance between</w:t>
      </w:r>
      <w:r>
        <w:t xml:space="preserve"> </w:t>
      </w:r>
      <w:r>
        <w:t xml:space="preserve">administrative efficiency and regulatory robustness.</w:t>
      </w:r>
      <w:r>
        <w:t xml:space="preserve"> </w:t>
      </w:r>
      <w:r>
        <w:t xml:space="preserve">Another issue is the alignment of existing MRVA provisions, particularly those concerning</w:t>
      </w:r>
      <w:r>
        <w:t xml:space="preserve"> </w:t>
      </w:r>
      <w:r>
        <w:t xml:space="preserve">emissions from biomass, with updated legislation such as the revised Renewable Energy</w:t>
      </w:r>
      <w:r>
        <w:t xml:space="preserve"> </w:t>
      </w:r>
      <w:r>
        <w:t xml:space="preserve">Directive (RED II). This alignment is necessary to ensure consistency across EU climate and</w:t>
      </w:r>
      <w:r>
        <w:t xml:space="preserve"> </w:t>
      </w:r>
      <w:r>
        <w:t xml:space="preserve">energy policies.</w:t>
      </w:r>
      <w:r>
        <w:t xml:space="preserve"> </w:t>
      </w:r>
      <w:r>
        <w:t xml:space="preserve">In addition, the costs associated with MRVA processes, which fall on competent authorities,</w:t>
      </w:r>
      <w:r>
        <w:t xml:space="preserve"> </w:t>
      </w:r>
      <w:r>
        <w:t xml:space="preserve">operators, and verifiers, must be examined using real market data. This analysis is vital to</w:t>
      </w:r>
      <w:r>
        <w:t xml:space="preserve"> </w:t>
      </w:r>
      <w:r>
        <w:t xml:space="preserve">understanding the financial implications and ensuring cost-effectiveness across the system.</w:t>
      </w:r>
      <w:r>
        <w:t xml:space="preserve"> </w:t>
      </w:r>
      <w:r>
        <w:t xml:space="preserve">8.4.3.2</w:t>
      </w:r>
      <w:r>
        <w:t xml:space="preserve"> </w:t>
      </w:r>
      <w:r>
        <w:t xml:space="preserve">Objectives</w:t>
      </w:r>
      <w:r>
        <w:t xml:space="preserve"> </w:t>
      </w:r>
      <w:r>
        <w:t xml:space="preserve">The general objective is to ensure the complete, consistent, transparent, and accurate</w:t>
      </w:r>
      <w:r>
        <w:t xml:space="preserve"> </w:t>
      </w:r>
      <w:r>
        <w:t xml:space="preserve">monitoring and reporting of greenhouse gas emissions. This is essential for the effective</w:t>
      </w:r>
      <w:r>
        <w:t xml:space="preserve"> </w:t>
      </w:r>
      <w:r>
        <w:t xml:space="preserve">operation of the EU ETS. A key part of this objective is to operationalise and implement</w:t>
      </w:r>
      <w:r>
        <w:t xml:space="preserve"> </w:t>
      </w:r>
      <w:r>
        <w:t xml:space="preserve">changes introduced by revisions to the ETS Directive within the MRVA framework.</w:t>
      </w:r>
      <w:r>
        <w:t xml:space="preserve"> </w:t>
      </w:r>
      <w:r>
        <w:t xml:space="preserve">Further specific objectives include: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• Minimise the administrative and financial burden on operators (especially small</w:t>
      </w:r>
      <w:r>
        <w:t xml:space="preserve"> </w:t>
      </w:r>
      <w:r>
        <w:t xml:space="preserve">emitters) and on Member States, while promoting harmonisation and increased</w:t>
      </w:r>
      <w:r>
        <w:t xml:space="preserve"> </w:t>
      </w:r>
      <w:r>
        <w:t xml:space="preserve">efficiency in the MRVA system.</w:t>
      </w:r>
      <w:r>
        <w:t xml:space="preserve"> </w:t>
      </w:r>
      <w:r>
        <w:t xml:space="preserve">• Improve, clarify, and simplify MRVA procedures to enhance user-friendliness and</w:t>
      </w:r>
      <w:r>
        <w:t xml:space="preserve"> </w:t>
      </w:r>
      <w:r>
        <w:t xml:space="preserve">reduce complexity.</w:t>
      </w:r>
      <w:r>
        <w:t xml:space="preserve"> </w:t>
      </w:r>
      <w:r>
        <w:t xml:space="preserve">• Clearly define the roles and responsibilities of verifiers and National Accreditation</w:t>
      </w:r>
      <w:r>
        <w:t xml:space="preserve"> </w:t>
      </w:r>
      <w:r>
        <w:t xml:space="preserve">Bodies to improve accountability and ensure high-quality verification processes.</w:t>
      </w:r>
      <w:r>
        <w:t xml:space="preserve"> </w:t>
      </w:r>
      <w:r>
        <w:t xml:space="preserve">8.4.3.3</w:t>
      </w:r>
      <w:r>
        <w:t xml:space="preserve"> </w:t>
      </w:r>
      <w:r>
        <w:t xml:space="preserve">Inputs</w:t>
      </w:r>
      <w:r>
        <w:t xml:space="preserve"> </w:t>
      </w:r>
      <w:r>
        <w:t xml:space="preserve">The successful implementation and enhancement of the MRVA framework depend on several</w:t>
      </w:r>
      <w:r>
        <w:t xml:space="preserve"> </w:t>
      </w:r>
      <w:r>
        <w:t xml:space="preserve">key inputs:</w:t>
      </w:r>
      <w:r>
        <w:t xml:space="preserve"> </w:t>
      </w:r>
      <w:r>
        <w:t xml:space="preserve">• Financial resources - Adequate funding is required to support both the development and</w:t>
      </w:r>
      <w:r>
        <w:t xml:space="preserve"> </w:t>
      </w:r>
      <w:r>
        <w:t xml:space="preserve">operational phases of the system. This could include funding from Member States as</w:t>
      </w:r>
      <w:r>
        <w:t xml:space="preserve"> </w:t>
      </w:r>
      <w:r>
        <w:t xml:space="preserve">reported under Article 21.</w:t>
      </w:r>
      <w:r>
        <w:t xml:space="preserve"> </w:t>
      </w:r>
      <w:r>
        <w:t xml:space="preserve">• Institutional support - Collaboration and support from the European Commission,</w:t>
      </w:r>
      <w:r>
        <w:t xml:space="preserve"> </w:t>
      </w:r>
      <w:r>
        <w:t xml:space="preserve">national authorities, and verification bodies are vital for effective coordination and</w:t>
      </w:r>
      <w:r>
        <w:t xml:space="preserve"> </w:t>
      </w:r>
      <w:r>
        <w:t xml:space="preserve">enforcement.</w:t>
      </w:r>
      <w:r>
        <w:t xml:space="preserve"> </w:t>
      </w:r>
      <w:r>
        <w:t xml:space="preserve">• Technical expertise and IT systems - High-quality data collection and processing</w:t>
      </w:r>
      <w:r>
        <w:t xml:space="preserve"> </w:t>
      </w:r>
      <w:r>
        <w:t xml:space="preserve">depend on specialised knowledge and robust information technology infrastructure.</w:t>
      </w:r>
      <w:r>
        <w:t xml:space="preserve"> </w:t>
      </w:r>
      <w:r>
        <w:t xml:space="preserve">8.4.3.4</w:t>
      </w:r>
      <w:r>
        <w:t xml:space="preserve"> </w:t>
      </w:r>
      <w:r>
        <w:t xml:space="preserve">Actions</w:t>
      </w:r>
      <w:r>
        <w:t xml:space="preserve"> </w:t>
      </w:r>
      <w:r>
        <w:t xml:space="preserve">A series of targeted actions have been taken to strengthen the MRVA framework, with the aim</w:t>
      </w:r>
      <w:r>
        <w:t xml:space="preserve"> </w:t>
      </w:r>
      <w:r>
        <w:t xml:space="preserve">of improving efficiency, consistency, and accuracy across the EU ETS.</w:t>
      </w:r>
      <w:r>
        <w:br/>
      </w:r>
      <w:r>
        <w:t xml:space="preserve">• One of the key measures has been the introduction of standardised methodologies and</w:t>
      </w:r>
      <w:r>
        <w:t xml:space="preserve"> </w:t>
      </w:r>
      <w:r>
        <w:t xml:space="preserve">data sets for both operators and aircraft operators. This standardisation supports</w:t>
      </w:r>
      <w:r>
        <w:t xml:space="preserve"> </w:t>
      </w:r>
      <w:r>
        <w:t xml:space="preserve">harmonised data reporting and reduces discrepancies in emissions monitoring.</w:t>
      </w:r>
      <w:r>
        <w:br/>
      </w:r>
      <w:r>
        <w:t xml:space="preserve">• To further reduce the administrative burden, templates for standardised and simplified</w:t>
      </w:r>
      <w:r>
        <w:t xml:space="preserve"> </w:t>
      </w:r>
      <w:r>
        <w:t xml:space="preserve">monitoring plans have been developed, enabling more streamlined preparation and</w:t>
      </w:r>
      <w:r>
        <w:t xml:space="preserve"> </w:t>
      </w:r>
      <w:r>
        <w:t xml:space="preserve">submission processes, particularly for small emitters.</w:t>
      </w:r>
      <w:r>
        <w:t xml:space="preserve"> </w:t>
      </w:r>
      <w:r>
        <w:t xml:space="preserve">• In terms of regulatory simplification in Phase 2 and start of Phase III, certain changes</w:t>
      </w:r>
      <w:r>
        <w:t xml:space="preserve"> </w:t>
      </w:r>
      <w:r>
        <w:t xml:space="preserve">to the monitoring plan that are considered not significant no longer require formal</w:t>
      </w:r>
      <w:r>
        <w:t xml:space="preserve"> </w:t>
      </w:r>
      <w:r>
        <w:t xml:space="preserve">approval by the competent authority (CA), thus reducing administrative delays and</w:t>
      </w:r>
      <w:r>
        <w:t xml:space="preserve"> </w:t>
      </w:r>
      <w:r>
        <w:t xml:space="preserve">improving procedural efficiency. Additionally, verifiers are required to issue a</w:t>
      </w:r>
      <w:r>
        <w:t xml:space="preserve"> </w:t>
      </w:r>
      <w:r>
        <w:t xml:space="preserve">verification report that must comply with harmonised rules in the Accreditation and</w:t>
      </w:r>
      <w:r>
        <w:t xml:space="preserve"> </w:t>
      </w:r>
      <w:r>
        <w:t xml:space="preserve">Verification Regulation and that must contain information on outstanding issues</w:t>
      </w:r>
      <w:r>
        <w:t xml:space="preserve"> </w:t>
      </w:r>
      <w:r>
        <w:t xml:space="preserve">identified in the verification, enhancing transparency and accountability.</w:t>
      </w:r>
      <w:r>
        <w:t xml:space="preserve"> </w:t>
      </w:r>
      <w:r>
        <w:t xml:space="preserve">Several legislative amendments have also been introduced to align MRVA provisions with</w:t>
      </w:r>
      <w:r>
        <w:t xml:space="preserve"> </w:t>
      </w:r>
      <w:r>
        <w:t xml:space="preserve">updated climate and energy policies.</w:t>
      </w:r>
      <w:r>
        <w:br/>
      </w:r>
      <w:r>
        <w:t xml:space="preserve">• Under the revised Monitoring and Reporting Regulation (MRR), the emission factor</w:t>
      </w:r>
      <w:r>
        <w:t xml:space="preserve"> </w:t>
      </w:r>
      <w:r>
        <w:t xml:space="preserve">for biomass is set to zero, reflecting its nature as a renewable source. For biofuels not</w:t>
      </w:r>
      <w:r>
        <w:t xml:space="preserve"> </w:t>
      </w:r>
      <w:r>
        <w:t xml:space="preserve">physically delivered to the site of combustion, aircraft operators may determine the</w:t>
      </w:r>
      <w:r>
        <w:t xml:space="preserve"> </w:t>
      </w:r>
      <w:r>
        <w:t xml:space="preserve">biomass fraction based on purchase records, provided they can prove there is no double</w:t>
      </w:r>
      <w:r>
        <w:t xml:space="preserve"> </w:t>
      </w:r>
      <w:r>
        <w:t xml:space="preserve">counting of emissions reductions. Furthermore, Member States could choose not to</w:t>
      </w:r>
      <w:r>
        <w:t xml:space="preserve"> </w:t>
      </w:r>
      <w:r>
        <w:t xml:space="preserve">apply GHG sustainability or emissions saving criteria for biofuels, bioliquids, and</w:t>
      </w:r>
      <w:r>
        <w:t xml:space="preserve"> </w:t>
      </w:r>
      <w:r>
        <w:t xml:space="preserve">biomass for the year 2022, reflecting a transitional compliance approach.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• The 2020 amendments to the Accreditation and Verification Regulation (AVR)</w:t>
      </w:r>
      <w:r>
        <w:t xml:space="preserve"> </w:t>
      </w:r>
      <w:r>
        <w:t xml:space="preserve">introduced updated rules granting CAs greater access to internal verification</w:t>
      </w:r>
      <w:r>
        <w:t xml:space="preserve"> </w:t>
      </w:r>
      <w:r>
        <w:t xml:space="preserve">documentation, thereby strengthening oversight.</w:t>
      </w:r>
      <w:r>
        <w:br/>
      </w:r>
      <w:r>
        <w:t xml:space="preserve">• In response to the challenges posed by the COVID-19 pandemic, verifiers are now</w:t>
      </w:r>
      <w:r>
        <w:t xml:space="preserve"> </w:t>
      </w:r>
      <w:r>
        <w:t xml:space="preserve">permitted to carry out virtual site visits in exceptional, unforeseen circumstances,</w:t>
      </w:r>
      <w:r>
        <w:t xml:space="preserve"> </w:t>
      </w:r>
      <w:r>
        <w:t xml:space="preserve">ensuring business continuity.</w:t>
      </w:r>
      <w:r>
        <w:t xml:space="preserve"> </w:t>
      </w:r>
      <w:r>
        <w:t xml:space="preserve">• Additionally, a new requirement mandates the rotation of EU ETS lead auditors to</w:t>
      </w:r>
      <w:r>
        <w:t xml:space="preserve"> </w:t>
      </w:r>
      <w:r>
        <w:t xml:space="preserve">maintain objectivity and prevent conflicts of interest in verification practices.</w:t>
      </w:r>
      <w:r>
        <w:t xml:space="preserve"> </w:t>
      </w:r>
      <w:r>
        <w:t xml:space="preserve">8.4.3.5</w:t>
      </w:r>
      <w:r>
        <w:t xml:space="preserve"> </w:t>
      </w:r>
      <w:r>
        <w:t xml:space="preserve">Outputs</w:t>
      </w:r>
      <w:r>
        <w:t xml:space="preserve"> </w:t>
      </w:r>
      <w:r>
        <w:t xml:space="preserve">The implementation of these actions has yielded several important outputs that contribute to</w:t>
      </w:r>
      <w:r>
        <w:t xml:space="preserve"> </w:t>
      </w:r>
      <w:r>
        <w:t xml:space="preserve">the overall functionality and reliability of the MRVA system.</w:t>
      </w:r>
      <w:r>
        <w:br/>
      </w:r>
      <w:r>
        <w:t xml:space="preserve">• A centralised MRVA framework has been established in the Monitoring and Reporting</w:t>
      </w:r>
      <w:r>
        <w:t xml:space="preserve"> </w:t>
      </w:r>
      <w:r>
        <w:t xml:space="preserve">regulation and Accreditation and Verification Regulation which harmonised the</w:t>
      </w:r>
      <w:r>
        <w:t xml:space="preserve"> </w:t>
      </w:r>
      <w:r>
        <w:t xml:space="preserve">requirements across Member States.</w:t>
      </w:r>
      <w:r>
        <w:br/>
      </w:r>
      <w:r>
        <w:t xml:space="preserve">• Member States implemented more strengthened MRV procedures to manage MRV</w:t>
      </w:r>
      <w:r>
        <w:t xml:space="preserve"> </w:t>
      </w:r>
      <w:r>
        <w:t xml:space="preserve">processes, ensuring that the revised rules are embedded within national procedures.</w:t>
      </w:r>
      <w:r>
        <w:br/>
      </w:r>
      <w:r>
        <w:t xml:space="preserve">• Standardised templates and reporting formats have been developed, accompanied by</w:t>
      </w:r>
      <w:r>
        <w:t xml:space="preserve"> </w:t>
      </w:r>
      <w:r>
        <w:t xml:space="preserve">adaptable IT tools that accommodate the varying operational contexts of Member</w:t>
      </w:r>
      <w:r>
        <w:t xml:space="preserve"> </w:t>
      </w:r>
      <w:r>
        <w:t xml:space="preserve">States. These tools and templates promote uniformity while allowing for a degree of</w:t>
      </w:r>
      <w:r>
        <w:t xml:space="preserve"> </w:t>
      </w:r>
      <w:r>
        <w:t xml:space="preserve">flexibility to meet national needs.</w:t>
      </w:r>
      <w:r>
        <w:t xml:space="preserve"> </w:t>
      </w:r>
      <w:r>
        <w:t xml:space="preserve">• Updated MRV guidance documents have also been produced, focusing more on</w:t>
      </w:r>
      <w:r>
        <w:t xml:space="preserve"> </w:t>
      </w:r>
      <w:r>
        <w:t xml:space="preserve">practical, real-world implementation scenarios. This shift ensures that stakeholders,</w:t>
      </w:r>
      <w:r>
        <w:t xml:space="preserve"> </w:t>
      </w:r>
      <w:r>
        <w:t xml:space="preserve">from operators to verifiers, are better equipped to navigate compliance requirements.</w:t>
      </w:r>
      <w:r>
        <w:br/>
      </w:r>
      <w:r>
        <w:t xml:space="preserve">The framework also includes clear provisions for the accreditation of verification bodies, with</w:t>
      </w:r>
      <w:r>
        <w:t xml:space="preserve"> </w:t>
      </w:r>
      <w:r>
        <w:t xml:space="preserve">well-defined roles and responsibilities. This clarity enhances accountability and strengthens</w:t>
      </w:r>
      <w:r>
        <w:t xml:space="preserve"> </w:t>
      </w:r>
      <w:r>
        <w:t xml:space="preserve">institutional capacity.</w:t>
      </w:r>
      <w:r>
        <w:br/>
      </w:r>
      <w:r>
        <w:t xml:space="preserve">A series of targeted training events has been launched to support the consistent application of</w:t>
      </w:r>
      <w:r>
        <w:t xml:space="preserve"> </w:t>
      </w:r>
      <w:r>
        <w:t xml:space="preserve">MRVA rules and to build technical competence among all relevant actors. As a result, the</w:t>
      </w:r>
      <w:r>
        <w:t xml:space="preserve"> </w:t>
      </w:r>
      <w:r>
        <w:t xml:space="preserve">MRVA system now generates emissions datasets that are not only reliable and consistent but</w:t>
      </w:r>
      <w:r>
        <w:t xml:space="preserve"> </w:t>
      </w:r>
      <w:r>
        <w:t xml:space="preserve">also transparent, enabling informed decision-making and public scrutiny.</w:t>
      </w:r>
      <w:r>
        <w:t xml:space="preserve"> </w:t>
      </w:r>
      <w:r>
        <w:t xml:space="preserve">8.4.3.6</w:t>
      </w:r>
      <w:r>
        <w:t xml:space="preserve"> </w:t>
      </w:r>
      <w:r>
        <w:t xml:space="preserve">Intended results and impacts</w:t>
      </w:r>
      <w:r>
        <w:t xml:space="preserve"> </w:t>
      </w:r>
      <w:r>
        <w:t xml:space="preserve">The intended outcomes are a more harmonised and cost-effective MRVA system that</w:t>
      </w:r>
      <w:r>
        <w:t xml:space="preserve"> </w:t>
      </w:r>
      <w:r>
        <w:t xml:space="preserve">strengthens data integrity, policy relevance, and international alignment. Improved verification</w:t>
      </w:r>
      <w:r>
        <w:t xml:space="preserve"> </w:t>
      </w:r>
      <w:r>
        <w:t xml:space="preserve">quality and reduced administrative burden should enhance trust and comparability across the</w:t>
      </w:r>
      <w:r>
        <w:t xml:space="preserve"> </w:t>
      </w:r>
      <w:r>
        <w:t xml:space="preserve">EU ETS. However, simplification carries some risks—such as potential data loss or</w:t>
      </w:r>
      <w:r>
        <w:t xml:space="preserve"> </w:t>
      </w:r>
      <w:r>
        <w:t xml:space="preserve">inconsistencies with overlapping EU frameworks (e.g., Industrial Emissions Directive,</w:t>
      </w:r>
      <w:r>
        <w:t xml:space="preserve"> </w:t>
      </w:r>
      <w:r>
        <w:t xml:space="preserve">Renewable Energy Directive, CBAM)—highlighting the need for ongoing coordination and</w:t>
      </w:r>
      <w:r>
        <w:t xml:space="preserve"> </w:t>
      </w:r>
      <w:r>
        <w:t xml:space="preserve">interoperability.</w:t>
      </w:r>
      <w:r>
        <w:br/>
      </w:r>
      <w:r>
        <w:t xml:space="preserve">The anticipated outcomes of the revised MRVA framework are both immediate and long-term.</w:t>
      </w:r>
      <w:r>
        <w:t xml:space="preserve"> </w:t>
      </w:r>
      <w:r>
        <w:t xml:space="preserve">In the short term, the reforms aim to ensure harmonised and reliable greenhouse gas reporting</w:t>
      </w:r>
      <w:r>
        <w:t xml:space="preserve"> </w:t>
      </w:r>
      <w:r>
        <w:t xml:space="preserve">across the EU, fostering consistency and comparability among Member States. The capacity of</w:t>
      </w:r>
      <w:r>
        <w:t xml:space="preserve"> </w:t>
      </w:r>
      <w:r>
        <w:t xml:space="preserve">national authorities and relevant stakeholders is expected to increase, enabling them to more</w:t>
      </w:r>
      <w:r>
        <w:t xml:space="preserve"> </w:t>
      </w:r>
      <w:r>
        <w:t xml:space="preserve">effectively implement, monitor, and enforce MRVA-related requirements.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The changes are also designed to facilitate the mutual recognition of verification bodies across</w:t>
      </w:r>
      <w:r>
        <w:t xml:space="preserve"> </w:t>
      </w:r>
      <w:r>
        <w:t xml:space="preserve">borders, reducing duplication and administrative burden while promoting trust and cooperation</w:t>
      </w:r>
      <w:r>
        <w:t xml:space="preserve"> </w:t>
      </w:r>
      <w:r>
        <w:t xml:space="preserve">among Member States. Enhanced clarity and training are expected to lead to higher compliance</w:t>
      </w:r>
      <w:r>
        <w:t xml:space="preserve"> </w:t>
      </w:r>
      <w:r>
        <w:t xml:space="preserve">rates with MRVA regulations, thereby reinforcing the integrity of the EU ETS.</w:t>
      </w:r>
      <w:r>
        <w:t xml:space="preserve"> </w:t>
      </w:r>
      <w:r>
        <w:t xml:space="preserve">Improved monitoring and data quality will provide more robust evidence to support</w:t>
      </w:r>
      <w:r>
        <w:t xml:space="preserve"> </w:t>
      </w:r>
      <w:r>
        <w:t xml:space="preserve">policymaking, ensuring that climate actions are grounded in accurate and verifiable emissions</w:t>
      </w:r>
      <w:r>
        <w:t xml:space="preserve"> </w:t>
      </w:r>
      <w:r>
        <w:t xml:space="preserve">data. In the long term, these improvements are expected to contribute meaningfully to the EU’s</w:t>
      </w:r>
      <w:r>
        <w:t xml:space="preserve"> </w:t>
      </w:r>
      <w:r>
        <w:t xml:space="preserve">climate and energy objectives by enhancing the effectiveness and credibility of the ETS.</w:t>
      </w:r>
      <w:r>
        <w:t xml:space="preserve"> </w:t>
      </w:r>
      <w:r>
        <w:t xml:space="preserve">Moreover, greater alignment with international climate reporting standards will position the</w:t>
      </w:r>
      <w:r>
        <w:t xml:space="preserve"> </w:t>
      </w:r>
      <w:r>
        <w:t xml:space="preserve">EU as a global leader in climate governance, further reinforcing the EU’s commitments under</w:t>
      </w:r>
      <w:r>
        <w:t xml:space="preserve"> </w:t>
      </w:r>
      <w:r>
        <w:t xml:space="preserve">multilateral agreements such as the Paris Agreement.</w:t>
      </w:r>
      <w:r>
        <w:t xml:space="preserve"> </w:t>
      </w:r>
      <w:r>
        <w:t xml:space="preserve">8.4.3.7</w:t>
      </w:r>
      <w:r>
        <w:t xml:space="preserve"> </w:t>
      </w:r>
      <w:r>
        <w:t xml:space="preserve">Unintended results and impacts</w:t>
      </w:r>
      <w:r>
        <w:t xml:space="preserve"> </w:t>
      </w:r>
      <w:r>
        <w:t xml:space="preserve">While the ongoing reforms and streamlining of the MRVA framework are expected to yield</w:t>
      </w:r>
      <w:r>
        <w:t xml:space="preserve"> </w:t>
      </w:r>
      <w:r>
        <w:t xml:space="preserve">significant benefits in terms of efficiency and harmonisation, certain unintended consequences</w:t>
      </w:r>
      <w:r>
        <w:t xml:space="preserve"> </w:t>
      </w:r>
      <w:r>
        <w:t xml:space="preserve">may also arise. One potential risk is that the drive toward standardisation and simplification</w:t>
      </w:r>
      <w:r>
        <w:t xml:space="preserve"> </w:t>
      </w:r>
      <w:r>
        <w:t xml:space="preserve">could inadvertently reduce the accuracy or granularity of emissions reporting. Simplified</w:t>
      </w:r>
      <w:r>
        <w:t xml:space="preserve"> </w:t>
      </w:r>
      <w:r>
        <w:t xml:space="preserve">methodologies, while easier to apply, may not always capture the complexity of certain</w:t>
      </w:r>
      <w:r>
        <w:t xml:space="preserve"> </w:t>
      </w:r>
      <w:r>
        <w:t xml:space="preserve">operations or sector-specific nuances, leading to possible under- or over-estimations of</w:t>
      </w:r>
      <w:r>
        <w:t xml:space="preserve"> </w:t>
      </w:r>
      <w:r>
        <w:t xml:space="preserve">emissions.</w:t>
      </w:r>
      <w:r>
        <w:t xml:space="preserve"> </w:t>
      </w:r>
      <w:r>
        <w:t xml:space="preserve">Another concern is the potential for duplication or inconsistencies in reporting due to</w:t>
      </w:r>
      <w:r>
        <w:t xml:space="preserve"> </w:t>
      </w:r>
      <w:r>
        <w:t xml:space="preserve">overlapping climate-related frameworks at both EU and national levels. As multiple regulatory</w:t>
      </w:r>
      <w:r>
        <w:t xml:space="preserve"> </w:t>
      </w:r>
      <w:r>
        <w:t xml:space="preserve">regimes with distinct reporting requirements are included in EU policies, such as those related</w:t>
      </w:r>
      <w:r>
        <w:t xml:space="preserve"> </w:t>
      </w:r>
      <w:r>
        <w:t xml:space="preserve">to Waste Framework Directive, Industrial Emissions Directive and to some extent, corporate</w:t>
      </w:r>
      <w:r>
        <w:t xml:space="preserve"> </w:t>
      </w:r>
      <w:r>
        <w:t xml:space="preserve">sustainability reporting, there is an increased risk of double reporting. This could lead to</w:t>
      </w:r>
      <w:r>
        <w:t xml:space="preserve"> </w:t>
      </w:r>
      <w:r>
        <w:t xml:space="preserve">confusion among stakeholders and undermine the coherence and comparability of emissions</w:t>
      </w:r>
      <w:r>
        <w:t xml:space="preserve"> </w:t>
      </w:r>
      <w:r>
        <w:t xml:space="preserve">data across systems.</w:t>
      </w:r>
      <w:r>
        <w:t xml:space="preserve"> </w:t>
      </w:r>
      <w:r>
        <w:t xml:space="preserve">These unintended effects underscore the importance of ensuring interoperability between</w:t>
      </w:r>
      <w:r>
        <w:t xml:space="preserve"> </w:t>
      </w:r>
      <w:r>
        <w:t xml:space="preserve">frameworks and of maintaining flexibility within the MRVA system to account for sectoral and</w:t>
      </w:r>
      <w:r>
        <w:t xml:space="preserve"> </w:t>
      </w:r>
      <w:r>
        <w:t xml:space="preserve">national specificities without compromising the integrity of emissions data.</w:t>
      </w:r>
      <w:r>
        <w:t xml:space="preserve"> </w:t>
      </w:r>
      <w:r>
        <w:t xml:space="preserve">8.4.3.8</w:t>
      </w:r>
      <w:r>
        <w:t xml:space="preserve"> </w:t>
      </w:r>
      <w:r>
        <w:t xml:space="preserve">External factors</w:t>
      </w:r>
      <w:r>
        <w:t xml:space="preserve"> </w:t>
      </w:r>
      <w:r>
        <w:t xml:space="preserve">The effectiveness of the MRVA in achieving its goal might be affected by external factors,</w:t>
      </w:r>
      <w:r>
        <w:t xml:space="preserve"> </w:t>
      </w:r>
      <w:r>
        <w:t xml:space="preserve">including variability in national administrative capacity, which might have affected the uniform</w:t>
      </w:r>
      <w:r>
        <w:t xml:space="preserve"> </w:t>
      </w:r>
      <w:r>
        <w:t xml:space="preserve">application of MRVA processes across Member States, and the COVID-19 pandemic, which</w:t>
      </w:r>
      <w:r>
        <w:t xml:space="preserve"> </w:t>
      </w:r>
      <w:r>
        <w:t xml:space="preserve">posed significant challenges, disrupting inspections, verifications, and site visits due to travel</w:t>
      </w:r>
      <w:r>
        <w:t xml:space="preserve"> </w:t>
      </w:r>
      <w:r>
        <w:t xml:space="preserve">restrictions and safety concerns.</w:t>
      </w:r>
      <w:r>
        <w:t xml:space="preserve"> </w:t>
      </w:r>
      <w:r>
        <w:t xml:space="preserve">8.4.3.9</w:t>
      </w:r>
      <w:r>
        <w:t xml:space="preserve"> </w:t>
      </w:r>
      <w:r>
        <w:t xml:space="preserve">EU/national policies</w:t>
      </w:r>
      <w:r>
        <w:t xml:space="preserve"> </w:t>
      </w:r>
      <w:r>
        <w:t xml:space="preserve">The MRVA framework operates within an increasingly complex policy environment shaped</w:t>
      </w:r>
      <w:r>
        <w:t xml:space="preserve"> </w:t>
      </w:r>
      <w:r>
        <w:t xml:space="preserve">by both EU-level and national legislative developments. Several emerging and evolving policy</w:t>
      </w:r>
      <w:r>
        <w:t xml:space="preserve"> </w:t>
      </w:r>
      <w:r>
        <w:t xml:space="preserve">instruments are introducing new climate-related reporting obligations that potentially</w:t>
      </w:r>
      <w:r>
        <w:t xml:space="preserve"> </w:t>
      </w:r>
      <w:r>
        <w:t xml:space="preserve">interacted with, or overlap, the requirements of the EU ETS.</w:t>
      </w:r>
      <w:r>
        <w:t xml:space="preserve"> </w:t>
      </w:r>
      <w:r>
        <w:t xml:space="preserve">At the EU level, the Corporate Sustainability Reporting Directive (CSRD) is expanding non-</w:t>
      </w:r>
      <w:r>
        <w:t xml:space="preserve"> </w:t>
      </w:r>
      <w:r>
        <w:t xml:space="preserve">financial disclosure obligations for companies, including the reporting of climate-related risks,</w:t>
      </w:r>
      <w:r>
        <w:t xml:space="preserve"> </w:t>
      </w:r>
      <w:r>
        <w:t xml:space="preserve">absolute emission targets and direct and indirect GHG emissions of a company. The CSRD</w:t>
      </w:r>
      <w:r>
        <w:t xml:space="preserve"> </w:t>
      </w:r>
      <w:r>
        <w:t xml:space="preserve">Directive states that Sustainability Reporting Standards that apply to companies reporting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sustainability information have to comply with EU law, including ETS Directive. Similarly,</w:t>
      </w:r>
      <w:r>
        <w:t xml:space="preserve"> </w:t>
      </w:r>
      <w:r>
        <w:t xml:space="preserve">the Corporate Sustainability Due Diligence Directive (CSDDD) introduces additional</w:t>
      </w:r>
      <w:r>
        <w:t xml:space="preserve"> </w:t>
      </w:r>
      <w:r>
        <w:t xml:space="preserve">expectations for environmental due diligence across value chains, which could influence</w:t>
      </w:r>
      <w:r>
        <w:t xml:space="preserve"> </w:t>
      </w:r>
      <w:r>
        <w:t xml:space="preserve">emissions data tracking and verification processes. Additionally, new frameworks focusing on</w:t>
      </w:r>
      <w:r>
        <w:t xml:space="preserve"> </w:t>
      </w:r>
      <w:r>
        <w:t xml:space="preserve">lifecycle industrial monitoring are being developed, potentially overlapping with MRV</w:t>
      </w:r>
      <w:r>
        <w:t xml:space="preserve"> </w:t>
      </w:r>
      <w:r>
        <w:t xml:space="preserve">processes for industrial installations covered by the EU.</w:t>
      </w:r>
      <w:r>
        <w:br/>
      </w:r>
      <w:r>
        <w:t xml:space="preserve">8.4.3.10 Data collection</w:t>
      </w:r>
      <w:r>
        <w:t xml:space="preserve"> </w:t>
      </w:r>
      <w:r>
        <w:t xml:space="preserve">The evaluation findings rely on several data sources, particularly desk research, as well as</w:t>
      </w:r>
      <w:r>
        <w:t xml:space="preserve"> </w:t>
      </w:r>
      <w:r>
        <w:t xml:space="preserve">surveys, targeted interviews and a reality workshop with key stakeholders.</w:t>
      </w:r>
      <w:r>
        <w:br/>
      </w:r>
      <w:r>
        <w:t xml:space="preserve">Literature review focussed particularly on evidence from Article 21 reports, from previous</w:t>
      </w:r>
      <w:r>
        <w:t xml:space="preserve"> </w:t>
      </w:r>
      <w:r>
        <w:t xml:space="preserve">assessments of costs associated with MRVA and other literature on the MRVA.</w:t>
      </w:r>
      <w:r>
        <w:br/>
      </w:r>
      <w:r>
        <w:t xml:space="preserve">The surveys with key stakeholders included:</w:t>
      </w:r>
      <w:r>
        <w:br/>
      </w:r>
      <w:r>
        <w:t xml:space="preserve">• A survey of stationary installations which resulted in 303 responses.</w:t>
      </w:r>
      <w:r>
        <w:br/>
      </w:r>
      <w:r>
        <w:t xml:space="preserve">• A survey of Competent Authorities which resulted in 18 responses.</w:t>
      </w:r>
      <w:r>
        <w:br/>
      </w:r>
      <w:r>
        <w:t xml:space="preserve">• A survey of 21 verifiers.</w:t>
      </w:r>
      <w:r>
        <w:t xml:space="preserve"> </w:t>
      </w:r>
      <w:r>
        <w:t xml:space="preserve">• A survey of 4 National Accreditation Bodies.</w:t>
      </w:r>
      <w:r>
        <w:t xml:space="preserve"> </w:t>
      </w:r>
      <w:r>
        <w:t xml:space="preserve">• A survey of Article 27 installations.</w:t>
      </w:r>
      <w:r>
        <w:t xml:space="preserve"> </w:t>
      </w:r>
      <w:r>
        <w:t xml:space="preserve">• A survey of aircraft operators.</w:t>
      </w:r>
      <w:r>
        <w:t xml:space="preserve"> </w:t>
      </w:r>
      <w:r>
        <w:t xml:space="preserve">Five anonymous semi-structured interviews were conducted with selected CAs and NABs.</w:t>
      </w:r>
      <w:r>
        <w:t xml:space="preserve"> </w:t>
      </w:r>
      <w:r>
        <w:t xml:space="preserve">These interviews provided qualitative insights into the practical functioning of the MRVA</w:t>
      </w:r>
      <w:r>
        <w:t xml:space="preserve"> </w:t>
      </w:r>
      <w:r>
        <w:t xml:space="preserve">system during Phase IV in relation to the evaluation criteria, with a particular focus on</w:t>
      </w:r>
      <w:r>
        <w:t xml:space="preserve"> </w:t>
      </w:r>
      <w:r>
        <w:t xml:space="preserve">effectiveness and efficiency.</w:t>
      </w:r>
      <w:r>
        <w:t xml:space="preserve"> </w:t>
      </w:r>
      <w:r>
        <w:t xml:space="preserve">Finally, the analysis also draws on the outcomes of a reality check workshop with stakeholders,</w:t>
      </w:r>
      <w:r>
        <w:t xml:space="preserve"> </w:t>
      </w:r>
      <w:r>
        <w:t xml:space="preserve">which was used to validate emerging findings, test preliminary conclusions and identify areas</w:t>
      </w:r>
      <w:r>
        <w:t xml:space="preserve"> </w:t>
      </w:r>
      <w:r>
        <w:t xml:space="preserve">of convergence and divergence across stakeholder groups.</w:t>
      </w:r>
      <w:r>
        <w:t xml:space="preserve"> </w:t>
      </w:r>
      <w:r>
        <w:t xml:space="preserve">8.4.4 Evaluation findings</w:t>
      </w:r>
      <w:r>
        <w:t xml:space="preserve"> </w:t>
      </w:r>
      <w:r>
        <w:t xml:space="preserve">8.4.4.1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effectiveness criterion evaluates how successfully the EU ETS MRVA system has fulfilled</w:t>
      </w:r>
      <w:r>
        <w:t xml:space="preserve"> </w:t>
      </w:r>
      <w:r>
        <w:t xml:space="preserve">its objectives of ensuring robust, transparent, consistent, and accurate monitoring and reporting</w:t>
      </w:r>
      <w:r>
        <w:t xml:space="preserve"> </w:t>
      </w:r>
      <w:r>
        <w:t xml:space="preserve">of greenhouse gas emissions from industrial installations and aircraft operators. It examines</w:t>
      </w:r>
      <w:r>
        <w:t xml:space="preserve"> </w:t>
      </w:r>
      <w:r>
        <w:t xml:space="preserve">four main aspects: the accuracy, completeness, and transparency of emissions data and the</w:t>
      </w:r>
      <w:r>
        <w:t xml:space="preserve"> </w:t>
      </w:r>
      <w:r>
        <w:t xml:space="preserve">system’s ability to prevent errors and misreporting; the effectiveness of the verification and</w:t>
      </w:r>
      <w:r>
        <w:t xml:space="preserve"> </w:t>
      </w:r>
      <w:r>
        <w:t xml:space="preserve">accreditation processes in ensuring reliable data and compliance with EU ETS rules; the extent</w:t>
      </w:r>
      <w:r>
        <w:t xml:space="preserve"> </w:t>
      </w:r>
      <w:r>
        <w:t xml:space="preserve">to which Member States have improved MRVA procedures and how these improvements have</w:t>
      </w:r>
      <w:r>
        <w:t xml:space="preserve"> </w:t>
      </w:r>
      <w:r>
        <w:t xml:space="preserve">influenced overall compliance; and finally, how well the MRVA system has adapted to</w:t>
      </w:r>
      <w:r>
        <w:t xml:space="preserve"> </w:t>
      </w:r>
      <w:r>
        <w:t xml:space="preserve">emerging challenges and what further enhancements could strengthen its effectiveness. The</w:t>
      </w:r>
      <w:r>
        <w:t xml:space="preserve"> </w:t>
      </w:r>
      <w:r>
        <w:t xml:space="preserve">criterion covers four evaluation questions related to the effectiveness of the monitoring and</w:t>
      </w:r>
      <w:r>
        <w:t xml:space="preserve"> </w:t>
      </w:r>
      <w:r>
        <w:t xml:space="preserve">reporting system, as well as the verification and accreditation, the improvements proposed by</w:t>
      </w:r>
      <w:r>
        <w:t xml:space="preserve"> </w:t>
      </w:r>
      <w:r>
        <w:t xml:space="preserve">MSs and the adaptability to new challenges.</w:t>
      </w:r>
      <w:r>
        <w:br/>
      </w:r>
      <w:r>
        <w:t xml:space="preserve">•</w:t>
      </w:r>
      <w:r>
        <w:t xml:space="preserve"> </w:t>
      </w:r>
      <w:r>
        <w:t xml:space="preserve">EQ1: Effect of the MRVA system on accuracy, completeness and transparency on EU</w:t>
      </w:r>
      <w:r>
        <w:t xml:space="preserve"> </w:t>
      </w:r>
      <w:r>
        <w:t xml:space="preserve">ETS GHG reporting data</w:t>
      </w:r>
      <w:r>
        <w:t xml:space="preserve"> </w:t>
      </w:r>
      <w:r>
        <w:t xml:space="preserve">Evaluation Question 1 assesses whether Phase IV MRVA arrangements as they applied from</w:t>
      </w:r>
      <w:r>
        <w:t xml:space="preserve"> </w:t>
      </w:r>
      <w:r>
        <w:t xml:space="preserve">2021-2023 produce accurate, complete and transparent emissions data across Member States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and sectors. The analysis draws primarily on MRVA survey data, complemented by Article 21</w:t>
      </w:r>
      <w:r>
        <w:t xml:space="preserve"> </w:t>
      </w:r>
      <w:r>
        <w:t xml:space="preserve">reports, targeted consultation inputs and other sources.</w:t>
      </w:r>
      <w:r>
        <w:br/>
      </w:r>
      <w:r>
        <w:t xml:space="preserve">The MRVA system delivers high harmonisation and accuracy with standard methods used</w:t>
      </w:r>
      <w:r>
        <w:t xml:space="preserve"> </w:t>
      </w:r>
      <w:r>
        <w:t xml:space="preserve">almost universally. Across Member States and sectors, operators and aircraft operators</w:t>
      </w:r>
      <w:r>
        <w:t xml:space="preserve"> </w:t>
      </w:r>
      <w:r>
        <w:t xml:space="preserve">generally apply the MRR’s required methodologies using the tier approach.206 Most stationary</w:t>
      </w:r>
      <w:r>
        <w:t xml:space="preserve"> </w:t>
      </w:r>
      <w:r>
        <w:t xml:space="preserve">installations, apply a calculation-based methodology using the tier system whereas a limited</w:t>
      </w:r>
      <w:r>
        <w:t xml:space="preserve"> </w:t>
      </w:r>
      <w:r>
        <w:t xml:space="preserve">number of installations use continuous emissions monitoring systems (CEMS) used where</w:t>
      </w:r>
      <w:r>
        <w:t xml:space="preserve"> </w:t>
      </w:r>
      <w:r>
        <w:t xml:space="preserve">appropriate. The use of fall-back approaches remains marginal, covering only 3.6% of surveyed</w:t>
      </w:r>
      <w:r>
        <w:t xml:space="preserve"> </w:t>
      </w:r>
      <w:r>
        <w:t xml:space="preserve">installations207 and only 0.3% of all installations in 2022.</w:t>
      </w:r>
      <w:r>
        <w:br/>
      </w:r>
      <w:r>
        <w:t xml:space="preserve">For aviation, convergence in applied methodological approaches is even stronger: 85% of</w:t>
      </w:r>
      <w:r>
        <w:t xml:space="preserve"> </w:t>
      </w:r>
      <w:r>
        <w:t xml:space="preserve">aircraft operators use Method B208 for fuel consumption calculation, and 90% of small emitters</w:t>
      </w:r>
      <w:r>
        <w:t xml:space="preserve"> </w:t>
      </w:r>
      <w:r>
        <w:t xml:space="preserve">apply the Eurocontrol EMIS209. This harmonisation is reinforced by change-control rules for</w:t>
      </w:r>
      <w:r>
        <w:t xml:space="preserve"> </w:t>
      </w:r>
      <w:r>
        <w:t xml:space="preserve">monitoring plans that require Competent authority approval of significant modifications and</w:t>
      </w:r>
      <w:r>
        <w:t xml:space="preserve"> </w:t>
      </w:r>
      <w:r>
        <w:t xml:space="preserve">notification of non-significant ones. Article 21 reports record only seven penalties in 2022 for</w:t>
      </w:r>
      <w:r>
        <w:t xml:space="preserve"> </w:t>
      </w:r>
      <w:r>
        <w:t xml:space="preserve">failures to notify changes, indicating that arbitrary methodological changes are rare.210</w:t>
      </w:r>
      <w:r>
        <w:br/>
      </w:r>
      <w:r>
        <w:t xml:space="preserve">Use of Commission templates and guidance by competent authorities</w:t>
      </w:r>
      <w:r>
        <w:t xml:space="preserve"> </w:t>
      </w:r>
      <w:r>
        <w:t xml:space="preserve">Use of Commission templates further encourage convergence, with 25 competent authorities</w:t>
      </w:r>
      <w:r>
        <w:t xml:space="preserve"> </w:t>
      </w:r>
      <w:r>
        <w:t xml:space="preserve">reporting that they made use of the Commission’s templates for monitoring plans, emission</w:t>
      </w:r>
      <w:r>
        <w:t xml:space="preserve"> </w:t>
      </w:r>
      <w:r>
        <w:t xml:space="preserve">reports, verification reports, and improvement reports, while three countries combined these</w:t>
      </w:r>
      <w:r>
        <w:t xml:space="preserve"> </w:t>
      </w:r>
      <w:r>
        <w:t xml:space="preserve">with national-specific formats.211 Among the surveyed competent authorities, 83% of</w:t>
      </w:r>
      <w:r>
        <w:t xml:space="preserve"> </w:t>
      </w:r>
      <w:r>
        <w:t xml:space="preserve">respondents (15 out of 18) indicate that they made use of the Commission guidance for</w:t>
      </w:r>
      <w:r>
        <w:t xml:space="preserve"> </w:t>
      </w:r>
      <w:r>
        <w:t xml:space="preserve">stationary installations for Phase IV.212 . Interviews with CAs and NABs corroborate this by</w:t>
      </w:r>
      <w:r>
        <w:t xml:space="preserve"> </w:t>
      </w:r>
      <w:r>
        <w:t xml:space="preserve">highlighting that Commission forms and guidance help reduce recurring clarification requests</w:t>
      </w:r>
      <w:r>
        <w:t xml:space="preserve"> </w:t>
      </w:r>
      <w:r>
        <w:t xml:space="preserve">from operators and support more harmonised implementation over time. However, some</w:t>
      </w:r>
      <w:r>
        <w:t xml:space="preserve"> </w:t>
      </w:r>
      <w:r>
        <w:t xml:space="preserve">interviewees also noted that the late release of Commission templates and guidance, combined</w:t>
      </w:r>
      <w:r>
        <w:t xml:space="preserve"> </w:t>
      </w:r>
      <w:r>
        <w:t xml:space="preserve">with delays in the availability of national-language versions, can create implementation</w:t>
      </w:r>
      <w:r>
        <w:t xml:space="preserve"> </w:t>
      </w:r>
      <w:r>
        <w:t xml:space="preserve">challenge. Still, overall, these harmonised approaches enhance the consistency and</w:t>
      </w:r>
      <w:r>
        <w:t xml:space="preserve"> </w:t>
      </w:r>
      <w:r>
        <w:t xml:space="preserve">comparability of data across Member States and ensure that standardised methodologies are</w:t>
      </w:r>
      <w:r>
        <w:t xml:space="preserve"> </w:t>
      </w:r>
      <w:r>
        <w:t xml:space="preserve">applied uniformly by operators or aircraft operators.</w:t>
      </w:r>
      <w:r>
        <w:br/>
      </w:r>
      <w:r>
        <w:t xml:space="preserve">Completeness and accuracy of EU ETS emissions data</w:t>
      </w:r>
      <w:r>
        <w:t xml:space="preserve"> </w:t>
      </w:r>
      <w:r>
        <w:t xml:space="preserve">The MRVA system ensures that nearly all emissions from Annex I activities are monitored and</w:t>
      </w:r>
      <w:r>
        <w:t xml:space="preserve"> </w:t>
      </w:r>
      <w:r>
        <w:t xml:space="preserve">reported, with only marginal delays or omissions. Article 21 data show that only a very small</w:t>
      </w:r>
      <w:r>
        <w:t xml:space="preserve"> </w:t>
      </w:r>
      <w:r>
        <w:t xml:space="preserve">share of installations fails to submit verified emission reports by the 31 March deadline. Where</w:t>
      </w:r>
    </w:p>
    <w:p>
      <w:pPr>
        <w:pStyle w:val="BodyText"/>
      </w:pPr>
      <w:r>
        <w:t xml:space="preserve">206 Interviews with Competent Authorities</w:t>
      </w:r>
      <w:r>
        <w:t xml:space="preserve"> </w:t>
      </w:r>
      <w:r>
        <w:t xml:space="preserve">207 Survey of stationary installations (n = 303)</w:t>
      </w:r>
      <w:r>
        <w:t xml:space="preserve"> </w:t>
      </w:r>
      <w:r>
        <w:t xml:space="preserve">208 Method B is one of the two fuel consumption calculation methods defined in Annex III of the Monitoring</w:t>
      </w:r>
      <w:r>
        <w:t xml:space="preserve"> </w:t>
      </w:r>
      <w:r>
        <w:t xml:space="preserve">and Reporting Regulation. It relies on direct data from aircraft fuel purchase or uplift records, providing</w:t>
      </w:r>
      <w:r>
        <w:t xml:space="preserve"> </w:t>
      </w:r>
      <w:r>
        <w:t xml:space="preserve">higher accuracy than Method A, which is based on estimated fuel consumption derived from flight data.</w:t>
      </w:r>
      <w:r>
        <w:t xml:space="preserve"> </w:t>
      </w:r>
      <w:r>
        <w:t xml:space="preserve">209 The Eurocontrol Emissions Monitoring and Inventory System is an online small-emitters tool that estimates</w:t>
      </w:r>
      <w:r>
        <w:t xml:space="preserve"> </w:t>
      </w:r>
      <w:r>
        <w:t xml:space="preserve">fuel burn and CO₂ using Eurocontrol flight movement data and standardised algorithms. It is recognised under</w:t>
      </w:r>
      <w:r>
        <w:t xml:space="preserve"> </w:t>
      </w:r>
      <w:r>
        <w:t xml:space="preserve">the MRR for eligible small emitters, easing compliance by providing consistent, traceable inputs for</w:t>
      </w:r>
      <w:r>
        <w:t xml:space="preserve"> </w:t>
      </w:r>
      <w:r>
        <w:t xml:space="preserve">monitoring and verification</w:t>
      </w:r>
      <w:r>
        <w:t xml:space="preserve"> </w:t>
      </w:r>
      <w:r>
        <w:t xml:space="preserve">210 European Commission, 2024. “Analysis of national responses under Article 21 of the EU ETS Directive”</w:t>
      </w:r>
      <w:r>
        <w:t xml:space="preserve"> </w:t>
      </w:r>
      <w:r>
        <w:t xml:space="preserve">(data reported in 2023, reflecting the situation in 2022)</w:t>
      </w:r>
      <w:r>
        <w:t xml:space="preserve"> </w:t>
      </w:r>
      <w:r>
        <w:t xml:space="preserve">211 Ibid</w:t>
      </w:r>
      <w:r>
        <w:t xml:space="preserve"> </w:t>
      </w:r>
      <w:r>
        <w:t xml:space="preserve">212 Survey of competent authorities (n =18)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reports are not submitted in time, conservative estimates are applied in line with Article 70 of</w:t>
      </w:r>
      <w:r>
        <w:t xml:space="preserve"> </w:t>
      </w:r>
      <w:r>
        <w:t xml:space="preserve">the MRR, ensuring coverage continuity. Only 25 installations in 2022 required such estimates.</w:t>
      </w:r>
      <w:r>
        <w:t xml:space="preserve"> </w:t>
      </w:r>
      <w:r>
        <w:t xml:space="preserve">These trends confirm that, despite some technical or administrative challenges in isolated</w:t>
      </w:r>
      <w:r>
        <w:t xml:space="preserve"> </w:t>
      </w:r>
      <w:r>
        <w:t xml:space="preserve">Member States, the MRVA framework effectively safeguards near-complete emissions</w:t>
      </w:r>
      <w:r>
        <w:t xml:space="preserve"> </w:t>
      </w:r>
      <w:r>
        <w:t xml:space="preserve">reporting coverage under the Directive.</w:t>
      </w:r>
      <w:r>
        <w:t xml:space="preserve"> </w:t>
      </w:r>
      <w:r>
        <w:t xml:space="preserve">Emission data under the EU ETS remain consistently accurate and complete, with residual</w:t>
      </w:r>
      <w:r>
        <w:t xml:space="preserve"> </w:t>
      </w:r>
      <w:r>
        <w:t xml:space="preserve">uncertainties tightly controlled. Across both stationary installations and aviation operators, the</w:t>
      </w:r>
      <w:r>
        <w:t xml:space="preserve"> </w:t>
      </w:r>
      <w:r>
        <w:t xml:space="preserve">share of conservative estimates has remained below 1% of total verified emissions throughout</w:t>
      </w:r>
      <w:r>
        <w:t xml:space="preserve"> </w:t>
      </w:r>
      <w:r>
        <w:t xml:space="preserve">Phase IV, confirming that most emission reports are based on data that is verified as</w:t>
      </w:r>
      <w:r>
        <w:t xml:space="preserve"> </w:t>
      </w:r>
      <w:r>
        <w:t xml:space="preserve">satisfactory. In 2022, only 61 installations (less than 0.8% of all covered facilities) required</w:t>
      </w:r>
      <w:r>
        <w:t xml:space="preserve"> </w:t>
      </w:r>
      <w:r>
        <w:t xml:space="preserve">conservative estimation, primarily due to delayed submissions or negative verification</w:t>
      </w:r>
      <w:r>
        <w:t xml:space="preserve"> </w:t>
      </w:r>
      <w:r>
        <w:t xml:space="preserve">opinions. Completeness of reporting is also near universal, with only 111 failures to submit</w:t>
      </w:r>
      <w:r>
        <w:t xml:space="preserve"> </w:t>
      </w:r>
      <w:r>
        <w:t xml:space="preserve">verified emission reports by the 31 March deadline in 2023, equivalent to roughly 1–1.5 % of</w:t>
      </w:r>
      <w:r>
        <w:t xml:space="preserve"> </w:t>
      </w:r>
      <w:r>
        <w:t xml:space="preserve">all stationary installations. Although this represents an increase from 67 cases in 2021, the</w:t>
      </w:r>
      <w:r>
        <w:t xml:space="preserve"> </w:t>
      </w:r>
      <w:r>
        <w:t xml:space="preserve">absolute number remains low and is concentrated mainly in two Member States213. Negative</w:t>
      </w:r>
      <w:r>
        <w:t xml:space="preserve"> </w:t>
      </w:r>
      <w:r>
        <w:t xml:space="preserve">verification opinions (around 30 per year) and report rejections (about 50 annually) are</w:t>
      </w:r>
      <w:r>
        <w:t xml:space="preserve"> </w:t>
      </w:r>
      <w:r>
        <w:t xml:space="preserve">similarly infrequent.214 Together, these indicators demonstrate that nearly all Annex I</w:t>
      </w:r>
      <w:r>
        <w:t xml:space="preserve"> </w:t>
      </w:r>
      <w:r>
        <w:t xml:space="preserve">emissions are accurately monitored, verified, and incorporated into the ETS registry, reflecting</w:t>
      </w:r>
      <w:r>
        <w:t xml:space="preserve"> </w:t>
      </w:r>
      <w:r>
        <w:t xml:space="preserve">a robust MRVA framework that ensures reliable and comprehensive greenhouse gas reporting</w:t>
      </w:r>
      <w:r>
        <w:t xml:space="preserve"> </w:t>
      </w:r>
      <w:r>
        <w:t xml:space="preserve">and forms a solid basis for surrendering allowances that cover reported emissions.</w:t>
      </w:r>
      <w:r>
        <w:t xml:space="preserve"> </w:t>
      </w:r>
      <w:r>
        <w:t xml:space="preserve">Monitoring plan approval and change procedures have remained stable and well understood</w:t>
      </w:r>
      <w:r>
        <w:t xml:space="preserve"> </w:t>
      </w:r>
      <w:r>
        <w:t xml:space="preserve">since 2020. All Member States conduct completeness, and consistency checks on verified</w:t>
      </w:r>
      <w:r>
        <w:t xml:space="preserve"> </w:t>
      </w:r>
      <w:r>
        <w:t xml:space="preserve">emissions reports, with 14 conducting a detailed analysis of all AERs for stationary</w:t>
      </w:r>
      <w:r>
        <w:t xml:space="preserve"> </w:t>
      </w:r>
      <w:r>
        <w:t xml:space="preserve">installations. Aviation shows even higher consistency, with 25 countries performing systematic</w:t>
      </w:r>
      <w:r>
        <w:t xml:space="preserve"> </w:t>
      </w:r>
      <w:r>
        <w:t xml:space="preserve">cross-checks aided by Eurocontrol’s EMIS database and 17 countries conducting detailed</w:t>
      </w:r>
      <w:r>
        <w:t xml:space="preserve"> </w:t>
      </w:r>
      <w:r>
        <w:t xml:space="preserve">analysis of all AERs for aircraft operators.215 Enforcement evidence confirms the robustness</w:t>
      </w:r>
      <w:r>
        <w:t xml:space="preserve"> </w:t>
      </w:r>
      <w:r>
        <w:t xml:space="preserve">of the system. In 2022, only 42 penalties were issued to stationary installations across nine</w:t>
      </w:r>
      <w:r>
        <w:t xml:space="preserve"> </w:t>
      </w:r>
      <w:r>
        <w:t xml:space="preserve">countries, about 0.5 % of all covered installations, and nine aviation infringements were</w:t>
      </w:r>
      <w:r>
        <w:t xml:space="preserve"> </w:t>
      </w:r>
      <w:r>
        <w:t xml:space="preserve">recorded across five countries. Excess-emission penalties were imposed on 41 operators (up</w:t>
      </w:r>
      <w:r>
        <w:t xml:space="preserve"> </w:t>
      </w:r>
      <w:r>
        <w:t xml:space="preserve">from 29 in 2021).216 At the same time, participants in the EU ETS reality check workshop</w:t>
      </w:r>
      <w:r>
        <w:t xml:space="preserve"> </w:t>
      </w:r>
      <w:r>
        <w:t xml:space="preserve">mentioned that, for stationary installations, monitoring plan approval and change processes can</w:t>
      </w:r>
      <w:r>
        <w:t xml:space="preserve"> </w:t>
      </w:r>
      <w:r>
        <w:t xml:space="preserve">involve non-negligible administrative effort. They reported that minor monitoring plan</w:t>
      </w:r>
      <w:r>
        <w:t xml:space="preserve"> </w:t>
      </w:r>
      <w:r>
        <w:t xml:space="preserve">updates, such as technical like-for-like (e.g. installation of new instrumentation of equivalent</w:t>
      </w:r>
      <w:r>
        <w:t xml:space="preserve"> </w:t>
      </w:r>
      <w:r>
        <w:t xml:space="preserve">quality), can trigger full re-documentation and re-approval cycles, with limited perceived added</w:t>
      </w:r>
      <w:r>
        <w:t xml:space="preserve"> </w:t>
      </w:r>
      <w:r>
        <w:t xml:space="preserve">value for emissions integrity.217 Still, the low infringement rates, combined with consistent</w:t>
      </w:r>
      <w:r>
        <w:t xml:space="preserve"> </w:t>
      </w:r>
      <w:r>
        <w:t xml:space="preserve">preventive measures, indicate that Phase IV has consolidated a mature, multi-layered control</w:t>
      </w:r>
      <w:r>
        <w:t xml:space="preserve"> </w:t>
      </w:r>
      <w:r>
        <w:t xml:space="preserve">framework that maintains high data quality and compliance across the EU ETS.</w:t>
      </w:r>
      <w:r>
        <w:br/>
      </w:r>
      <w:r>
        <w:t xml:space="preserve">•</w:t>
      </w:r>
      <w:r>
        <w:t xml:space="preserve"> </w:t>
      </w:r>
      <w:r>
        <w:t xml:space="preserve">EQ2: Has the verification and accreditation system been successful in delivering robust</w:t>
      </w:r>
      <w:r>
        <w:t xml:space="preserve"> </w:t>
      </w:r>
      <w:r>
        <w:t xml:space="preserve">implementation of the EU ETS</w:t>
      </w:r>
      <w:r>
        <w:t xml:space="preserve"> </w:t>
      </w:r>
      <w:r>
        <w:t xml:space="preserve">EQ2 assesses how effectively the EU ETS verification and accreditation framework ensures</w:t>
      </w:r>
      <w:r>
        <w:t xml:space="preserve"> </w:t>
      </w:r>
      <w:r>
        <w:t xml:space="preserve">the successful implementation of the EU ETS, by providing confidence in the accuracy of</w:t>
      </w:r>
    </w:p>
    <w:p>
      <w:pPr>
        <w:pStyle w:val="BodyText"/>
      </w:pPr>
      <w:r>
        <w:t xml:space="preserve">213 Germany and Poland, accounting for 65 % of all cases</w:t>
      </w:r>
      <w:r>
        <w:t xml:space="preserve"> </w:t>
      </w:r>
      <w:r>
        <w:t xml:space="preserve">214 European Commission (2024)</w:t>
      </w:r>
      <w:r>
        <w:t xml:space="preserve"> </w:t>
      </w:r>
      <w:r>
        <w:t xml:space="preserve">215 Ibid</w:t>
      </w:r>
      <w:r>
        <w:t xml:space="preserve"> </w:t>
      </w:r>
      <w:r>
        <w:t xml:space="preserve">216 Ibid</w:t>
      </w:r>
      <w:r>
        <w:t xml:space="preserve"> </w:t>
      </w:r>
      <w:r>
        <w:t xml:space="preserve">217 EU ETS Reality Check workshop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emissions data and compliance with monitoring requirements. It draws primarily on MRVA</w:t>
      </w:r>
      <w:r>
        <w:t xml:space="preserve"> </w:t>
      </w:r>
      <w:r>
        <w:t xml:space="preserve">survey data, Article 21 reports, EU ETS Compliance Forum discussions and inputs, and</w:t>
      </w:r>
      <w:r>
        <w:t xml:space="preserve"> </w:t>
      </w:r>
      <w:r>
        <w:t xml:space="preserve">targeted consultation inputs.</w:t>
      </w:r>
      <w:r>
        <w:t xml:space="preserve"> </w:t>
      </w:r>
      <w:r>
        <w:t xml:space="preserve">NABs maintain consistent and effective supervision of verifiers under AVR and ISO</w:t>
      </w:r>
      <w:r>
        <w:t xml:space="preserve"> </w:t>
      </w:r>
      <w:r>
        <w:t xml:space="preserve">17029/14065 standards. According to the MRVA survey, three of four NAB respondents (75</w:t>
      </w:r>
      <w:r>
        <w:t xml:space="preserve"> </w:t>
      </w:r>
      <w:r>
        <w:t xml:space="preserve">%) stated that the effectiveness of their risk-based surveillance had remained unchanged, while</w:t>
      </w:r>
      <w:r>
        <w:t xml:space="preserve"> </w:t>
      </w:r>
      <w:r>
        <w:t xml:space="preserve">one (25 %) reported a slight improvement. None observed deterioration. This suggests that</w:t>
      </w:r>
      <w:r>
        <w:t xml:space="preserve"> </w:t>
      </w:r>
      <w:r>
        <w:t xml:space="preserve">NABs have maintained a strong, targeted approach to supervising verifiers (e.g. focusing on</w:t>
      </w:r>
      <w:r>
        <w:t xml:space="preserve"> </w:t>
      </w:r>
      <w:r>
        <w:t xml:space="preserve">higher-risk areas without any drop in stringency). This is consistent with some of the</w:t>
      </w:r>
      <w:r>
        <w:t xml:space="preserve"> </w:t>
      </w:r>
      <w:r>
        <w:t xml:space="preserve">interviews, which characterised the accreditation and surveillance framework as effective in</w:t>
      </w:r>
      <w:r>
        <w:t xml:space="preserve"> </w:t>
      </w:r>
      <w:r>
        <w:t xml:space="preserve">upholding verification quality, supported by close cooperation with the competent authority</w:t>
      </w:r>
      <w:r>
        <w:t xml:space="preserve"> </w:t>
      </w:r>
      <w:r>
        <w:t xml:space="preserve">and verifiers (including regular alignment meetings) and only minor non-conformities</w:t>
      </w:r>
      <w:r>
        <w:t xml:space="preserve"> </w:t>
      </w:r>
      <w:r>
        <w:t xml:space="preserve">observed in practice.218The dedicated survey among competent authorities further did not flag</w:t>
      </w:r>
      <w:r>
        <w:t xml:space="preserve"> </w:t>
      </w:r>
      <w:r>
        <w:t xml:space="preserve">that there are quality concerns with the accreditation work by NABs. None of the 18 surveyed</w:t>
      </w:r>
      <w:r>
        <w:t xml:space="preserve"> </w:t>
      </w:r>
      <w:r>
        <w:t xml:space="preserve">competent authorities report that they had to take corrective action against NABs in the period</w:t>
      </w:r>
      <w:r>
        <w:t xml:space="preserve"> </w:t>
      </w:r>
      <w:r>
        <w:t xml:space="preserve">of 2021-2023.219 Peer evaluation reports by the European Cooperation of Accreditation also do</w:t>
      </w:r>
      <w:r>
        <w:t xml:space="preserve"> </w:t>
      </w:r>
      <w:r>
        <w:t xml:space="preserve">not show any major non-compliance of NAB’s activities with the AVR and the harmonised</w:t>
      </w:r>
      <w:r>
        <w:t xml:space="preserve"> </w:t>
      </w:r>
      <w:r>
        <w:t xml:space="preserve">standards. This demonstrates continued confidence in the accreditation framework in</w:t>
      </w:r>
      <w:r>
        <w:t xml:space="preserve"> </w:t>
      </w:r>
      <w:r>
        <w:t xml:space="preserve">delivering robust supervision.</w:t>
      </w:r>
      <w:r>
        <w:br/>
      </w:r>
      <w:r>
        <w:t xml:space="preserve">Constraint on verifiers capacity and impartiality risks</w:t>
      </w:r>
      <w:r>
        <w:t xml:space="preserve"> </w:t>
      </w:r>
      <w:r>
        <w:t xml:space="preserve">Regarding verifier independence, the surveyed NABs generally perceived that impartiality</w:t>
      </w:r>
      <w:r>
        <w:t xml:space="preserve"> </w:t>
      </w:r>
      <w:r>
        <w:t xml:space="preserve">risks (such as conflicts of interest) remained steady in Phase IV. None of the surveyed NABs</w:t>
      </w:r>
      <w:r>
        <w:t xml:space="preserve"> </w:t>
      </w:r>
      <w:r>
        <w:t xml:space="preserve">further reported a worsening trend, with one NAB observed that impartiality had improved</w:t>
      </w:r>
      <w:r>
        <w:t xml:space="preserve"> </w:t>
      </w:r>
      <w:r>
        <w:t xml:space="preserve">significantly.220 Nevertheless, Compliance Forum discussion does show that the constraints on</w:t>
      </w:r>
      <w:r>
        <w:t xml:space="preserve"> </w:t>
      </w:r>
      <w:r>
        <w:t xml:space="preserve">verifier capacity increase concerns on the impartiality of verifiers. In recent years, competent</w:t>
      </w:r>
      <w:r>
        <w:t xml:space="preserve"> </w:t>
      </w:r>
      <w:r>
        <w:t xml:space="preserve">authorities in the Compliance Forum have identified more cases where there are unacceptable</w:t>
      </w:r>
      <w:r>
        <w:t xml:space="preserve"> </w:t>
      </w:r>
      <w:r>
        <w:t xml:space="preserve">conflicts of interests for verifiers and staff involved in verification activities. This concern is</w:t>
      </w:r>
      <w:r>
        <w:t xml:space="preserve"> </w:t>
      </w:r>
      <w:r>
        <w:t xml:space="preserve">echoed by targeted consultation with competent authorities, where one CA raised concrete</w:t>
      </w:r>
      <w:r>
        <w:t xml:space="preserve"> </w:t>
      </w:r>
      <w:r>
        <w:t xml:space="preserve">impartiality issues observed in practice, including cases where verifier organisations were part</w:t>
      </w:r>
      <w:r>
        <w:t xml:space="preserve"> </w:t>
      </w:r>
      <w:r>
        <w:t xml:space="preserve">of larger corporate groups that also provided consultancy services to ETS operators through</w:t>
      </w:r>
      <w:r>
        <w:t xml:space="preserve"> </w:t>
      </w:r>
      <w:r>
        <w:t xml:space="preserve">other branches. One the other hand, operators participating in the reality check workshop, while</w:t>
      </w:r>
      <w:r>
        <w:t xml:space="preserve"> </w:t>
      </w:r>
      <w:r>
        <w:t xml:space="preserve">acknowledging familiarity risk, also reported that continuity of verifiers is beneficial for</w:t>
      </w:r>
      <w:r>
        <w:t xml:space="preserve"> </w:t>
      </w:r>
      <w:r>
        <w:t xml:space="preserve">effectiveness, particularly for complex installations, as long-standing verifier engagement</w:t>
      </w:r>
      <w:r>
        <w:t xml:space="preserve"> </w:t>
      </w:r>
      <w:r>
        <w:t xml:space="preserve">reduces onboarding time, and improves the efficiency and quality of annual verifications.221</w:t>
      </w:r>
      <w:r>
        <w:t xml:space="preserve"> </w:t>
      </w:r>
      <w:r>
        <w:t xml:space="preserve">Sanctions against verifiers</w:t>
      </w:r>
      <w:r>
        <w:br/>
      </w:r>
      <w:r>
        <w:t xml:space="preserve">Formal sanctions against verifiers (such as suspension or withdrawal or reduction of scope of</w:t>
      </w:r>
      <w:r>
        <w:t xml:space="preserve"> </w:t>
      </w:r>
      <w:r>
        <w:t xml:space="preserve">accreditation) have been very rare, which can be interpreted as a sign that verifiers largely</w:t>
      </w:r>
      <w:r>
        <w:t xml:space="preserve"> </w:t>
      </w:r>
      <w:r>
        <w:t xml:space="preserve">adhere to the rules and ethical standards. According to the Article 21 data, most countries</w:t>
      </w:r>
      <w:r>
        <w:t xml:space="preserve"> </w:t>
      </w:r>
      <w:r>
        <w:t xml:space="preserve">reported zero sanctions in recent years. In 2022, only two suspensions222 and one accreditation</w:t>
      </w:r>
      <w:r>
        <w:t xml:space="preserve"> </w:t>
      </w:r>
      <w:r>
        <w:t xml:space="preserve">withdrawal (France) were recorded across all EU ETS countries, plus one respective case where</w:t>
      </w:r>
    </w:p>
    <w:p>
      <w:pPr>
        <w:pStyle w:val="BodyText"/>
      </w:pPr>
      <w:r>
        <w:t xml:space="preserve">218 Interviews with NABs</w:t>
      </w:r>
      <w:r>
        <w:t xml:space="preserve"> </w:t>
      </w:r>
      <w:r>
        <w:t xml:space="preserve">219 Survey of competent authorities (n = 18)</w:t>
      </w:r>
      <w:r>
        <w:t xml:space="preserve"> </w:t>
      </w:r>
      <w:r>
        <w:t xml:space="preserve">220 Survey of NABs (n = 4)</w:t>
      </w:r>
      <w:r>
        <w:t xml:space="preserve"> </w:t>
      </w:r>
      <w:r>
        <w:t xml:space="preserve">221 EU ETS Reality Check workshop</w:t>
      </w:r>
      <w:r>
        <w:t xml:space="preserve"> </w:t>
      </w:r>
      <w:r>
        <w:t xml:space="preserve">222 In France and Norway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NABs reduced or withdrew verifier’s scope of accredited activities to address performance</w:t>
      </w:r>
      <w:r>
        <w:t xml:space="preserve"> </w:t>
      </w:r>
      <w:r>
        <w:t xml:space="preserve">issues (Denmark and Romania). This is a decrease compared to 2021, where ten sanctions have</w:t>
      </w:r>
      <w:r>
        <w:t xml:space="preserve"> </w:t>
      </w:r>
      <w:r>
        <w:t xml:space="preserve">been reported to be issued. This very limited level of enforcement actions by NABs is also</w:t>
      </w:r>
      <w:r>
        <w:t xml:space="preserve"> </w:t>
      </w:r>
      <w:r>
        <w:t xml:space="preserve">identified in the MRVA survey, albeit with a small sample size, in which none of surveyed</w:t>
      </w:r>
      <w:r>
        <w:t xml:space="preserve"> </w:t>
      </w:r>
      <w:r>
        <w:t xml:space="preserve">NABs indicated having suspended, withdrawn or reduced the accreditation scope of</w:t>
      </w:r>
      <w:r>
        <w:t xml:space="preserve"> </w:t>
      </w:r>
      <w:r>
        <w:t xml:space="preserve">verifiers.223 In addition, only 72 non-conformities in the assessment of verifiers were identified</w:t>
      </w:r>
      <w:r>
        <w:t xml:space="preserve"> </w:t>
      </w:r>
      <w:r>
        <w:t xml:space="preserve">in 2022, up from 54 in 2021 but still at a low number. Complaints against verifiers declined,</w:t>
      </w:r>
      <w:r>
        <w:t xml:space="preserve"> </w:t>
      </w:r>
      <w:r>
        <w:t xml:space="preserve">from 49 in 2020 to 28 in 2021, spiking temporarily to 202 in 2022 (mostly due to backlog of</w:t>
      </w:r>
      <w:r>
        <w:t xml:space="preserve"> </w:t>
      </w:r>
      <w:r>
        <w:t xml:space="preserve">previous year) before falling back to low double-digit levels by 2023. All 2022 complaints</w:t>
      </w:r>
      <w:r>
        <w:t xml:space="preserve"> </w:t>
      </w:r>
      <w:r>
        <w:t xml:space="preserve">were resolved within the year, reflecting responsive oversight.224 Taken together, the evidence</w:t>
      </w:r>
      <w:r>
        <w:t xml:space="preserve"> </w:t>
      </w:r>
      <w:r>
        <w:t xml:space="preserve">indicates that NABs’ risk-based supervision effectively upholds verifier quality and</w:t>
      </w:r>
      <w:r>
        <w:t xml:space="preserve"> </w:t>
      </w:r>
      <w:r>
        <w:t xml:space="preserve">impartiality while maintaining efficiency across the EU ETS.</w:t>
      </w:r>
      <w:r>
        <w:t xml:space="preserve"> </w:t>
      </w:r>
      <w:r>
        <w:t xml:space="preserve">Quality of verification activities</w:t>
      </w:r>
      <w:r>
        <w:t xml:space="preserve"> </w:t>
      </w:r>
      <w:r>
        <w:t xml:space="preserve">Verifications continue to be the cornerstone of the EU ETS assurance framework, providing</w:t>
      </w:r>
      <w:r>
        <w:t xml:space="preserve"> </w:t>
      </w:r>
      <w:r>
        <w:t xml:space="preserve">systematic, independent checks on reported emissions data. Under the AVR, accredited</w:t>
      </w:r>
      <w:r>
        <w:t xml:space="preserve"> </w:t>
      </w:r>
      <w:r>
        <w:t xml:space="preserve">verifiers are required to perform on-site visits for each installation, and evidence confirms that</w:t>
      </w:r>
      <w:r>
        <w:t xml:space="preserve"> </w:t>
      </w:r>
      <w:r>
        <w:t xml:space="preserve">these remain the norm across Member States. Even during the COVID-19 pandemic, when</w:t>
      </w:r>
      <w:r>
        <w:t xml:space="preserve"> </w:t>
      </w:r>
      <w:r>
        <w:t xml:space="preserve">travel restrictions were widespread, remote verifications were limited: only 637 installations</w:t>
      </w:r>
      <w:r>
        <w:t xml:space="preserve"> </w:t>
      </w:r>
      <w:r>
        <w:t xml:space="preserve">and 25 aircraft operators, around 7.5 % of all stationary installations, were audited remotely</w:t>
      </w:r>
      <w:r>
        <w:t xml:space="preserve"> </w:t>
      </w:r>
      <w:r>
        <w:t xml:space="preserve">with competent authority approval. By 2022, this number had dropped sharply to just 31 remote</w:t>
      </w:r>
      <w:r>
        <w:t xml:space="preserve"> </w:t>
      </w:r>
      <w:r>
        <w:t xml:space="preserve">audits as normal conditions resumed.225</w:t>
      </w:r>
      <w:r>
        <w:br/>
      </w:r>
      <w:r>
        <w:t xml:space="preserve">The survey data confirm that on-site visits are done rigorously, typically by 1 – 4 EU ETS</w:t>
      </w:r>
      <w:r>
        <w:t xml:space="preserve"> </w:t>
      </w:r>
      <w:r>
        <w:t xml:space="preserve">(lead) auditors, depending on the complexity of the operators. However, some respondents</w:t>
      </w:r>
      <w:r>
        <w:t xml:space="preserve"> </w:t>
      </w:r>
      <w:r>
        <w:t xml:space="preserve">noted that travel time and compressed verification calendars can pose logistical challenges,</w:t>
      </w:r>
      <w:r>
        <w:t xml:space="preserve"> </w:t>
      </w:r>
      <w:r>
        <w:t xml:space="preserve">particularly during peak reporting periods. Reflecting on this, a number of respondents</w:t>
      </w:r>
      <w:r>
        <w:t xml:space="preserve"> </w:t>
      </w:r>
      <w:r>
        <w:t xml:space="preserve">suggested that a more proportionate, risk-based approach could be introduced, allowing</w:t>
      </w:r>
      <w:r>
        <w:t xml:space="preserve"> </w:t>
      </w:r>
      <w:r>
        <w:t xml:space="preserve">simplified or remote audits for low-risk or small emitters, while maintaining comprehensive</w:t>
      </w:r>
      <w:r>
        <w:t xml:space="preserve"> </w:t>
      </w:r>
      <w:r>
        <w:t xml:space="preserve">on-site checks for complex or high-emission installations.</w:t>
      </w:r>
      <w:r>
        <w:t xml:space="preserve"> </w:t>
      </w:r>
      <w:r>
        <w:t xml:space="preserve">Such flexibility already exists within the AVR but is tightly controlled. Under Articles 31–32,</w:t>
      </w:r>
      <w:r>
        <w:t xml:space="preserve"> </w:t>
      </w:r>
      <w:r>
        <w:t xml:space="preserve">site visit waivers may only be granted for simple or low-emitting installations that meet strict</w:t>
      </w:r>
      <w:r>
        <w:t xml:space="preserve"> </w:t>
      </w:r>
      <w:r>
        <w:t xml:space="preserve">criteria and obtain prior competent authority approval.226 Article 21 data confirm that these</w:t>
      </w:r>
      <w:r>
        <w:t xml:space="preserve"> </w:t>
      </w:r>
      <w:r>
        <w:t xml:space="preserve">waivers remain rare: only 48 and 53 installations (out of approx. 8 500 – 9 000 installations in</w:t>
      </w:r>
      <w:r>
        <w:t xml:space="preserve"> </w:t>
      </w:r>
      <w:r>
        <w:t xml:space="preserve">total) emitting more than 25 kt CO₂ received them in 2021 and 2022, respectively.227 Evidence</w:t>
      </w:r>
      <w:r>
        <w:t xml:space="preserve"> </w:t>
      </w:r>
      <w:r>
        <w:t xml:space="preserve">from targeted consultations reinforces this picture. Operators from the reality check workshop</w:t>
      </w:r>
      <w:r>
        <w:t xml:space="preserve"> </w:t>
      </w:r>
      <w:r>
        <w:t xml:space="preserve">noted that simplified monitoring regimes often do not translate into materially lighter</w:t>
      </w:r>
      <w:r>
        <w:t xml:space="preserve"> </w:t>
      </w:r>
      <w:r>
        <w:t xml:space="preserve">verification practices in practice. Several operators reported that, even where installations</w:t>
      </w:r>
      <w:r>
        <w:t xml:space="preserve"> </w:t>
      </w:r>
      <w:r>
        <w:t xml:space="preserve">qualify as low emitters, verification approaches frequently remain largely unchanged,</w:t>
      </w:r>
      <w:r>
        <w:t xml:space="preserve"> </w:t>
      </w:r>
      <w:r>
        <w:t xml:space="preserve">including requirements for on-site presence. However, it was also noted in the interviews that</w:t>
      </w:r>
      <w:r>
        <w:t xml:space="preserve"> </w:t>
      </w:r>
      <w:r>
        <w:t xml:space="preserve">small installations do not always apply simple monitoring methods or have robust quality</w:t>
      </w:r>
      <w:r>
        <w:t xml:space="preserve"> </w:t>
      </w:r>
      <w:r>
        <w:t xml:space="preserve">control measures in place. Survey responses from verifiers seem to indicate that most of these</w:t>
      </w:r>
    </w:p>
    <w:p>
      <w:pPr>
        <w:pStyle w:val="BodyText"/>
      </w:pPr>
      <w:r>
        <w:t xml:space="preserve">223 Survey of NABs (n = 4)</w:t>
      </w:r>
      <w:r>
        <w:t xml:space="preserve"> </w:t>
      </w:r>
      <w:r>
        <w:t xml:space="preserve">224 European Commission (2024)</w:t>
      </w:r>
      <w:r>
        <w:t xml:space="preserve"> </w:t>
      </w:r>
      <w:r>
        <w:t xml:space="preserve">225 Aggregated data from Article 21 Analyses of national responses under Article 21 of the EU ETS Directive,</w:t>
      </w:r>
      <w:r>
        <w:t xml:space="preserve"> </w:t>
      </w:r>
      <w:r>
        <w:t xml:space="preserve">reflecting the situation between 2015 and 2023</w:t>
      </w:r>
      <w:r>
        <w:t xml:space="preserve"> </w:t>
      </w:r>
      <w:r>
        <w:t xml:space="preserve">226 Approval of the competent authority is not required for installations with low emissions.</w:t>
      </w:r>
      <w:r>
        <w:t xml:space="preserve"> </w:t>
      </w:r>
      <w:r>
        <w:t xml:space="preserve">227 European Commission (2024)</w:t>
      </w:r>
    </w:p>
    <w:p>
      <w:pPr>
        <w:pStyle w:val="BodyText"/>
      </w:pPr>
      <w:r>
        <w:t xml:space="preserve">159</w:t>
      </w:r>
      <w:r>
        <w:t xml:space="preserve"> </w:t>
      </w:r>
      <w:r>
        <w:t xml:space="preserve">verifiers start the verification already in the reporting period which leaves sufficient time to</w:t>
      </w:r>
      <w:r>
        <w:t xml:space="preserve"> </w:t>
      </w:r>
      <w:r>
        <w:t xml:space="preserve">close misstatements, non-conformities and non-compliance issues that are identified in the</w:t>
      </w:r>
      <w:r>
        <w:t xml:space="preserve"> </w:t>
      </w:r>
      <w:r>
        <w:t xml:space="preserve">verification. While verifiers largely endorse the current verification approach, some</w:t>
      </w:r>
      <w:r>
        <w:t xml:space="preserve"> </w:t>
      </w:r>
      <w:r>
        <w:t xml:space="preserve">respondents express a desire for targeted simplifications or more flexible, risk-based</w:t>
      </w:r>
      <w:r>
        <w:t xml:space="preserve"> </w:t>
      </w:r>
      <w:r>
        <w:t xml:space="preserve">procedures to ease administrative and time pressure for small or low-risk emitters. Overall, the</w:t>
      </w:r>
      <w:r>
        <w:t xml:space="preserve"> </w:t>
      </w:r>
      <w:r>
        <w:t xml:space="preserve">evidence generally points to a high-quality and robust verification audit system.</w:t>
      </w:r>
      <w:r>
        <w:t xml:space="preserve"> </w:t>
      </w:r>
      <w:r>
        <w:t xml:space="preserve">Misstatements, non-conformities and non-compliance in verification outcomes</w:t>
      </w:r>
      <w:r>
        <w:t xml:space="preserve"> </w:t>
      </w:r>
      <w:r>
        <w:t xml:space="preserve">While the absolute number of reported misstatements, non-conformities and non-compliance</w:t>
      </w:r>
      <w:r>
        <w:t xml:space="preserve"> </w:t>
      </w:r>
      <w:r>
        <w:t xml:space="preserve">issues fluctuates from year to year, their overall share remains small relative to the 8500 – 9000</w:t>
      </w:r>
      <w:r>
        <w:t xml:space="preserve"> </w:t>
      </w:r>
      <w:r>
        <w:t xml:space="preserve">of verified reports submitted annually. Across the EEA, misstatements increased moderately</w:t>
      </w:r>
      <w:r>
        <w:t xml:space="preserve"> </w:t>
      </w:r>
      <w:r>
        <w:t xml:space="preserve">from 142 in 2015 to 336 in 2023, but this upward trend is almost entirely driven by one Member</w:t>
      </w:r>
      <w:r>
        <w:t xml:space="preserve"> </w:t>
      </w:r>
      <w:r>
        <w:t xml:space="preserve">State228 France, which alone accounts for about one third of all reported cases. When France</w:t>
      </w:r>
      <w:r>
        <w:t xml:space="preserve"> </w:t>
      </w:r>
      <w:r>
        <w:t xml:space="preserve">is excluded, the number of misstatements remains stable, oscillating between 87 and 126 over</w:t>
      </w:r>
      <w:r>
        <w:t xml:space="preserve"> </w:t>
      </w:r>
      <w:r>
        <w:t xml:space="preserve">the same period. Non-conformities show a similarly steady pattern, ranging between 859 and</w:t>
      </w:r>
      <w:r>
        <w:t xml:space="preserve"> </w:t>
      </w:r>
      <w:r>
        <w:t xml:space="preserve">1 090 cases during 2015 - 2023, with a gradual decline (from 510 to 306), when France that</w:t>
      </w:r>
      <w:r>
        <w:t xml:space="preserve"> </w:t>
      </w:r>
      <w:r>
        <w:t xml:space="preserve">represents 31 % of all cases is excluded. The same holds for non-compliance issues, which</w:t>
      </w:r>
      <w:r>
        <w:t xml:space="preserve"> </w:t>
      </w:r>
      <w:r>
        <w:t xml:space="preserve">remain within 315 - 448 annually outside France, but display a mild upward trend at EEA level</w:t>
      </w:r>
      <w:r>
        <w:t xml:space="preserve"> </w:t>
      </w:r>
      <w:r>
        <w:t xml:space="preserve">due to French figures, which make up about 35 % of the total. In total, Article 21 data show</w:t>
      </w:r>
      <w:r>
        <w:t xml:space="preserve"> </w:t>
      </w:r>
      <w:r>
        <w:t xml:space="preserve">that only 10 negative verification opinions in 2021, 30 in 2022, and 6 in 2023 were issued</w:t>
      </w:r>
      <w:r>
        <w:t xml:space="preserve"> </w:t>
      </w:r>
      <w:r>
        <w:t xml:space="preserve">across nearly 9 000 verified reports, equivalent to less than 0.5 % of all verification cases.</w:t>
      </w:r>
      <w:r>
        <w:t xml:space="preserve"> </w:t>
      </w:r>
      <w:r>
        <w:t xml:space="preserve">Similarly, since 2021, the level of rejected AERs has been stagnant with an annual average of</w:t>
      </w:r>
      <w:r>
        <w:t xml:space="preserve"> </w:t>
      </w:r>
      <w:r>
        <w:t xml:space="preserve">about 53 rejections, amounting to around 0.6 %. Overall, these trends point to a mature and</w:t>
      </w:r>
      <w:r>
        <w:t xml:space="preserve"> </w:t>
      </w:r>
      <w:r>
        <w:t xml:space="preserve">stable MRVA system that consistently identifies a limited number of discrepancies, while the</w:t>
      </w:r>
      <w:r>
        <w:t xml:space="preserve"> </w:t>
      </w:r>
      <w:r>
        <w:t xml:space="preserve">French outlier could reflect intensified verification scrutiny or country-specific implementation</w:t>
      </w:r>
      <w:r>
        <w:t xml:space="preserve"> </w:t>
      </w:r>
      <w:r>
        <w:t xml:space="preserve">issues rather than a systemic deterioration in data quality.</w:t>
      </w:r>
      <w:r>
        <w:t xml:space="preserve"> </w:t>
      </w:r>
      <w:r>
        <w:t xml:space="preserve">Information exchange between CAs and NABs</w:t>
      </w:r>
      <w:r>
        <w:t xml:space="preserve"> </w:t>
      </w:r>
      <w:r>
        <w:t xml:space="preserve">In addition to the annual surveillance of the verifier by the NAB, the requirements in Chapter</w:t>
      </w:r>
      <w:r>
        <w:t xml:space="preserve"> </w:t>
      </w:r>
      <w:r>
        <w:t xml:space="preserve">VI of the AVR for the NABs and competent authorities to exchange information in relation to</w:t>
      </w:r>
      <w:r>
        <w:t xml:space="preserve"> </w:t>
      </w:r>
      <w:r>
        <w:t xml:space="preserve">verifiers have significantly improved the overall oversight on the quality of verification229. In</w:t>
      </w:r>
      <w:r>
        <w:t xml:space="preserve"> </w:t>
      </w:r>
      <w:r>
        <w:t xml:space="preserve">general, the requirements in Chapter VI function effectively where a NAB and the competent</w:t>
      </w:r>
      <w:r>
        <w:t xml:space="preserve"> </w:t>
      </w:r>
      <w:r>
        <w:t xml:space="preserve">authority are located within the same country. When the information exchange occurs across</w:t>
      </w:r>
      <w:r>
        <w:t xml:space="preserve"> </w:t>
      </w:r>
      <w:r>
        <w:t xml:space="preserve">borders when a verifier accredited by a NAB is carrying out verification in another country,</w:t>
      </w:r>
      <w:r>
        <w:t xml:space="preserve"> </w:t>
      </w:r>
      <w:r>
        <w:t xml:space="preserve">there are still some opportunities to improve this information exchange. Not all reports are</w:t>
      </w:r>
      <w:r>
        <w:t xml:space="preserve"> </w:t>
      </w:r>
      <w:r>
        <w:t xml:space="preserve">submitted in time, and one NAB indicated in the survey responses that a harmonised approach</w:t>
      </w:r>
      <w:r>
        <w:t xml:space="preserve"> </w:t>
      </w:r>
      <w:r>
        <w:t xml:space="preserve">on what constitutes a complaint on verifier would be helpful as it could simplify the complaint</w:t>
      </w:r>
      <w:r>
        <w:t xml:space="preserve"> </w:t>
      </w:r>
      <w:r>
        <w:t xml:space="preserve">procedures of NABs.230 Targeted consultations with competent authorities illustrate these</w:t>
      </w:r>
      <w:r>
        <w:t xml:space="preserve"> </w:t>
      </w:r>
      <w:r>
        <w:t xml:space="preserve">cross-border challenges in more detail. One CA reported that work programmes and</w:t>
      </w:r>
      <w:r>
        <w:t xml:space="preserve"> </w:t>
      </w:r>
      <w:r>
        <w:t xml:space="preserve">management reports for verifiers accredited in other Member States, is not always transmitted</w:t>
      </w:r>
      <w:r>
        <w:t xml:space="preserve"> </w:t>
      </w:r>
      <w:r>
        <w:t xml:space="preserve">in practice, despite being formally required. A different CA highlighted practical difficulty in</w:t>
      </w:r>
    </w:p>
    <w:p>
      <w:pPr>
        <w:pStyle w:val="BodyText"/>
      </w:pPr>
      <w:r>
        <w:t xml:space="preserve">228 France</w:t>
      </w:r>
      <w:r>
        <w:t xml:space="preserve"> </w:t>
      </w:r>
      <w:r>
        <w:t xml:space="preserve">229 NABs that has accredited a verifier are required to submit work programmes to the competent authority of</w:t>
      </w:r>
      <w:r>
        <w:t xml:space="preserve"> </w:t>
      </w:r>
      <w:r>
        <w:t xml:space="preserve">the country in which the verifier is carrying verification by 31st of December on the planned activities of the</w:t>
      </w:r>
      <w:r>
        <w:t xml:space="preserve"> </w:t>
      </w:r>
      <w:r>
        <w:t xml:space="preserve">accreditation body and a management report by 1st of June on results of accreditation activities. In turn</w:t>
      </w:r>
      <w:r>
        <w:t xml:space="preserve"> </w:t>
      </w:r>
      <w:r>
        <w:t xml:space="preserve">competent authorities must report relevant results from the review of emission reports or inspection or</w:t>
      </w:r>
      <w:r>
        <w:t xml:space="preserve"> </w:t>
      </w:r>
      <w:r>
        <w:t xml:space="preserve">complaints on verifiers to the NAB so that they can this into account in their surveillance.</w:t>
      </w:r>
      <w:r>
        <w:br/>
      </w:r>
      <w:r>
        <w:t xml:space="preserve">230 NAB survey (n = 4)</w:t>
      </w:r>
    </w:p>
    <w:p>
      <w:pPr>
        <w:pStyle w:val="BodyText"/>
      </w:pPr>
      <w:r>
        <w:t xml:space="preserve">160</w:t>
      </w:r>
      <w:r>
        <w:t xml:space="preserve"> </w:t>
      </w:r>
      <w:r>
        <w:t xml:space="preserve">identifying appropriate contact points within foreign NABs complicating cross-border verifier</w:t>
      </w:r>
      <w:r>
        <w:t xml:space="preserve"> </w:t>
      </w:r>
      <w:r>
        <w:t xml:space="preserve">oversight.231</w:t>
      </w:r>
      <w:r>
        <w:t xml:space="preserve"> </w:t>
      </w:r>
      <w:r>
        <w:t xml:space="preserve">The robustness of the oversight is shown by the low number of non-conformities and</w:t>
      </w:r>
      <w:r>
        <w:t xml:space="preserve"> </w:t>
      </w:r>
      <w:r>
        <w:t xml:space="preserve">complaints on verifiers. In 2022, eight countries reported a total of 72 non-conformities in their</w:t>
      </w:r>
      <w:r>
        <w:t xml:space="preserve"> </w:t>
      </w:r>
      <w:r>
        <w:t xml:space="preserve">information exchange. This was a slight uptake in the number of countries compared to 2021</w:t>
      </w:r>
      <w:r>
        <w:t xml:space="preserve"> </w:t>
      </w:r>
      <w:r>
        <w:t xml:space="preserve">with 54 non-conformities reported. The types of non-conformities noted were generally issues</w:t>
      </w:r>
      <w:r>
        <w:t xml:space="preserve"> </w:t>
      </w:r>
      <w:r>
        <w:t xml:space="preserve">like shortcomings in the internal verification documentation, misinterpretation of a guidance</w:t>
      </w:r>
      <w:r>
        <w:t xml:space="preserve"> </w:t>
      </w:r>
      <w:r>
        <w:t xml:space="preserve">detail, or procedural gaps by verifiers, pointing to an absence of pervasive problems. When</w:t>
      </w:r>
      <w:r>
        <w:t xml:space="preserve"> </w:t>
      </w:r>
      <w:r>
        <w:t xml:space="preserve">non-conformities are identified, verifiers are required to correct them, and most are resolved</w:t>
      </w:r>
      <w:r>
        <w:t xml:space="preserve"> </w:t>
      </w:r>
      <w:r>
        <w:t xml:space="preserve">promptly. Of the 72 non-conformities found in 2022, about 66% were already addressed and</w:t>
      </w:r>
      <w:r>
        <w:t xml:space="preserve"> </w:t>
      </w:r>
      <w:r>
        <w:t xml:space="preserve">closed by the time of reporting.232</w:t>
      </w:r>
      <w:r>
        <w:t xml:space="preserve"> </w:t>
      </w:r>
      <w:r>
        <w:t xml:space="preserve">Confidence in the robustness of the system is high among those closest to it. Competent</w:t>
      </w:r>
      <w:r>
        <w:t xml:space="preserve"> </w:t>
      </w:r>
      <w:r>
        <w:t xml:space="preserve">authorities report that verified data are dependable enough to be used directly for compliance</w:t>
      </w:r>
      <w:r>
        <w:t xml:space="preserve"> </w:t>
      </w:r>
      <w:r>
        <w:t xml:space="preserve">assessments and international greenhouse gas inventories, demonstrating institutional trust in</w:t>
      </w:r>
      <w:r>
        <w:t xml:space="preserve"> </w:t>
      </w:r>
      <w:r>
        <w:t xml:space="preserve">verification outcomes. Interviewees confirm that the MRVA system is stable and robust in</w:t>
      </w:r>
      <w:r>
        <w:t xml:space="preserve"> </w:t>
      </w:r>
      <w:r>
        <w:t xml:space="preserve">practice.233 NABs likewise confirm that the system functions well, with none identifying</w:t>
      </w:r>
      <w:r>
        <w:t xml:space="preserve"> </w:t>
      </w:r>
      <w:r>
        <w:t xml:space="preserve">fundamental weaknesses; all respondents note quality as stable or improving.234 Among</w:t>
      </w:r>
      <w:r>
        <w:t xml:space="preserve"> </w:t>
      </w:r>
      <w:r>
        <w:t xml:space="preserve">installations and aircraft operators, confidence in verification quality remains high, but views</w:t>
      </w:r>
      <w:r>
        <w:t xml:space="preserve"> </w:t>
      </w:r>
      <w:r>
        <w:t xml:space="preserve">on procedures related to verification at installation level are mixed: in the MRVA survey, 40</w:t>
      </w:r>
      <w:r>
        <w:t xml:space="preserve"> </w:t>
      </w:r>
      <w:r>
        <w:t xml:space="preserve">% of installations disagreed that verification had improved or been simplified since Phase III,</w:t>
      </w:r>
      <w:r>
        <w:t xml:space="preserve"> </w:t>
      </w:r>
      <w:r>
        <w:t xml:space="preserve">and 36 % saw no change.235 Qualitative feedback highlight the added documentation</w:t>
      </w:r>
      <w:r>
        <w:t xml:space="preserve"> </w:t>
      </w:r>
      <w:r>
        <w:t xml:space="preserve">requirements for the operators under new Phase IV rules. Some of this feedback also relates to</w:t>
      </w:r>
      <w:r>
        <w:t xml:space="preserve"> </w:t>
      </w:r>
      <w:r>
        <w:t xml:space="preserve">requirements for free allocation. The increased verifier’s role on checking the operator’s</w:t>
      </w:r>
      <w:r>
        <w:t xml:space="preserve"> </w:t>
      </w:r>
      <w:r>
        <w:t xml:space="preserve">evidence of compliance with sustainability and greenhouse gas savings criteria under RED II</w:t>
      </w:r>
      <w:r>
        <w:t xml:space="preserve"> </w:t>
      </w:r>
      <w:r>
        <w:t xml:space="preserve">is also mentioned.</w:t>
      </w:r>
      <w:r>
        <w:t xml:space="preserve"> </w:t>
      </w:r>
      <w:r>
        <w:t xml:space="preserve">Verifiers’ capacity</w:t>
      </w:r>
      <w:r>
        <w:t xml:space="preserve"> </w:t>
      </w:r>
      <w:r>
        <w:t xml:space="preserve">Furthermore, verifier capacity is generally tightening. Both Article 21 reports and the 15th EU</w:t>
      </w:r>
      <w:r>
        <w:t xml:space="preserve"> </w:t>
      </w:r>
      <w:r>
        <w:t xml:space="preserve">ETS Compliance Conference and discussions in the Compliance Forum highlight staff</w:t>
      </w:r>
      <w:r>
        <w:t xml:space="preserve"> </w:t>
      </w:r>
      <w:r>
        <w:t xml:space="preserve">shortages and resulting pressure on verifiers. For example, the German Competent Authority</w:t>
      </w:r>
      <w:r>
        <w:t xml:space="preserve"> </w:t>
      </w:r>
      <w:r>
        <w:t xml:space="preserve">warned that the convergence of new reporting obligations in 2026 (EU ETS AERs, annual</w:t>
      </w:r>
      <w:r>
        <w:t xml:space="preserve"> </w:t>
      </w:r>
      <w:r>
        <w:t xml:space="preserve">activity level reports, municipal waste incineration AERs, and the first ETS2 AERs and</w:t>
      </w:r>
      <w:r>
        <w:t xml:space="preserve"> </w:t>
      </w:r>
      <w:r>
        <w:t xml:space="preserve">climate-neutrality reports), combined with retirements among experienced staff, risks creating</w:t>
      </w:r>
      <w:r>
        <w:t xml:space="preserve"> </w:t>
      </w:r>
      <w:r>
        <w:t xml:space="preserve">a shortage of qualified verifiers. With 110 verifiers for stationary installations and 20 for</w:t>
      </w:r>
      <w:r>
        <w:t xml:space="preserve"> </w:t>
      </w:r>
      <w:r>
        <w:t xml:space="preserve">aviation in 2022, current capacity is tightening.236 The targeted consultations corroborate this</w:t>
      </w:r>
      <w:r>
        <w:t xml:space="preserve"> </w:t>
      </w:r>
      <w:r>
        <w:t xml:space="preserve">finding. At least one competent authority and a handful operators in the reality check workshop</w:t>
      </w:r>
      <w:r>
        <w:t xml:space="preserve"> </w:t>
      </w:r>
      <w:r>
        <w:t xml:space="preserve">reported difficulties in securing verifiers with the appropriate accreditation scope and sectoral</w:t>
      </w:r>
      <w:r>
        <w:t xml:space="preserve"> </w:t>
      </w:r>
      <w:r>
        <w:t xml:space="preserve">expertise within the required timelines, noting that highly seasonal verification peaks and</w:t>
      </w:r>
      <w:r>
        <w:t xml:space="preserve"> </w:t>
      </w:r>
      <w:r>
        <w:t xml:space="preserve">limited off-season work exacerbate these challenges and raised concerns that the ongoing</w:t>
      </w:r>
      <w:r>
        <w:t xml:space="preserve"> </w:t>
      </w:r>
      <w:r>
        <w:t xml:space="preserve">expansion of the EU ETS could further strain capacity.237 This is also true for accreditation</w:t>
      </w:r>
    </w:p>
    <w:p>
      <w:pPr>
        <w:pStyle w:val="BodyText"/>
      </w:pPr>
      <w:r>
        <w:t xml:space="preserve">231 CA interviews</w:t>
      </w:r>
      <w:r>
        <w:t xml:space="preserve"> </w:t>
      </w:r>
      <w:r>
        <w:t xml:space="preserve">232 European Commission (2024)</w:t>
      </w:r>
      <w:r>
        <w:t xml:space="preserve"> </w:t>
      </w:r>
      <w:r>
        <w:t xml:space="preserve">233 CA interview</w:t>
      </w:r>
      <w:r>
        <w:t xml:space="preserve"> </w:t>
      </w:r>
      <w:r>
        <w:t xml:space="preserve">234 Survey of national accreditation bodies (N = 4)</w:t>
      </w:r>
      <w:r>
        <w:t xml:space="preserve"> </w:t>
      </w:r>
      <w:r>
        <w:t xml:space="preserve">235 Survey of installations (N = 303)</w:t>
      </w:r>
      <w:r>
        <w:t xml:space="preserve"> </w:t>
      </w:r>
      <w:r>
        <w:t xml:space="preserve">236 European Commission (2024)</w:t>
      </w:r>
      <w:r>
        <w:t xml:space="preserve"> </w:t>
      </w:r>
      <w:r>
        <w:t xml:space="preserve">237 Interviews with Competent Authorities and EU ETS Reality Check workshop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assessors within the national accreditation body that are assessing the competence, impartiality</w:t>
      </w:r>
      <w:r>
        <w:t xml:space="preserve"> </w:t>
      </w:r>
      <w:r>
        <w:t xml:space="preserve">and performance of verifiers in accreditation and surveillance. To ensure quality of the</w:t>
      </w:r>
      <w:r>
        <w:t xml:space="preserve"> </w:t>
      </w:r>
      <w:r>
        <w:t xml:space="preserve">accreditation and verification system it is therefore important to monitor not only verifier</w:t>
      </w:r>
      <w:r>
        <w:t xml:space="preserve"> </w:t>
      </w:r>
      <w:r>
        <w:t xml:space="preserve">resources but also the capacity within accreditation bodies as system complexity and workload</w:t>
      </w:r>
      <w:r>
        <w:t xml:space="preserve"> </w:t>
      </w:r>
      <w:r>
        <w:t xml:space="preserve">increase. In essence, the MRVA system has a high level of trust, but the anticipated strain on</w:t>
      </w:r>
      <w:r>
        <w:t xml:space="preserve"> </w:t>
      </w:r>
      <w:r>
        <w:t xml:space="preserve">verifier resources, coupled with the evolving demands of new reporting obligations,</w:t>
      </w:r>
      <w:r>
        <w:t xml:space="preserve"> </w:t>
      </w:r>
      <w:r>
        <w:t xml:space="preserve">underscores the need for proactive capacity planning. Ensuring sufficient verifier and</w:t>
      </w:r>
      <w:r>
        <w:t xml:space="preserve"> </w:t>
      </w:r>
      <w:r>
        <w:t xml:space="preserve">accreditation assessor capacity will be critical to maintaining the trust in the system as the scope</w:t>
      </w:r>
      <w:r>
        <w:t xml:space="preserve"> </w:t>
      </w:r>
      <w:r>
        <w:t xml:space="preserve">of the EU ETS expands.</w:t>
      </w:r>
      <w:r>
        <w:t xml:space="preserve"> </w:t>
      </w:r>
      <w:r>
        <w:t xml:space="preserve">•</w:t>
      </w:r>
      <w:r>
        <w:t xml:space="preserve"> </w:t>
      </w:r>
      <w:r>
        <w:t xml:space="preserve">EQ3: Impact of improvement of procedures by MS and their impact</w:t>
      </w:r>
      <w:r>
        <w:t xml:space="preserve"> </w:t>
      </w:r>
      <w:r>
        <w:t xml:space="preserve">EQ3 assesses how effectively Member States have improved their MRVA procedures under</w:t>
      </w:r>
      <w:r>
        <w:t xml:space="preserve"> </w:t>
      </w:r>
      <w:r>
        <w:t xml:space="preserve">Phase IV of the EU ETS and the resulting impact on coordination, review, accreditation, and</w:t>
      </w:r>
      <w:r>
        <w:t xml:space="preserve"> </w:t>
      </w:r>
      <w:r>
        <w:t xml:space="preserve">enforcement. The question focuses on whether these procedural improvements have</w:t>
      </w:r>
      <w:r>
        <w:t xml:space="preserve"> </w:t>
      </w:r>
      <w:r>
        <w:t xml:space="preserve">strengthened oversight, consistency, and compliance, or whether capacity and coordination</w:t>
      </w:r>
      <w:r>
        <w:t xml:space="preserve"> </w:t>
      </w:r>
      <w:r>
        <w:t xml:space="preserve">challenges persist.</w:t>
      </w:r>
      <w:r>
        <w:t xml:space="preserve"> </w:t>
      </w:r>
      <w:r>
        <w:t xml:space="preserve">The coordination framework under the EU ETS has reached a high level of procedural maturity,</w:t>
      </w:r>
      <w:r>
        <w:t xml:space="preserve"> </w:t>
      </w:r>
      <w:r>
        <w:t xml:space="preserve">enabling stronger consistency in MRVA implementation within and across Member States.</w:t>
      </w:r>
      <w:r>
        <w:br/>
      </w:r>
      <w:r>
        <w:t xml:space="preserve">Evidence from the MRVA survey shows that three competent authorities reported improved</w:t>
      </w:r>
      <w:r>
        <w:t xml:space="preserve"> </w:t>
      </w:r>
      <w:r>
        <w:t xml:space="preserve">coordination with NABs and other agencies in Phase 4, while most noted no change, reflecting</w:t>
      </w:r>
      <w:r>
        <w:t xml:space="preserve"> </w:t>
      </w:r>
      <w:r>
        <w:t xml:space="preserve">continuity in established administrative practices. Where improvements occurred, they were</w:t>
      </w:r>
      <w:r>
        <w:t xml:space="preserve"> </w:t>
      </w:r>
      <w:r>
        <w:t xml:space="preserve">typically procedural, such as revised internal templates to facilitate complaint handling with</w:t>
      </w:r>
      <w:r>
        <w:t xml:space="preserve"> </w:t>
      </w:r>
      <w:r>
        <w:t xml:space="preserve">NABs or enhanced tools for Annual Emission Report (AER) checks and monitoring plan</w:t>
      </w:r>
      <w:r>
        <w:t xml:space="preserve"> </w:t>
      </w:r>
      <w:r>
        <w:t xml:space="preserve">approvals by the competent authority. Nearly all respondents confirmed relying on the</w:t>
      </w:r>
      <w:r>
        <w:t xml:space="preserve"> </w:t>
      </w:r>
      <w:r>
        <w:t xml:space="preserve">Commission’s guidance (used to at least a moderate extent by 88 % of competent authorities</w:t>
      </w:r>
      <w:r>
        <w:t xml:space="preserve"> </w:t>
      </w:r>
      <w:r>
        <w:t xml:space="preserve">for stationary installations and 76 % for aviation), underlining the harmonising influence of</w:t>
      </w:r>
      <w:r>
        <w:t xml:space="preserve"> </w:t>
      </w:r>
      <w:r>
        <w:t xml:space="preserve">EU-level support materials. Only one respondent explicitly noted monitoring or technical</w:t>
      </w:r>
      <w:r>
        <w:t xml:space="preserve"> </w:t>
      </w:r>
      <w:r>
        <w:t xml:space="preserve">issues regarding stationary installations for MRVA. These concerns focused on the new</w:t>
      </w:r>
      <w:r>
        <w:t xml:space="preserve"> </w:t>
      </w:r>
      <w:r>
        <w:t xml:space="preserve">requirements on waste incineration, zero-rating of biomass fuels, CCU, CCS, and the linkage</w:t>
      </w:r>
      <w:r>
        <w:t xml:space="preserve"> </w:t>
      </w:r>
      <w:r>
        <w:t xml:space="preserve">between EU ETS 1 and ETS 2 introduced under ‘Fit for 55’. Findings from the competent</w:t>
      </w:r>
      <w:r>
        <w:t xml:space="preserve"> </w:t>
      </w:r>
      <w:r>
        <w:t xml:space="preserve">authority interviews point in the same direction. Interviewees noted procedural continuity</w:t>
      </w:r>
      <w:r>
        <w:t xml:space="preserve"> </w:t>
      </w:r>
      <w:r>
        <w:t xml:space="preserve">between Phase III and IV and have also adopted a regular use of the Commission’s guidance</w:t>
      </w:r>
      <w:r>
        <w:t xml:space="preserve"> </w:t>
      </w:r>
      <w:r>
        <w:t xml:space="preserve">documents. However, they note that clarifications on new requirements can arrive on short</w:t>
      </w:r>
      <w:r>
        <w:t xml:space="preserve"> </w:t>
      </w:r>
      <w:r>
        <w:t xml:space="preserve">notice and also explicitly mentioned waste incineration and zero-rating of biomass fuels as</w:t>
      </w:r>
      <w:r>
        <w:t xml:space="preserve"> </w:t>
      </w:r>
      <w:r>
        <w:t xml:space="preserve">difficult to implement.238 Overall, the evidence suggest that coordination have been stable and</w:t>
      </w:r>
      <w:r>
        <w:t xml:space="preserve"> </w:t>
      </w:r>
      <w:r>
        <w:t xml:space="preserve">largely effective from Phase III to Phase IV, with procedural refinements providing a</w:t>
      </w:r>
      <w:r>
        <w:t xml:space="preserve"> </w:t>
      </w:r>
      <w:r>
        <w:t xml:space="preserve">foundation for consistent compliance oversight, while implementation challenges exist for</w:t>
      </w:r>
      <w:r>
        <w:t xml:space="preserve"> </w:t>
      </w:r>
      <w:r>
        <w:t xml:space="preserve">newly introduced requirements.</w:t>
      </w:r>
      <w:r>
        <w:t xml:space="preserve"> </w:t>
      </w:r>
      <w:r>
        <w:t xml:space="preserve">Organizational structure of the authorities</w:t>
      </w:r>
      <w:r>
        <w:t xml:space="preserve"> </w:t>
      </w:r>
      <w:r>
        <w:t xml:space="preserve">The internal organisation of competent authorities demonstrates overall stability and sufficient</w:t>
      </w:r>
      <w:r>
        <w:t xml:space="preserve"> </w:t>
      </w:r>
      <w:r>
        <w:t xml:space="preserve">adaptability to national administrative contexts. According to Article 21 reports, 19 Member</w:t>
      </w:r>
      <w:r>
        <w:t xml:space="preserve"> </w:t>
      </w:r>
      <w:r>
        <w:t xml:space="preserve">States apply either fully or largely centralised models for EU ETS implementation in Phase IV,</w:t>
      </w:r>
      <w:r>
        <w:t xml:space="preserve"> </w:t>
      </w:r>
      <w:r>
        <w:t xml:space="preserve">while 12 Member States continue to operate more decentralised arrangements involving</w:t>
      </w:r>
      <w:r>
        <w:t xml:space="preserve"> </w:t>
      </w:r>
      <w:r>
        <w:t xml:space="preserve">regional or local authorities.</w:t>
      </w:r>
    </w:p>
    <w:p>
      <w:pPr>
        <w:pStyle w:val="BodyText"/>
      </w:pPr>
      <w:r>
        <w:t xml:space="preserve">238 Interviews with Competent Authorities</w:t>
      </w:r>
    </w:p>
    <w:p>
      <w:pPr>
        <w:pStyle w:val="BodyText"/>
      </w:pPr>
      <w:r>
        <w:t xml:space="preserve">162</w:t>
      </w:r>
      <w:r>
        <w:t xml:space="preserve"> </w:t>
      </w:r>
      <w:r>
        <w:t xml:space="preserve">Where responsibilities are decentralised, coordination mechanisms have been reinforced to</w:t>
      </w:r>
      <w:r>
        <w:t xml:space="preserve"> </w:t>
      </w:r>
      <w:r>
        <w:t xml:space="preserve">ensure consistency, including regular inter-authority meetings, structured working groups, and</w:t>
      </w:r>
      <w:r>
        <w:t xml:space="preserve"> </w:t>
      </w:r>
      <w:r>
        <w:t xml:space="preserve">shared training or guidance. For aviation, nine member states have assigned MRV</w:t>
      </w:r>
      <w:r>
        <w:t xml:space="preserve"> </w:t>
      </w:r>
      <w:r>
        <w:t xml:space="preserve">responsibilities to authorities other than those responsible for stationary installations (e.g. </w:t>
      </w:r>
      <w:r>
        <w:t xml:space="preserve"> </w:t>
      </w:r>
      <w:r>
        <w:t xml:space="preserve">ministries of transport or air traffic agencies). This reflects different political or administrative</w:t>
      </w:r>
      <w:r>
        <w:t xml:space="preserve"> </w:t>
      </w:r>
      <w:r>
        <w:t xml:space="preserve">arrangements for the aviation sector. Internal coordination within competent authorities has</w:t>
      </w:r>
      <w:r>
        <w:t xml:space="preserve"> </w:t>
      </w:r>
      <w:r>
        <w:t xml:space="preserve">also strengthened over time through measures such as peer review of monitoring plan</w:t>
      </w:r>
      <w:r>
        <w:t xml:space="preserve"> </w:t>
      </w:r>
      <w:r>
        <w:t xml:space="preserve">approvals, IT systems, structured meetings and checklists, tailored to national circumstances</w:t>
      </w:r>
      <w:r>
        <w:t xml:space="preserve"> </w:t>
      </w:r>
      <w:r>
        <w:t xml:space="preserve">and the number of installations and aircraft operators covered.</w:t>
      </w:r>
      <w:r>
        <w:br/>
      </w:r>
      <w:r>
        <w:t xml:space="preserve">Overall, these arrangements indicate a high level of procedural maturity, enabling Member</w:t>
      </w:r>
      <w:r>
        <w:t xml:space="preserve"> </w:t>
      </w:r>
      <w:r>
        <w:t xml:space="preserve">States to balance efficiency and consistency with flexibility for national administrative</w:t>
      </w:r>
      <w:r>
        <w:t xml:space="preserve"> </w:t>
      </w:r>
      <w:r>
        <w:t xml:space="preserve">particularities.</w:t>
      </w:r>
      <w:r>
        <w:t xml:space="preserve"> </w:t>
      </w:r>
      <w:r>
        <w:t xml:space="preserve">Monitoring plan approvals, use of harmonised templates and review of emission reports</w:t>
      </w:r>
      <w:r>
        <w:t xml:space="preserve"> </w:t>
      </w:r>
      <w:r>
        <w:t xml:space="preserve">Strict approval procedures and harmonised templates ensure a consistent and non-arbitrary</w:t>
      </w:r>
      <w:r>
        <w:t xml:space="preserve"> </w:t>
      </w:r>
      <w:r>
        <w:t xml:space="preserve">application of monitoring methodologies across the EU ETS. Under the MRR, all significant</w:t>
      </w:r>
      <w:r>
        <w:t xml:space="preserve"> </w:t>
      </w:r>
      <w:r>
        <w:t xml:space="preserve">changes to monitoring plans (such as adding emission sources, changing the monitoring</w:t>
      </w:r>
      <w:r>
        <w:t xml:space="preserve"> </w:t>
      </w:r>
      <w:r>
        <w:t xml:space="preserve">methodology, adjusting tiers or changing source streams) require prior approval from</w:t>
      </w:r>
      <w:r>
        <w:t xml:space="preserve"> </w:t>
      </w:r>
      <w:r>
        <w:t xml:space="preserve">competent authorities, preventing arbitrary deviations in the application of the monitoring</w:t>
      </w:r>
      <w:r>
        <w:t xml:space="preserve"> </w:t>
      </w:r>
      <w:r>
        <w:t xml:space="preserve">methodologies. Article 21 data show that non-compliance with the MRR is low: in 2022, only</w:t>
      </w:r>
      <w:r>
        <w:t xml:space="preserve"> </w:t>
      </w:r>
      <w:r>
        <w:t xml:space="preserve">seven penalties were issued EU-wide for failures to report changes to the monitoring plan, out</w:t>
      </w:r>
      <w:r>
        <w:t xml:space="preserve"> </w:t>
      </w:r>
      <w:r>
        <w:t xml:space="preserve">of roughly 9,000 installations and aircraft operators.</w:t>
      </w:r>
      <w:r>
        <w:br/>
      </w:r>
      <w:r>
        <w:t xml:space="preserve">Both Article 21 reports, as well as other studies such as the Compliance Cycle Evaluation study</w:t>
      </w:r>
      <w:r>
        <w:t xml:space="preserve"> </w:t>
      </w:r>
      <w:r>
        <w:t xml:space="preserve">in 2018 and the Compliance Enforcement study in 2021 and 2022 show several Member States</w:t>
      </w:r>
      <w:r>
        <w:t xml:space="preserve"> </w:t>
      </w:r>
      <w:r>
        <w:t xml:space="preserve">take preventive measures to ensure a high compliance rate of stationary installations, e.g. </w:t>
      </w:r>
      <w:r>
        <w:t xml:space="preserve"> </w:t>
      </w:r>
      <w:r>
        <w:t xml:space="preserve">sending reminders, active communication with stationary installations during the monitoring</w:t>
      </w:r>
      <w:r>
        <w:t xml:space="preserve"> </w:t>
      </w:r>
      <w:r>
        <w:t xml:space="preserve">plan approval procedures and notification procedures. Stakeholder feedback confirms that</w:t>
      </w:r>
      <w:r>
        <w:t xml:space="preserve"> </w:t>
      </w:r>
      <w:r>
        <w:t xml:space="preserve">operators face no major difficulties with monitoring plan procedures.239</w:t>
      </w:r>
      <w:r>
        <w:br/>
      </w:r>
      <w:r>
        <w:t xml:space="preserve">Complementing these controls, the Commission’s harmonised templates and guidance have</w:t>
      </w:r>
      <w:r>
        <w:t xml:space="preserve"> </w:t>
      </w:r>
      <w:r>
        <w:t xml:space="preserve">played a key role in aligning practice: in 2022, 25 countries used the common templates for</w:t>
      </w:r>
      <w:r>
        <w:t xml:space="preserve"> </w:t>
      </w:r>
      <w:r>
        <w:t xml:space="preserve">monitoring and reporting, while three combined them with national formats240, and all surveyed</w:t>
      </w:r>
      <w:r>
        <w:t xml:space="preserve"> </w:t>
      </w:r>
      <w:r>
        <w:t xml:space="preserve">competent authorities report relying on Commission guidance to a varying extent. 56% (nine</w:t>
      </w:r>
      <w:r>
        <w:t xml:space="preserve"> </w:t>
      </w:r>
      <w:r>
        <w:t xml:space="preserve">out of 16) and 62% (eight out of 13) of competent authorities engaged with the MRVA of</w:t>
      </w:r>
      <w:r>
        <w:t xml:space="preserve"> </w:t>
      </w:r>
      <w:r>
        <w:t xml:space="preserve">respectively stationary installations and aircraft operators further rely on Commission guidance</w:t>
      </w:r>
      <w:r>
        <w:t xml:space="preserve"> </w:t>
      </w:r>
      <w:r>
        <w:t xml:space="preserve">to a significant extent.241 Digital tools further strengthen consistency, with 14 competent</w:t>
      </w:r>
      <w:r>
        <w:t xml:space="preserve"> </w:t>
      </w:r>
      <w:r>
        <w:t xml:space="preserve">authorities (eight of 18 surveyed competent authorities242) using the ERT in 2025.</w:t>
      </w:r>
      <w:r>
        <w:br/>
      </w:r>
      <w:r>
        <w:t xml:space="preserve">Perceived simplification needs of the monitoring process from stakeholders</w:t>
      </w:r>
      <w:r>
        <w:t xml:space="preserve"> </w:t>
      </w:r>
      <w:r>
        <w:t xml:space="preserve">Feedback from operators highlights a perceived need for further simplification. Approximately</w:t>
      </w:r>
      <w:r>
        <w:t xml:space="preserve"> </w:t>
      </w:r>
      <w:r>
        <w:t xml:space="preserve">46% of installations disagreed that monitoring procedures were simplified under Phases 4, and</w:t>
      </w:r>
      <w:r>
        <w:t xml:space="preserve"> </w:t>
      </w:r>
      <w:r>
        <w:t xml:space="preserve">39% felt the same for reporting procedures. Only 10% agreed that reporting procedures</w:t>
      </w:r>
    </w:p>
    <w:p>
      <w:pPr>
        <w:pStyle w:val="BodyText"/>
      </w:pPr>
      <w:r>
        <w:t xml:space="preserve">239 European Commission (2024)</w:t>
      </w:r>
      <w:r>
        <w:t xml:space="preserve"> </w:t>
      </w:r>
      <w:r>
        <w:t xml:space="preserve">240 European Commission (2024)</w:t>
      </w:r>
      <w:r>
        <w:t xml:space="preserve"> </w:t>
      </w:r>
      <w:r>
        <w:t xml:space="preserve">241 Survey of competent authorities (N = 18). Among these, eleven are responsible for the MRVA of both</w:t>
      </w:r>
      <w:r>
        <w:t xml:space="preserve"> </w:t>
      </w:r>
      <w:r>
        <w:t xml:space="preserve">stationary installations and aircraft operators, four only for stationary installations and three only for aircraft</w:t>
      </w:r>
      <w:r>
        <w:t xml:space="preserve"> </w:t>
      </w:r>
      <w:r>
        <w:t xml:space="preserve">operators</w:t>
      </w:r>
      <w:r>
        <w:t xml:space="preserve"> </w:t>
      </w:r>
      <w:r>
        <w:t xml:space="preserve">242 Survey of competent authorities (N = 18)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improved, and just 6% agreed that monitoring procedures improved. While the permitting and</w:t>
      </w:r>
      <w:r>
        <w:t xml:space="preserve"> </w:t>
      </w:r>
      <w:r>
        <w:t xml:space="preserve">MP approval systems function effectively from the perspective of competent authorities,</w:t>
      </w:r>
      <w:r>
        <w:t xml:space="preserve"> </w:t>
      </w:r>
      <w:r>
        <w:t xml:space="preserve">operators generally perceive limited simplification.243 The stationary installations present at the</w:t>
      </w:r>
      <w:r>
        <w:t xml:space="preserve"> </w:t>
      </w:r>
      <w:r>
        <w:t xml:space="preserve">EU ETS reality workshop raised similar concerns. They reported that the monitoring plan</w:t>
      </w:r>
      <w:r>
        <w:t xml:space="preserve"> </w:t>
      </w:r>
      <w:r>
        <w:t xml:space="preserve">approval and update of monitoring plans can be burdensome where small “like-for-like”</w:t>
      </w:r>
      <w:r>
        <w:t xml:space="preserve"> </w:t>
      </w:r>
      <w:r>
        <w:t xml:space="preserve">changes (e.g. small equipment replacement without material emissions impacts) to monitoring</w:t>
      </w:r>
      <w:r>
        <w:t xml:space="preserve"> </w:t>
      </w:r>
      <w:r>
        <w:t xml:space="preserve">plans required full re-documentation/resubmission. Large operators with multiple source</w:t>
      </w:r>
      <w:r>
        <w:t xml:space="preserve"> </w:t>
      </w:r>
      <w:r>
        <w:t xml:space="preserve">streams also questioned why very small emission points are subject to documentation and</w:t>
      </w:r>
      <w:r>
        <w:t xml:space="preserve"> </w:t>
      </w:r>
      <w:r>
        <w:t xml:space="preserve">scrutiny like that applied to major streams.244 As such, while Phase IV has made positive strides</w:t>
      </w:r>
      <w:r>
        <w:t xml:space="preserve"> </w:t>
      </w:r>
      <w:r>
        <w:t xml:space="preserve">in efficiency, there still appears to be room for improvement in reducing perceived</w:t>
      </w:r>
      <w:r>
        <w:t xml:space="preserve"> </w:t>
      </w:r>
      <w:r>
        <w:t xml:space="preserve">administrative complexity for operators. However, from the comments in the survey some of</w:t>
      </w:r>
      <w:r>
        <w:t xml:space="preserve"> </w:t>
      </w:r>
      <w:r>
        <w:t xml:space="preserve">the perceived complexity may relate to free allocation.245</w:t>
      </w:r>
      <w:r>
        <w:t xml:space="preserve"> </w:t>
      </w:r>
      <w:r>
        <w:t xml:space="preserve">Inspection and enforcement practices</w:t>
      </w:r>
      <w:r>
        <w:t xml:space="preserve"> </w:t>
      </w:r>
      <w:r>
        <w:t xml:space="preserve">Survey and Article 21 evidence indicate that inspection and enforcement procedures by</w:t>
      </w:r>
      <w:r>
        <w:t xml:space="preserve"> </w:t>
      </w:r>
      <w:r>
        <w:t xml:space="preserve">competent authorities have remained largely stable in Phase IV, reflecting the maturity of</w:t>
      </w:r>
      <w:r>
        <w:t xml:space="preserve"> </w:t>
      </w:r>
      <w:r>
        <w:t xml:space="preserve">existing oversight systems. Improvements were modest: among competent authorities</w:t>
      </w:r>
      <w:r>
        <w:t xml:space="preserve"> </w:t>
      </w:r>
      <w:r>
        <w:t xml:space="preserve">responsible for stationary installations, three of sixteen (19%) reported enhancements to</w:t>
      </w:r>
      <w:r>
        <w:t xml:space="preserve"> </w:t>
      </w:r>
      <w:r>
        <w:t xml:space="preserve">inspection procedures, while the rest noted no change. For aviation, two of thirteen authorities</w:t>
      </w:r>
      <w:r>
        <w:t xml:space="preserve"> </w:t>
      </w:r>
      <w:r>
        <w:t xml:space="preserve">(15%) reported slight progress. Enforcement practices followed a similar trend, with four</w:t>
      </w:r>
      <w:r>
        <w:t xml:space="preserve"> </w:t>
      </w:r>
      <w:r>
        <w:t xml:space="preserve">stationary competent authorities (25%) and three aviation competent authorities (23%) citing</w:t>
      </w:r>
      <w:r>
        <w:t xml:space="preserve"> </w:t>
      </w:r>
      <w:r>
        <w:t xml:space="preserve">procedural improvements. Open comments in the survey report improvements to internal</w:t>
      </w:r>
      <w:r>
        <w:t xml:space="preserve"> </w:t>
      </w:r>
      <w:r>
        <w:t xml:space="preserve">streamlining, expanded use of IT-based monitoring tools, or more systematic follow-up</w:t>
      </w:r>
      <w:r>
        <w:t xml:space="preserve"> </w:t>
      </w:r>
      <w:r>
        <w:t xml:space="preserve">processes.246</w:t>
      </w:r>
      <w:r>
        <w:br/>
      </w:r>
      <w:r>
        <w:t xml:space="preserve">Inspection activity continues to be well embedded across the EU. In 2022, 27 of 30</w:t>
      </w:r>
      <w:r>
        <w:t xml:space="preserve"> </w:t>
      </w:r>
      <w:r>
        <w:t xml:space="preserve">participating countries conducted on-site inspections of stationary installations, often</w:t>
      </w:r>
      <w:r>
        <w:t xml:space="preserve"> </w:t>
      </w:r>
      <w:r>
        <w:t xml:space="preserve">integrated with Industrial Emissions Directive (IED) reviews. Nine Member States combined</w:t>
      </w:r>
      <w:r>
        <w:t xml:space="preserve"> </w:t>
      </w:r>
      <w:r>
        <w:t xml:space="preserve">IED inspections with additional ETS-specific checks, while eight carried out dedicated ETS</w:t>
      </w:r>
      <w:r>
        <w:t xml:space="preserve"> </w:t>
      </w:r>
      <w:r>
        <w:t xml:space="preserve">inspections. It is noted that countries with only IED inspection without covering any ETS</w:t>
      </w:r>
      <w:r>
        <w:t xml:space="preserve"> </w:t>
      </w:r>
      <w:r>
        <w:t xml:space="preserve">specific elements only provide a high-level inspection not necessarily picking up any non-</w:t>
      </w:r>
      <w:r>
        <w:t xml:space="preserve"> </w:t>
      </w:r>
      <w:r>
        <w:t xml:space="preserve">compliance with monitoring plan procedures. Four Member States had yet to establish regular</w:t>
      </w:r>
      <w:r>
        <w:t xml:space="preserve"> </w:t>
      </w:r>
      <w:r>
        <w:t xml:space="preserve">inspection routines due to legal or capacity constraints. A total of 210 inspections were</w:t>
      </w:r>
      <w:r>
        <w:t xml:space="preserve"> </w:t>
      </w:r>
      <w:r>
        <w:t xml:space="preserve">conducted in 2021 and 230 in 2022, indicating a risk-based strategy in which authorities</w:t>
      </w:r>
      <w:r>
        <w:t xml:space="preserve"> </w:t>
      </w:r>
      <w:r>
        <w:t xml:space="preserve">targeted higher-risk or larger installations and those with anomalies in emission data.</w:t>
      </w:r>
      <w:r>
        <w:t xml:space="preserve"> </w:t>
      </w:r>
      <w:r>
        <w:t xml:space="preserve">Complementing these efforts, many competent authorities employ preventive compliance</w:t>
      </w:r>
      <w:r>
        <w:t xml:space="preserve"> </w:t>
      </w:r>
      <w:r>
        <w:t xml:space="preserve">measures such as automated reminders, helpdesks, and IT-based alerts to ensure timely</w:t>
      </w:r>
      <w:r>
        <w:t xml:space="preserve"> </w:t>
      </w:r>
      <w:r>
        <w:t xml:space="preserve">submissions and corrective actions.247 Taken together, the evidence points to a well-</w:t>
      </w:r>
      <w:r>
        <w:t xml:space="preserve"> </w:t>
      </w:r>
      <w:r>
        <w:t xml:space="preserve">institutionalised and steady inspection and enforcement framework, delivering consistent</w:t>
      </w:r>
      <w:r>
        <w:t xml:space="preserve"> </w:t>
      </w:r>
      <w:r>
        <w:t xml:space="preserve">assurance of compliance with small and gradual efficiency improvements. However, also in</w:t>
      </w:r>
      <w:r>
        <w:t xml:space="preserve"> </w:t>
      </w:r>
      <w:r>
        <w:t xml:space="preserve">this area capacity constraints within competent authority’s organisation did have an impact on</w:t>
      </w:r>
      <w:r>
        <w:t xml:space="preserve"> </w:t>
      </w:r>
      <w:r>
        <w:t xml:space="preserve">the frequency on inspections in the more recent years. Furthermore, participants in the</w:t>
      </w:r>
    </w:p>
    <w:p>
      <w:pPr>
        <w:pStyle w:val="BodyText"/>
      </w:pPr>
      <w:r>
        <w:t xml:space="preserve">243 Survey of stationary installations (n = 303)</w:t>
      </w:r>
      <w:r>
        <w:t xml:space="preserve"> </w:t>
      </w:r>
      <w:r>
        <w:t xml:space="preserve">244 EU ETS Reality Check Workshop</w:t>
      </w:r>
      <w:r>
        <w:t xml:space="preserve"> </w:t>
      </w:r>
      <w:r>
        <w:t xml:space="preserve">245 Survey of stationary installations (n = 303)</w:t>
      </w:r>
      <w:r>
        <w:t xml:space="preserve"> </w:t>
      </w:r>
      <w:r>
        <w:t xml:space="preserve">246 Survey of competent authorities (N = 18)</w:t>
      </w:r>
      <w:r>
        <w:t xml:space="preserve"> </w:t>
      </w:r>
      <w:r>
        <w:t xml:space="preserve">247 European Commission (2024)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workshop did mention that inspection on top of verification can sometimes lead to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•</w:t>
      </w:r>
      <w:r>
        <w:t xml:space="preserve"> </w:t>
      </w:r>
      <w:r>
        <w:t xml:space="preserve">EQ4: Adaptiveness of the MRVA to new challenges</w:t>
      </w:r>
      <w:r>
        <w:t xml:space="preserve"> </w:t>
      </w:r>
      <w:r>
        <w:t xml:space="preserve">EQ4 assesses the extent to which the MRVA system has been able to adapt to new challenges</w:t>
      </w:r>
      <w:r>
        <w:t xml:space="preserve"> </w:t>
      </w:r>
      <w:r>
        <w:t xml:space="preserve">over time, including changes in the scope of the EU ETS, the inclusion of new sectors, activities</w:t>
      </w:r>
      <w:r>
        <w:t xml:space="preserve"> </w:t>
      </w:r>
      <w:r>
        <w:t xml:space="preserve">and greenhouse gases, and emerging technical or administrative challenges. It examines</w:t>
      </w:r>
      <w:r>
        <w:t xml:space="preserve"> </w:t>
      </w:r>
      <w:r>
        <w:t xml:space="preserve">whether the MRVA framework has remained sufficiently flexible and responsive to ensure</w:t>
      </w:r>
      <w:r>
        <w:t xml:space="preserve"> </w:t>
      </w:r>
      <w:r>
        <w:t xml:space="preserve">continued robustness, consistency and effectiveness of the MRVA system.</w:t>
      </w:r>
      <w:r>
        <w:t xml:space="preserve"> </w:t>
      </w:r>
      <w:r>
        <w:t xml:space="preserve">Implementing Regulation (EU) 2018/2066 and Implementing Regulation (EU) 2018/2067</w:t>
      </w:r>
      <w:r>
        <w:t xml:space="preserve"> </w:t>
      </w:r>
      <w:r>
        <w:t xml:space="preserve">respectively introduced the MRR and AVR requirements for Phase IV of the EU ETS in 2018.</w:t>
      </w:r>
      <w:r>
        <w:t xml:space="preserve"> </w:t>
      </w:r>
      <w:r>
        <w:t xml:space="preserve">Implementing Regulations are directly applicable in all Member States and require no</w:t>
      </w:r>
      <w:r>
        <w:t xml:space="preserve"> </w:t>
      </w:r>
      <w:r>
        <w:t xml:space="preserve">transposition. A review of EU infringement proceedings identified no cases related to the</w:t>
      </w:r>
      <w:r>
        <w:t xml:space="preserve"> </w:t>
      </w:r>
      <w:r>
        <w:t xml:space="preserve">implementation of these MRVA rules. The infringements observed were linked to broader EU</w:t>
      </w:r>
      <w:r>
        <w:t xml:space="preserve"> </w:t>
      </w:r>
      <w:r>
        <w:t xml:space="preserve">ETS transposition delays rather than MRVA-specific deficiencies. For example, Austria INFR</w:t>
      </w:r>
      <w:r>
        <w:t xml:space="preserve"> </w:t>
      </w:r>
      <w:r>
        <w:t xml:space="preserve">(2019)0295), Ireland (INFR (2019)0327), and Italy (INFR (2019)0329) were subject to</w:t>
      </w:r>
      <w:r>
        <w:t xml:space="preserve"> </w:t>
      </w:r>
      <w:r>
        <w:t xml:space="preserve">procedures for non-communication of measures. Furthermore, Poland (INFR (2020)0091) only</w:t>
      </w:r>
      <w:r>
        <w:t xml:space="preserve"> </w:t>
      </w:r>
      <w:r>
        <w:t xml:space="preserve">partially transposed the Directive, and Luxembourg (INFR (2019)0331) received a formal</w:t>
      </w:r>
      <w:r>
        <w:t xml:space="preserve"> </w:t>
      </w:r>
      <w:r>
        <w:t xml:space="preserve">notice for not having notified any implementing measures. Similar cases occurred in Spain,</w:t>
      </w:r>
      <w:r>
        <w:t xml:space="preserve"> </w:t>
      </w:r>
      <w:r>
        <w:t xml:space="preserve">Portugal, Belgium, Romania, Bulgaria, and others. All these infringement cases were</w:t>
      </w:r>
      <w:r>
        <w:t xml:space="preserve"> </w:t>
      </w:r>
      <w:r>
        <w:t xml:space="preserve">eventually closed prior to the start in Phase IV. The overall evidence therefore confirms that</w:t>
      </w:r>
      <w:r>
        <w:t xml:space="preserve"> </w:t>
      </w:r>
      <w:r>
        <w:t xml:space="preserve">Member States successfully embedded the 2018 MRVA requirements within their</w:t>
      </w:r>
      <w:r>
        <w:t xml:space="preserve"> </w:t>
      </w:r>
      <w:r>
        <w:t xml:space="preserve">administrative systems, maintaining legal coherence and continuity with the wider EU ETS</w:t>
      </w:r>
      <w:r>
        <w:t xml:space="preserve"> </w:t>
      </w:r>
      <w:r>
        <w:t xml:space="preserve">framework.</w:t>
      </w:r>
      <w:r>
        <w:t xml:space="preserve"> </w:t>
      </w:r>
      <w:r>
        <w:t xml:space="preserve">Between the years 2020 and 2022, the MRR and AVR were amended to address emerging</w:t>
      </w:r>
      <w:r>
        <w:t xml:space="preserve"> </w:t>
      </w:r>
      <w:r>
        <w:t xml:space="preserve">challenges such as the COVID-19 pandemic, integration of the RED II, and the international</w:t>
      </w:r>
      <w:r>
        <w:t xml:space="preserve"> </w:t>
      </w:r>
      <w:r>
        <w:t xml:space="preserve">CORSIA scheme for aviation. Implementing Regulation (EU) 2020/2084 introduced</w:t>
      </w:r>
      <w:r>
        <w:t xml:space="preserve"> </w:t>
      </w:r>
      <w:r>
        <w:t xml:space="preserve">provisions for virtual site visits under force majeure, ensuring verification continuity during</w:t>
      </w:r>
      <w:r>
        <w:t xml:space="preserve"> </w:t>
      </w:r>
      <w:r>
        <w:t xml:space="preserve">travel restrictions.248 Implementing Regulation (EU) 2020/2085 clarified biomass definitions</w:t>
      </w:r>
      <w:r>
        <w:t xml:space="preserve"> </w:t>
      </w:r>
      <w:r>
        <w:t xml:space="preserve">and sustainability criteria under RED II249, while Implementing Regulation (EU) 2022/388 was</w:t>
      </w:r>
      <w:r>
        <w:t xml:space="preserve"> </w:t>
      </w:r>
      <w:r>
        <w:t xml:space="preserve">adopted stating Member States or competent authorities may allow operators or aircraft</w:t>
      </w:r>
      <w:r>
        <w:t xml:space="preserve"> </w:t>
      </w:r>
      <w:r>
        <w:t xml:space="preserve">operators to delay the demonstration of compliance of zero-rated biomass with compliance</w:t>
      </w:r>
      <w:r>
        <w:t xml:space="preserve"> </w:t>
      </w:r>
      <w:r>
        <w:t xml:space="preserve">with RED II sustainability criteria in 2022.250 This extension allowed certification schemes to</w:t>
      </w:r>
      <w:r>
        <w:t xml:space="preserve"> </w:t>
      </w:r>
      <w:r>
        <w:t xml:space="preserve">became fully operational and verifiers sufficiently trained. The related guidance for biomass</w:t>
      </w:r>
      <w:r>
        <w:t xml:space="preserve"> </w:t>
      </w:r>
      <w:r>
        <w:t xml:space="preserve">issues was updated in October 2022.251</w:t>
      </w:r>
      <w:r>
        <w:t xml:space="preserve"> </w:t>
      </w:r>
      <w:r>
        <w:t xml:space="preserve">Stationary installation feedback on free allocation and Activity Level Change verification</w:t>
      </w:r>
    </w:p>
    <w:p>
      <w:pPr>
        <w:pStyle w:val="BodyText"/>
      </w:pPr>
      <w:r>
        <w:t xml:space="preserve">248 Commission Implementing Regulation (EU) 2020/2084 of 14 December 2020 amending and correcting</w:t>
      </w:r>
      <w:r>
        <w:t xml:space="preserve"> </w:t>
      </w:r>
      <w:r>
        <w:t xml:space="preserve">Implementing Regulation (EU) 2018/2067 on the verification of data and on the accreditation of verifiers</w:t>
      </w:r>
      <w:r>
        <w:t xml:space="preserve"> </w:t>
      </w:r>
      <w:r>
        <w:t xml:space="preserve">pursuant to Directive 2003/87/EC, https://eur-lex.europa.eu/eli/reg_impl/2020/2084/oj/eng</w:t>
      </w:r>
      <w:r>
        <w:t xml:space="preserve"> </w:t>
      </w:r>
      <w:r>
        <w:t xml:space="preserve">249 Implementing Regulation (EU) 2020/2085, amending and correcting Implementing Regulation (EU)</w:t>
      </w:r>
      <w:r>
        <w:t xml:space="preserve"> </w:t>
      </w:r>
      <w:r>
        <w:t xml:space="preserve">2018/2066 on the monitoring and reporting of greenhouse gas emissions pursuant to Directive 2003/87/EC</w:t>
      </w:r>
      <w:r>
        <w:t xml:space="preserve"> </w:t>
      </w:r>
      <w:r>
        <w:t xml:space="preserve">250 Implementing Regulation (EU) 2022/388, amending Implementing Regulation (EU) 2018/2066 on the</w:t>
      </w:r>
      <w:r>
        <w:t xml:space="preserve"> </w:t>
      </w:r>
      <w:r>
        <w:t xml:space="preserve">monitoring and reporting of greenhouse gas emissions pursuant to Directive 2003/87/EC of the European</w:t>
      </w:r>
      <w:r>
        <w:t xml:space="preserve"> </w:t>
      </w:r>
      <w:r>
        <w:t xml:space="preserve">Parliament and of the Council, https://eur-lex.europa.eu/eli/reg_impl/2022/388/oj</w:t>
      </w:r>
      <w:r>
        <w:br/>
      </w:r>
      <w:r>
        <w:t xml:space="preserve">251 Guidance</w:t>
      </w:r>
      <w:r>
        <w:t xml:space="preserve"> </w:t>
      </w:r>
      <w:r>
        <w:t xml:space="preserve">Document</w:t>
      </w:r>
      <w:r>
        <w:t xml:space="preserve"> </w:t>
      </w:r>
      <w:r>
        <w:t xml:space="preserve">Biomass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zero-rating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ETS,</w:t>
      </w:r>
      <w:r>
        <w:t xml:space="preserve"> </w:t>
      </w:r>
      <w:r>
        <w:t xml:space="preserve">https://climate.ec.europa.eu/document/download/2289952b-4d59-494c-8c49-</w:t>
      </w:r>
      <w:r>
        <w:t xml:space="preserve"> </w:t>
      </w:r>
      <w:r>
        <w:t xml:space="preserve">c0a559c403d6_en?filename=gd3_biomass_issues_en.pdf</w:t>
      </w:r>
    </w:p>
    <w:p>
      <w:pPr>
        <w:pStyle w:val="BodyText"/>
      </w:pPr>
      <w:r>
        <w:t xml:space="preserve">165</w:t>
      </w:r>
      <w:r>
        <w:t xml:space="preserve"> </w:t>
      </w:r>
      <w:r>
        <w:t xml:space="preserve">Feedback from stakeholders points to increased administrative burden, particularly linked to</w:t>
      </w:r>
      <w:r>
        <w:t xml:space="preserve"> </w:t>
      </w:r>
      <w:r>
        <w:t xml:space="preserve">free allocation and Activity Level Change verification. Participants from stationary</w:t>
      </w:r>
      <w:r>
        <w:t xml:space="preserve"> </w:t>
      </w:r>
      <w:r>
        <w:t xml:space="preserve">installations at the EU ETS reality check workshop reported that ALC reporting templates are</w:t>
      </w:r>
      <w:r>
        <w:t xml:space="preserve"> </w:t>
      </w:r>
      <w:r>
        <w:t xml:space="preserve">very extensive, covering all sectors within a single spreadsheet, with many fields not relevant</w:t>
      </w:r>
      <w:r>
        <w:t xml:space="preserve"> </w:t>
      </w:r>
      <w:r>
        <w:t xml:space="preserve">for individual installations. Certain parts of the templates were also described as difficult to</w:t>
      </w:r>
      <w:r>
        <w:t xml:space="preserve"> </w:t>
      </w:r>
      <w:r>
        <w:t xml:space="preserve">complete in practice, for instance sections requiring the reporting of a single representative</w:t>
      </w:r>
      <w:r>
        <w:t xml:space="preserve"> </w:t>
      </w:r>
      <w:r>
        <w:t xml:space="preserve">value for carbon intensity. Operators further highlighted that the benchmarking-related inputs</w:t>
      </w:r>
      <w:r>
        <w:t xml:space="preserve"> </w:t>
      </w:r>
      <w:r>
        <w:t xml:space="preserve">under ALC and free allocation are burdensome to populate, while transparency on how</w:t>
      </w:r>
      <w:r>
        <w:t xml:space="preserve"> </w:t>
      </w:r>
      <w:r>
        <w:t xml:space="preserve">benchmarks are established and how reported data contribute to benchmark value-setting</w:t>
      </w:r>
      <w:r>
        <w:t xml:space="preserve"> </w:t>
      </w:r>
      <w:r>
        <w:t xml:space="preserve">remains limited. The respondents framed it as a “one-way” information flow, where operators</w:t>
      </w:r>
      <w:r>
        <w:t xml:space="preserve"> </w:t>
      </w:r>
      <w:r>
        <w:t xml:space="preserve">provide extensive data but “do not learn” from the benchmarking exercise. Finally, the</w:t>
      </w:r>
      <w:r>
        <w:t xml:space="preserve"> </w:t>
      </w:r>
      <w:r>
        <w:t xml:space="preserve">workshop participants described the first-quarter reporting period as a concentrated compliance</w:t>
      </w:r>
      <w:r>
        <w:t xml:space="preserve"> </w:t>
      </w:r>
      <w:r>
        <w:t xml:space="preserve">bottleneck where MRVA reporting collide with financial closure and other reporting</w:t>
      </w:r>
      <w:r>
        <w:t xml:space="preserve"> </w:t>
      </w:r>
      <w:r>
        <w:t xml:space="preserve">obligations.252 Evidence from the Open Stakeholder Consultation for the evaluation of the EU</w:t>
      </w:r>
      <w:r>
        <w:t xml:space="preserve"> </w:t>
      </w:r>
      <w:r>
        <w:t xml:space="preserve">ETS and MSR reinforces the perceptions shared in the reality check workshop. The executive</w:t>
      </w:r>
      <w:r>
        <w:t xml:space="preserve"> </w:t>
      </w:r>
      <w:r>
        <w:t xml:space="preserve">summary highlights the need for simplifying monitoring, reporting, verification, and</w:t>
      </w:r>
      <w:r>
        <w:t xml:space="preserve"> </w:t>
      </w:r>
      <w:r>
        <w:t xml:space="preserve">accreditation as one of the key findings. Private sector and SME respondents proposed</w:t>
      </w:r>
      <w:r>
        <w:t xml:space="preserve"> </w:t>
      </w:r>
      <w:r>
        <w:t xml:space="preserve">harmonised digital tools, automated data collection, and simplified compliance obligations,</w:t>
      </w:r>
      <w:r>
        <w:t xml:space="preserve"> </w:t>
      </w:r>
      <w:r>
        <w:t xml:space="preserve">such as longer verification cycles or higher opt-out thresholds (e.g. raising the equivalent-</w:t>
      </w:r>
      <w:r>
        <w:t xml:space="preserve"> </w:t>
      </w:r>
      <w:r>
        <w:t xml:space="preserve">measures threshold from 25,000 tCO₂ to 50,000 tCO₂ per year). While such proposals could</w:t>
      </w:r>
      <w:r>
        <w:t xml:space="preserve"> </w:t>
      </w:r>
      <w:r>
        <w:t xml:space="preserve">lower costs and ease compliance, they raise trade-offs with accuracy, comparability, and</w:t>
      </w:r>
      <w:r>
        <w:t xml:space="preserve"> </w:t>
      </w:r>
      <w:r>
        <w:t xml:space="preserve">environmental integrity. Any future simplification should therefore be risk-based and</w:t>
      </w:r>
      <w:r>
        <w:t xml:space="preserve"> </w:t>
      </w:r>
      <w:r>
        <w:t xml:space="preserve">proportionate, ensuring that efficiency gains do not compromise the credibility and</w:t>
      </w:r>
      <w:r>
        <w:t xml:space="preserve"> </w:t>
      </w:r>
      <w:r>
        <w:t xml:space="preserve">harmonisation of the EU ETS MRVA framework.</w:t>
      </w:r>
      <w:r>
        <w:t xml:space="preserve"> </w:t>
      </w:r>
      <w:r>
        <w:t xml:space="preserve">Timing of regulatory updates</w:t>
      </w:r>
      <w:r>
        <w:t xml:space="preserve"> </w:t>
      </w:r>
      <w:r>
        <w:t xml:space="preserve">Feedback from the survey and interviews evidence presents both positive and negative</w:t>
      </w:r>
      <w:r>
        <w:t xml:space="preserve"> </w:t>
      </w:r>
      <w:r>
        <w:t xml:space="preserve">perspectives on the timeliness and clarity of regulatory updates in the AVR and MRR for the</w:t>
      </w:r>
      <w:r>
        <w:t xml:space="preserve"> </w:t>
      </w:r>
      <w:r>
        <w:t xml:space="preserve">preparation of Phase IV. As previously mentioned, the Commission’s guidance documents</w:t>
      </w:r>
      <w:r>
        <w:t xml:space="preserve"> </w:t>
      </w:r>
      <w:r>
        <w:t xml:space="preserve">have supported the clarity of Phase-4 regulatory updates. Nearly all surveyed competent</w:t>
      </w:r>
      <w:r>
        <w:t xml:space="preserve"> </w:t>
      </w:r>
      <w:r>
        <w:t xml:space="preserve">authorities report using them (88% with stationary remits; 76% with aviation). One verifier</w:t>
      </w:r>
      <w:r>
        <w:t xml:space="preserve"> </w:t>
      </w:r>
      <w:r>
        <w:t xml:space="preserve">also describes clearer expectations and a more organised workflow for operators, and three</w:t>
      </w:r>
      <w:r>
        <w:t xml:space="preserve"> </w:t>
      </w:r>
      <w:r>
        <w:t xml:space="preserve">note that internal/external training improved preparedness.253 This positive assessment is</w:t>
      </w:r>
      <w:r>
        <w:t xml:space="preserve"> </w:t>
      </w:r>
      <w:r>
        <w:t xml:space="preserve">supported by both CA and NAB interviews, with at least three interviewees explicitly</w:t>
      </w:r>
      <w:r>
        <w:t xml:space="preserve"> </w:t>
      </w:r>
      <w:r>
        <w:t xml:space="preserve">mentioning the Commission’s guidance to have improved regulatory clarity and harmonisation</w:t>
      </w:r>
      <w:r>
        <w:t xml:space="preserve"> </w:t>
      </w:r>
      <w:r>
        <w:t xml:space="preserve">for Phase IV. That said, timeliness and clarity concerns recur in both competent authority and</w:t>
      </w:r>
      <w:r>
        <w:t xml:space="preserve"> </w:t>
      </w:r>
      <w:r>
        <w:t xml:space="preserve">verifier feedback. From the competent authority survey, two competent authorities point to</w:t>
      </w:r>
      <w:r>
        <w:t xml:space="preserve"> </w:t>
      </w:r>
      <w:r>
        <w:t xml:space="preserve">continuous legislative changes and delays in publishing templates and guidance. Verifiers echo</w:t>
      </w:r>
      <w:r>
        <w:t xml:space="preserve"> </w:t>
      </w:r>
      <w:r>
        <w:t xml:space="preserve">these challenges: Two respondents explicitly cite late and frequently changing templates and</w:t>
      </w:r>
      <w:r>
        <w:t xml:space="preserve"> </w:t>
      </w:r>
      <w:r>
        <w:t xml:space="preserve">documentation, while one verifier links late provision of legal requirements to compressed</w:t>
      </w:r>
      <w:r>
        <w:t xml:space="preserve"> </w:t>
      </w:r>
      <w:r>
        <w:t xml:space="preserve">planning and extra effort. Two other verifiers also stress compressed calendars and tight</w:t>
      </w:r>
      <w:r>
        <w:t xml:space="preserve"> </w:t>
      </w:r>
      <w:r>
        <w:t xml:space="preserve">reporting deadlines. Overall, competent authorities and verifiers recognise the guidance’s value</w:t>
      </w:r>
      <w:r>
        <w:t xml:space="preserve"> </w:t>
      </w:r>
      <w:r>
        <w:t xml:space="preserve">for clarity but raises issues about the clarity and timeliness of regulatory updates.</w:t>
      </w:r>
      <w:r>
        <w:t xml:space="preserve"> </w:t>
      </w:r>
      <w:r>
        <w:t xml:space="preserve">The Open Stakeholder Consultation for the evaluation of the EU ETS and the MSR also raise</w:t>
      </w:r>
      <w:r>
        <w:t xml:space="preserve"> </w:t>
      </w:r>
      <w:r>
        <w:t xml:space="preserve">concerns about the timeliness of regulatory updates to the MRV framework. Respondents (not</w:t>
      </w:r>
    </w:p>
    <w:p>
      <w:pPr>
        <w:pStyle w:val="BodyText"/>
      </w:pPr>
      <w:r>
        <w:t xml:space="preserve">252 EU ETS Reality Check workshop</w:t>
      </w:r>
      <w:r>
        <w:t xml:space="preserve"> </w:t>
      </w:r>
      <w:r>
        <w:t xml:space="preserve">253 Survey of verifiers (n = 21)</w:t>
      </w:r>
    </w:p>
    <w:p>
      <w:pPr>
        <w:pStyle w:val="BodyText"/>
      </w:pPr>
      <w:r>
        <w:t xml:space="preserve">166</w:t>
      </w:r>
      <w:r>
        <w:t xml:space="preserve"> </w:t>
      </w:r>
      <w:r>
        <w:t xml:space="preserve">quantified, as the question was open-ended) stressed the need for more timely and proactive</w:t>
      </w:r>
      <w:r>
        <w:t xml:space="preserve"> </w:t>
      </w:r>
      <w:r>
        <w:t xml:space="preserve">guidance from the Commission on forthcoming MRV updates. They noted that delays in</w:t>
      </w:r>
      <w:r>
        <w:t xml:space="preserve"> </w:t>
      </w:r>
      <w:r>
        <w:t xml:space="preserve">communicating new requirements had led to inefficiencies in adjusting internal compliance</w:t>
      </w:r>
      <w:r>
        <w:t xml:space="preserve"> </w:t>
      </w:r>
      <w:r>
        <w:t xml:space="preserve">systems, highlighting the importance of early information and clear transitional arrangements.</w:t>
      </w:r>
      <w:r>
        <w:t xml:space="preserve"> </w:t>
      </w:r>
      <w:r>
        <w:t xml:space="preserve">Operators also called for improved access to information and greater transparency on planned</w:t>
      </w:r>
      <w:r>
        <w:t xml:space="preserve"> </w:t>
      </w:r>
      <w:r>
        <w:t xml:space="preserve">regulatory changes to allow sufficient time to adapt their monitoring and reporting procedures</w:t>
      </w:r>
      <w:r>
        <w:t xml:space="preserve"> </w:t>
      </w:r>
      <w:r>
        <w:t xml:space="preserve">effectively.</w:t>
      </w:r>
      <w:r>
        <w:t xml:space="preserve"> </w:t>
      </w:r>
      <w:r>
        <w:t xml:space="preserve">Participants in the EU ETS reality check workshop report relying on a combination of channels</w:t>
      </w:r>
      <w:r>
        <w:t xml:space="preserve"> </w:t>
      </w:r>
      <w:r>
        <w:t xml:space="preserve">to stay informed about regulatory updates, including communications from national competent</w:t>
      </w:r>
      <w:r>
        <w:t xml:space="preserve"> </w:t>
      </w:r>
      <w:r>
        <w:t xml:space="preserve">authorities, industry and trade associations, consultants, peer networks within corporate groups,</w:t>
      </w:r>
      <w:r>
        <w:t xml:space="preserve"> </w:t>
      </w:r>
      <w:r>
        <w:t xml:space="preserve">and the European Commission’s guidance documents and tools. Industry associations and</w:t>
      </w:r>
      <w:r>
        <w:t xml:space="preserve"> </w:t>
      </w:r>
      <w:r>
        <w:t xml:space="preserve">consultants are frequently described as key intermediaries, particularly for translating</w:t>
      </w:r>
      <w:r>
        <w:t xml:space="preserve"> </w:t>
      </w:r>
      <w:r>
        <w:t xml:space="preserve">regulatory changes into operational implications, while smaller installations report limited</w:t>
      </w:r>
      <w:r>
        <w:t xml:space="preserve"> </w:t>
      </w:r>
      <w:r>
        <w:t xml:space="preserve">internal capacity. Across participants, a recurrent concern is that regulatory updates,</w:t>
      </w:r>
      <w:r>
        <w:t xml:space="preserve"> </w:t>
      </w:r>
      <w:r>
        <w:t xml:space="preserve">clarifications and templates are often communicated late in the compliance cycle. Operators</w:t>
      </w:r>
      <w:r>
        <w:t xml:space="preserve"> </w:t>
      </w:r>
      <w:r>
        <w:t xml:space="preserve">further highlight that frequent changes to reporting requirements, templates and related</w:t>
      </w:r>
      <w:r>
        <w:t xml:space="preserve"> </w:t>
      </w:r>
      <w:r>
        <w:t xml:space="preserve">guidance undermine efforts to digitalise and automate MRV processes, as significant effort is</w:t>
      </w:r>
      <w:r>
        <w:t xml:space="preserve"> </w:t>
      </w:r>
      <w:r>
        <w:t xml:space="preserve">required to repeatedly adapt internal IT systems and data workflows to reflect regulatory</w:t>
      </w:r>
      <w:r>
        <w:t xml:space="preserve"> </w:t>
      </w:r>
      <w:r>
        <w:t xml:space="preserve">changes. While operators generally view Commission guidance positively and consider it an</w:t>
      </w:r>
      <w:r>
        <w:t xml:space="preserve"> </w:t>
      </w:r>
      <w:r>
        <w:t xml:space="preserve">important reference point, some report that its non-binding status can slow implementation in</w:t>
      </w:r>
      <w:r>
        <w:t xml:space="preserve"> </w:t>
      </w:r>
      <w:r>
        <w:t xml:space="preserve">practice. Several installations report of instances where that national authorities are cautious in</w:t>
      </w:r>
      <w:r>
        <w:t xml:space="preserve"> </w:t>
      </w:r>
      <w:r>
        <w:t xml:space="preserve">relying on guidance documents and instead prioritise national transposition of legislative acts.</w:t>
      </w:r>
      <w:r>
        <w:t xml:space="preserve"> </w:t>
      </w:r>
      <w:r>
        <w:t xml:space="preserve">Some multinational companies present at the workshop operating installations in several</w:t>
      </w:r>
      <w:r>
        <w:t xml:space="preserve"> </w:t>
      </w:r>
      <w:r>
        <w:t xml:space="preserve">Member States mentioned that in some specific cases there were divergent national approaches</w:t>
      </w:r>
      <w:r>
        <w:t xml:space="preserve"> </w:t>
      </w:r>
      <w:r>
        <w:t xml:space="preserve">to implementation and application of new rules, increasing complexity across jurisdictions.254</w:t>
      </w:r>
      <w:r>
        <w:t xml:space="preserve"> </w:t>
      </w:r>
      <w:r>
        <w:t xml:space="preserve">Overall, while the Commission’s guidance and training materials have supported regulatory</w:t>
      </w:r>
      <w:r>
        <w:t xml:space="preserve"> </w:t>
      </w:r>
      <w:r>
        <w:t xml:space="preserve">understanding and harmonisation, the recurrent concerns over timing and complexity</w:t>
      </w:r>
      <w:r>
        <w:t xml:space="preserve"> </w:t>
      </w:r>
      <w:r>
        <w:t xml:space="preserve">underscore the need for more predictable update cycles.</w:t>
      </w:r>
      <w:r>
        <w:br/>
      </w:r>
      <w:r>
        <w:t xml:space="preserve">8.4.4.2</w:t>
      </w:r>
      <w:r>
        <w:t xml:space="preserve"> </w:t>
      </w:r>
      <w:r>
        <w:t xml:space="preserve">Efficiency</w:t>
      </w:r>
      <w:r>
        <w:t xml:space="preserve"> </w:t>
      </w:r>
      <w:r>
        <w:t xml:space="preserve">Both MS and ETS operators incur costs for the MRVA of the EU ETS; MS through the</w:t>
      </w:r>
      <w:r>
        <w:t xml:space="preserve"> </w:t>
      </w:r>
      <w:r>
        <w:t xml:space="preserve">competent authorities and accreditation bodies administrating the requirements and ETS</w:t>
      </w:r>
      <w:r>
        <w:t xml:space="preserve"> </w:t>
      </w:r>
      <w:r>
        <w:t xml:space="preserve">operators255 fulfilling the monitoring and reporting requirements and paying for the verifier to</w:t>
      </w:r>
      <w:r>
        <w:t xml:space="preserve"> </w:t>
      </w:r>
      <w:r>
        <w:t xml:space="preserve">have their emission report verified. Earlier studies on the administrative costs have found that</w:t>
      </w:r>
      <w:r>
        <w:t xml:space="preserve"> </w:t>
      </w:r>
      <w:r>
        <w:t xml:space="preserve">these costs are reasonable and proportional in relation to the environmental benefits.256 Of these</w:t>
      </w:r>
      <w:r>
        <w:t xml:space="preserve"> </w:t>
      </w:r>
      <w:r>
        <w:t xml:space="preserve">studies the most recent have been carried out for maritime, but studies for aviation and</w:t>
      </w:r>
      <w:r>
        <w:t xml:space="preserve"> </w:t>
      </w:r>
      <w:r>
        <w:t xml:space="preserve">stationary installations were carried out before 2020 (this latter referred to as the 2016</w:t>
      </w:r>
      <w:r>
        <w:t xml:space="preserve"> </w:t>
      </w:r>
      <w:r>
        <w:t xml:space="preserve">administrative cost report in this section). 257</w:t>
      </w:r>
    </w:p>
    <w:p>
      <w:pPr>
        <w:pStyle w:val="BodyText"/>
      </w:pPr>
      <w:r>
        <w:t xml:space="preserve">254 EU ETS Reality Check workshop</w:t>
      </w:r>
      <w:r>
        <w:t xml:space="preserve"> </w:t>
      </w:r>
      <w:r>
        <w:t xml:space="preserve">255 Installations and aircraft operators</w:t>
      </w:r>
      <w:r>
        <w:t xml:space="preserve"> </w:t>
      </w:r>
      <w:r>
        <w:t xml:space="preserve">256 European Commission, 2025. “Supporting study for the implementation of the ETS Directive and MRV</w:t>
      </w:r>
      <w:r>
        <w:t xml:space="preserve"> </w:t>
      </w:r>
      <w:r>
        <w:t xml:space="preserve">requirements for maritime transport”, https://climate.ec.europa.eu/document/download/a069517b-4fcc-</w:t>
      </w:r>
      <w:r>
        <w:t xml:space="preserve"> </w:t>
      </w:r>
      <w:r>
        <w:t xml:space="preserve">4263-84f5-</w:t>
      </w:r>
      <w:r>
        <w:t xml:space="preserve"> </w:t>
      </w:r>
      <w:r>
        <w:t xml:space="preserve">b527fafded91_en?filename=Report+on+MRV+extension+to+vessels+below+5000+GT.pdf&amp;utm_source=c</w:t>
      </w:r>
      <w:r>
        <w:t xml:space="preserve"> </w:t>
      </w:r>
      <w:r>
        <w:t xml:space="preserve">hatgpt.com</w:t>
      </w:r>
      <w:r>
        <w:t xml:space="preserve"> </w:t>
      </w:r>
      <w:r>
        <w:t xml:space="preserve">257 Evaluation of EU ETS Monitoring, Reporting and Verification Administration Costs, 2016</w:t>
      </w:r>
    </w:p>
    <w:p>
      <w:pPr>
        <w:pStyle w:val="BodyText"/>
      </w:pPr>
      <w:r>
        <w:t xml:space="preserve">167</w:t>
      </w:r>
      <w:r>
        <w:t xml:space="preserve"> </w:t>
      </w:r>
      <w:r>
        <w:t xml:space="preserve">•</w:t>
      </w:r>
      <w:r>
        <w:t xml:space="preserve"> </w:t>
      </w:r>
      <w:r>
        <w:t xml:space="preserve">EQ5: Cost-efficiency of the MRVA system, and opportunities for cost reduction</w:t>
      </w:r>
      <w:r>
        <w:t xml:space="preserve"> </w:t>
      </w:r>
      <w:r>
        <w:t xml:space="preserve">Evaluation question 5 asks whether the MRVA system has achieved its objectives in a cost-</w:t>
      </w:r>
      <w:r>
        <w:t xml:space="preserve"> </w:t>
      </w:r>
      <w:r>
        <w:t xml:space="preserve">efficient manner and whether there are opportunities for cost reductions.</w:t>
      </w:r>
      <w:r>
        <w:t xml:space="preserve"> </w:t>
      </w:r>
      <w:r>
        <w:t xml:space="preserve">Monitoring</w:t>
      </w:r>
      <w:r>
        <w:t xml:space="preserve"> </w:t>
      </w:r>
      <w:r>
        <w:t xml:space="preserve">The survey asked operators of stationary installations and aircraft operators to provide</w:t>
      </w:r>
      <w:r>
        <w:t xml:space="preserve"> </w:t>
      </w:r>
      <w:r>
        <w:t xml:space="preserve">information on costs that are connected to the annual monitoring and reporting cycle.</w:t>
      </w:r>
      <w:r>
        <w:br/>
      </w:r>
      <w:r>
        <w:t xml:space="preserve">Annual costs are all costs that an operator or aircraft operator incurs every year when</w:t>
      </w:r>
      <w:r>
        <w:t xml:space="preserve"> </w:t>
      </w:r>
      <w:r>
        <w:t xml:space="preserve">monitoring emissions including:</w:t>
      </w:r>
      <w:r>
        <w:t xml:space="preserve"> </w:t>
      </w:r>
      <w:r>
        <w:t xml:space="preserve">• Maintaining the data management system, the control system and procedures.</w:t>
      </w:r>
      <w:r>
        <w:t xml:space="preserve"> </w:t>
      </w:r>
      <w:r>
        <w:t xml:space="preserve">• Calibration of measurement equipment and carrying out other quality assurance and</w:t>
      </w:r>
      <w:r>
        <w:t xml:space="preserve"> </w:t>
      </w:r>
      <w:r>
        <w:t xml:space="preserve">control activities.</w:t>
      </w:r>
      <w:r>
        <w:t xml:space="preserve"> </w:t>
      </w:r>
      <w:r>
        <w:t xml:space="preserve">• Making sure internal staff continue to be competent (e.g. regular training and capacity</w:t>
      </w:r>
      <w:r>
        <w:t xml:space="preserve"> </w:t>
      </w:r>
      <w:r>
        <w:t xml:space="preserve">building).</w:t>
      </w:r>
      <w:r>
        <w:t xml:space="preserve"> </w:t>
      </w:r>
      <w:r>
        <w:t xml:space="preserve">• Dealing with changes to the monitoring plan.</w:t>
      </w:r>
      <w:r>
        <w:t xml:space="preserve"> </w:t>
      </w:r>
      <w:r>
        <w:t xml:space="preserve">• Communicating with the competent authority when notifying changes to the</w:t>
      </w:r>
      <w:r>
        <w:t xml:space="preserve"> </w:t>
      </w:r>
      <w:r>
        <w:t xml:space="preserve">monitoring plan and obtaining approval of significant changes to the monitoring plan.</w:t>
      </w:r>
      <w:r>
        <w:br/>
      </w:r>
      <w:r>
        <w:t xml:space="preserve">Respondents from stationary installations indicated that more than 60% of the days dedicated</w:t>
      </w:r>
      <w:r>
        <w:t xml:space="preserve"> </w:t>
      </w:r>
      <w:r>
        <w:t xml:space="preserve">to monitoring activities were for monitoring of emissions and maintaining the data</w:t>
      </w:r>
      <w:r>
        <w:t xml:space="preserve"> </w:t>
      </w:r>
      <w:r>
        <w:t xml:space="preserve">management systems and control system and monitoring procedures. A similar split was</w:t>
      </w:r>
      <w:r>
        <w:t xml:space="preserve"> </w:t>
      </w:r>
      <w:r>
        <w:t xml:space="preserve">indicated for aircraft operators. Monitoring of emissions was also the largest cost in previous</w:t>
      </w:r>
      <w:r>
        <w:t xml:space="preserve"> </w:t>
      </w:r>
      <w:r>
        <w:t xml:space="preserve">reports.</w:t>
      </w:r>
      <w:r>
        <w:br/>
      </w:r>
      <w:r>
        <w:t xml:space="preserve">Most relevant responses for both stationary installations and aircraft operators stated that</w:t>
      </w:r>
      <w:r>
        <w:t xml:space="preserve"> </w:t>
      </w:r>
      <w:r>
        <w:t xml:space="preserve">monitoring costs had increased slightly or remained constant between Phase III and Phase IV.</w:t>
      </w:r>
      <w:r>
        <w:t xml:space="preserve"> </w:t>
      </w:r>
      <w:r>
        <w:t xml:space="preserve">Reasons given for the increases include inflation, rising costs of external consultants and the</w:t>
      </w:r>
      <w:r>
        <w:t xml:space="preserve"> </w:t>
      </w:r>
      <w:r>
        <w:t xml:space="preserve">requirements to demonstrate compliance of biomass with sustainability rules. The MRVA</w:t>
      </w:r>
      <w:r>
        <w:t xml:space="preserve"> </w:t>
      </w:r>
      <w:r>
        <w:t xml:space="preserve">requirements for free allocation for stationary installations are also mentioned which is a</w:t>
      </w:r>
      <w:r>
        <w:t xml:space="preserve"> </w:t>
      </w:r>
      <w:r>
        <w:t xml:space="preserve">separate consideration in this evaluation.</w:t>
      </w:r>
      <w:r>
        <w:br/>
      </w:r>
      <w:r>
        <w:t xml:space="preserve">Reporting</w:t>
      </w:r>
      <w:r>
        <w:t xml:space="preserve"> </w:t>
      </w:r>
      <w:r>
        <w:t xml:space="preserve">The costs for reporting are primarily annual expenses related to drafting emission reports. If</w:t>
      </w:r>
      <w:r>
        <w:t xml:space="preserve"> </w:t>
      </w:r>
      <w:r>
        <w:t xml:space="preserve">required by Article 69 MRR, 258 these costs also include drafting improvement reports,</w:t>
      </w:r>
      <w:r>
        <w:t xml:space="preserve"> </w:t>
      </w:r>
      <w:r>
        <w:t xml:space="preserve">obtaining approval for these reports, and communicating with the competent authority to</w:t>
      </w:r>
      <w:r>
        <w:t xml:space="preserve"> </w:t>
      </w:r>
      <w:r>
        <w:t xml:space="preserve">address issues reported in the verification report, especially if there are misstatements, non-</w:t>
      </w:r>
      <w:r>
        <w:t xml:space="preserve"> </w:t>
      </w:r>
      <w:r>
        <w:t xml:space="preserve">conformities or non-compliance issues.</w:t>
      </w:r>
      <w:r>
        <w:t xml:space="preserve"> </w:t>
      </w:r>
      <w:r>
        <w:t xml:space="preserve">According to the survey, respondents from both stationary installations and aircraft operators</w:t>
      </w:r>
      <w:r>
        <w:t xml:space="preserve"> </w:t>
      </w:r>
      <w:r>
        <w:t xml:space="preserve">indicated that around half of their full-time working days were spent gathering data for</w:t>
      </w:r>
      <w:r>
        <w:t xml:space="preserve"> </w:t>
      </w:r>
      <w:r>
        <w:t xml:space="preserve">emission and improvement reports. About 30% of the time of stationary installations was</w:t>
      </w:r>
    </w:p>
    <w:p>
      <w:pPr>
        <w:pStyle w:val="BodyText"/>
      </w:pPr>
      <w:r>
        <w:t xml:space="preserve">258 Improvement reports are required in the case lower tiers are allowed because of unreasonable costs and</w:t>
      </w:r>
      <w:r>
        <w:t xml:space="preserve"> </w:t>
      </w:r>
      <w:r>
        <w:t xml:space="preserve">technical infeasibility or a fall-back approach is applied. In those cases, operators must regularly report on</w:t>
      </w:r>
      <w:r>
        <w:t xml:space="preserve"> </w:t>
      </w:r>
      <w:r>
        <w:t xml:space="preserve">their opportunities to improve the monitoring methodology and move up to higher tiers. The reporting interval</w:t>
      </w:r>
      <w:r>
        <w:t xml:space="preserve"> </w:t>
      </w:r>
      <w:r>
        <w:t xml:space="preserve">depends on the category of the installation. According to Article 69(4) of the MRR operators are also required</w:t>
      </w:r>
      <w:r>
        <w:t xml:space="preserve"> </w:t>
      </w:r>
      <w:r>
        <w:t xml:space="preserve">to submit an improvement report, if the verifier has reported non-conformities and recommendations for</w:t>
      </w:r>
      <w:r>
        <w:t xml:space="preserve"> </w:t>
      </w:r>
      <w:r>
        <w:t xml:space="preserve">improvement in the verification report. Such improvement reports are not required if all the non-conformities</w:t>
      </w:r>
      <w:r>
        <w:t xml:space="preserve"> </w:t>
      </w:r>
      <w:r>
        <w:t xml:space="preserve">were addressed before that time.</w:t>
      </w:r>
    </w:p>
    <w:p>
      <w:pPr>
        <w:pStyle w:val="BodyText"/>
      </w:pPr>
      <w:r>
        <w:t xml:space="preserve">168</w:t>
      </w:r>
      <w:r>
        <w:t xml:space="preserve"> </w:t>
      </w:r>
      <w:r>
        <w:t xml:space="preserve">dedicated to drafting the emission report, including correspondence with the competent</w:t>
      </w:r>
      <w:r>
        <w:t xml:space="preserve"> </w:t>
      </w:r>
      <w:r>
        <w:t xml:space="preserve">authority, and the remaining time was spent on improvement reports. The time spent on</w:t>
      </w:r>
      <w:r>
        <w:t xml:space="preserve"> </w:t>
      </w:r>
      <w:r>
        <w:t xml:space="preserve">improvement reports for aircraft operators is significantly lower as aircraft operator only have</w:t>
      </w:r>
      <w:r>
        <w:t xml:space="preserve"> </w:t>
      </w:r>
      <w:r>
        <w:t xml:space="preserve">to submit an improvement report if non-conformities or recommendations for improvements</w:t>
      </w:r>
      <w:r>
        <w:t xml:space="preserve"> </w:t>
      </w:r>
      <w:r>
        <w:t xml:space="preserve">have been listed in the verification report.</w:t>
      </w:r>
      <w:r>
        <w:br/>
      </w:r>
      <w:r>
        <w:t xml:space="preserve">Approximately equal numbers of aircraft operators reported that reporting costs had either</w:t>
      </w:r>
      <w:r>
        <w:t xml:space="preserve"> </w:t>
      </w:r>
      <w:r>
        <w:t xml:space="preserve">increased significantly or remained constant between Phase 3 and Phase IV. The significant</w:t>
      </w:r>
      <w:r>
        <w:t xml:space="preserve"> </w:t>
      </w:r>
      <w:r>
        <w:t xml:space="preserve">cost increases were attributed to reporting on data from sustainable aviation fuel259, although</w:t>
      </w:r>
      <w:r>
        <w:t xml:space="preserve"> </w:t>
      </w:r>
      <w:r>
        <w:t xml:space="preserve">relatively few aircraft operators use biofuels compared to stationary installations, 260 or to</w:t>
      </w:r>
      <w:r>
        <w:t xml:space="preserve"> </w:t>
      </w:r>
      <w:r>
        <w:t xml:space="preserve">factors not directly related to the EU ETS, such as Brexit261. However, due to the relatively</w:t>
      </w:r>
      <w:r>
        <w:t xml:space="preserve"> </w:t>
      </w:r>
      <w:r>
        <w:t xml:space="preserve">high number of</w:t>
      </w:r>
      <w:r>
        <w:t xml:space="preserve"> </w:t>
      </w:r>
      <w:r>
        <w:t xml:space="preserve">“do not know”</w:t>
      </w:r>
      <w:r>
        <w:t xml:space="preserve"> </w:t>
      </w:r>
      <w:r>
        <w:t xml:space="preserve">or</w:t>
      </w:r>
      <w:r>
        <w:t xml:space="preserve"> </w:t>
      </w:r>
      <w:r>
        <w:t xml:space="preserve">“not applicable”</w:t>
      </w:r>
      <w:r>
        <w:t xml:space="preserve"> </w:t>
      </w:r>
      <w:r>
        <w:t xml:space="preserve">responses, the sample size of relevant</w:t>
      </w:r>
      <w:r>
        <w:t xml:space="preserve"> </w:t>
      </w:r>
      <w:r>
        <w:t xml:space="preserve">responses for aircraft operators is small.</w:t>
      </w:r>
      <w:r>
        <w:t xml:space="preserve"> </w:t>
      </w:r>
      <w:r>
        <w:t xml:space="preserve">For stationary installations, a larger proportion overall reported a slight increase or that costs</w:t>
      </w:r>
      <w:r>
        <w:t xml:space="preserve"> </w:t>
      </w:r>
      <w:r>
        <w:t xml:space="preserve">had remained constant. Less than 15% of respondents mentioned significant cost increases, and</w:t>
      </w:r>
      <w:r>
        <w:t xml:space="preserve"> </w:t>
      </w:r>
      <w:r>
        <w:t xml:space="preserve">where explanations were given, these were mostly linked to free allocation.</w:t>
      </w:r>
      <w:r>
        <w:t xml:space="preserve"> </w:t>
      </w:r>
      <w:r>
        <w:t xml:space="preserve">Verification</w:t>
      </w:r>
      <w:r>
        <w:br/>
      </w:r>
      <w:r>
        <w:t xml:space="preserve">The costs associated with verification are incurred by operators or aircraft operators due to the</w:t>
      </w:r>
      <w:r>
        <w:t xml:space="preserve"> </w:t>
      </w:r>
      <w:r>
        <w:t xml:space="preserve">need:</w:t>
      </w:r>
      <w:r>
        <w:t xml:space="preserve"> </w:t>
      </w:r>
      <w:r>
        <w:t xml:space="preserve">• To provide the verifier with access to evidence and information needed to carry out</w:t>
      </w:r>
      <w:r>
        <w:t xml:space="preserve"> </w:t>
      </w:r>
      <w:r>
        <w:t xml:space="preserve">verification as well as access to the control system and procedures.</w:t>
      </w:r>
      <w:r>
        <w:t xml:space="preserve"> </w:t>
      </w:r>
      <w:r>
        <w:t xml:space="preserve">• Answer questions of the verifier and follow-up on requests from the verifier.</w:t>
      </w:r>
      <w:r>
        <w:br/>
      </w:r>
      <w:r>
        <w:t xml:space="preserve">• Accompany the auditor during the site visit of the verifier of the installation or the</w:t>
      </w:r>
      <w:r>
        <w:t xml:space="preserve"> </w:t>
      </w:r>
      <w:r>
        <w:t xml:space="preserve">aircraft operator; and</w:t>
      </w:r>
      <w:r>
        <w:t xml:space="preserve"> </w:t>
      </w:r>
      <w:r>
        <w:t xml:space="preserve">• Correct issues identified by the verifier during the verification.</w:t>
      </w:r>
      <w:r>
        <w:br/>
      </w:r>
      <w:r>
        <w:t xml:space="preserve">Furthermore, the operator of the installation or the aircraft operator pays a verification fee for</w:t>
      </w:r>
      <w:r>
        <w:t xml:space="preserve"> </w:t>
      </w:r>
      <w:r>
        <w:t xml:space="preserve">services of the verifier.</w:t>
      </w:r>
      <w:r>
        <w:br/>
      </w:r>
      <w:r>
        <w:t xml:space="preserve">Respondents for stationary installations indicated that for more than half of the installations,</w:t>
      </w:r>
      <w:r>
        <w:t xml:space="preserve"> </w:t>
      </w:r>
      <w:r>
        <w:t xml:space="preserve">site visits required the most effort, whereas for aircraft operators follow up of issues took most</w:t>
      </w:r>
      <w:r>
        <w:t xml:space="preserve"> </w:t>
      </w:r>
      <w:r>
        <w:t xml:space="preserve">time. More than half of the aircraft operator respondents to the survey emit less than 25ktonnes</w:t>
      </w:r>
      <w:r>
        <w:t xml:space="preserve"> </w:t>
      </w:r>
      <w:r>
        <w:t xml:space="preserve">and Article 33 of the AVR262 allows for waiving site visits for such aircraft operators, which</w:t>
      </w:r>
      <w:r>
        <w:t xml:space="preserve"> </w:t>
      </w:r>
      <w:r>
        <w:t xml:space="preserve">may explain the difference. Another reason is that site in the aviation sector is defined as the</w:t>
      </w:r>
      <w:r>
        <w:t xml:space="preserve"> </w:t>
      </w:r>
      <w:r>
        <w:t xml:space="preserve">location where the monitoring process is defined and managed, therefore much more compact</w:t>
      </w:r>
      <w:r>
        <w:t xml:space="preserve"> </w:t>
      </w:r>
      <w:r>
        <w:t xml:space="preserve">than in the industry sectors where a site can consist of multiple locations.</w:t>
      </w:r>
    </w:p>
    <w:p>
      <w:pPr>
        <w:pStyle w:val="BodyText"/>
      </w:pPr>
      <w:r>
        <w:t xml:space="preserve">259 This includes demonstrating compliance of the sustainable aviation fuels with sustainability and greenhouse</w:t>
      </w:r>
      <w:r>
        <w:t xml:space="preserve"> </w:t>
      </w:r>
      <w:r>
        <w:t xml:space="preserve">gas savings criteria.</w:t>
      </w:r>
      <w:r>
        <w:t xml:space="preserve"> </w:t>
      </w:r>
      <w:r>
        <w:t xml:space="preserve">260 European Commission (2024)</w:t>
      </w:r>
      <w:r>
        <w:t xml:space="preserve"> </w:t>
      </w:r>
      <w:r>
        <w:t xml:space="preserve">261 Because of Brexit, aircraft operators carrying out intra-EEA flights that were originally administered by the</w:t>
      </w:r>
      <w:r>
        <w:t xml:space="preserve"> </w:t>
      </w:r>
      <w:r>
        <w:t xml:space="preserve">UK competent authority had to be re-attributed to other Member States which might have caused some</w:t>
      </w:r>
      <w:r>
        <w:t xml:space="preserve"> </w:t>
      </w:r>
      <w:r>
        <w:t xml:space="preserve">administrative costs for those aircraft operators in the years 2020. Furthermore, the changes of scope of EU</w:t>
      </w:r>
      <w:r>
        <w:t xml:space="preserve"> </w:t>
      </w:r>
      <w:r>
        <w:t xml:space="preserve">ETS flights because of Brexit might have had an impact on the internal processes within the aircraft operator</w:t>
      </w:r>
      <w:r>
        <w:t xml:space="preserve"> </w:t>
      </w:r>
      <w:r>
        <w:t xml:space="preserve">in collecting the necessary data for reporting and ensuring completeness of EU ETS flights. Only intra-EEA</w:t>
      </w:r>
      <w:r>
        <w:t xml:space="preserve"> </w:t>
      </w:r>
      <w:r>
        <w:t xml:space="preserve">flights and flights from the EEA to the UK and from the EEA to Switzerland are included in EU ETS whereas</w:t>
      </w:r>
      <w:r>
        <w:t xml:space="preserve"> </w:t>
      </w:r>
      <w:r>
        <w:t xml:space="preserve">flights from the UK to the EEA and Switzerland to the EEA fall into the UK ETS and Swiss ETS respectively.</w:t>
      </w:r>
      <w:r>
        <w:br/>
      </w:r>
      <w:r>
        <w:t xml:space="preserve">262 Implementing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2018/2067,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content/EN/TXT/?uri=CELEX%3A02018R2067-20250622</w:t>
      </w:r>
    </w:p>
    <w:p>
      <w:pPr>
        <w:pStyle w:val="BodyText"/>
      </w:pPr>
      <w:r>
        <w:t xml:space="preserve">169</w:t>
      </w:r>
      <w:r>
        <w:t xml:space="preserve"> </w:t>
      </w:r>
      <w:r>
        <w:t xml:space="preserve">For stationary installations, most respondents indicated that verification costs have either</w:t>
      </w:r>
      <w:r>
        <w:t xml:space="preserve"> </w:t>
      </w:r>
      <w:r>
        <w:t xml:space="preserve">increased significantly or slightly. In contrast, for aircraft operators, most of the relevant replies</w:t>
      </w:r>
      <w:r>
        <w:t xml:space="preserve"> </w:t>
      </w:r>
      <w:r>
        <w:t xml:space="preserve">suggest that verification costs have remained constant.</w:t>
      </w:r>
      <w:r>
        <w:br/>
      </w:r>
      <w:r>
        <w:t xml:space="preserve">For stationary operators, the cost increases were attributed to additional checks required by</w:t>
      </w:r>
      <w:r>
        <w:t xml:space="preserve"> </w:t>
      </w:r>
      <w:r>
        <w:t xml:space="preserve">verifiers to assess compliance with the sustainability and greenhouse gas savings criteria of the</w:t>
      </w:r>
      <w:r>
        <w:t xml:space="preserve"> </w:t>
      </w:r>
      <w:r>
        <w:t xml:space="preserve">RED II Directive, the rising complexity of control and monitoring activities, and an increase</w:t>
      </w:r>
      <w:r>
        <w:t xml:space="preserve"> </w:t>
      </w:r>
      <w:r>
        <w:t xml:space="preserve">in verification fees or the number of days needed by the verifier. Stationary installations are</w:t>
      </w:r>
      <w:r>
        <w:t xml:space="preserve"> </w:t>
      </w:r>
      <w:r>
        <w:t xml:space="preserve">increasingly using biomass fuels and the amendments in the REDII Directive in 2021 extended</w:t>
      </w:r>
      <w:r>
        <w:t xml:space="preserve"> </w:t>
      </w:r>
      <w:r>
        <w:t xml:space="preserve">for example the applicability to solid biomass which caused more installations to have to</w:t>
      </w:r>
      <w:r>
        <w:t xml:space="preserve"> </w:t>
      </w:r>
      <w:r>
        <w:t xml:space="preserve">demonstrate compliance of biomass fuels with the sustainability and greenhouse gas saving</w:t>
      </w:r>
      <w:r>
        <w:t xml:space="preserve"> </w:t>
      </w:r>
      <w:r>
        <w:t xml:space="preserve">criteria. This was in particular the case in the year 2023 as in 2022 Member States could allow</w:t>
      </w:r>
      <w:r>
        <w:t xml:space="preserve"> </w:t>
      </w:r>
      <w:r>
        <w:t xml:space="preserve">operators not to demonstrate compliance.</w:t>
      </w:r>
      <w:r>
        <w:br/>
      </w:r>
      <w:r>
        <w:t xml:space="preserve">The OPC did not include specific questions on MRVA but in some cases, respondents have</w:t>
      </w:r>
      <w:r>
        <w:t xml:space="preserve"> </w:t>
      </w:r>
      <w:r>
        <w:t xml:space="preserve">made relevant comments. There are around 70 unique responses from industry associations,</w:t>
      </w:r>
      <w:r>
        <w:t xml:space="preserve"> </w:t>
      </w:r>
      <w:r>
        <w:t xml:space="preserve">NGOs and aircraft operators where this is the case (out of 377). The majority from industry</w:t>
      </w:r>
      <w:r>
        <w:t xml:space="preserve"> </w:t>
      </w:r>
      <w:r>
        <w:t xml:space="preserve">associations and aircraft operators stated that the administrative burden associated with the</w:t>
      </w:r>
      <w:r>
        <w:t xml:space="preserve"> </w:t>
      </w:r>
      <w:r>
        <w:t xml:space="preserve">MRVA was high. However, like the survey many of these related to the processes involved by</w:t>
      </w:r>
      <w:r>
        <w:t xml:space="preserve"> </w:t>
      </w:r>
      <w:r>
        <w:t xml:space="preserve">free allocation. The responses also indicated that the requirements on accuracy of metering</w:t>
      </w:r>
      <w:r>
        <w:t xml:space="preserve"> </w:t>
      </w:r>
      <w:r>
        <w:t xml:space="preserve">contributed to cost and that delays in responses from CAs resulted in lengthy processes and</w:t>
      </w:r>
      <w:r>
        <w:t xml:space="preserve"> </w:t>
      </w:r>
      <w:r>
        <w:t xml:space="preserve">consequently more costs. Some responses mentioned that verification processes were onerous,</w:t>
      </w:r>
      <w:r>
        <w:t xml:space="preserve"> </w:t>
      </w:r>
      <w:r>
        <w:t xml:space="preserve">but it is not clear whether this also related to verification for the purposes of free allocation.</w:t>
      </w:r>
      <w:r>
        <w:t xml:space="preserve"> </w:t>
      </w:r>
      <w:r>
        <w:t xml:space="preserve">For most aircraft operators and around half the stationary installations, MRV costs represent</w:t>
      </w:r>
      <w:r>
        <w:t xml:space="preserve"> </w:t>
      </w:r>
      <w:r>
        <w:t xml:space="preserve">less than 30% of the overall administrative cost related to the EU ETS. For installations that</w:t>
      </w:r>
      <w:r>
        <w:t xml:space="preserve"> </w:t>
      </w:r>
      <w:r>
        <w:t xml:space="preserve">do not receive free allocation, the main costs of compliance relate to purchase of allowances</w:t>
      </w:r>
      <w:r>
        <w:t xml:space="preserve"> </w:t>
      </w:r>
      <w:r>
        <w:t xml:space="preserve">rather than administrative MRV costs. For a smaller number of both aircraft operators and</w:t>
      </w:r>
      <w:r>
        <w:t xml:space="preserve"> </w:t>
      </w:r>
      <w:r>
        <w:t xml:space="preserve">stationary installations the MRV costs represent more than 50% of administrative cost. Of the</w:t>
      </w:r>
      <w:r>
        <w:t xml:space="preserve"> </w:t>
      </w:r>
      <w:r>
        <w:t xml:space="preserve">stationary installations more than half of these are in the sector combustion activities and about</w:t>
      </w:r>
      <w:r>
        <w:t xml:space="preserve"> </w:t>
      </w:r>
      <w:r>
        <w:t xml:space="preserve">equally split between the different size categories of installations. There is therefore no clear</w:t>
      </w:r>
      <w:r>
        <w:t xml:space="preserve"> </w:t>
      </w:r>
      <w:r>
        <w:t xml:space="preserve">explanation of why the administrative costs for these installations are a higher proportion of</w:t>
      </w:r>
      <w:r>
        <w:t xml:space="preserve"> </w:t>
      </w:r>
      <w:r>
        <w:t xml:space="preserve">overall cost. The sample size for aircraft operators is too small to draw conclusions.</w:t>
      </w:r>
      <w:r>
        <w:t xml:space="preserve"> </w:t>
      </w:r>
      <w:r>
        <w:t xml:space="preserve">Stationary installations MRV costs</w:t>
      </w:r>
      <w:r>
        <w:t xml:space="preserve"> </w:t>
      </w:r>
      <w:r>
        <w:t xml:space="preserve">Respondents to the survey reported averages for MRVA costs and staff days. For stationary</w:t>
      </w:r>
      <w:r>
        <w:t xml:space="preserve"> </w:t>
      </w:r>
      <w:r>
        <w:t xml:space="preserve">installations, the average costs across all categories of installations for monitoring were 58 000</w:t>
      </w:r>
      <w:r>
        <w:t xml:space="preserve"> </w:t>
      </w:r>
      <w:r>
        <w:t xml:space="preserve">EUR , for reporting 27 000 EUR and for verification 9 000 EUR . Data differentiated by</w:t>
      </w:r>
      <w:r>
        <w:t xml:space="preserve"> </w:t>
      </w:r>
      <w:r>
        <w:t xml:space="preserve">sector, size of installation and country group is discussed under EQ6. These costs are</w:t>
      </w:r>
      <w:r>
        <w:t xml:space="preserve"> </w:t>
      </w:r>
      <w:r>
        <w:t xml:space="preserve">significantly higher than previously identified, partly related to rising labour rates and inflation</w:t>
      </w:r>
      <w:r>
        <w:t xml:space="preserve"> </w:t>
      </w:r>
      <w:r>
        <w:t xml:space="preserve">of equipment prices. Additionally, some costs related to MRVA for free allocation have been</w:t>
      </w:r>
      <w:r>
        <w:t xml:space="preserve"> </w:t>
      </w:r>
      <w:r>
        <w:t xml:space="preserve">included in the estimates given. The implications for MRVA costs per CO2 are discussed</w:t>
      </w:r>
      <w:r>
        <w:t xml:space="preserve"> </w:t>
      </w:r>
      <w:r>
        <w:t xml:space="preserve">below.</w:t>
      </w:r>
      <w:r>
        <w:br/>
      </w:r>
      <w:r>
        <w:t xml:space="preserve">The highest annual costs and number of working days are for monitoring activities which aligns</w:t>
      </w:r>
      <w:r>
        <w:t xml:space="preserve"> </w:t>
      </w:r>
      <w:r>
        <w:t xml:space="preserve">with the activities that installations have carry out according to the MRR.</w:t>
      </w:r>
      <w:r>
        <w:br/>
      </w:r>
      <w:r>
        <w:t xml:space="preserve">A standard cost approach has been used to extrapolate to the EU level and put the reported</w:t>
      </w:r>
      <w:r>
        <w:t xml:space="preserve"> </w:t>
      </w:r>
      <w:r>
        <w:t xml:space="preserve">costs in context. Based on this methodology, total costs for operators of stationary installations</w:t>
      </w:r>
      <w:r>
        <w:t xml:space="preserve"> </w:t>
      </w:r>
      <w:r>
        <w:t xml:space="preserve">range from 0.2-0.9 billion EUR. When expressed as cost per tonne emissions, this gives a range</w:t>
      </w:r>
    </w:p>
    <w:p>
      <w:pPr>
        <w:pStyle w:val="BodyText"/>
      </w:pPr>
      <w:r>
        <w:t xml:space="preserve">170</w:t>
      </w:r>
      <w:r>
        <w:t xml:space="preserve"> </w:t>
      </w:r>
      <w:r>
        <w:t xml:space="preserve">of 0.2 to 0.8 EUR/tonne CO2.263 These costs per tonne CO2 are higher than in the 2016</w:t>
      </w:r>
      <w:r>
        <w:t xml:space="preserve"> </w:t>
      </w:r>
      <w:r>
        <w:t xml:space="preserve">administrative cost study, which gave an average of 0.16 EUR per tonne CO2. This seems to</w:t>
      </w:r>
      <w:r>
        <w:t xml:space="preserve"> </w:t>
      </w:r>
      <w:r>
        <w:t xml:space="preserve">contradict the views expressed in the survey and discussed above on the change in costs</w:t>
      </w:r>
      <w:r>
        <w:t xml:space="preserve"> </w:t>
      </w:r>
      <w:r>
        <w:t xml:space="preserve">between Phase III and Phase IV.</w:t>
      </w:r>
      <w:r>
        <w:br/>
      </w:r>
      <w:r>
        <w:t xml:space="preserve">Part of the difference between the 2016 study and this one may be the slightly different scope</w:t>
      </w:r>
      <w:r>
        <w:t xml:space="preserve"> </w:t>
      </w:r>
      <w:r>
        <w:t xml:space="preserve">and formulation of the questions in the survey. Additionally, at the high end of the range</w:t>
      </w:r>
      <w:r>
        <w:t xml:space="preserve"> </w:t>
      </w:r>
      <w:r>
        <w:t xml:space="preserve">particularly it may be there is some double counting amongst the costs, for example between</w:t>
      </w:r>
      <w:r>
        <w:t xml:space="preserve"> </w:t>
      </w:r>
      <w:r>
        <w:t xml:space="preserve">total cost and external cost. However, it is also possible that some efficiencies, for example</w:t>
      </w:r>
      <w:r>
        <w:t xml:space="preserve"> </w:t>
      </w:r>
      <w:r>
        <w:t xml:space="preserve">through implementing standard tools, more harmonisation between Member States and</w:t>
      </w:r>
      <w:r>
        <w:t xml:space="preserve"> </w:t>
      </w:r>
      <w:r>
        <w:t xml:space="preserve">improving guidance, may have been offset by additional requirements in some areas that led to</w:t>
      </w:r>
      <w:r>
        <w:t xml:space="preserve"> </w:t>
      </w:r>
      <w:r>
        <w:t xml:space="preserve">higher costs such as the RED requirements discussed previously. It should be noted that not all</w:t>
      </w:r>
      <w:r>
        <w:t xml:space="preserve"> </w:t>
      </w:r>
      <w:r>
        <w:t xml:space="preserve">responses were clear-cut. Even though some stakeholders indicated that the requirements</w:t>
      </w:r>
      <w:r>
        <w:t xml:space="preserve"> </w:t>
      </w:r>
      <w:r>
        <w:t xml:space="preserve">related to metering for stationary installations have become more cost intensive, there is no</w:t>
      </w:r>
      <w:r>
        <w:t xml:space="preserve"> </w:t>
      </w:r>
      <w:r>
        <w:t xml:space="preserve">clear reason for that emanating from the regulation. Compared to 2016 the rules on</w:t>
      </w:r>
      <w:r>
        <w:t xml:space="preserve"> </w:t>
      </w:r>
      <w:r>
        <w:t xml:space="preserve">measurement of fuel consumption or material production as well as the rules on sampling and</w:t>
      </w:r>
      <w:r>
        <w:t xml:space="preserve"> </w:t>
      </w:r>
      <w:r>
        <w:t xml:space="preserve">analysis have not changed significantly</w:t>
      </w:r>
      <w:r>
        <w:t xml:space="preserve"> </w:t>
      </w:r>
      <w:r>
        <w:t xml:space="preserve">Aircraft operators</w:t>
      </w:r>
      <w:r>
        <w:t xml:space="preserve"> </w:t>
      </w:r>
      <w:r>
        <w:t xml:space="preserve">The reported annual costs for aircraft operators are smaller than those for stationary</w:t>
      </w:r>
      <w:r>
        <w:t xml:space="preserve"> </w:t>
      </w:r>
      <w:r>
        <w:t xml:space="preserve">installations (respectively 25K for monitoring and 17K for reporting), except in the case of</w:t>
      </w:r>
      <w:r>
        <w:t xml:space="preserve"> </w:t>
      </w:r>
      <w:r>
        <w:t xml:space="preserve">verification fees (12K) which are higher than for stationary installations. In the calculation-</w:t>
      </w:r>
      <w:r>
        <w:t xml:space="preserve"> </w:t>
      </w:r>
      <w:r>
        <w:t xml:space="preserve">based methodology employed in the aviation sector, the fuel consumption for each EU ETS</w:t>
      </w:r>
      <w:r>
        <w:t xml:space="preserve"> </w:t>
      </w:r>
      <w:r>
        <w:t xml:space="preserve">flight and each fuel is multiplied by the applicable emission factor. Mirroring the sector as a</w:t>
      </w:r>
      <w:r>
        <w:t xml:space="preserve"> </w:t>
      </w:r>
      <w:r>
        <w:t xml:space="preserve">whole,264 most aircraft operators responding to the survey used method B for MRV. However,</w:t>
      </w:r>
      <w:r>
        <w:t xml:space="preserve"> </w:t>
      </w:r>
      <w:r>
        <w:t xml:space="preserve">only a small proportion used the small emitters tool or Eurocontrol EMIS. Nevertheless, the</w:t>
      </w:r>
      <w:r>
        <w:t xml:space="preserve"> </w:t>
      </w:r>
      <w:r>
        <w:t xml:space="preserve">relatively more straightforward monitoring and reporting requirements for the aviation sector</w:t>
      </w:r>
      <w:r>
        <w:t xml:space="preserve"> </w:t>
      </w:r>
      <w:r>
        <w:t xml:space="preserve">contribute to lower costs.</w:t>
      </w:r>
      <w:r>
        <w:br/>
      </w:r>
      <w:r>
        <w:t xml:space="preserve">In line with the costs, the days spent by aircraft operators on different MRV activities are</w:t>
      </w:r>
      <w:r>
        <w:t xml:space="preserve"> </w:t>
      </w:r>
      <w:r>
        <w:t xml:space="preserve">generally lower than for stationary installations except for activities associated with</w:t>
      </w:r>
      <w:r>
        <w:t xml:space="preserve"> </w:t>
      </w:r>
      <w:r>
        <w:t xml:space="preserve">verification. The costs are significantly higher than the MRV costs discussed in the 2014</w:t>
      </w:r>
      <w:r>
        <w:t xml:space="preserve"> </w:t>
      </w:r>
      <w:r>
        <w:t xml:space="preserve">aviation report, but that focused on small emitters.265 The sample size in the survey for this</w:t>
      </w:r>
      <w:r>
        <w:t xml:space="preserve"> </w:t>
      </w:r>
      <w:r>
        <w:t xml:space="preserve">study is not high enough to distinguish small emitters.</w:t>
      </w:r>
      <w:r>
        <w:br/>
      </w:r>
      <w:r>
        <w:t xml:space="preserve">The sample size in the survey is also too small to allow meaningful disaggregation, so total</w:t>
      </w:r>
      <w:r>
        <w:t xml:space="preserve"> </w:t>
      </w:r>
      <w:r>
        <w:t xml:space="preserve">costs at the EU level have been calculated without disaggregation. Based on 378 active aircraft</w:t>
      </w:r>
      <w:r>
        <w:t xml:space="preserve"> </w:t>
      </w:r>
      <w:r>
        <w:t xml:space="preserve">operators, total costs ranged from EUR 12 – 20 million. With total emissions of the aviation</w:t>
      </w:r>
      <w:r>
        <w:t xml:space="preserve"> </w:t>
      </w:r>
      <w:r>
        <w:t xml:space="preserve">sector of 54 MtCO2 in 2023, the costs range from EUR 0.2 - 0.4 per tonne CO2. These are lower</w:t>
      </w:r>
      <w:r>
        <w:t xml:space="preserve"> </w:t>
      </w:r>
      <w:r>
        <w:t xml:space="preserve">than for stationary installations, as would be expected.</w:t>
      </w:r>
      <w:r>
        <w:t xml:space="preserve"> </w:t>
      </w:r>
      <w:r>
        <w:t xml:space="preserve">Competent authorities MRV costs</w:t>
      </w:r>
      <w:r>
        <w:t xml:space="preserve"> </w:t>
      </w:r>
      <w:r>
        <w:t xml:space="preserve">The competent authority’s costs in relation to MRV can also be distinguished between one-off</w:t>
      </w:r>
      <w:r>
        <w:t xml:space="preserve"> </w:t>
      </w:r>
      <w:r>
        <w:t xml:space="preserve">costs at the start of a trading period when new requirements are introduced and annual costs</w:t>
      </w:r>
      <w:r>
        <w:t xml:space="preserve"> </w:t>
      </w:r>
      <w:r>
        <w:t xml:space="preserve">concerning the continuous management of EU ETS MRV processes. The one-off costs relate</w:t>
      </w:r>
    </w:p>
    <w:p>
      <w:pPr>
        <w:pStyle w:val="BodyText"/>
      </w:pPr>
      <w:r>
        <w:t xml:space="preserve">263 Based on total emissions from stationary installations in 2023 taken from Article 21 reporting.</w:t>
      </w:r>
      <w:r>
        <w:br/>
      </w:r>
      <w:r>
        <w:t xml:space="preserve">264 According to the Article 21 reporting, 85% of AOs use method B.</w:t>
      </w:r>
      <w:r>
        <w:br/>
      </w:r>
      <w:r>
        <w:t xml:space="preserve">265 PwC,</w:t>
      </w:r>
      <w:r>
        <w:t xml:space="preserve"> </w:t>
      </w:r>
      <w:r>
        <w:t xml:space="preserve">2014,</w:t>
      </w:r>
      <w:r>
        <w:t xml:space="preserve"> </w:t>
      </w:r>
      <w:r>
        <w:t xml:space="preserve">“ETS</w:t>
      </w:r>
      <w:r>
        <w:t xml:space="preserve"> </w:t>
      </w:r>
      <w:r>
        <w:t xml:space="preserve">Aviation</w:t>
      </w:r>
      <w:r>
        <w:t xml:space="preserve"> </w:t>
      </w:r>
      <w:r>
        <w:t xml:space="preserve">small</w:t>
      </w:r>
      <w:r>
        <w:t xml:space="preserve"> </w:t>
      </w:r>
      <w:r>
        <w:t xml:space="preserve">emitters”,</w:t>
      </w:r>
      <w:r>
        <w:t xml:space="preserve"> </w:t>
      </w:r>
      <w:r>
        <w:t xml:space="preserve">https://cedelft.eu/wp-</w:t>
      </w:r>
      <w:r>
        <w:t xml:space="preserve"> </w:t>
      </w:r>
      <w:r>
        <w:t xml:space="preserve">content/uploads/sites/2/2021/04/eindrapport.pdf</w:t>
      </w:r>
    </w:p>
    <w:p>
      <w:pPr>
        <w:pStyle w:val="BodyText"/>
      </w:pPr>
      <w:r>
        <w:t xml:space="preserve">171</w:t>
      </w:r>
      <w:r>
        <w:t xml:space="preserve"> </w:t>
      </w:r>
      <w:r>
        <w:t xml:space="preserve">mostly to organising capacity building activities to train and instruct internal staff on new</w:t>
      </w:r>
      <w:r>
        <w:t xml:space="preserve"> </w:t>
      </w:r>
      <w:r>
        <w:t xml:space="preserve">requirements, setting up or adjusting internal processes to new requirements266 The overall</w:t>
      </w:r>
      <w:r>
        <w:t xml:space="preserve"> </w:t>
      </w:r>
      <w:r>
        <w:t xml:space="preserve">costs will depend on the number and type of installations that are being administered and the</w:t>
      </w:r>
      <w:r>
        <w:t xml:space="preserve"> </w:t>
      </w:r>
      <w:r>
        <w:t xml:space="preserve">organisation of the competent authorities themselves. Annual costs for the competent</w:t>
      </w:r>
      <w:r>
        <w:t xml:space="preserve"> </w:t>
      </w:r>
      <w:r>
        <w:t xml:space="preserve">authorities are mostly related to:</w:t>
      </w:r>
      <w:r>
        <w:t xml:space="preserve"> </w:t>
      </w:r>
      <w:r>
        <w:t xml:space="preserve">• continuous capacity building activities (e.g. structured training activities, standardised</w:t>
      </w:r>
      <w:r>
        <w:t xml:space="preserve"> </w:t>
      </w:r>
      <w:r>
        <w:t xml:space="preserve">working groups or meetings, maintenance of the helpdesk and for some competent</w:t>
      </w:r>
      <w:r>
        <w:t xml:space="preserve"> </w:t>
      </w:r>
      <w:r>
        <w:t xml:space="preserve">authority maintenance of national IT system)</w:t>
      </w:r>
      <w:r>
        <w:t xml:space="preserve"> </w:t>
      </w:r>
      <w:r>
        <w:t xml:space="preserve">• addressing notifications of changes to the monitoring plan and approval of significant</w:t>
      </w:r>
      <w:r>
        <w:t xml:space="preserve"> </w:t>
      </w:r>
      <w:r>
        <w:t xml:space="preserve">changes to the monitoring plan</w:t>
      </w:r>
      <w:r>
        <w:t xml:space="preserve"> </w:t>
      </w:r>
      <w:r>
        <w:t xml:space="preserve">• reviewing annual emission reports and verification reports that are submitted by the</w:t>
      </w:r>
      <w:r>
        <w:t xml:space="preserve"> </w:t>
      </w:r>
      <w:r>
        <w:t xml:space="preserve">operator to the competent authority.</w:t>
      </w:r>
      <w:r>
        <w:t xml:space="preserve"> </w:t>
      </w:r>
      <w:r>
        <w:t xml:space="preserve">• inspection and enforcement.</w:t>
      </w:r>
      <w:r>
        <w:t xml:space="preserve"> </w:t>
      </w:r>
      <w:r>
        <w:t xml:space="preserve">Nearly 40% of respondents indicate costs for MRV for stationary installations have increased</w:t>
      </w:r>
      <w:r>
        <w:t xml:space="preserve"> </w:t>
      </w:r>
      <w:r>
        <w:t xml:space="preserve">slightly between Phase III and Phase IV and around 20% that they have remained constant.</w:t>
      </w:r>
      <w:r>
        <w:t xml:space="preserve"> </w:t>
      </w:r>
      <w:r>
        <w:t xml:space="preserve">The reported costs (321 K euro) and days (725) for competent authorities for MRVA of</w:t>
      </w:r>
      <w:r>
        <w:t xml:space="preserve"> </w:t>
      </w:r>
      <w:r>
        <w:t xml:space="preserve">stationary installations are significantly higher than the 2016 administrative cost study. This is</w:t>
      </w:r>
      <w:r>
        <w:t xml:space="preserve"> </w:t>
      </w:r>
      <w:r>
        <w:t xml:space="preserve">also in contrast to the views expressed on cost changes between Phase III and Phase IV. It is</w:t>
      </w:r>
      <w:r>
        <w:t xml:space="preserve"> </w:t>
      </w:r>
      <w:r>
        <w:t xml:space="preserve">possible that competent authorities included costs related to free allocation in their estimates,</w:t>
      </w:r>
      <w:r>
        <w:t xml:space="preserve"> </w:t>
      </w:r>
      <w:r>
        <w:t xml:space="preserve">which increases the scope of their activities. Furthermore, competent authorities were already</w:t>
      </w:r>
      <w:r>
        <w:t xml:space="preserve"> </w:t>
      </w:r>
      <w:r>
        <w:t xml:space="preserve">taken preparatory measures in 2022-2023 to prepare themselves for the scope extensions in EU</w:t>
      </w:r>
      <w:r>
        <w:t xml:space="preserve"> </w:t>
      </w:r>
      <w:r>
        <w:t xml:space="preserve">ETS in 2024 and 2025 by hiring new staff, implementing new tools such as IT systems and</w:t>
      </w:r>
      <w:r>
        <w:t xml:space="preserve"> </w:t>
      </w:r>
      <w:r>
        <w:t xml:space="preserve">changing procedures. Cost increases can also be explained by the fact that most Member States</w:t>
      </w:r>
      <w:r>
        <w:t xml:space="preserve"> </w:t>
      </w:r>
      <w:r>
        <w:t xml:space="preserve">strengthened their procedures to review annual emission reports and inspection procedures and</w:t>
      </w:r>
      <w:r>
        <w:t xml:space="preserve"> </w:t>
      </w:r>
      <w:r>
        <w:t xml:space="preserve">Competent Authorities had to update themselves on the strengthened rules of zero-rating</w:t>
      </w:r>
      <w:r>
        <w:t xml:space="preserve"> </w:t>
      </w:r>
      <w:r>
        <w:t xml:space="preserve">biomass fuels.267 The costs for MRV procedures for aircraft operators are lower at 65K.</w:t>
      </w:r>
      <w:r>
        <w:br/>
      </w:r>
      <w:r>
        <w:t xml:space="preserve">For competent authorities, total costs can be calculated based on either average costs or the</w:t>
      </w:r>
      <w:r>
        <w:t xml:space="preserve"> </w:t>
      </w:r>
      <w:r>
        <w:t xml:space="preserve">number of working days giving a range of 7-13 million EUR.268 Although these are larger than</w:t>
      </w:r>
      <w:r>
        <w:t xml:space="preserve"> </w:t>
      </w:r>
      <w:r>
        <w:t xml:space="preserve">earlier estimates as discussed above, these are small relative to MRV costs for operators of</w:t>
      </w:r>
      <w:r>
        <w:t xml:space="preserve"> </w:t>
      </w:r>
      <w:r>
        <w:t xml:space="preserve">stationary installations. The survey asked respondents about the one-off costs associated with</w:t>
      </w:r>
      <w:r>
        <w:t xml:space="preserve"> </w:t>
      </w:r>
      <w:r>
        <w:t xml:space="preserve">entry into the EU ETS system and capital costs associated with purchase of monitoring and</w:t>
      </w:r>
      <w:r>
        <w:t xml:space="preserve"> </w:t>
      </w:r>
      <w:r>
        <w:t xml:space="preserve">reporting equipment. The estimates provided cover a wide period, depending on when the</w:t>
      </w:r>
      <w:r>
        <w:t xml:space="preserve"> </w:t>
      </w:r>
      <w:r>
        <w:t xml:space="preserve">installation entered EU ETS. Only a few of the survey respondents entered after 2018.</w:t>
      </w:r>
      <w:r>
        <w:br/>
      </w:r>
      <w:r>
        <w:t xml:space="preserve">One-off costs for stationary installations and aircraft operators related to monitoring include:</w:t>
      </w:r>
      <w:r>
        <w:br/>
      </w:r>
      <w:r>
        <w:t xml:space="preserve">• Training and guiding internal staff on the new MRR monitoring rules.</w:t>
      </w:r>
      <w:r>
        <w:t xml:space="preserve"> </w:t>
      </w:r>
      <w:r>
        <w:t xml:space="preserve">• Preparing for the implementation of monitoring and reporting practices.</w:t>
      </w:r>
    </w:p>
    <w:p>
      <w:pPr>
        <w:pStyle w:val="BodyText"/>
      </w:pPr>
      <w:r>
        <w:t xml:space="preserve">266 Adjusting procedures for the approval of monitoring plan to incorporate the new requirements in these</w:t>
      </w:r>
      <w:r>
        <w:t xml:space="preserve"> </w:t>
      </w:r>
      <w:r>
        <w:t xml:space="preserve">procedures, adapting checklists or adapting national guidance.</w:t>
      </w:r>
      <w:r>
        <w:t xml:space="preserve"> </w:t>
      </w:r>
      <w:r>
        <w:t xml:space="preserve">267 In 2023 Member States were required to actively enforce the operator’s requirement to demonstrate</w:t>
      </w:r>
      <w:r>
        <w:t xml:space="preserve"> </w:t>
      </w:r>
      <w:r>
        <w:t xml:space="preserve">compliance with sustainability and greenhouse gas savings criteria.</w:t>
      </w:r>
      <w:r>
        <w:t xml:space="preserve"> </w:t>
      </w:r>
      <w:r>
        <w:t xml:space="preserve">268 It is assumed that there are 30 competent authorities, 27 Member States plus Iceland, Northern Ireland and</w:t>
      </w:r>
      <w:r>
        <w:t xml:space="preserve"> </w:t>
      </w:r>
      <w:r>
        <w:t xml:space="preserve">Norway. Northern Ireland is included as 5 installations are covered by the EU ETS. Liechtenstein is not</w:t>
      </w:r>
      <w:r>
        <w:t xml:space="preserve"> </w:t>
      </w:r>
      <w:r>
        <w:t xml:space="preserve">considered in the cost exercise as there are only 2 installations in Liechtenstein with very low emissions and</w:t>
      </w:r>
      <w:r>
        <w:t xml:space="preserve"> </w:t>
      </w:r>
      <w:r>
        <w:t xml:space="preserve">these installations were considered to being opted out of the EU ETS.</w:t>
      </w:r>
    </w:p>
    <w:p>
      <w:pPr>
        <w:pStyle w:val="BodyText"/>
      </w:pPr>
      <w:r>
        <w:t xml:space="preserve">172</w:t>
      </w:r>
      <w:r>
        <w:t xml:space="preserve"> </w:t>
      </w:r>
      <w:r>
        <w:t xml:space="preserve">• Drafting the monitoring plan and obtaining approval from the competent authority.</w:t>
      </w:r>
      <w:r>
        <w:t xml:space="preserve"> </w:t>
      </w:r>
      <w:r>
        <w:t xml:space="preserve">Generally, these costs cover not only the drafting process but also the communication</w:t>
      </w:r>
      <w:r>
        <w:t xml:space="preserve"> </w:t>
      </w:r>
      <w:r>
        <w:t xml:space="preserve">with the competent authority during the approval process. For stationary installations</w:t>
      </w:r>
      <w:r>
        <w:t xml:space="preserve"> </w:t>
      </w:r>
      <w:r>
        <w:t xml:space="preserve">there are some additional one-off costs that are not applicable to aircraft operators: these</w:t>
      </w:r>
      <w:r>
        <w:t xml:space="preserve"> </w:t>
      </w:r>
      <w:r>
        <w:t xml:space="preserve">costs relate to obtaining an ETS permit from the competent authority.</w:t>
      </w:r>
      <w:r>
        <w:br/>
      </w:r>
      <w:r>
        <w:t xml:space="preserve">• Setting up and implementing the operator’s or aircraft operator’s control system and</w:t>
      </w:r>
      <w:r>
        <w:t xml:space="preserve"> </w:t>
      </w:r>
      <w:r>
        <w:t xml:space="preserve">procedures. This concerns setting-up and implementing the control activities that are</w:t>
      </w:r>
      <w:r>
        <w:t xml:space="preserve"> </w:t>
      </w:r>
      <w:r>
        <w:t xml:space="preserve">tailored to the risks in the data flow of the installation or aircraft operator and the various</w:t>
      </w:r>
      <w:r>
        <w:t xml:space="preserve"> </w:t>
      </w:r>
      <w:r>
        <w:t xml:space="preserve">procedures that must be designed and implemented to mitigate the risks that control</w:t>
      </w:r>
      <w:r>
        <w:t xml:space="preserve"> </w:t>
      </w:r>
      <w:r>
        <w:t xml:space="preserve">activities are not functioning effectively.</w:t>
      </w:r>
      <w:r>
        <w:br/>
      </w:r>
      <w:r>
        <w:t xml:space="preserve">• Additional costs may include the purchase of monitoring equipment and reporting</w:t>
      </w:r>
      <w:r>
        <w:t xml:space="preserve"> </w:t>
      </w:r>
      <w:r>
        <w:t xml:space="preserve">equipment.</w:t>
      </w:r>
      <w:r>
        <w:br/>
      </w:r>
      <w:r>
        <w:t xml:space="preserve">• One-off costs related to reporting involve setting up data management systems for</w:t>
      </w:r>
      <w:r>
        <w:t xml:space="preserve"> </w:t>
      </w:r>
      <w:r>
        <w:t xml:space="preserve">collecting emission reporting data. If these systems were already available, the costs</w:t>
      </w:r>
      <w:r>
        <w:t xml:space="preserve"> </w:t>
      </w:r>
      <w:r>
        <w:t xml:space="preserve">would be for adapting them to emission reporting.</w:t>
      </w:r>
      <w:r>
        <w:t xml:space="preserve"> </w:t>
      </w:r>
      <w:r>
        <w:t xml:space="preserve">Surprisingly, estimates for the capital costs associated with implementing technologies for</w:t>
      </w:r>
      <w:r>
        <w:t xml:space="preserve"> </w:t>
      </w:r>
      <w:r>
        <w:t xml:space="preserve">reporting are higher than those for monitoring. Most of these costs are for IT systems, which</w:t>
      </w:r>
      <w:r>
        <w:t xml:space="preserve"> </w:t>
      </w:r>
      <w:r>
        <w:t xml:space="preserve">facilitate both monitoring and reporting processes for stationary installations. With respect to</w:t>
      </w:r>
      <w:r>
        <w:t xml:space="preserve"> </w:t>
      </w:r>
      <w:r>
        <w:t xml:space="preserve">monitoring, the reported expenditure is largely for metering devices.</w:t>
      </w:r>
      <w:r>
        <w:br/>
      </w:r>
      <w:r>
        <w:t xml:space="preserve">Respondents to the survey indicated that for stationary installations, drafting a monitoring plan</w:t>
      </w:r>
      <w:r>
        <w:t xml:space="preserve"> </w:t>
      </w:r>
      <w:r>
        <w:t xml:space="preserve">and establishing the control system and procedures are each 30% of the one-off costs on</w:t>
      </w:r>
      <w:r>
        <w:t xml:space="preserve"> </w:t>
      </w:r>
      <w:r>
        <w:t xml:space="preserve">entering the EU ETS system.</w:t>
      </w:r>
      <w:r>
        <w:br/>
      </w:r>
      <w:r>
        <w:t xml:space="preserve">For aircraft operators, the average costs for MRV on entering the EU ETS system are around</w:t>
      </w:r>
      <w:r>
        <w:t xml:space="preserve"> </w:t>
      </w:r>
      <w:r>
        <w:t xml:space="preserve">half that of stationary installations. Respondents to the survey reported that purchasing of</w:t>
      </w:r>
      <w:r>
        <w:t xml:space="preserve"> </w:t>
      </w:r>
      <w:r>
        <w:t xml:space="preserve">equipment was the biggest component at around 40%.</w:t>
      </w:r>
      <w:r>
        <w:t xml:space="preserve"> </w:t>
      </w:r>
      <w:r>
        <w:t xml:space="preserve">As described previously, the Commission periodically revises regulations in response to</w:t>
      </w:r>
      <w:r>
        <w:t xml:space="preserve"> </w:t>
      </w:r>
      <w:r>
        <w:t xml:space="preserve">changes in the Directive and/or to improve the functioning of the MRV system. In addition,</w:t>
      </w:r>
      <w:r>
        <w:t xml:space="preserve"> </w:t>
      </w:r>
      <w:r>
        <w:t xml:space="preserve">guidance and templates for various aspects are regularly updated to adapt to new legislation</w:t>
      </w:r>
      <w:r>
        <w:t xml:space="preserve"> </w:t>
      </w:r>
      <w:r>
        <w:t xml:space="preserve">and to facilitate the implementation of MRV implementation and increase the effectiveness and</w:t>
      </w:r>
      <w:r>
        <w:t xml:space="preserve"> </w:t>
      </w:r>
      <w:r>
        <w:t xml:space="preserve">efficiency of the system. A minority of respondents to the survey mentioned improved</w:t>
      </w:r>
      <w:r>
        <w:t xml:space="preserve"> </w:t>
      </w:r>
      <w:r>
        <w:t xml:space="preserve">guidance, improvement in the reporting platforms and more standardised procedures as</w:t>
      </w:r>
      <w:r>
        <w:t xml:space="preserve"> </w:t>
      </w:r>
      <w:r>
        <w:t xml:space="preserve">improvements between Phase III and Phase IV.</w:t>
      </w:r>
      <w:r>
        <w:t xml:space="preserve"> </w:t>
      </w:r>
      <w:r>
        <w:t xml:space="preserve">Stakeholders regularly share information on their experiences with the implementing MRV</w:t>
      </w:r>
      <w:r>
        <w:t xml:space="preserve"> </w:t>
      </w:r>
      <w:r>
        <w:t xml:space="preserve">requirements in various fora. In the Technical Working Group on MRV MS Competent</w:t>
      </w:r>
      <w:r>
        <w:t xml:space="preserve"> </w:t>
      </w:r>
      <w:r>
        <w:t xml:space="preserve">Authority’s provided input into legislation and guidance in stakeholder consultations. In</w:t>
      </w:r>
      <w:r>
        <w:t xml:space="preserve"> </w:t>
      </w:r>
      <w:r>
        <w:t xml:space="preserve">various CCEGs industry associations can exchange information. Another platform for</w:t>
      </w:r>
      <w:r>
        <w:t xml:space="preserve"> </w:t>
      </w:r>
      <w:r>
        <w:t xml:space="preserve">exchanging information is the Compliance Forum where Member State competent authorities</w:t>
      </w:r>
      <w:r>
        <w:t xml:space="preserve"> </w:t>
      </w:r>
      <w:r>
        <w:t xml:space="preserve">share good practices and discuss practical MRV implementation issues. These stakeholder</w:t>
      </w:r>
      <w:r>
        <w:t xml:space="preserve"> </w:t>
      </w:r>
      <w:r>
        <w:t xml:space="preserve">consultation processes not only contribute to a more effective implementation of EU ETS but</w:t>
      </w:r>
      <w:r>
        <w:t xml:space="preserve"> </w:t>
      </w:r>
      <w:r>
        <w:t xml:space="preserve">also increased harmonisation having a positive impact on the overall efficiency of the MRVA</w:t>
      </w:r>
      <w:r>
        <w:t xml:space="preserve"> </w:t>
      </w:r>
      <w:r>
        <w:t xml:space="preserve">system.</w:t>
      </w:r>
      <w:r>
        <w:t xml:space="preserve"> </w:t>
      </w:r>
      <w:r>
        <w:t xml:space="preserve">Improvements in monitoring and reporting</w:t>
      </w:r>
      <w:r>
        <w:t xml:space="preserve"> </w:t>
      </w:r>
      <w:r>
        <w:t xml:space="preserve">In the survey, interviews and reality check workshop respondents mentioned that there are still</w:t>
      </w:r>
      <w:r>
        <w:t xml:space="preserve"> </w:t>
      </w:r>
      <w:r>
        <w:t xml:space="preserve">opportunities for improvements, despite improvements, despite the changes already in the</w:t>
      </w:r>
    </w:p>
    <w:p>
      <w:pPr>
        <w:pStyle w:val="BodyText"/>
      </w:pPr>
      <w:r>
        <w:t xml:space="preserve">173</w:t>
      </w:r>
      <w:r>
        <w:t xml:space="preserve"> </w:t>
      </w:r>
      <w:r>
        <w:t xml:space="preserve">MRV system and made some suggestions. The options for improvements and streamlining</w:t>
      </w:r>
      <w:r>
        <w:t xml:space="preserve"> </w:t>
      </w:r>
      <w:r>
        <w:t xml:space="preserve">identified by respondents to the survey and OPC broadly fall into the following categories:</w:t>
      </w:r>
      <w:r>
        <w:t xml:space="preserve"> </w:t>
      </w:r>
      <w:r>
        <w:t xml:space="preserve">• Changes to the requirements for site visits for verification. A verifier must carry out</w:t>
      </w:r>
      <w:r>
        <w:t xml:space="preserve"> </w:t>
      </w:r>
      <w:r>
        <w:t xml:space="preserve">a site visit during the verification.269 Under certain conditions laid down in Articles 31</w:t>
      </w:r>
      <w:r>
        <w:t xml:space="preserve"> </w:t>
      </w:r>
      <w:r>
        <w:t xml:space="preserve">and 32 of the AVR, a site visit may be waived for stationary installations. Conditions</w:t>
      </w:r>
      <w:r>
        <w:t xml:space="preserve"> </w:t>
      </w:r>
      <w:r>
        <w:t xml:space="preserve">for waiving site visits in the aviation sector are included in Article 33 of the AVR. In</w:t>
      </w:r>
      <w:r>
        <w:t xml:space="preserve"> </w:t>
      </w:r>
      <w:r>
        <w:t xml:space="preserve">practice the number of site visits waived for both stationary installations and aircraft</w:t>
      </w:r>
      <w:r>
        <w:t xml:space="preserve"> </w:t>
      </w:r>
      <w:r>
        <w:t xml:space="preserve">operators is relatively low.270 It was suggested that more site visits should be waived or</w:t>
      </w:r>
      <w:r>
        <w:t xml:space="preserve"> </w:t>
      </w:r>
      <w:r>
        <w:t xml:space="preserve">conducted remotely, or the frequency of site visits could be reduced, for example where</w:t>
      </w:r>
      <w:r>
        <w:t xml:space="preserve"> </w:t>
      </w:r>
      <w:r>
        <w:t xml:space="preserve">the technological characteristics of a site are unchanged.</w:t>
      </w:r>
      <w:r>
        <w:t xml:space="preserve"> </w:t>
      </w:r>
      <w:r>
        <w:t xml:space="preserve">• Changes to deadlines. Operators must submit verified emissions reports to competent</w:t>
      </w:r>
      <w:r>
        <w:t xml:space="preserve"> </w:t>
      </w:r>
      <w:r>
        <w:t xml:space="preserve">authorities by 31 March of the year following the reporting year. The deadline for</w:t>
      </w:r>
      <w:r>
        <w:t xml:space="preserve"> </w:t>
      </w:r>
      <w:r>
        <w:t xml:space="preserve">submitting improvement report is 30 June. If an operator is receiving free allocation,</w:t>
      </w:r>
      <w:r>
        <w:t xml:space="preserve"> </w:t>
      </w:r>
      <w:r>
        <w:t xml:space="preserve">they also need to submit a verified annual activity level report by 31 March. A fixed</w:t>
      </w:r>
      <w:r>
        <w:t xml:space="preserve"> </w:t>
      </w:r>
      <w:r>
        <w:t xml:space="preserve">deadline for submitting monitoring plans is not prescribed in legislation for stationary</w:t>
      </w:r>
      <w:r>
        <w:t xml:space="preserve"> </w:t>
      </w:r>
      <w:r>
        <w:t xml:space="preserve">installations but aircraft operators are required to submit a monitoring at least 3 months</w:t>
      </w:r>
      <w:r>
        <w:t xml:space="preserve"> </w:t>
      </w:r>
      <w:r>
        <w:t xml:space="preserve">before the monitoring cycle starts. Significant changes to the monitoring plan must be</w:t>
      </w:r>
      <w:r>
        <w:t xml:space="preserve"> </w:t>
      </w:r>
      <w:r>
        <w:t xml:space="preserve">notified without undue delay and other changes to the monitoring plan must be notified</w:t>
      </w:r>
      <w:r>
        <w:t xml:space="preserve"> </w:t>
      </w:r>
      <w:r>
        <w:t xml:space="preserve">at the latest by 31 December of each year. Most of the suggestions regarding an</w:t>
      </w:r>
      <w:r>
        <w:t xml:space="preserve"> </w:t>
      </w:r>
      <w:r>
        <w:t xml:space="preserve">adjustment of deadlines related to an extension of the submission deadline of the annual</w:t>
      </w:r>
      <w:r>
        <w:t xml:space="preserve"> </w:t>
      </w:r>
      <w:r>
        <w:t xml:space="preserve">activity level report. However, others also suggested delaying the deadline for</w:t>
      </w:r>
      <w:r>
        <w:t xml:space="preserve"> </w:t>
      </w:r>
      <w:r>
        <w:t xml:space="preserve">significant changes to the Monitoring Plans and improvement reports. It is however</w:t>
      </w:r>
      <w:r>
        <w:t xml:space="preserve"> </w:t>
      </w:r>
      <w:r>
        <w:t xml:space="preserve">noted that competent authorities may set an alternative date to the required deadline of</w:t>
      </w:r>
      <w:r>
        <w:t xml:space="preserve"> </w:t>
      </w:r>
      <w:r>
        <w:t xml:space="preserve">30 June, but no later than 30 September.</w:t>
      </w:r>
      <w:r>
        <w:t xml:space="preserve"> </w:t>
      </w:r>
      <w:r>
        <w:t xml:space="preserve">• Harmonising EU ETS/RED/Waste Framework Directive requirements. The ETS</w:t>
      </w:r>
      <w:r>
        <w:t xml:space="preserve"> </w:t>
      </w:r>
      <w:r>
        <w:t xml:space="preserve">Directive allows that the emission factor from biomass and certain other renewable</w:t>
      </w:r>
      <w:r>
        <w:t xml:space="preserve"> </w:t>
      </w:r>
      <w:r>
        <w:t xml:space="preserve">fuels271 be set to zero. A precondition for this is that the operator must demonstrate</w:t>
      </w:r>
      <w:r>
        <w:t xml:space="preserve"> </w:t>
      </w:r>
      <w:r>
        <w:t xml:space="preserve">compliance of biomass fuels with applicable greenhouse gas savings or sustainability</w:t>
      </w:r>
      <w:r>
        <w:t xml:space="preserve"> </w:t>
      </w:r>
      <w:r>
        <w:t xml:space="preserve">criteria laid down in Article 29(2) to 29(7) and (10) Renewable Energy Directive.272</w:t>
      </w:r>
      <w:r>
        <w:t xml:space="preserve"> </w:t>
      </w:r>
      <w:r>
        <w:t xml:space="preserve">Installations also have other reporting requirements under the Industrial Emissions</w:t>
      </w:r>
      <w:r>
        <w:t xml:space="preserve"> </w:t>
      </w:r>
      <w:r>
        <w:t xml:space="preserve">Directive, the Waste Framework Directive and other environmental reporting</w:t>
      </w:r>
      <w:r>
        <w:t xml:space="preserve"> </w:t>
      </w:r>
      <w:r>
        <w:t xml:space="preserve">regulations. Respondents to the survey expressed the need for more streamlining on the</w:t>
      </w:r>
      <w:r>
        <w:t xml:space="preserve"> </w:t>
      </w:r>
      <w:r>
        <w:t xml:space="preserve">evidence needed to demonstrate compliance with the REDII criteria and for seeking</w:t>
      </w:r>
      <w:r>
        <w:t xml:space="preserve"> </w:t>
      </w:r>
      <w:r>
        <w:t xml:space="preserve">more opportunities to integrate EU ETS verification and REDII audits (in terms of</w:t>
      </w:r>
      <w:r>
        <w:t xml:space="preserve"> </w:t>
      </w:r>
      <w:r>
        <w:t xml:space="preserve">timelines and processes). Extending biomass certification schemes to industrial</w:t>
      </w:r>
      <w:r>
        <w:t xml:space="preserve"> </w:t>
      </w:r>
      <w:r>
        <w:t xml:space="preserve">residues and waste streams was also suggested. Aircraft operators also called for</w:t>
      </w:r>
      <w:r>
        <w:t xml:space="preserve"> </w:t>
      </w:r>
      <w:r>
        <w:t xml:space="preserve">simplifications in the rules to demonstrate sustainability of Sustainable Aircraft Fuels.</w:t>
      </w:r>
      <w:r>
        <w:t xml:space="preserve"> </w:t>
      </w:r>
      <w:r>
        <w:t xml:space="preserve">Other suggestions for streamlining concerned the need for avoiding overlap in reporting</w:t>
      </w:r>
      <w:r>
        <w:t xml:space="preserve"> </w:t>
      </w:r>
      <w:r>
        <w:t xml:space="preserve">requirements and to integrate different environmental reporting mechanisms.</w:t>
      </w:r>
    </w:p>
    <w:p>
      <w:pPr>
        <w:pStyle w:val="BodyText"/>
      </w:pPr>
      <w:r>
        <w:t xml:space="preserve">269 The risks identified in the installation and the verifier’s risk analysis have an impact on the locations to be</w:t>
      </w:r>
      <w:r>
        <w:t xml:space="preserve"> </w:t>
      </w:r>
      <w:r>
        <w:t xml:space="preserve">visited and the number of site visits to be carried out during the verification.</w:t>
      </w:r>
      <w:r>
        <w:br/>
      </w:r>
      <w:r>
        <w:t xml:space="preserve">270 European Commission (2024)</w:t>
      </w:r>
      <w:r>
        <w:t xml:space="preserve"> </w:t>
      </w:r>
      <w:r>
        <w:t xml:space="preserve">271 Renewable fuels of non-biological origin, recycled carbon fuels and synthetic low carbon fuels</w:t>
      </w:r>
      <w:r>
        <w:t xml:space="preserve"> </w:t>
      </w:r>
      <w:r>
        <w:t xml:space="preserve">272 For RNFBOs and RCF the greenhouse gas savings criteria are included in Article 29a of REDII and for SLCF</w:t>
      </w:r>
      <w:r>
        <w:t xml:space="preserve"> </w:t>
      </w:r>
      <w:r>
        <w:t xml:space="preserve">compliance of zero-rated synthetic low carbon fuels with the greenhouse gas emission reduction threshold as</w:t>
      </w:r>
      <w:r>
        <w:t xml:space="preserve"> </w:t>
      </w:r>
      <w:r>
        <w:t xml:space="preserve">referred to in Article 2, point (13), of Directive (EU) 2024/1788 must be demonstrated. These requirements</w:t>
      </w:r>
      <w:r>
        <w:t xml:space="preserve"> </w:t>
      </w:r>
      <w:r>
        <w:t xml:space="preserve">entered into force from 1 January 2025 and are therefore not included in this evaluation.</w:t>
      </w:r>
    </w:p>
    <w:p>
      <w:pPr>
        <w:pStyle w:val="BodyText"/>
      </w:pPr>
      <w:r>
        <w:t xml:space="preserve">174</w:t>
      </w:r>
      <w:r>
        <w:t xml:space="preserve"> </w:t>
      </w:r>
      <w:r>
        <w:t xml:space="preserve">• Relaxing requirement on monitoring accuracy. As indicated under the section on</w:t>
      </w:r>
      <w:r>
        <w:t xml:space="preserve"> </w:t>
      </w:r>
      <w:r>
        <w:t xml:space="preserve">effectiveness the MRR currently already allows operators of installations to choose</w:t>
      </w:r>
      <w:r>
        <w:t xml:space="preserve"> </w:t>
      </w:r>
      <w:r>
        <w:t xml:space="preserve">between calculation-based methodologies and measurement-based methodologies.273</w:t>
      </w:r>
      <w:r>
        <w:t xml:space="preserve"> </w:t>
      </w:r>
      <w:r>
        <w:t xml:space="preserve">Within the applicable tier approach, even installations that must meet the highest tier</w:t>
      </w:r>
      <w:r>
        <w:t xml:space="preserve"> </w:t>
      </w:r>
      <w:r>
        <w:t xml:space="preserve">and the most stringent MRV requirements can deviate from those requirements in the</w:t>
      </w:r>
      <w:r>
        <w:t xml:space="preserve"> </w:t>
      </w:r>
      <w:r>
        <w:t xml:space="preserve">case of unreasonable costs or technical infeasibility. Only as a last resort can a fall-back</w:t>
      </w:r>
      <w:r>
        <w:t xml:space="preserve"> </w:t>
      </w:r>
      <w:r>
        <w:t xml:space="preserve">approach be applied. A key element in ensuring that the required uncertainty levels</w:t>
      </w:r>
      <w:r>
        <w:t xml:space="preserve"> </w:t>
      </w:r>
      <w:r>
        <w:t xml:space="preserve">associated with the applicable tier and the overall uncertainty level of the fall-back</w:t>
      </w:r>
      <w:r>
        <w:t xml:space="preserve"> </w:t>
      </w:r>
      <w:r>
        <w:t xml:space="preserve">approach is applied are uncertainty assessment. Even though the legislation and</w:t>
      </w:r>
      <w:r>
        <w:t xml:space="preserve"> </w:t>
      </w:r>
      <w:r>
        <w:t xml:space="preserve">guidance already build in several simplifications, respondents to the survey suggest the</w:t>
      </w:r>
      <w:r>
        <w:t xml:space="preserve"> </w:t>
      </w:r>
      <w:r>
        <w:t xml:space="preserve">need for simplified or tailored requirements for uncertainty calculations Other</w:t>
      </w:r>
      <w:r>
        <w:t xml:space="preserve"> </w:t>
      </w:r>
      <w:r>
        <w:t xml:space="preserve">suggested simplifications concern the use of standard emissions factors for certain</w:t>
      </w:r>
      <w:r>
        <w:t xml:space="preserve"> </w:t>
      </w:r>
      <w:r>
        <w:t xml:space="preserve">fuels, rather than requiring regular sampling of the fuel, without having to demonstrate</w:t>
      </w:r>
      <w:r>
        <w:t xml:space="preserve"> </w:t>
      </w:r>
      <w:r>
        <w:t xml:space="preserve">unreasonable costs or technical infeasibility. The documentation around uncertainty</w:t>
      </w:r>
      <w:r>
        <w:t xml:space="preserve"> </w:t>
      </w:r>
      <w:r>
        <w:t xml:space="preserve">assessments and risk assessment was also highlighted as causing high administrative</w:t>
      </w:r>
      <w:r>
        <w:t xml:space="preserve"> </w:t>
      </w:r>
      <w:r>
        <w:t xml:space="preserve">burden.</w:t>
      </w:r>
      <w:r>
        <w:br/>
      </w:r>
      <w:r>
        <w:t xml:space="preserve">• Further simplifications for small installations. The current monitoring structure</w:t>
      </w:r>
      <w:r>
        <w:t xml:space="preserve"> </w:t>
      </w:r>
      <w:r>
        <w:t xml:space="preserve">already allows small installations to move to less stringent monitoring requirements.</w:t>
      </w:r>
      <w:r>
        <w:t xml:space="preserve"> </w:t>
      </w:r>
      <w:r>
        <w:t xml:space="preserve">Small aircraft operators and aircraft operators having emissions of less than 3000 tonnes</w:t>
      </w:r>
      <w:r>
        <w:t xml:space="preserve"> </w:t>
      </w:r>
      <w:r>
        <w:t xml:space="preserve">of CO2 can also choose to use the Small Emitters Tool or the Eurocontrol EMIS tool</w:t>
      </w:r>
      <w:r>
        <w:t xml:space="preserve"> </w:t>
      </w:r>
      <w:r>
        <w:t xml:space="preserve">which simplifies reporting and reduces verification requirements. However, some</w:t>
      </w:r>
      <w:r>
        <w:t xml:space="preserve"> </w:t>
      </w:r>
      <w:r>
        <w:t xml:space="preserve">respondents felt that there could be further simplification for small installations or small</w:t>
      </w:r>
      <w:r>
        <w:t xml:space="preserve"> </w:t>
      </w:r>
      <w:r>
        <w:t xml:space="preserve">sources or source streams within a larger installation.</w:t>
      </w:r>
      <w:r>
        <w:t xml:space="preserve"> </w:t>
      </w:r>
      <w:r>
        <w:t xml:space="preserve">• More timely provision of guidance and templates and easier access to the latest</w:t>
      </w:r>
      <w:r>
        <w:t xml:space="preserve"> </w:t>
      </w:r>
      <w:r>
        <w:t xml:space="preserve">version of all documents. The Commission provides a variety of guidance, templates</w:t>
      </w:r>
      <w:r>
        <w:t xml:space="preserve"> </w:t>
      </w:r>
      <w:r>
        <w:t xml:space="preserve">and tools to facilitate the process of MRVA.274 Additionally, countries implement their</w:t>
      </w:r>
      <w:r>
        <w:t xml:space="preserve"> </w:t>
      </w:r>
      <w:r>
        <w:t xml:space="preserve">own tools and procedures depending on national circumstances. Several respondents in</w:t>
      </w:r>
      <w:r>
        <w:t xml:space="preserve"> </w:t>
      </w:r>
      <w:r>
        <w:t xml:space="preserve">the survey and in interviews mentioned that guidance and templates were not always</w:t>
      </w:r>
      <w:r>
        <w:t xml:space="preserve"> </w:t>
      </w:r>
      <w:r>
        <w:t xml:space="preserve">provided in a timely manner, particularly not in local languages. This was said to</w:t>
      </w:r>
      <w:r>
        <w:t xml:space="preserve"> </w:t>
      </w:r>
      <w:r>
        <w:t xml:space="preserve">introduce inefficiencies into the system. One suggestion was to make more use of AI</w:t>
      </w:r>
      <w:r>
        <w:t xml:space="preserve"> </w:t>
      </w:r>
      <w:r>
        <w:t xml:space="preserve">for these translations. Others suggested that templates needed to be improved, without</w:t>
      </w:r>
      <w:r>
        <w:t xml:space="preserve"> </w:t>
      </w:r>
      <w:r>
        <w:t xml:space="preserve">more specifics. Additionally, it was commented that it was not always easy to find the</w:t>
      </w:r>
      <w:r>
        <w:t xml:space="preserve"> </w:t>
      </w:r>
      <w:r>
        <w:t xml:space="preserve">latest version of all the relevant documents so it would be useful if there was a central</w:t>
      </w:r>
      <w:r>
        <w:t xml:space="preserve"> </w:t>
      </w:r>
      <w:r>
        <w:t xml:space="preserve">place that provided the links only to the most up-to-date documents.</w:t>
      </w:r>
      <w:r>
        <w:t xml:space="preserve"> </w:t>
      </w:r>
      <w:r>
        <w:t xml:space="preserve">• More streamlining with the Industrial Emissions Directive (IED). The IED</w:t>
      </w:r>
      <w:r>
        <w:t xml:space="preserve"> </w:t>
      </w:r>
      <w:r>
        <w:t xml:space="preserve">regulates pollution from industrial production processes. Through its regulation of air</w:t>
      </w:r>
      <w:r>
        <w:t xml:space="preserve"> </w:t>
      </w:r>
      <w:r>
        <w:t xml:space="preserve">pollutants, there is overlap with EU ETS for stationary installations. The ETS Directive</w:t>
      </w:r>
      <w:r>
        <w:t xml:space="preserve"> </w:t>
      </w:r>
      <w:r>
        <w:t xml:space="preserve">already contains requirements for Member States to coordinate permitting procedures</w:t>
      </w:r>
      <w:r>
        <w:t xml:space="preserve"> </w:t>
      </w:r>
      <w:r>
        <w:t xml:space="preserve">under the IED and the EU ETS which was implemented differently by Member</w:t>
      </w:r>
      <w:r>
        <w:t xml:space="preserve"> </w:t>
      </w:r>
      <w:r>
        <w:t xml:space="preserve">States275. Streamlining is in some cases also taken up in the inspection procedures. In</w:t>
      </w:r>
      <w:r>
        <w:t xml:space="preserve"> </w:t>
      </w:r>
      <w:r>
        <w:t xml:space="preserve">most countries the inspection is based on the inspection procedures that have been</w:t>
      </w:r>
    </w:p>
    <w:p>
      <w:pPr>
        <w:pStyle w:val="BodyText"/>
      </w:pPr>
      <w:r>
        <w:t xml:space="preserve">273 In some cases, installations are however required to apply a certain methodology: for example, installations</w:t>
      </w:r>
      <w:r>
        <w:t xml:space="preserve"> </w:t>
      </w:r>
      <w:r>
        <w:t xml:space="preserve">producing nitric acid must apply continuous emission measurement according to the MRR.</w:t>
      </w:r>
      <w:r>
        <w:br/>
      </w:r>
      <w:r>
        <w:t xml:space="preserve">274 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Monitoring,</w:t>
      </w:r>
      <w:r>
        <w:t xml:space="preserve"> </w:t>
      </w:r>
      <w:r>
        <w:t xml:space="preserve">reporting</w:t>
      </w:r>
      <w:r>
        <w:t xml:space="preserve"> </w:t>
      </w:r>
      <w:r>
        <w:t xml:space="preserve">and</w:t>
      </w:r>
      <w:r>
        <w:t xml:space="preserve"> </w:t>
      </w:r>
      <w:r>
        <w:t xml:space="preserve">verification,</w:t>
      </w:r>
      <w:r>
        <w:t xml:space="preserve"> </w:t>
      </w:r>
      <w:r>
        <w:t xml:space="preserve">https://climate.ec.europa.eu/eu-</w:t>
      </w:r>
      <w:r>
        <w:t xml:space="preserve"> </w:t>
      </w:r>
      <w:r>
        <w:t xml:space="preserve">action/carbon-markets/eu-emissions-trading-system-eu-ets/monitoring-reporting-and-verification_en</w:t>
      </w:r>
      <w:r>
        <w:t xml:space="preserve"> </w:t>
      </w:r>
      <w:r>
        <w:t xml:space="preserve">275 In some Member States the ETS permit is part of the IED permit whereas in other Member States coordination</w:t>
      </w:r>
      <w:r>
        <w:t xml:space="preserve"> </w:t>
      </w:r>
      <w:r>
        <w:t xml:space="preserve">was followed up by regular communication between IED authorities and the EU ETS competent authority or</w:t>
      </w:r>
      <w:r>
        <w:t xml:space="preserve"> </w:t>
      </w:r>
      <w:r>
        <w:t xml:space="preserve">alignment with procedures.</w:t>
      </w:r>
    </w:p>
    <w:p>
      <w:pPr>
        <w:pStyle w:val="BodyText"/>
      </w:pPr>
      <w:r>
        <w:t xml:space="preserve">175</w:t>
      </w:r>
      <w:r>
        <w:t xml:space="preserve"> </w:t>
      </w:r>
      <w:r>
        <w:t xml:space="preserve">implemented under the scope of the IED. Even though such streamlining does not</w:t>
      </w:r>
      <w:r>
        <w:t xml:space="preserve"> </w:t>
      </w:r>
      <w:r>
        <w:t xml:space="preserve">always guarantee the highest environmental integrity and quality of the MRV</w:t>
      </w:r>
      <w:r>
        <w:t xml:space="preserve"> </w:t>
      </w:r>
      <w:r>
        <w:t xml:space="preserve">process276, Member States themselves have taken step to streamline procedures. It was</w:t>
      </w:r>
      <w:r>
        <w:t xml:space="preserve"> </w:t>
      </w:r>
      <w:r>
        <w:t xml:space="preserve">suggested to create a single reporting platform for both the EU ETS and IED, although</w:t>
      </w:r>
      <w:r>
        <w:t xml:space="preserve"> </w:t>
      </w:r>
      <w:r>
        <w:t xml:space="preserve">there was some concern that this would lead to a too complex system. Other suggestions</w:t>
      </w:r>
      <w:r>
        <w:t xml:space="preserve"> </w:t>
      </w:r>
      <w:r>
        <w:t xml:space="preserve">include removing requirements to report on CO2 under the IED, creating a single permit</w:t>
      </w:r>
      <w:r>
        <w:t xml:space="preserve"> </w:t>
      </w:r>
      <w:r>
        <w:t xml:space="preserve">for pollution and EU ETS and promoting better co-ordination between the regulators</w:t>
      </w:r>
      <w:r>
        <w:t xml:space="preserve"> </w:t>
      </w:r>
      <w:r>
        <w:t xml:space="preserve">for different systems.</w:t>
      </w:r>
      <w:r>
        <w:t xml:space="preserve"> </w:t>
      </w:r>
      <w:r>
        <w:t xml:space="preserve">• Better alignment between EU ETS and CORSIA. The Carbon Offsetting and</w:t>
      </w:r>
      <w:r>
        <w:t xml:space="preserve"> </w:t>
      </w:r>
      <w:r>
        <w:t xml:space="preserve">Reduction Scheme for Internation Aviation (CORSIA) is a global market-based</w:t>
      </w:r>
      <w:r>
        <w:t xml:space="preserve"> </w:t>
      </w:r>
      <w:r>
        <w:t xml:space="preserve">measure to address CO2 emissions in aviation. Commission Delegated Regulation</w:t>
      </w:r>
      <w:r>
        <w:t xml:space="preserve"> </w:t>
      </w:r>
      <w:r>
        <w:t xml:space="preserve">2025/927 regulates that the MRR and the AVR should be applied when monitoring and</w:t>
      </w:r>
      <w:r>
        <w:t xml:space="preserve"> </w:t>
      </w:r>
      <w:r>
        <w:t xml:space="preserve">reporting emissions under CORSIA thereby fully implementing the second Edition of</w:t>
      </w:r>
      <w:r>
        <w:t xml:space="preserve"> </w:t>
      </w:r>
      <w:r>
        <w:t xml:space="preserve">Annex 16, Volume IV of the SARPs on CORSIA. However, some aircraft operators</w:t>
      </w:r>
      <w:r>
        <w:t xml:space="preserve"> </w:t>
      </w:r>
      <w:r>
        <w:t xml:space="preserve">suggest there could be further streamlining without being specific.</w:t>
      </w:r>
      <w:r>
        <w:t xml:space="preserve"> </w:t>
      </w:r>
      <w:r>
        <w:t xml:space="preserve">• Simplification of procedures for competent authorities and reduced timelines for</w:t>
      </w:r>
      <w:r>
        <w:t xml:space="preserve"> </w:t>
      </w:r>
      <w:r>
        <w:t xml:space="preserve">approval. The MRR requires improvement reports to be approved by the Competent</w:t>
      </w:r>
      <w:r>
        <w:t xml:space="preserve"> </w:t>
      </w:r>
      <w:r>
        <w:t xml:space="preserve">Authority and the AVR obligates stationary installations that emit more than 25ktonnes</w:t>
      </w:r>
      <w:r>
        <w:t xml:space="preserve"> </w:t>
      </w:r>
      <w:r>
        <w:t xml:space="preserve">of CO2e to seek approval from the competent authority to waive a verifier’s site visit.</w:t>
      </w:r>
      <w:r>
        <w:br/>
      </w:r>
      <w:r>
        <w:t xml:space="preserve">It was suggested that some of the requirements for procedures for approving</w:t>
      </w:r>
      <w:r>
        <w:t xml:space="preserve"> </w:t>
      </w:r>
      <w:r>
        <w:t xml:space="preserve">improvement reports or waive of on-site visits could be simplified. It was also noted</w:t>
      </w:r>
      <w:r>
        <w:t xml:space="preserve"> </w:t>
      </w:r>
      <w:r>
        <w:t xml:space="preserve">that processes for approval of the monitoring plan can be lengthy and involve a number</w:t>
      </w:r>
      <w:r>
        <w:t xml:space="preserve"> </w:t>
      </w:r>
      <w:r>
        <w:t xml:space="preserve">of iterations, which adds administrative burden.</w:t>
      </w:r>
      <w:r>
        <w:br/>
      </w:r>
      <w:r>
        <w:t xml:space="preserve">In other platforms mentioned earlier, opportunities were also raised for simplification. Some</w:t>
      </w:r>
      <w:r>
        <w:t xml:space="preserve"> </w:t>
      </w:r>
      <w:r>
        <w:t xml:space="preserve">of these simplifications were already followed up in the 2023-2025 revisions of the MRR and</w:t>
      </w:r>
      <w:r>
        <w:t xml:space="preserve"> </w:t>
      </w:r>
      <w:r>
        <w:t xml:space="preserve">the AVR:</w:t>
      </w:r>
      <w:r>
        <w:t xml:space="preserve"> </w:t>
      </w:r>
      <w:r>
        <w:t xml:space="preserve">• Allowing verifiers to carry out virtual site visits beyond force majeure circumstances</w:t>
      </w:r>
      <w:r>
        <w:t xml:space="preserve"> </w:t>
      </w:r>
      <w:r>
        <w:t xml:space="preserve">in the ETS aviation sector where data flow is automated. The AVR was updated in 2024</w:t>
      </w:r>
      <w:r>
        <w:t xml:space="preserve"> </w:t>
      </w:r>
      <w:r>
        <w:t xml:space="preserve">to accommodate this.</w:t>
      </w:r>
      <w:r>
        <w:t xml:space="preserve"> </w:t>
      </w:r>
      <w:r>
        <w:t xml:space="preserve">• Introducing IT tools and virtual site visits in inspection approaches. Some Member</w:t>
      </w:r>
      <w:r>
        <w:t xml:space="preserve"> </w:t>
      </w:r>
      <w:r>
        <w:t xml:space="preserve">States are using such approaches in inspection. A wider uptake of these good practices</w:t>
      </w:r>
      <w:r>
        <w:t xml:space="preserve"> </w:t>
      </w:r>
      <w:r>
        <w:t xml:space="preserve">in the EU could help capacity problems and increase efficiency.</w:t>
      </w:r>
      <w:r>
        <w:t xml:space="preserve"> </w:t>
      </w:r>
      <w:r>
        <w:t xml:space="preserve">• Allowing more flexibility in the monitoring and reporting requirements of municipal</w:t>
      </w:r>
      <w:r>
        <w:t xml:space="preserve"> </w:t>
      </w:r>
      <w:r>
        <w:t xml:space="preserve">waste incineration installations. Although this falls outside the remit of this study, the</w:t>
      </w:r>
      <w:r>
        <w:t xml:space="preserve"> </w:t>
      </w:r>
      <w:r>
        <w:t xml:space="preserve">data collected could provide some insights for further tasks in this evaluation project.</w:t>
      </w:r>
      <w:r>
        <w:t xml:space="preserve"> </w:t>
      </w:r>
      <w:r>
        <w:t xml:space="preserve">• Clarifying the role of the stakeholders in using the Union Database and national</w:t>
      </w:r>
      <w:r>
        <w:t xml:space="preserve"> </w:t>
      </w:r>
      <w:r>
        <w:t xml:space="preserve">databases linked to the Union Database to demonstrate compliance with sustainability</w:t>
      </w:r>
      <w:r>
        <w:t xml:space="preserve"> </w:t>
      </w:r>
      <w:r>
        <w:t xml:space="preserve">and greenhouse gas savings criteria. This clarification has already been incorporated in</w:t>
      </w:r>
      <w:r>
        <w:t xml:space="preserve"> </w:t>
      </w:r>
      <w:r>
        <w:t xml:space="preserve">the guidance material.</w:t>
      </w:r>
      <w:r>
        <w:t xml:space="preserve"> </w:t>
      </w:r>
      <w:r>
        <w:t xml:space="preserve">• Member States expressed a wish to streamline reporting requirements between various</w:t>
      </w:r>
      <w:r>
        <w:t xml:space="preserve"> </w:t>
      </w:r>
      <w:r>
        <w:t xml:space="preserve">EU legislation to strengthen the input to UNFCCC reporting but as of yet there have</w:t>
      </w:r>
      <w:r>
        <w:t xml:space="preserve"> </w:t>
      </w:r>
      <w:r>
        <w:t xml:space="preserve">not been any concrete discussions or recommendations on this.</w:t>
      </w:r>
    </w:p>
    <w:p>
      <w:pPr>
        <w:pStyle w:val="BodyText"/>
      </w:pPr>
      <w:r>
        <w:t xml:space="preserve">276 IED inspectors are not always sufficiently competent to assess the EU ETS specific monitoring aspects of the</w:t>
      </w:r>
      <w:r>
        <w:t xml:space="preserve"> </w:t>
      </w:r>
      <w:r>
        <w:t xml:space="preserve">installation, and these are not always picked up in an IED inspection.</w:t>
      </w:r>
    </w:p>
    <w:p>
      <w:pPr>
        <w:pStyle w:val="BodyText"/>
      </w:pPr>
      <w:r>
        <w:t xml:space="preserve">176</w:t>
      </w:r>
      <w:r>
        <w:t xml:space="preserve"> </w:t>
      </w:r>
      <w:r>
        <w:t xml:space="preserve">Options related to digital tools will be considered under EQ8. The other improvement options</w:t>
      </w:r>
      <w:r>
        <w:t xml:space="preserve"> </w:t>
      </w:r>
      <w:r>
        <w:t xml:space="preserve">are discussed in more detail in EQ7.</w:t>
      </w:r>
      <w:r>
        <w:t xml:space="preserve"> </w:t>
      </w:r>
      <w:r>
        <w:t xml:space="preserve">•</w:t>
      </w:r>
      <w:r>
        <w:t xml:space="preserve"> </w:t>
      </w:r>
      <w:r>
        <w:t xml:space="preserve">EQ6: Cost-effective application across industries and member states</w:t>
      </w:r>
      <w:r>
        <w:t xml:space="preserve"> </w:t>
      </w:r>
      <w:r>
        <w:t xml:space="preserve">This evaluation question tests whether the MRVA burden is cost efficient for all parties. For</w:t>
      </w:r>
      <w:r>
        <w:t xml:space="preserve"> </w:t>
      </w:r>
      <w:r>
        <w:t xml:space="preserve">stationary installations in different sectors, the total costs reflect the complexity of the industrial</w:t>
      </w:r>
      <w:r>
        <w:t xml:space="preserve"> </w:t>
      </w:r>
      <w:r>
        <w:t xml:space="preserve">processes and volume of emissions. Additional requirements for biomass reporting seem to</w:t>
      </w:r>
      <w:r>
        <w:t xml:space="preserve"> </w:t>
      </w:r>
      <w:r>
        <w:t xml:space="preserve">lead to higher per unit CO2 costs in some sectors.</w:t>
      </w:r>
      <w:r>
        <w:t xml:space="preserve"> </w:t>
      </w:r>
      <w:r>
        <w:t xml:space="preserve">In terms of size of installation, smaller installations bear relatively higher costs per unit of</w:t>
      </w:r>
      <w:r>
        <w:t xml:space="preserve"> </w:t>
      </w:r>
      <w:r>
        <w:t xml:space="preserve">emissions than the larger installations, despite efforts to simplify requirements for these</w:t>
      </w:r>
      <w:r>
        <w:t xml:space="preserve"> </w:t>
      </w:r>
      <w:r>
        <w:t xml:space="preserve">installations. The relative difference between the largest and smallest installations has not</w:t>
      </w:r>
      <w:r>
        <w:t xml:space="preserve"> </w:t>
      </w:r>
      <w:r>
        <w:t xml:space="preserve">however increased since the previous study.</w:t>
      </w:r>
      <w:r>
        <w:t xml:space="preserve"> </w:t>
      </w:r>
      <w:r>
        <w:t xml:space="preserve">The sample size in the survey means that differences between countries can be considered</w:t>
      </w:r>
      <w:r>
        <w:t xml:space="preserve"> </w:t>
      </w:r>
      <w:r>
        <w:t xml:space="preserve">between two broad groups based on GDP per capita. There are no significant differences</w:t>
      </w:r>
      <w:r>
        <w:t xml:space="preserve"> </w:t>
      </w:r>
      <w:r>
        <w:t xml:space="preserve">between costs in different country groups beyond those that can be explained by differences in</w:t>
      </w:r>
      <w:r>
        <w:t xml:space="preserve"> </w:t>
      </w:r>
      <w:r>
        <w:t xml:space="preserve">labour costs and distribution of installation types.</w:t>
      </w:r>
      <w:r>
        <w:t xml:space="preserve"> </w:t>
      </w:r>
      <w:r>
        <w:t xml:space="preserve">Different costs for stationary installations reflect the complexity of the industrial process and</w:t>
      </w:r>
      <w:r>
        <w:t xml:space="preserve"> </w:t>
      </w:r>
      <w:r>
        <w:t xml:space="preserve">the level of emissions.</w:t>
      </w:r>
      <w:r>
        <w:t xml:space="preserve"> </w:t>
      </w:r>
      <w:r>
        <w:t xml:space="preserve">There is a large enough sample from the survey for stationary installations to analyse results</w:t>
      </w:r>
      <w:r>
        <w:t xml:space="preserve"> </w:t>
      </w:r>
      <w:r>
        <w:t xml:space="preserve">by broad categories of industrial sector. Survey results indicate that installations in the</w:t>
      </w:r>
      <w:r>
        <w:t xml:space="preserve"> </w:t>
      </w:r>
      <w:r>
        <w:t xml:space="preserve">chemicals, oil refining, and cement sectors generally incur costs above the average. This is</w:t>
      </w:r>
      <w:r>
        <w:t xml:space="preserve"> </w:t>
      </w:r>
      <w:r>
        <w:t xml:space="preserve">likely attributable to the greater complexity of processes and/or higher emission levels typically</w:t>
      </w:r>
      <w:r>
        <w:t xml:space="preserve"> </w:t>
      </w:r>
      <w:r>
        <w:t xml:space="preserve">associated with these sectors, which results in a higher number of days than average dedicated</w:t>
      </w:r>
      <w:r>
        <w:t xml:space="preserve"> </w:t>
      </w:r>
      <w:r>
        <w:t xml:space="preserve">to activities. The MRVA requirements for installations in these areas account for both the</w:t>
      </w:r>
      <w:r>
        <w:t xml:space="preserve"> </w:t>
      </w:r>
      <w:r>
        <w:t xml:space="preserve">complexity and scale of operations to ensure accurate emissions reporting and uphold</w:t>
      </w:r>
      <w:r>
        <w:t xml:space="preserve"> </w:t>
      </w:r>
      <w:r>
        <w:t xml:space="preserve">environmental integrity. Conversely, installations in the minerals and glass, as well as pulp and</w:t>
      </w:r>
      <w:r>
        <w:t xml:space="preserve"> </w:t>
      </w:r>
      <w:r>
        <w:t xml:space="preserve">paper sectors, report costs below the average but see discussion below. In a similar way to the</w:t>
      </w:r>
      <w:r>
        <w:t xml:space="preserve"> </w:t>
      </w:r>
      <w:r>
        <w:t xml:space="preserve">standard cost calculation, the average EUR per tonne costs for each sector can be extrapolated</w:t>
      </w:r>
      <w:r>
        <w:t xml:space="preserve"> </w:t>
      </w:r>
      <w:r>
        <w:t xml:space="preserve">to the EU level based on the number of installations in each category and the total emissions.</w:t>
      </w:r>
      <w:r>
        <w:br/>
      </w:r>
      <w:r>
        <w:t xml:space="preserve">Despite the higher per installation costs, cost per tonne of CO2 for refining and cement sectors</w:t>
      </w:r>
      <w:r>
        <w:t xml:space="preserve"> </w:t>
      </w:r>
      <w:r>
        <w:t xml:space="preserve">are on the lower side because of the higher emissions. Minerals and glass and pulp and paper</w:t>
      </w:r>
      <w:r>
        <w:t xml:space="preserve"> </w:t>
      </w:r>
      <w:r>
        <w:t xml:space="preserve">report relatively high costs per tonne of CO2. In pulp and paper, there are a high percentage of</w:t>
      </w:r>
      <w:r>
        <w:t xml:space="preserve"> </w:t>
      </w:r>
      <w:r>
        <w:t xml:space="preserve">installations that use biomass (50% and 29% respectively), which adds complexity to the MRV</w:t>
      </w:r>
      <w:r>
        <w:t xml:space="preserve"> </w:t>
      </w:r>
      <w:r>
        <w:t xml:space="preserve">processes. For minerals and glass, the requirements for biomass are mentioned as an issue</w:t>
      </w:r>
      <w:r>
        <w:t xml:space="preserve"> </w:t>
      </w:r>
      <w:r>
        <w:t xml:space="preserve">although the percentage of installations using biomass is relatively small at the EU level</w:t>
      </w:r>
      <w:r>
        <w:t xml:space="preserve"> </w:t>
      </w:r>
      <w:r>
        <w:t xml:space="preserve">(5%).277 MRV associated with free allocation is also mentioned, but there is no clear</w:t>
      </w:r>
      <w:r>
        <w:t xml:space="preserve"> </w:t>
      </w:r>
      <w:r>
        <w:t xml:space="preserve">explanation for why costs per tonne of CO2 in this sector should be higher than others. There</w:t>
      </w:r>
      <w:r>
        <w:t xml:space="preserve"> </w:t>
      </w:r>
      <w:r>
        <w:t xml:space="preserve">was no change in the allocation rules in the years 2021- 2023 (the period of the study) but the</w:t>
      </w:r>
      <w:r>
        <w:t xml:space="preserve"> </w:t>
      </w:r>
      <w:r>
        <w:t xml:space="preserve">installations from the mineral and glass sector that responded could have the recent NIMS</w:t>
      </w:r>
      <w:r>
        <w:t xml:space="preserve"> </w:t>
      </w:r>
      <w:r>
        <w:t xml:space="preserve">submission that was submitted in 2024 in their mind. As from 2026 installations in these sectors</w:t>
      </w:r>
      <w:r>
        <w:t xml:space="preserve"> </w:t>
      </w:r>
      <w:r>
        <w:t xml:space="preserve">can also apply for allocation for recovered heat in addition to their fuel benchmarks which</w:t>
      </w:r>
      <w:r>
        <w:t xml:space="preserve"> </w:t>
      </w:r>
      <w:r>
        <w:t xml:space="preserve">makes the data collection of baseline data and the annual monitoring of activity level data more</w:t>
      </w:r>
      <w:r>
        <w:t xml:space="preserve"> </w:t>
      </w:r>
      <w:r>
        <w:t xml:space="preserve">complex.</w:t>
      </w:r>
    </w:p>
    <w:p>
      <w:pPr>
        <w:pStyle w:val="BodyText"/>
      </w:pPr>
      <w:r>
        <w:t xml:space="preserve">277 European Commission (2024)</w:t>
      </w:r>
    </w:p>
    <w:p>
      <w:pPr>
        <w:pStyle w:val="BodyText"/>
      </w:pPr>
      <w:r>
        <w:t xml:space="preserve">177</w:t>
      </w:r>
      <w:r>
        <w:t xml:space="preserve"> </w:t>
      </w:r>
      <w:r>
        <w:t xml:space="preserve">The costs for installations below 25kt range from 3-7 EUR per tonne of CO2, while for the</w:t>
      </w:r>
      <w:r>
        <w:t xml:space="preserve"> </w:t>
      </w:r>
      <w:r>
        <w:t xml:space="preserve">largest installations the range is 0.1-0.4 EUR per tonne of CO2. This cost differential was also</w:t>
      </w:r>
      <w:r>
        <w:t xml:space="preserve"> </w:t>
      </w:r>
      <w:r>
        <w:t xml:space="preserve">found in the 2016 report on administrative costs, with Category A installations facing costs per</w:t>
      </w:r>
      <w:r>
        <w:t xml:space="preserve"> </w:t>
      </w:r>
      <w:r>
        <w:t xml:space="preserve">tonne CO2 around 50 times that of Category C.278 In the current study, the difference between</w:t>
      </w:r>
      <w:r>
        <w:t xml:space="preserve"> </w:t>
      </w:r>
      <w:r>
        <w:t xml:space="preserve">these two categories is about the same. As discussed previously, over the years several</w:t>
      </w:r>
      <w:r>
        <w:t xml:space="preserve"> </w:t>
      </w:r>
      <w:r>
        <w:t xml:space="preserve">measures were taken to simplify the monitoring requirements for the smaller installations</w:t>
      </w:r>
      <w:r>
        <w:t xml:space="preserve"> </w:t>
      </w:r>
      <w:r>
        <w:t xml:space="preserve">whilst ensuring the environmental integrity and robustness of monitoring and reporting.</w:t>
      </w:r>
      <w:r>
        <w:t xml:space="preserve"> </w:t>
      </w:r>
      <w:r>
        <w:t xml:space="preserve">Nevertheless, smaller installations still report higher costs.</w:t>
      </w:r>
      <w:r>
        <w:t xml:space="preserve"> </w:t>
      </w:r>
      <w:r>
        <w:t xml:space="preserve">Stationary installations</w:t>
      </w:r>
      <w:r>
        <w:t xml:space="preserve"> </w:t>
      </w:r>
      <w:r>
        <w:t xml:space="preserve">To investigate the distribution of costs by country, each country was classified into one of two</w:t>
      </w:r>
      <w:r>
        <w:t xml:space="preserve"> </w:t>
      </w:r>
      <w:r>
        <w:t xml:space="preserve">groups based on GDP per capita. Group I consists of countries with an average GDP per capita</w:t>
      </w:r>
      <w:r>
        <w:t xml:space="preserve"> </w:t>
      </w:r>
      <w:r>
        <w:t xml:space="preserve">above EUR 37,000, while Group II includes those below this threshold. Installations in Group</w:t>
      </w:r>
      <w:r>
        <w:t xml:space="preserve"> </w:t>
      </w:r>
      <w:r>
        <w:t xml:space="preserve">I countries report higher average costs particularly for equipment costs. Conversely, in terms</w:t>
      </w:r>
      <w:r>
        <w:t xml:space="preserve"> </w:t>
      </w:r>
      <w:r>
        <w:t xml:space="preserve">of days, stationary installations in Group II countries report using more days on MRV activities,</w:t>
      </w:r>
      <w:r>
        <w:t xml:space="preserve"> </w:t>
      </w:r>
      <w:r>
        <w:t xml:space="preserve">particularly so for verification. The difference in costs can be partially attributed to higher</w:t>
      </w:r>
      <w:r>
        <w:t xml:space="preserve"> </w:t>
      </w:r>
      <w:r>
        <w:t xml:space="preserve">labour costs in Group I countries. On average the labour costs within Group I countries are 2.5</w:t>
      </w:r>
      <w:r>
        <w:t xml:space="preserve"> </w:t>
      </w:r>
      <w:r>
        <w:t xml:space="preserve">times those in Group II. The cost differences are mostly within this range.</w:t>
      </w:r>
      <w:r>
        <w:br/>
      </w:r>
      <w:r>
        <w:t xml:space="preserve">Additionally, a larger proportion of the biggest installations responding to the survey are</w:t>
      </w:r>
      <w:r>
        <w:t xml:space="preserve"> </w:t>
      </w:r>
      <w:r>
        <w:t xml:space="preserve">located within Group I countries. As these generally have higher costs associated with MRVA,</w:t>
      </w:r>
      <w:r>
        <w:t xml:space="preserve"> </w:t>
      </w:r>
      <w:r>
        <w:t xml:space="preserve">the distribution of installation types between countries has an impact on average cost in a</w:t>
      </w:r>
      <w:r>
        <w:t xml:space="preserve"> </w:t>
      </w:r>
      <w:r>
        <w:t xml:space="preserve">country. Although a few respondents noted variations in the implementation of MRVA</w:t>
      </w:r>
      <w:r>
        <w:t xml:space="preserve"> </w:t>
      </w:r>
      <w:r>
        <w:t xml:space="preserve">requirements between countries, these differences were generally mentioned as being between</w:t>
      </w:r>
      <w:r>
        <w:t xml:space="preserve"> </w:t>
      </w:r>
      <w:r>
        <w:t xml:space="preserve">member states within the same group. Overall, there is limited evidence to suggest that</w:t>
      </w:r>
      <w:r>
        <w:t xml:space="preserve"> </w:t>
      </w:r>
      <w:r>
        <w:t xml:space="preserve">geographical differences, beyond those explained by labour costs and the distribution of</w:t>
      </w:r>
      <w:r>
        <w:t xml:space="preserve"> </w:t>
      </w:r>
      <w:r>
        <w:t xml:space="preserve">installation types, play a significant role in cost variation. This finding echoes the finding from</w:t>
      </w:r>
      <w:r>
        <w:t xml:space="preserve"> </w:t>
      </w:r>
      <w:r>
        <w:t xml:space="preserve">the 2016 administrative cost study.279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For competent authorities, both the costs and the number of days are greater in Group I</w:t>
      </w:r>
      <w:r>
        <w:t xml:space="preserve"> </w:t>
      </w:r>
      <w:r>
        <w:t xml:space="preserve">countries than in Group II countries. The difference in costs is within the range of differences</w:t>
      </w:r>
      <w:r>
        <w:t xml:space="preserve"> </w:t>
      </w:r>
      <w:r>
        <w:t xml:space="preserve">in labour costs. The difference in number of days is significant. As discussed above, one factor</w:t>
      </w:r>
      <w:r>
        <w:t xml:space="preserve"> </w:t>
      </w:r>
      <w:r>
        <w:t xml:space="preserve">is the type of installations present in a country, and another is the total number of installations.</w:t>
      </w:r>
      <w:r>
        <w:t xml:space="preserve"> </w:t>
      </w:r>
      <w:r>
        <w:t xml:space="preserve">On average, Group I countries administer around twice the number of stationary installations</w:t>
      </w:r>
      <w:r>
        <w:t xml:space="preserve"> </w:t>
      </w:r>
      <w:r>
        <w:t xml:space="preserve">than Group II installations, although there is also significant variation between countries within</w:t>
      </w:r>
      <w:r>
        <w:t xml:space="preserve"> </w:t>
      </w:r>
      <w:r>
        <w:t xml:space="preserve">the groups. The differences are reflected in the number of staff employed by the competent</w:t>
      </w:r>
      <w:r>
        <w:t xml:space="preserve"> </w:t>
      </w:r>
      <w:r>
        <w:t xml:space="preserve">authority particularly for stationary installations with Group I countries employing nearly three</w:t>
      </w:r>
      <w:r>
        <w:t xml:space="preserve"> </w:t>
      </w:r>
      <w:r>
        <w:t xml:space="preserve">times the number compared to Group II countries.</w:t>
      </w:r>
      <w:r>
        <w:br/>
      </w:r>
      <w:r>
        <w:t xml:space="preserve">Another factor that can determine costs is the organisation of the administration within a</w:t>
      </w:r>
      <w:r>
        <w:t xml:space="preserve"> </w:t>
      </w:r>
      <w:r>
        <w:t xml:space="preserve">country. As mentioned in the “Effectiveness” section, 19 countries currently have a centralised</w:t>
      </w:r>
      <w:r>
        <w:t xml:space="preserve"> </w:t>
      </w:r>
      <w:r>
        <w:t xml:space="preserve">organisation, with other countries have a more decentralised organisation in the form of</w:t>
      </w:r>
      <w:r>
        <w:t xml:space="preserve"> </w:t>
      </w:r>
      <w:r>
        <w:t xml:space="preserve">multiple regional competent authorities. For aviation, many countries have assigned different</w:t>
      </w:r>
      <w:r>
        <w:t xml:space="preserve"> </w:t>
      </w:r>
      <w:r>
        <w:t xml:space="preserve">competent authorities for MRV activities to those for the management of stationary</w:t>
      </w:r>
      <w:r>
        <w:t xml:space="preserve"> </w:t>
      </w:r>
      <w:r>
        <w:t xml:space="preserve">installations. Where multiple competent authorities are involved in EU ETS activities,</w:t>
      </w:r>
    </w:p>
    <w:p>
      <w:pPr>
        <w:pStyle w:val="BodyText"/>
      </w:pPr>
      <w:r>
        <w:t xml:space="preserve">278 Evaluation of EU ETS Monitoring, Reporting and Verification Administration Costs, 2016</w:t>
      </w:r>
      <w:r>
        <w:t xml:space="preserve"> </w:t>
      </w:r>
      <w:r>
        <w:t xml:space="preserve">279 Ibid</w:t>
      </w:r>
    </w:p>
    <w:p>
      <w:pPr>
        <w:pStyle w:val="BodyText"/>
      </w:pPr>
      <w:r>
        <w:t xml:space="preserve">178</w:t>
      </w:r>
      <w:r>
        <w:t xml:space="preserve"> </w:t>
      </w:r>
      <w:r>
        <w:t xml:space="preserve">additional activities are needed to coordinate to ensure harmonised application of the rules.</w:t>
      </w:r>
      <w:r>
        <w:t xml:space="preserve"> </w:t>
      </w:r>
      <w:r>
        <w:t xml:space="preserve">Such coordination is required in Article 10 of the MRR.280 Internally within a competent</w:t>
      </w:r>
      <w:r>
        <w:t xml:space="preserve"> </w:t>
      </w:r>
      <w:r>
        <w:t xml:space="preserve">authority there will also be differences in the type of resources implemented by the competent</w:t>
      </w:r>
      <w:r>
        <w:t xml:space="preserve"> </w:t>
      </w:r>
      <w:r>
        <w:t xml:space="preserve">authority, size of staff and number of installations or aircraft operators are managed by a</w:t>
      </w:r>
      <w:r>
        <w:t xml:space="preserve"> </w:t>
      </w:r>
      <w:r>
        <w:t xml:space="preserve">competent authority.</w:t>
      </w:r>
      <w:r>
        <w:t xml:space="preserve"> </w:t>
      </w:r>
      <w:r>
        <w:t xml:space="preserve">•</w:t>
      </w:r>
      <w:r>
        <w:t xml:space="preserve"> </w:t>
      </w:r>
      <w:r>
        <w:t xml:space="preserve">EQ7: Opportunities to streamline or simplify the MRVA</w:t>
      </w:r>
      <w:r>
        <w:t xml:space="preserve"> </w:t>
      </w:r>
      <w:r>
        <w:t xml:space="preserve">This evaluation question builds on EQ5 to examine whether there is evidence of opportunities</w:t>
      </w:r>
      <w:r>
        <w:t xml:space="preserve"> </w:t>
      </w:r>
      <w:r>
        <w:t xml:space="preserve">to streamline and/or simplify the MRVA system to increase cost efficiency.</w:t>
      </w:r>
      <w:r>
        <w:br/>
      </w:r>
      <w:r>
        <w:t xml:space="preserve">Based on a qualitative assessment of options for simplification that were suggested by</w:t>
      </w:r>
      <w:r>
        <w:t xml:space="preserve"> </w:t>
      </w:r>
      <w:r>
        <w:t xml:space="preserve">participants in the survey and proposals that were brought forward in the OPC, no options stand</w:t>
      </w:r>
      <w:r>
        <w:t xml:space="preserve"> </w:t>
      </w:r>
      <w:r>
        <w:t xml:space="preserve">out as priorities for regulatory change within EU ETS because these could have a negative</w:t>
      </w:r>
      <w:r>
        <w:t xml:space="preserve"> </w:t>
      </w:r>
      <w:r>
        <w:t xml:space="preserve">impact on the environmental integrity of the ETS system or because they have already been</w:t>
      </w:r>
      <w:r>
        <w:t xml:space="preserve"> </w:t>
      </w:r>
      <w:r>
        <w:t xml:space="preserve">addressed by legislative changes in 2024 and 2025. However, some need more consideration.</w:t>
      </w:r>
      <w:r>
        <w:t xml:space="preserve"> </w:t>
      </w:r>
      <w:r>
        <w:t xml:space="preserve">These include:</w:t>
      </w:r>
      <w:r>
        <w:t xml:space="preserve"> </w:t>
      </w:r>
      <w:r>
        <w:t xml:space="preserve">• Simplifications in the requirements for installations emitting less than 50 kt CO2 with</w:t>
      </w:r>
      <w:r>
        <w:t xml:space="preserve"> </w:t>
      </w:r>
      <w:r>
        <w:t xml:space="preserve">very simple monitoring methodologies and low inherent and control risks. Most</w:t>
      </w:r>
      <w:r>
        <w:t xml:space="preserve"> </w:t>
      </w:r>
      <w:r>
        <w:t xml:space="preserve">simplifications are already accommodated in the MRR and low risks in simple and</w:t>
      </w:r>
      <w:r>
        <w:t xml:space="preserve"> </w:t>
      </w:r>
      <w:r>
        <w:t xml:space="preserve">small installation often require less extensive verification approaches. Examples in</w:t>
      </w:r>
      <w:r>
        <w:t xml:space="preserve"> </w:t>
      </w:r>
      <w:r>
        <w:t xml:space="preserve">training events could highlight how to deal with these simplifications.</w:t>
      </w:r>
      <w:r>
        <w:br/>
      </w:r>
      <w:r>
        <w:t xml:space="preserve">• Simplification of requirements for uncertainty for smaller source streams and allowing</w:t>
      </w:r>
      <w:r>
        <w:t xml:space="preserve"> </w:t>
      </w:r>
      <w:r>
        <w:t xml:space="preserve">a wider application of default values for the emission factors and calorific value for</w:t>
      </w:r>
      <w:r>
        <w:t xml:space="preserve"> </w:t>
      </w:r>
      <w:r>
        <w:t xml:space="preserve">certain fuels. Generally, the current MRR already allows simplification on uncertainty</w:t>
      </w:r>
      <w:r>
        <w:t xml:space="preserve"> </w:t>
      </w:r>
      <w:r>
        <w:t xml:space="preserve">assessment and the application of default values for commercially standard fuels.</w:t>
      </w:r>
      <w:r>
        <w:t xml:space="preserve"> </w:t>
      </w:r>
      <w:r>
        <w:t xml:space="preserve">However, further research may reveal additional opportunities for simplification.</w:t>
      </w:r>
      <w:r>
        <w:br/>
      </w:r>
      <w:r>
        <w:t xml:space="preserve">• Further streamlining procedures or reporting requirements between IED, EU ETS and</w:t>
      </w:r>
      <w:r>
        <w:t xml:space="preserve"> </w:t>
      </w:r>
      <w:r>
        <w:t xml:space="preserve">other legislation, in particular to avoid overlap in reporting data.</w:t>
      </w:r>
      <w:r>
        <w:br/>
      </w:r>
      <w:r>
        <w:t xml:space="preserve">• Simplification through digitalisation (see under EQ8).</w:t>
      </w:r>
      <w:r>
        <w:t xml:space="preserve"> </w:t>
      </w:r>
      <w:r>
        <w:t xml:space="preserve">As mentioned under EQ5, other simplifications were raised in other fora of stakeholders. Some</w:t>
      </w:r>
      <w:r>
        <w:t xml:space="preserve"> </w:t>
      </w:r>
      <w:r>
        <w:t xml:space="preserve">of these issues are not necessarily related to the 2021-2023 evaluation and are either being</w:t>
      </w:r>
      <w:r>
        <w:t xml:space="preserve"> </w:t>
      </w:r>
      <w:r>
        <w:t xml:space="preserve">assessed in other studies. These include:</w:t>
      </w:r>
      <w:r>
        <w:t xml:space="preserve"> </w:t>
      </w:r>
      <w:r>
        <w:t xml:space="preserve">• Simplification for municipal waste incineration installation as these currently have</w:t>
      </w:r>
      <w:r>
        <w:t xml:space="preserve"> </w:t>
      </w:r>
      <w:r>
        <w:t xml:space="preserve">difficulty meeting the required tiers.</w:t>
      </w:r>
      <w:r>
        <w:t xml:space="preserve"> </w:t>
      </w:r>
      <w:r>
        <w:t xml:space="preserve">• Simplification of biomass requirements to demonstrate compliance with REDII criteria.</w:t>
      </w:r>
      <w:r>
        <w:t xml:space="preserve"> </w:t>
      </w:r>
      <w:r>
        <w:t xml:space="preserve">• Simplification of requirements on alternative fuels and eligible aviation fuels in the</w:t>
      </w:r>
      <w:r>
        <w:t xml:space="preserve"> </w:t>
      </w:r>
      <w:r>
        <w:t xml:space="preserve">aviation sectors.</w:t>
      </w:r>
      <w:r>
        <w:t xml:space="preserve"> </w:t>
      </w:r>
      <w:r>
        <w:t xml:space="preserve">•</w:t>
      </w:r>
      <w:r>
        <w:t xml:space="preserve"> </w:t>
      </w:r>
      <w:r>
        <w:t xml:space="preserve">EQ8: Role of technology in improving the efficiency the MRVA</w:t>
      </w:r>
      <w:r>
        <w:t xml:space="preserve"> </w:t>
      </w:r>
      <w:r>
        <w:t xml:space="preserve">Evaluation question 8 examines the evidence regarding the role of technology in implementing</w:t>
      </w:r>
      <w:r>
        <w:t xml:space="preserve"> </w:t>
      </w:r>
      <w:r>
        <w:t xml:space="preserve">the MRVA system and whether there are opportunities to increase its use.</w:t>
      </w:r>
      <w:r>
        <w:t xml:space="preserve"> </w:t>
      </w:r>
      <w:r>
        <w:t xml:space="preserve">Experience to date suggests both efficiency and accuracy of MRVA can be improved by the</w:t>
      </w:r>
      <w:r>
        <w:t xml:space="preserve"> </w:t>
      </w:r>
      <w:r>
        <w:t xml:space="preserve">implementation of digital tools. Additional to the current use, there are further options to</w:t>
      </w:r>
      <w:r>
        <w:t xml:space="preserve"> </w:t>
      </w:r>
      <w:r>
        <w:t xml:space="preserve">incentivise used of digital tools to improve efficiency. Barriers to digitalisation noted in the</w:t>
      </w:r>
    </w:p>
    <w:p>
      <w:pPr>
        <w:pStyle w:val="BodyText"/>
      </w:pPr>
      <w:r>
        <w:t xml:space="preserve">280 European Commission (2024)</w:t>
      </w:r>
    </w:p>
    <w:p>
      <w:pPr>
        <w:pStyle w:val="BodyText"/>
      </w:pPr>
      <w:r>
        <w:t xml:space="preserve">179</w:t>
      </w:r>
      <w:r>
        <w:t xml:space="preserve"> </w:t>
      </w:r>
      <w:r>
        <w:t xml:space="preserve">reality check workshop were non-standardised key inputs such as supplier data and laboratory</w:t>
      </w:r>
      <w:r>
        <w:t xml:space="preserve"> </w:t>
      </w:r>
      <w:r>
        <w:t xml:space="preserve">methods and the frequent changes to templates and requirements noted earlier.</w:t>
      </w:r>
      <w:r>
        <w:br/>
      </w:r>
      <w:r>
        <w:t xml:space="preserve">There are also emerging technologies that can be used for different components of MRVA.</w:t>
      </w:r>
      <w:r>
        <w:t xml:space="preserve"> </w:t>
      </w:r>
      <w:r>
        <w:t xml:space="preserve">These include amongst others the Internet of Things (IoT), AI and Machine Learning and</w:t>
      </w:r>
      <w:r>
        <w:t xml:space="preserve"> </w:t>
      </w:r>
      <w:r>
        <w:t xml:space="preserve">Blockchains. The role of regulation in this case would be to enable their use where it can</w:t>
      </w:r>
      <w:r>
        <w:t xml:space="preserve"> </w:t>
      </w:r>
      <w:r>
        <w:t xml:space="preserve">improve efficiency, while maintaining environmental effectiveness.</w:t>
      </w:r>
      <w:r>
        <w:t xml:space="preserve"> </w:t>
      </w:r>
      <w:r>
        <w:t xml:space="preserve">Various tools have been developed and implemented to help improve efficiency of the MRVA</w:t>
      </w:r>
      <w:r>
        <w:t xml:space="preserve"> </w:t>
      </w:r>
      <w:r>
        <w:t xml:space="preserve">system and increase the accuracy of reported data. The 2016 administrative cost study reported</w:t>
      </w:r>
      <w:r>
        <w:t xml:space="preserve"> </w:t>
      </w:r>
      <w:r>
        <w:t xml:space="preserve">efficiency gains for competent authorities from the use of electronic reporting. Reporting under</w:t>
      </w:r>
      <w:r>
        <w:t xml:space="preserve"> </w:t>
      </w:r>
      <w:r>
        <w:t xml:space="preserve">Article 21 of the ETS Directive gives more up to date information on their use.</w:t>
      </w:r>
      <w:r>
        <w:t xml:space="preserve"> </w:t>
      </w:r>
      <w:r>
        <w:t xml:space="preserve">Templates have been developed by the European Commission for monitoring plans, emission</w:t>
      </w:r>
      <w:r>
        <w:t xml:space="preserve"> </w:t>
      </w:r>
      <w:r>
        <w:t xml:space="preserve">reports, verification reports and improvement reports (for installations and aviation).281 In</w:t>
      </w:r>
      <w:r>
        <w:t xml:space="preserve"> </w:t>
      </w:r>
      <w:r>
        <w:t xml:space="preserve">2022, 25 countries reported using the Commission templates.</w:t>
      </w:r>
      <w:r>
        <w:br/>
      </w:r>
      <w:r>
        <w:t xml:space="preserve">The ETS Reporting Tool</w:t>
      </w:r>
      <w:r>
        <w:t xml:space="preserve"> </w:t>
      </w:r>
      <w:r>
        <w:t xml:space="preserve">Additionally, the European Commission has developed an IT tool called ETS Reporting Tool</w:t>
      </w:r>
      <w:r>
        <w:t xml:space="preserve"> </w:t>
      </w:r>
      <w:r>
        <w:t xml:space="preserve">MRV (ERT), designed to facilitate the submission of monitoring plans, emission reports,</w:t>
      </w:r>
      <w:r>
        <w:t xml:space="preserve"> </w:t>
      </w:r>
      <w:r>
        <w:t xml:space="preserve">verification reports, and improvement reports. This tool helps streamline reporting to reduce</w:t>
      </w:r>
      <w:r>
        <w:t xml:space="preserve"> </w:t>
      </w:r>
      <w:r>
        <w:t xml:space="preserve">administrative burden and improve the reporting accuracy and increase compliance of</w:t>
      </w:r>
      <w:r>
        <w:t xml:space="preserve"> </w:t>
      </w:r>
      <w:r>
        <w:t xml:space="preserve">installations. The ERT is a web-based platform offering advanced features for all stakeholders</w:t>
      </w:r>
      <w:r>
        <w:t xml:space="preserve"> </w:t>
      </w:r>
      <w:r>
        <w:t xml:space="preserve">and applies to sectors covered by the EU ETS.282 The Commission conducted a survey of</w:t>
      </w:r>
      <w:r>
        <w:t xml:space="preserve"> </w:t>
      </w:r>
      <w:r>
        <w:t xml:space="preserve">competent authorities in 2022 on the use of ERT. Some positive points identified included that</w:t>
      </w:r>
      <w:r>
        <w:t xml:space="preserve"> </w:t>
      </w:r>
      <w:r>
        <w:t xml:space="preserve">changes in templates were immediately and directly accessible in the application, and that</w:t>
      </w:r>
      <w:r>
        <w:t xml:space="preserve"> </w:t>
      </w:r>
      <w:r>
        <w:t xml:space="preserve">aggregated data and reports offer good visibility of the stored reports. The survey and issues</w:t>
      </w:r>
      <w:r>
        <w:t xml:space="preserve"> </w:t>
      </w:r>
      <w:r>
        <w:t xml:space="preserve">raised at the Helpdesk has resulted in some improvements. Respondents also asked for training,</w:t>
      </w:r>
      <w:r>
        <w:t xml:space="preserve"> </w:t>
      </w:r>
      <w:r>
        <w:t xml:space="preserve">which was provided.</w:t>
      </w:r>
      <w:r>
        <w:br/>
      </w:r>
      <w:r>
        <w:t xml:space="preserve">According to the Article 21 report, 18 countries (or in some cases only some regions in a</w:t>
      </w:r>
      <w:r>
        <w:t xml:space="preserve"> </w:t>
      </w:r>
      <w:r>
        <w:t xml:space="preserve">country) reported using an IT system to manage the MRV workflow between competent</w:t>
      </w:r>
      <w:r>
        <w:t xml:space="preserve"> </w:t>
      </w:r>
      <w:r>
        <w:t xml:space="preserve">authorities, stationary installation and aircraft operators, and verifiers. This includes a slight</w:t>
      </w:r>
      <w:r>
        <w:t xml:space="preserve"> </w:t>
      </w:r>
      <w:r>
        <w:t xml:space="preserve">increase in the number of countries using ERT. The type of national IT systems that other</w:t>
      </w:r>
      <w:r>
        <w:t xml:space="preserve"> </w:t>
      </w:r>
      <w:r>
        <w:t xml:space="preserve">countries have developed themselves vary between countries in terms of scope, access,</w:t>
      </w:r>
      <w:r>
        <w:t xml:space="preserve"> </w:t>
      </w:r>
      <w:r>
        <w:t xml:space="preserve">functionalities and origin. In some countries simple workflow systems are used, while in other</w:t>
      </w:r>
      <w:r>
        <w:t xml:space="preserve"> </w:t>
      </w:r>
      <w:r>
        <w:t xml:space="preserve">countries integrated reporting systems exist providing access to all parties, including advanced</w:t>
      </w:r>
      <w:r>
        <w:t xml:space="preserve"> </w:t>
      </w:r>
      <w:r>
        <w:t xml:space="preserve">functionalities and managing all steps in the compliance cycle.</w:t>
      </w:r>
      <w:r>
        <w:br/>
      </w:r>
      <w:r>
        <w:t xml:space="preserve">In the survey, around half of the CAs responding have implemented the ERT. Of those, more</w:t>
      </w:r>
      <w:r>
        <w:t xml:space="preserve"> </w:t>
      </w:r>
      <w:r>
        <w:t xml:space="preserve">than half reported that it had improved efficiency and quality of reporting significantly or</w:t>
      </w:r>
      <w:r>
        <w:t xml:space="preserve"> </w:t>
      </w:r>
      <w:r>
        <w:t xml:space="preserve">slightly. Fewer CAs in the survey reported having developed their own IT system but those</w:t>
      </w:r>
      <w:r>
        <w:t xml:space="preserve"> </w:t>
      </w:r>
      <w:r>
        <w:t xml:space="preserve">that had, reported that it had improved efficiency.</w:t>
      </w:r>
      <w:r>
        <w:br/>
      </w:r>
      <w:r>
        <w:t xml:space="preserve">In general, countries with the highest number of installations have implemented either national</w:t>
      </w:r>
      <w:r>
        <w:t xml:space="preserve"> </w:t>
      </w:r>
      <w:r>
        <w:t xml:space="preserve">IT systems or are using Commission templates. Some of the countries having developed</w:t>
      </w:r>
      <w:r>
        <w:t xml:space="preserve"> </w:t>
      </w:r>
      <w:r>
        <w:t xml:space="preserve">national IT systems, have expressed interest in linking their national systems to ERT.</w:t>
      </w:r>
      <w:r>
        <w:t xml:space="preserve"> </w:t>
      </w:r>
      <w:r>
        <w:t xml:space="preserve">Currently, there are some technical limitations particularly round security that prevent this, but</w:t>
      </w:r>
    </w:p>
    <w:p>
      <w:pPr>
        <w:pStyle w:val="BodyText"/>
      </w:pPr>
      <w:r>
        <w:t xml:space="preserve">281 European Commission, Monitoring, reporting, and verification, https://climate.ec.europa.eu/eu-action/eu-</w:t>
      </w:r>
      <w:r>
        <w:t xml:space="preserve"> </w:t>
      </w:r>
      <w:r>
        <w:t xml:space="preserve">emissions-trading-system-eu-ets/monitoring-reporting-and-verification-eu-ets-emissions_en#tab-0-1</w:t>
      </w:r>
      <w:r>
        <w:t xml:space="preserve"> </w:t>
      </w:r>
      <w:r>
        <w:t xml:space="preserve">282 Ibid</w:t>
      </w:r>
    </w:p>
    <w:p>
      <w:pPr>
        <w:pStyle w:val="BodyText"/>
      </w:pPr>
      <w:r>
        <w:t xml:space="preserve">180</w:t>
      </w:r>
      <w:r>
        <w:t xml:space="preserve"> </w:t>
      </w:r>
      <w:r>
        <w:t xml:space="preserve">solutions are being pursued. These solutions would allow at least sharing of files that need to</w:t>
      </w:r>
      <w:r>
        <w:t xml:space="preserve"> </w:t>
      </w:r>
      <w:r>
        <w:t xml:space="preserve">be submitted to the Commission such as allocation data283 which would increase efficiency.</w:t>
      </w:r>
      <w:r>
        <w:t xml:space="preserve"> </w:t>
      </w:r>
      <w:r>
        <w:t xml:space="preserve">Another request from countries, who have started or plan to start using ERT, is to allow</w:t>
      </w:r>
      <w:r>
        <w:t xml:space="preserve"> </w:t>
      </w:r>
      <w:r>
        <w:t xml:space="preserve">historical MRVA records to be imported. 284</w:t>
      </w:r>
      <w:r>
        <w:t xml:space="preserve"> </w:t>
      </w:r>
      <w:r>
        <w:t xml:space="preserve">A barrier to entry for some countries with limited resources is that they need to onboard their</w:t>
      </w:r>
      <w:r>
        <w:t xml:space="preserve"> </w:t>
      </w:r>
      <w:r>
        <w:t xml:space="preserve">users to the ERT system i.e. they need to invite installations to use the system and provide</w:t>
      </w:r>
      <w:r>
        <w:t xml:space="preserve"> </w:t>
      </w:r>
      <w:r>
        <w:t xml:space="preserve">appropriate guidance. The Commission has some training sessions recorded that can be used</w:t>
      </w:r>
      <w:r>
        <w:t xml:space="preserve"> </w:t>
      </w:r>
      <w:r>
        <w:t xml:space="preserve">for this purpose, but there still needs to be resources committed by the competent authorities.</w:t>
      </w:r>
      <w:r>
        <w:t xml:space="preserve"> </w:t>
      </w:r>
      <w:r>
        <w:t xml:space="preserve">By expanding the functionalities of ERT, the use of ERT has increased in more recent years</w:t>
      </w:r>
      <w:r>
        <w:t xml:space="preserve"> </w:t>
      </w:r>
      <w:r>
        <w:t xml:space="preserve">(e.g. data can be automatically extracted from the system for the purpose of Article 21</w:t>
      </w:r>
      <w:r>
        <w:t xml:space="preserve"> </w:t>
      </w:r>
      <w:r>
        <w:t xml:space="preserve">reporting).</w:t>
      </w:r>
      <w:r>
        <w:t xml:space="preserve"> </w:t>
      </w:r>
      <w:r>
        <w:t xml:space="preserve">ERT has furthermore been updated to include the relevant processes and forms for ETS2,</w:t>
      </w:r>
      <w:r>
        <w:t xml:space="preserve"> </w:t>
      </w:r>
      <w:r>
        <w:t xml:space="preserve">which has encouraged more use, although some countries only use it for that purpose. The</w:t>
      </w:r>
      <w:r>
        <w:t xml:space="preserve"> </w:t>
      </w:r>
      <w:r>
        <w:t xml:space="preserve">functionality of ERT would also allow it to be used for other reporting processes for example</w:t>
      </w:r>
      <w:r>
        <w:t xml:space="preserve"> </w:t>
      </w:r>
      <w:r>
        <w:t xml:space="preserve">there are currently discussions on using it for CCS reporting.</w:t>
      </w:r>
      <w:r>
        <w:br/>
      </w:r>
      <w:r>
        <w:t xml:space="preserve">Most verifiers in the survey reported using either ERT or a national IT tool (equally split</w:t>
      </w:r>
      <w:r>
        <w:t xml:space="preserve"> </w:t>
      </w:r>
      <w:r>
        <w:t xml:space="preserve">between the two). Around half reported this as having increased efficiency, with the rest</w:t>
      </w:r>
      <w:r>
        <w:t xml:space="preserve"> </w:t>
      </w:r>
      <w:r>
        <w:t xml:space="preserve">reporting no change.</w:t>
      </w:r>
      <w:r>
        <w:br/>
      </w:r>
      <w:r>
        <w:t xml:space="preserve">The Compliance Cycle Evaluation Study in 2018 and Analysis of Article 21 responses in</w:t>
      </w:r>
      <w:r>
        <w:t xml:space="preserve"> </w:t>
      </w:r>
      <w:r>
        <w:t xml:space="preserve">addition to the analysis of the survey responses show that opportunities to improve the</w:t>
      </w:r>
      <w:r>
        <w:t xml:space="preserve"> </w:t>
      </w:r>
      <w:r>
        <w:t xml:space="preserve">effectiveness of the IT tools mostly exist in:</w:t>
      </w:r>
      <w:r>
        <w:br/>
      </w:r>
      <w:r>
        <w:t xml:space="preserve">• building in harmonised checklists in the monitoring plan approval process and</w:t>
      </w:r>
      <w:r>
        <w:t xml:space="preserve"> </w:t>
      </w:r>
      <w:r>
        <w:t xml:space="preserve">incorporating those in the IT systems. Some Member States have developed good</w:t>
      </w:r>
      <w:r>
        <w:t xml:space="preserve"> </w:t>
      </w:r>
      <w:r>
        <w:t xml:space="preserve">practices that have improved the coordination of this process.</w:t>
      </w:r>
      <w:r>
        <w:br/>
      </w:r>
      <w:r>
        <w:t xml:space="preserve">• automated functionalities in the IT system to facilitate the approval process and the</w:t>
      </w:r>
      <w:r>
        <w:t xml:space="preserve"> </w:t>
      </w:r>
      <w:r>
        <w:t xml:space="preserve">notification of changes to the monitoring plan, e.g. automated completeness and</w:t>
      </w:r>
      <w:r>
        <w:t xml:space="preserve"> </w:t>
      </w:r>
      <w:r>
        <w:t xml:space="preserve">consistency checks in the system, automated reminders for submission deadlines, alerts</w:t>
      </w:r>
      <w:r>
        <w:t xml:space="preserve"> </w:t>
      </w:r>
      <w:r>
        <w:t xml:space="preserve">if incomplete or implausible data is inserted in the system</w:t>
      </w:r>
      <w:r>
        <w:t xml:space="preserve"> </w:t>
      </w:r>
      <w:r>
        <w:t xml:space="preserve">• incentivising more Member States to use the ERT.</w:t>
      </w:r>
      <w:r>
        <w:br/>
      </w:r>
      <w:r>
        <w:t xml:space="preserve">There are also emerging technologies that can be used for different components of MRVA.</w:t>
      </w:r>
      <w:r>
        <w:t xml:space="preserve"> </w:t>
      </w:r>
      <w:r>
        <w:t xml:space="preserve">These include amongst others the Internet of Things (IoT), AI and Machine Learning and</w:t>
      </w:r>
      <w:r>
        <w:t xml:space="preserve"> </w:t>
      </w:r>
      <w:r>
        <w:t xml:space="preserve">Blockchains.285,286,287 Case studies outside the EU ETS have found that they can reduce</w:t>
      </w:r>
      <w:r>
        <w:t xml:space="preserve"> </w:t>
      </w:r>
      <w:r>
        <w:t xml:space="preserve">administrative burden and effectiveness, although economic efficiency depends on scale of</w:t>
      </w:r>
      <w:r>
        <w:t xml:space="preserve"> </w:t>
      </w:r>
      <w:r>
        <w:t xml:space="preserve">implementation.288 Although these technologies could potentially be useful, because of their</w:t>
      </w:r>
    </w:p>
    <w:p>
      <w:pPr>
        <w:pStyle w:val="BodyText"/>
      </w:pPr>
      <w:r>
        <w:t xml:space="preserve">283 Documents as part of the National Implementation Measures (NIMS) procedures in accordance with Article</w:t>
      </w:r>
      <w:r>
        <w:t xml:space="preserve"> </w:t>
      </w:r>
      <w:r>
        <w:t xml:space="preserve">11 of the EU ETS Directive</w:t>
      </w:r>
      <w:r>
        <w:t xml:space="preserve"> </w:t>
      </w:r>
      <w:r>
        <w:t xml:space="preserve">284 Interview 4th Nov 2025</w:t>
      </w:r>
      <w:r>
        <w:t xml:space="preserve"> </w:t>
      </w:r>
      <w:r>
        <w:t xml:space="preserve">285 Mungroo</w:t>
      </w:r>
      <w:r>
        <w:t xml:space="preserve"> </w:t>
      </w:r>
      <w:r>
        <w:t xml:space="preserve">et</w:t>
      </w:r>
      <w:r>
        <w:t xml:space="preserve"> </w:t>
      </w:r>
      <w:r>
        <w:t xml:space="preserve">al,</w:t>
      </w:r>
      <w:r>
        <w:t xml:space="preserve"> </w:t>
      </w:r>
      <w:r>
        <w:t xml:space="preserve">2024.</w:t>
      </w:r>
      <w:r>
        <w:t xml:space="preserve"> </w:t>
      </w:r>
      <w:r>
        <w:t xml:space="preserve">“Addressing</w:t>
      </w:r>
      <w:r>
        <w:t xml:space="preserve"> </w:t>
      </w:r>
      <w:r>
        <w:t xml:space="preserve">leakage</w:t>
      </w:r>
      <w:r>
        <w:t xml:space="preserve"> </w:t>
      </w:r>
      <w:r>
        <w:t xml:space="preserve">in</w:t>
      </w:r>
      <w:r>
        <w:t xml:space="preserve"> </w:t>
      </w:r>
      <w:r>
        <w:t xml:space="preserve">mechanism</w:t>
      </w:r>
      <w:r>
        <w:t xml:space="preserve"> </w:t>
      </w:r>
      <w:r>
        <w:t xml:space="preserve">methodologies”,</w:t>
      </w:r>
      <w:r>
        <w:t xml:space="preserve"> </w:t>
      </w:r>
      <w:r>
        <w:t xml:space="preserve">https://unfccc.int/sites/default/files/resource/MEP004_CfI_Addressing_Leakage_Mungroo.pdf</w:t>
      </w:r>
      <w:r>
        <w:t xml:space="preserve"> </w:t>
      </w:r>
      <w:r>
        <w:t xml:space="preserve">286 TERI,</w:t>
      </w:r>
      <w:r>
        <w:t xml:space="preserve"> </w:t>
      </w:r>
      <w:r>
        <w:t xml:space="preserve">2025.</w:t>
      </w:r>
      <w:r>
        <w:t xml:space="preserve"> </w:t>
      </w:r>
      <w:r>
        <w:t xml:space="preserve">“Report</w:t>
      </w:r>
      <w:r>
        <w:t xml:space="preserve"> </w:t>
      </w:r>
      <w:r>
        <w:t xml:space="preserve">on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practices</w:t>
      </w:r>
      <w:r>
        <w:t xml:space="preserve"> </w:t>
      </w:r>
      <w:r>
        <w:t xml:space="preserve">on</w:t>
      </w:r>
      <w:r>
        <w:t xml:space="preserve"> </w:t>
      </w:r>
      <w:r>
        <w:t xml:space="preserve">MRV</w:t>
      </w:r>
      <w:r>
        <w:t xml:space="preserve"> </w:t>
      </w:r>
      <w:r>
        <w:t xml:space="preserve">for</w:t>
      </w:r>
      <w:r>
        <w:t xml:space="preserve"> </w:t>
      </w:r>
      <w:r>
        <w:t xml:space="preserve">steel</w:t>
      </w:r>
      <w:r>
        <w:t xml:space="preserve"> </w:t>
      </w:r>
      <w:r>
        <w:t xml:space="preserve">value</w:t>
      </w:r>
      <w:r>
        <w:t xml:space="preserve"> </w:t>
      </w:r>
      <w:r>
        <w:t xml:space="preserve">chain”,</w:t>
      </w:r>
      <w:r>
        <w:t xml:space="preserve"> </w:t>
      </w:r>
      <w:r>
        <w:t xml:space="preserve">https://www.sameeeksha.org/pdf/publications/MRV%20Report_final%2018.08.2025.pdf</w:t>
      </w:r>
      <w:r>
        <w:t xml:space="preserve"> </w:t>
      </w:r>
      <w:r>
        <w:t xml:space="preserve">287 TBI,</w:t>
      </w:r>
      <w:r>
        <w:t xml:space="preserve"> </w:t>
      </w:r>
      <w:r>
        <w:t xml:space="preserve">2025.</w:t>
      </w:r>
      <w:r>
        <w:t xml:space="preserve"> </w:t>
      </w:r>
      <w:r>
        <w:t xml:space="preserve">“International</w:t>
      </w:r>
      <w:r>
        <w:t xml:space="preserve"> </w:t>
      </w:r>
      <w:r>
        <w:t xml:space="preserve">Carbon</w:t>
      </w:r>
      <w:r>
        <w:t xml:space="preserve"> </w:t>
      </w:r>
      <w:r>
        <w:t xml:space="preserve">Markets:</w:t>
      </w:r>
      <w:r>
        <w:t xml:space="preserve"> </w:t>
      </w:r>
      <w:r>
        <w:t xml:space="preserve">Climate</w:t>
      </w:r>
      <w:r>
        <w:t xml:space="preserve"> </w:t>
      </w:r>
      <w:r>
        <w:t xml:space="preserve">Action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Lower</w:t>
      </w:r>
      <w:r>
        <w:t xml:space="preserve"> </w:t>
      </w:r>
      <w:r>
        <w:t xml:space="preserve">Price”,</w:t>
      </w:r>
      <w:r>
        <w:t xml:space="preserve"> </w:t>
      </w:r>
      <w:r>
        <w:t xml:space="preserve">https://institute.global/insights/climate-and-energy/international-carbon-markets-climate-action-at-a-lower-</w:t>
      </w:r>
      <w:r>
        <w:t xml:space="preserve"> </w:t>
      </w:r>
      <w:r>
        <w:t xml:space="preserve">price</w:t>
      </w:r>
      <w:r>
        <w:t xml:space="preserve"> </w:t>
      </w:r>
      <w:r>
        <w:t xml:space="preserve">288 Gold</w:t>
      </w:r>
      <w:r>
        <w:t xml:space="preserve"> </w:t>
      </w:r>
      <w:r>
        <w:t xml:space="preserve">Standard,</w:t>
      </w:r>
      <w:r>
        <w:t xml:space="preserve"> </w:t>
      </w:r>
      <w:r>
        <w:t xml:space="preserve">2024.</w:t>
      </w:r>
      <w:r>
        <w:t xml:space="preserve"> </w:t>
      </w:r>
      <w:r>
        <w:t xml:space="preserve">“MRV</w:t>
      </w:r>
      <w:r>
        <w:t xml:space="preserve"> </w:t>
      </w:r>
      <w:r>
        <w:t xml:space="preserve">Report</w:t>
      </w:r>
      <w:r>
        <w:t xml:space="preserve"> </w:t>
      </w:r>
      <w:r>
        <w:t xml:space="preserve">on</w:t>
      </w:r>
      <w:r>
        <w:t xml:space="preserve"> </w:t>
      </w:r>
      <w:r>
        <w:t xml:space="preserve">Pilot</w:t>
      </w:r>
      <w:r>
        <w:t xml:space="preserve"> </w:t>
      </w:r>
      <w:r>
        <w:t xml:space="preserve">Projects,</w:t>
      </w:r>
      <w:r>
        <w:t xml:space="preserve"> </w:t>
      </w:r>
      <w:r>
        <w:t xml:space="preserve">Roadmap</w:t>
      </w:r>
      <w:r>
        <w:t xml:space="preserve"> </w:t>
      </w:r>
      <w:r>
        <w:t xml:space="preserve">and</w:t>
      </w:r>
      <w:r>
        <w:t xml:space="preserve"> </w:t>
      </w:r>
      <w:r>
        <w:t xml:space="preserve">Resources”,</w:t>
      </w:r>
      <w:r>
        <w:t xml:space="preserve"> </w:t>
      </w:r>
      <w:r>
        <w:t xml:space="preserve">https://www.goldstandard.org/publications/mrv-report-on-pilot-projects-roadmap-and-resources</w:t>
      </w:r>
    </w:p>
    <w:p>
      <w:pPr>
        <w:pStyle w:val="BodyText"/>
      </w:pPr>
      <w:r>
        <w:t xml:space="preserve">181</w:t>
      </w:r>
      <w:r>
        <w:t xml:space="preserve"> </w:t>
      </w:r>
      <w:r>
        <w:t xml:space="preserve">nature implementation would largely be a commercial decision for installations and aircraft</w:t>
      </w:r>
      <w:r>
        <w:t xml:space="preserve"> </w:t>
      </w:r>
      <w:r>
        <w:t xml:space="preserve">operators. Within the aviation sector such automated systems are more common than in the</w:t>
      </w:r>
      <w:r>
        <w:t xml:space="preserve"> </w:t>
      </w:r>
      <w:r>
        <w:t xml:space="preserve">industry sector and have been used more widely to manage aircraft data.</w:t>
      </w:r>
      <w:r>
        <w:br/>
      </w:r>
      <w:r>
        <w:t xml:space="preserve">The role of MRVA regulations would be to enable the use of these technologies where it can</w:t>
      </w:r>
      <w:r>
        <w:t xml:space="preserve"> </w:t>
      </w:r>
      <w:r>
        <w:t xml:space="preserve">be demonstrated that they provide the necessary level of accuracy. No respondents have</w:t>
      </w:r>
      <w:r>
        <w:t xml:space="preserve"> </w:t>
      </w:r>
      <w:r>
        <w:t xml:space="preserve">highlighted that there are regulatory barriers to their use. It is recommended to monitor the</w:t>
      </w:r>
      <w:r>
        <w:t xml:space="preserve"> </w:t>
      </w:r>
      <w:r>
        <w:t xml:space="preserve">operator’s or aircraft operator’s use of these new technologies as this can improve not only the</w:t>
      </w:r>
      <w:r>
        <w:t xml:space="preserve"> </w:t>
      </w:r>
      <w:r>
        <w:t xml:space="preserve">accuracy of emissions but also effectiveness and efficiency of the monitoring processes.</w:t>
      </w:r>
      <w:r>
        <w:br/>
      </w:r>
      <w:r>
        <w:t xml:space="preserve">The Compliance Forum can be a platform where competent authorities share information on</w:t>
      </w:r>
      <w:r>
        <w:t xml:space="preserve"> </w:t>
      </w:r>
      <w:r>
        <w:t xml:space="preserve">new technologies that are used in monitoring and technologies that are applied in their own</w:t>
      </w:r>
      <w:r>
        <w:t xml:space="preserve"> </w:t>
      </w:r>
      <w:r>
        <w:t xml:space="preserve">review and inspection processes. Experiences can for example be shared on how some</w:t>
      </w:r>
      <w:r>
        <w:t xml:space="preserve"> </w:t>
      </w:r>
      <w:r>
        <w:t xml:space="preserve">competent authorities use virtual site visits with advanced technologies to inspect</w:t>
      </w:r>
      <w:r>
        <w:t xml:space="preserve"> </w:t>
      </w:r>
      <w:r>
        <w:t xml:space="preserve">installations289 or use automated tools to facilitate the review of emission reports of select</w:t>
      </w:r>
      <w:r>
        <w:t xml:space="preserve"> </w:t>
      </w:r>
      <w:r>
        <w:t xml:space="preserve">installations to be inspected. In some Task Forces external speakers are sometimes invited for</w:t>
      </w:r>
      <w:r>
        <w:t xml:space="preserve"> </w:t>
      </w:r>
      <w:r>
        <w:t xml:space="preserve">a presentation to share good practices or present a study or case study. It could have added</w:t>
      </w:r>
      <w:r>
        <w:t xml:space="preserve"> </w:t>
      </w:r>
      <w:r>
        <w:t xml:space="preserve">value to learn about the use of these new technologies and practices in third countries.290</w:t>
      </w:r>
      <w:r>
        <w:t xml:space="preserve"> </w:t>
      </w:r>
      <w:r>
        <w:t xml:space="preserve">With respect to verification of stationary installation’s emission reports it may have added</w:t>
      </w:r>
      <w:r>
        <w:t xml:space="preserve"> </w:t>
      </w:r>
      <w:r>
        <w:t xml:space="preserve">value to assess whether virtual site visits by verifier could be allowed beyond force majeure</w:t>
      </w:r>
      <w:r>
        <w:t xml:space="preserve"> </w:t>
      </w:r>
      <w:r>
        <w:t xml:space="preserve">circumstances under very strict conditions. Technologies are improving and may allow an</w:t>
      </w:r>
      <w:r>
        <w:t xml:space="preserve"> </w:t>
      </w:r>
      <w:r>
        <w:t xml:space="preserve">effective virtual site visit provided certain conditions have been met. Care should however be</w:t>
      </w:r>
      <w:r>
        <w:t xml:space="preserve"> </w:t>
      </w:r>
      <w:r>
        <w:t xml:space="preserve">taken that the quality of verification will not be hampered by this. Physical site visits are an</w:t>
      </w:r>
      <w:r>
        <w:t xml:space="preserve"> </w:t>
      </w:r>
      <w:r>
        <w:t xml:space="preserve">instrumental part of the verification as it enables the verifier to inspect metering equipment,</w:t>
      </w:r>
      <w:r>
        <w:t xml:space="preserve"> </w:t>
      </w:r>
      <w:r>
        <w:t xml:space="preserve">interview staff and to properly assess the accounting boundaries.</w:t>
      </w:r>
      <w:r>
        <w:br/>
      </w:r>
      <w:r>
        <w:t xml:space="preserve">Despite the already established use of digital tools, many of the respondents suggested MRVA</w:t>
      </w:r>
      <w:r>
        <w:t xml:space="preserve"> </w:t>
      </w:r>
      <w:r>
        <w:t xml:space="preserve">could be made more efficient and administrative burden reduced if there were more, and more</w:t>
      </w:r>
      <w:r>
        <w:t xml:space="preserve"> </w:t>
      </w:r>
      <w:r>
        <w:t xml:space="preserve">harmonised, tools available. From the analysis for EQ7, several options can be distinguished</w:t>
      </w:r>
      <w:r>
        <w:t xml:space="preserve"> </w:t>
      </w:r>
      <w:r>
        <w:t xml:space="preserve">to incentivise the use of ERT or further IT systems:</w:t>
      </w:r>
      <w:r>
        <w:t xml:space="preserve"> </w:t>
      </w:r>
      <w:r>
        <w:t xml:space="preserve">Option 1 - Mandate the use of ERT</w:t>
      </w:r>
      <w:r>
        <w:t xml:space="preserve"> </w:t>
      </w:r>
      <w:r>
        <w:t xml:space="preserve">Under this option Article 74 and 75 of the MRR would be amended to require Member States</w:t>
      </w:r>
      <w:r>
        <w:t xml:space="preserve"> </w:t>
      </w:r>
      <w:r>
        <w:t xml:space="preserve">and stakeholders to use ERT for the submission of monitoring plans, emission reports,</w:t>
      </w:r>
      <w:r>
        <w:t xml:space="preserve"> </w:t>
      </w:r>
      <w:r>
        <w:t xml:space="preserve">verification reports and improvement reports. The advantage of the option that it would further</w:t>
      </w:r>
      <w:r>
        <w:t xml:space="preserve"> </w:t>
      </w:r>
      <w:r>
        <w:t xml:space="preserve">harmonise procedures between Member States and improve the effectiveness of MRV</w:t>
      </w:r>
      <w:r>
        <w:t xml:space="preserve"> </w:t>
      </w:r>
      <w:r>
        <w:t xml:space="preserve">processes for all stakeholders involved. All Member States would use the same system with</w:t>
      </w:r>
      <w:r>
        <w:t xml:space="preserve"> </w:t>
      </w:r>
      <w:r>
        <w:t xml:space="preserve">similar functionalities and automated checks and the transmission of information to the</w:t>
      </w:r>
      <w:r>
        <w:t xml:space="preserve"> </w:t>
      </w:r>
      <w:r>
        <w:t xml:space="preserve">Commission (e.g. NIMS data collection, reports of municipal waste incineration installations,</w:t>
      </w:r>
      <w:r>
        <w:t xml:space="preserve"> </w:t>
      </w:r>
      <w:r>
        <w:t xml:space="preserve">other relevant information that needs to be submitted to the Commission by law). The</w:t>
      </w:r>
      <w:r>
        <w:t xml:space="preserve"> </w:t>
      </w:r>
      <w:r>
        <w:t xml:space="preserve">disadvantages of this option include the risk of infringing the subsidiarity principle for Member</w:t>
      </w:r>
      <w:r>
        <w:t xml:space="preserve"> </w:t>
      </w:r>
      <w:r>
        <w:t xml:space="preserve">States to set-up national administrative procedures and tools and the additional resources</w:t>
      </w:r>
      <w:r>
        <w:t xml:space="preserve"> </w:t>
      </w:r>
      <w:r>
        <w:t xml:space="preserve">needed to onboard users to the ERT system and adapt it to national procedures. Resistance from</w:t>
      </w:r>
      <w:r>
        <w:t xml:space="preserve"> </w:t>
      </w:r>
      <w:r>
        <w:t xml:space="preserve">countries that have already implemented an IT system and invested in their own systems might</w:t>
      </w:r>
    </w:p>
    <w:p>
      <w:pPr>
        <w:pStyle w:val="BodyText"/>
      </w:pPr>
      <w:r>
        <w:t xml:space="preserve">289 In Ireland virtual site visits were carried out to inspect certain installations. Germany uses automated tools to</w:t>
      </w:r>
      <w:r>
        <w:t xml:space="preserve"> </w:t>
      </w:r>
      <w:r>
        <w:t xml:space="preserve">review emissions reports and select installations to be inspected.</w:t>
      </w:r>
      <w:r>
        <w:br/>
      </w:r>
      <w:r>
        <w:t xml:space="preserve">290 In the TF CCS ICAP and the Global CCS Institute provided presentations on the use of CCS and CCU</w:t>
      </w:r>
      <w:r>
        <w:t xml:space="preserve"> </w:t>
      </w:r>
      <w:r>
        <w:t xml:space="preserve">technologies across the world.</w:t>
      </w:r>
    </w:p>
    <w:p>
      <w:pPr>
        <w:pStyle w:val="BodyText"/>
      </w:pPr>
      <w:r>
        <w:t xml:space="preserve">182</w:t>
      </w:r>
      <w:r>
        <w:t xml:space="preserve"> </w:t>
      </w:r>
      <w:r>
        <w:t xml:space="preserve">be mitigated by mandating Member States to use ERT unless they have implemented a national</w:t>
      </w:r>
      <w:r>
        <w:t xml:space="preserve"> </w:t>
      </w:r>
      <w:r>
        <w:t xml:space="preserve">IT system of equivalent nature.</w:t>
      </w:r>
      <w:r>
        <w:t xml:space="preserve"> </w:t>
      </w:r>
      <w:r>
        <w:t xml:space="preserve">Option 2 - Leave Member States the option to use ERT and continue with efforts to enable</w:t>
      </w:r>
      <w:r>
        <w:t xml:space="preserve"> </w:t>
      </w:r>
      <w:r>
        <w:t xml:space="preserve">linking of national MRVA systems</w:t>
      </w:r>
      <w:r>
        <w:t xml:space="preserve"> </w:t>
      </w:r>
      <w:r>
        <w:t xml:space="preserve">Under this option Article 75 and 75 of the MRR would not be changed and Member States</w:t>
      </w:r>
      <w:r>
        <w:t xml:space="preserve"> </w:t>
      </w:r>
      <w:r>
        <w:t xml:space="preserve">would be left the option to use ERT or their own national systems, but the European</w:t>
      </w:r>
      <w:r>
        <w:t xml:space="preserve"> </w:t>
      </w:r>
      <w:r>
        <w:t xml:space="preserve">Commission would undertake measures enabling linking of national IT systems to the ERT.</w:t>
      </w:r>
      <w:r>
        <w:t xml:space="preserve"> </w:t>
      </w:r>
      <w:r>
        <w:t xml:space="preserve">This would facilitate the submission of information to the Commission. The disadvantage of</w:t>
      </w:r>
      <w:r>
        <w:t xml:space="preserve"> </w:t>
      </w:r>
      <w:r>
        <w:t xml:space="preserve">this option is that Member States would be allowed to implement different systems or to not</w:t>
      </w:r>
      <w:r>
        <w:t xml:space="preserve"> </w:t>
      </w:r>
      <w:r>
        <w:t xml:space="preserve">use IT systems so the differences in tools and procedures would continue to exist. Links could</w:t>
      </w:r>
      <w:r>
        <w:t xml:space="preserve"> </w:t>
      </w:r>
      <w:r>
        <w:t xml:space="preserve">have risks to confidentiality and security of data and might cause some resistance from Member</w:t>
      </w:r>
      <w:r>
        <w:t xml:space="preserve"> </w:t>
      </w:r>
      <w:r>
        <w:t xml:space="preserve">States or stakeholders in that Member States. This risk could be mitigated by implementing</w:t>
      </w:r>
      <w:r>
        <w:t xml:space="preserve"> </w:t>
      </w:r>
      <w:r>
        <w:t xml:space="preserve">safeguards in the system to ensure confidentiality and security of data.</w:t>
      </w:r>
      <w:r>
        <w:br/>
      </w:r>
      <w:r>
        <w:t xml:space="preserve">Option 3 - Leave Member States the option to use ERT and to continue to improve ERT</w:t>
      </w:r>
      <w:r>
        <w:t xml:space="preserve"> </w:t>
      </w:r>
      <w:r>
        <w:t xml:space="preserve">This option would have similar consequences to option 2. No amendment would be necessary</w:t>
      </w:r>
      <w:r>
        <w:t xml:space="preserve"> </w:t>
      </w:r>
      <w:r>
        <w:t xml:space="preserve">in the MRR and in principle the options could be applied in combination. Opportunities to</w:t>
      </w:r>
      <w:r>
        <w:t xml:space="preserve"> </w:t>
      </w:r>
      <w:r>
        <w:t xml:space="preserve">improve the ERT could include the following: (1)Continue with efforts to allow import of</w:t>
      </w:r>
      <w:r>
        <w:t xml:space="preserve"> </w:t>
      </w:r>
      <w:r>
        <w:t xml:space="preserve">historical records into ERT; (2)Explore ways to link ERT with other reporting systems such as</w:t>
      </w:r>
      <w:r>
        <w:t xml:space="preserve"> </w:t>
      </w:r>
      <w:r>
        <w:t xml:space="preserve">for other environmental reporting mechanisms; (3)Improve other functionalities in the system</w:t>
      </w:r>
      <w:r>
        <w:t xml:space="preserve"> </w:t>
      </w:r>
      <w:r>
        <w:t xml:space="preserve">such as building in certain automated checks; (4)Provide NABs access to the system so that the</w:t>
      </w:r>
      <w:r>
        <w:t xml:space="preserve"> </w:t>
      </w:r>
      <w:r>
        <w:t xml:space="preserve">information exchange between NAB and competent authorities can take place through the</w:t>
      </w:r>
      <w:r>
        <w:t xml:space="preserve"> </w:t>
      </w:r>
      <w:r>
        <w:t xml:space="preserve">ERT. This could standardise and facilitate the information exchange even further.</w:t>
      </w:r>
      <w:r>
        <w:br/>
      </w:r>
      <w:r>
        <w:t xml:space="preserve">As with option 2 differences of MS practices and IT systems would still exist if the use of ERT</w:t>
      </w:r>
      <w:r>
        <w:t xml:space="preserve"> </w:t>
      </w:r>
      <w:r>
        <w:t xml:space="preserve">is only on a voluntary basis. Further analysis of the above options could have added value. If</w:t>
      </w:r>
      <w:r>
        <w:t xml:space="preserve"> </w:t>
      </w:r>
      <w:r>
        <w:t xml:space="preserve">no action is taken or only option 2 and 3 is feasible it may be worthwhile considering adapting</w:t>
      </w:r>
      <w:r>
        <w:t xml:space="preserve"> </w:t>
      </w:r>
      <w:r>
        <w:t xml:space="preserve">Article 74 of the MRR and require stakeholders to use the Commission templates unless a</w:t>
      </w:r>
      <w:r>
        <w:t xml:space="preserve"> </w:t>
      </w:r>
      <w:r>
        <w:t xml:space="preserve">Member State has required stakeholders to use a national template or national IT system that</w:t>
      </w:r>
      <w:r>
        <w:t xml:space="preserve"> </w:t>
      </w:r>
      <w:r>
        <w:t xml:space="preserve">contains at least the same information as the Commission template. Although most Member</w:t>
      </w:r>
      <w:r>
        <w:t xml:space="preserve"> </w:t>
      </w:r>
      <w:r>
        <w:t xml:space="preserve">States either have an IT system or prescribe Commission templates, in some countries the use</w:t>
      </w:r>
      <w:r>
        <w:t xml:space="preserve"> </w:t>
      </w:r>
      <w:r>
        <w:t xml:space="preserve">of Commission or national templates is not prescribed as national law prevents them from</w:t>
      </w:r>
      <w:r>
        <w:t xml:space="preserve"> </w:t>
      </w:r>
      <w:r>
        <w:t xml:space="preserve">mandating the use of templates. This has caused differences between stakeholders and caused</w:t>
      </w:r>
      <w:r>
        <w:t xml:space="preserve"> </w:t>
      </w:r>
      <w:r>
        <w:t xml:space="preserve">complications in the implementation. As this only applies for a few Member States, the problem</w:t>
      </w:r>
      <w:r>
        <w:t xml:space="preserve"> </w:t>
      </w:r>
      <w:r>
        <w:t xml:space="preserve">is not significant, but it is still a barrier for EU wide harmonisation on this area.</w:t>
      </w:r>
      <w:r>
        <w:t xml:space="preserve"> </w:t>
      </w:r>
      <w:r>
        <w:t xml:space="preserve">8.4.5 Conclusions</w:t>
      </w:r>
      <w:r>
        <w:t xml:space="preserve"> </w:t>
      </w:r>
      <w:r>
        <w:t xml:space="preserve">The evaluation of the EU ETS MRVA system underscores the effectiveness in ensuring</w:t>
      </w:r>
      <w:r>
        <w:t xml:space="preserve"> </w:t>
      </w:r>
      <w:r>
        <w:t xml:space="preserve">accurate, complete, and transparent greenhouse gas emissions data, reinforcing methodological</w:t>
      </w:r>
      <w:r>
        <w:t xml:space="preserve"> </w:t>
      </w:r>
      <w:r>
        <w:t xml:space="preserve">consistency across Member States. Methodological consistency remains very high, with</w:t>
      </w:r>
      <w:r>
        <w:t xml:space="preserve"> </w:t>
      </w:r>
      <w:r>
        <w:t xml:space="preserve">calculation-based monitoring applied to nearly all stationary installations and fall-back</w:t>
      </w:r>
      <w:r>
        <w:t xml:space="preserve"> </w:t>
      </w:r>
      <w:r>
        <w:t xml:space="preserve">approaches limited to less than 1% of cases. In terms of accuracy and completeness,</w:t>
      </w:r>
      <w:r>
        <w:t xml:space="preserve"> </w:t>
      </w:r>
      <w:r>
        <w:t xml:space="preserve">conservative estimates remain below 1 % of total verified emissions, and submissions of</w:t>
      </w:r>
      <w:r>
        <w:t xml:space="preserve"> </w:t>
      </w:r>
      <w:r>
        <w:t xml:space="preserve">verified emission reports that are missed account for only 1–1.5 % of all installations. Negative</w:t>
      </w:r>
      <w:r>
        <w:t xml:space="preserve"> </w:t>
      </w:r>
      <w:r>
        <w:t xml:space="preserve">verification opinions (≈ 30 per year) and report rejections (≈ 50) are rare, while penalties affect</w:t>
      </w:r>
      <w:r>
        <w:t xml:space="preserve"> </w:t>
      </w:r>
      <w:r>
        <w:t xml:space="preserve">just 0.5 % of operators. Overall, the MRVA framework functions as a mature and harmonised</w:t>
      </w:r>
      <w:r>
        <w:t xml:space="preserve"> </w:t>
      </w:r>
      <w:r>
        <w:t xml:space="preserve">system, delivering highly reliable, comparable, and comprehensive greenhouse-gas data across</w:t>
      </w:r>
      <w:r>
        <w:t xml:space="preserve"> </w:t>
      </w:r>
      <w:r>
        <w:t xml:space="preserve">all Member States and sectors.</w:t>
      </w:r>
    </w:p>
    <w:p>
      <w:pPr>
        <w:pStyle w:val="BodyText"/>
      </w:pPr>
      <w:r>
        <w:t xml:space="preserve">183</w:t>
      </w:r>
      <w:r>
        <w:t xml:space="preserve"> </w:t>
      </w:r>
      <w:r>
        <w:t xml:space="preserve">Together, the evidence also shows a mature and well-functioning system that consistently</w:t>
      </w:r>
      <w:r>
        <w:t xml:space="preserve"> </w:t>
      </w:r>
      <w:r>
        <w:t xml:space="preserve">upholds data integrity. NABs effectively supervise verifiers carrying out annual surveillance</w:t>
      </w:r>
      <w:r>
        <w:t xml:space="preserve"> </w:t>
      </w:r>
      <w:r>
        <w:t xml:space="preserve">by conducting office audits, document review and witness audits of verifier’s actual</w:t>
      </w:r>
      <w:r>
        <w:t xml:space="preserve"> </w:t>
      </w:r>
      <w:r>
        <w:t xml:space="preserve">performance in the verification, with a majority reporting no deterioration in their risk-based</w:t>
      </w:r>
      <w:r>
        <w:t xml:space="preserve"> </w:t>
      </w:r>
      <w:r>
        <w:t xml:space="preserve">surveillance. Verifications and on-site visits are done with a high consistency and quality.</w:t>
      </w:r>
      <w:r>
        <w:t xml:space="preserve"> </w:t>
      </w:r>
      <w:r>
        <w:t xml:space="preserve">Although reported discrepancies remain low, one Member State291 stands out as a statistical</w:t>
      </w:r>
      <w:r>
        <w:t xml:space="preserve"> </w:t>
      </w:r>
      <w:r>
        <w:t xml:space="preserve">outlier, contributing a disproportionate share of misstatements and non-conformities, which</w:t>
      </w:r>
      <w:r>
        <w:t xml:space="preserve"> </w:t>
      </w:r>
      <w:r>
        <w:t xml:space="preserve">may indicate country-specific issues. Trust in the system remains high, but concerns over</w:t>
      </w:r>
      <w:r>
        <w:t xml:space="preserve"> </w:t>
      </w:r>
      <w:r>
        <w:t xml:space="preserve">tightening verifier capacity, especially with upcoming reporting obligations, highlight potential</w:t>
      </w:r>
      <w:r>
        <w:t xml:space="preserve"> </w:t>
      </w:r>
      <w:r>
        <w:t xml:space="preserve">challenges for the future.</w:t>
      </w:r>
      <w:r>
        <w:t xml:space="preserve"> </w:t>
      </w:r>
      <w:r>
        <w:t xml:space="preserve">Overall, Member States have maintained a high level of procedural maturity in</w:t>
      </w:r>
      <w:r>
        <w:t xml:space="preserve"> </w:t>
      </w:r>
      <w:r>
        <w:t xml:space="preserve">implementing MRVA processes under Phase IV, with improvements that are incremental</w:t>
      </w:r>
      <w:r>
        <w:t xml:space="preserve"> </w:t>
      </w:r>
      <w:r>
        <w:t xml:space="preserve">rather than transformative. Coordination between competent authorities, NABs, and other</w:t>
      </w:r>
      <w:r>
        <w:t xml:space="preserve"> </w:t>
      </w:r>
      <w:r>
        <w:t xml:space="preserve">agencies remains well established and effective, supported by EU-level guidance used by</w:t>
      </w:r>
      <w:r>
        <w:t xml:space="preserve"> </w:t>
      </w:r>
      <w:r>
        <w:t xml:space="preserve">nearly all competent authorities. Internal organisation has largely stabilised. Nineteen countries</w:t>
      </w:r>
      <w:r>
        <w:t xml:space="preserve"> </w:t>
      </w:r>
      <w:r>
        <w:t xml:space="preserve">operate with more centralised approaches, while twelve maintain decentralised systems but</w:t>
      </w:r>
      <w:r>
        <w:t xml:space="preserve"> </w:t>
      </w:r>
      <w:r>
        <w:t xml:space="preserve">have strengthened coordination through working groups, regular meetings, a central competent</w:t>
      </w:r>
      <w:r>
        <w:t xml:space="preserve"> </w:t>
      </w:r>
      <w:r>
        <w:t xml:space="preserve">authority overseeing operations and shared training. These arrangements ensure consistency</w:t>
      </w:r>
      <w:r>
        <w:t xml:space="preserve"> </w:t>
      </w:r>
      <w:r>
        <w:t xml:space="preserve">while accommodating national administrative diversity. Permitting, monitoring, and review</w:t>
      </w:r>
      <w:r>
        <w:t xml:space="preserve"> </w:t>
      </w:r>
      <w:r>
        <w:t xml:space="preserve">procedures also show sustained quality, reinforced by digitalisation and standardised templates.</w:t>
      </w:r>
      <w:r>
        <w:t xml:space="preserve"> </w:t>
      </w:r>
      <w:r>
        <w:t xml:space="preserve">Around one-third of competent authorities reported procedural enhancements, often related to</w:t>
      </w:r>
      <w:r>
        <w:t xml:space="preserve"> </w:t>
      </w:r>
      <w:r>
        <w:t xml:space="preserve">digital tools or integration of external datasets. Inspection and enforcement practices remained</w:t>
      </w:r>
      <w:r>
        <w:t xml:space="preserve"> </w:t>
      </w:r>
      <w:r>
        <w:t xml:space="preserve">regular and risk-based, with modest efficiency gains. Collectively, these findings indicate that</w:t>
      </w:r>
      <w:r>
        <w:t xml:space="preserve"> </w:t>
      </w:r>
      <w:r>
        <w:t xml:space="preserve">procedural adjustments by Member States have strengthened administrative efficiency and</w:t>
      </w:r>
      <w:r>
        <w:t xml:space="preserve"> </w:t>
      </w:r>
      <w:r>
        <w:t xml:space="preserve">harmonisation, thereby sustaining high compliance assurance within the MRVA system,</w:t>
      </w:r>
      <w:r>
        <w:t xml:space="preserve"> </w:t>
      </w:r>
      <w:r>
        <w:t xml:space="preserve">though perceived simplification by operators remains limited.</w:t>
      </w:r>
      <w:r>
        <w:br/>
      </w:r>
      <w:r>
        <w:t xml:space="preserve">The EU ETS MRVA framework remains legally solid and operationally robust, with the 2018</w:t>
      </w:r>
      <w:r>
        <w:t xml:space="preserve"> </w:t>
      </w:r>
      <w:r>
        <w:t xml:space="preserve">MRR and AVR effectively integrated across Member States and no MRVA-related</w:t>
      </w:r>
      <w:r>
        <w:t xml:space="preserve"> </w:t>
      </w:r>
      <w:r>
        <w:t xml:space="preserve">infringement cases. Subsequent amendments between 2020 and 2022 enhanced adaptability,</w:t>
      </w:r>
      <w:r>
        <w:t xml:space="preserve"> </w:t>
      </w:r>
      <w:r>
        <w:t xml:space="preserve">ensuring verification continuity during COVID-19, as well as aligning with RED II and</w:t>
      </w:r>
      <w:r>
        <w:t xml:space="preserve"> </w:t>
      </w:r>
      <w:r>
        <w:t xml:space="preserve">CORSIA. However, new challenges are emerging as the system expands to the scope</w:t>
      </w:r>
      <w:r>
        <w:t xml:space="preserve"> </w:t>
      </w:r>
      <w:r>
        <w:t xml:space="preserve">(including maritime transport), exposing coordination and readiness gaps. Stakeholders also</w:t>
      </w:r>
      <w:r>
        <w:t xml:space="preserve"> </w:t>
      </w:r>
      <w:r>
        <w:t xml:space="preserve">report limited simplification and delays in regulatory updates, particularly on free allocation.</w:t>
      </w:r>
      <w:r>
        <w:t xml:space="preserve"> </w:t>
      </w:r>
      <w:r>
        <w:t xml:space="preserve">Overall, while the MRVA system ensures compliance integrity, further improvements could</w:t>
      </w:r>
      <w:r>
        <w:t xml:space="preserve"> </w:t>
      </w:r>
      <w:r>
        <w:t xml:space="preserve">be beneficial to enhance timeliness and proportionate simplification in future phases.</w:t>
      </w:r>
      <w:r>
        <w:t xml:space="preserve"> </w:t>
      </w:r>
      <w:r>
        <w:t xml:space="preserve">Although the MRVA system has achieved its objectives cost-efficiently, concerns persist</w:t>
      </w:r>
      <w:r>
        <w:t xml:space="preserve"> </w:t>
      </w:r>
      <w:r>
        <w:t xml:space="preserve">regarding administrative costs. Costs associated with MRVA are identified as an issue by both</w:t>
      </w:r>
      <w:r>
        <w:t xml:space="preserve"> </w:t>
      </w:r>
      <w:r>
        <w:t xml:space="preserve">stationary installations and aircraft operators but for most still represent a relatively small</w:t>
      </w:r>
      <w:r>
        <w:t xml:space="preserve"> </w:t>
      </w:r>
      <w:r>
        <w:t xml:space="preserve">proportion of the compliance costs for the EU ETS. Evidence is slightly contradictory about</w:t>
      </w:r>
      <w:r>
        <w:t xml:space="preserve"> </w:t>
      </w:r>
      <w:r>
        <w:t xml:space="preserve">differences in annual costs between Phase III and Phase IV of the EU ETS, with opinions</w:t>
      </w:r>
      <w:r>
        <w:t xml:space="preserve"> </w:t>
      </w:r>
      <w:r>
        <w:t xml:space="preserve">suggesting limited changes but the reported costs being higher than previous estimates. Where</w:t>
      </w:r>
      <w:r>
        <w:t xml:space="preserve"> </w:t>
      </w:r>
      <w:r>
        <w:t xml:space="preserve">larger changes are flagged it is often associated with MRVA for free allocation. Drafting a</w:t>
      </w:r>
      <w:r>
        <w:t xml:space="preserve"> </w:t>
      </w:r>
      <w:r>
        <w:t xml:space="preserve">monitoring plan and establishing the control system are the biggest components of one-off costs</w:t>
      </w:r>
      <w:r>
        <w:t xml:space="preserve"> </w:t>
      </w:r>
      <w:r>
        <w:t xml:space="preserve">for stationary installations and for aircraft operators it is purchase of equipment.</w:t>
      </w:r>
    </w:p>
    <w:p>
      <w:pPr>
        <w:pStyle w:val="BodyText"/>
      </w:pPr>
      <w:r>
        <w:t xml:space="preserve">291 France</w:t>
      </w:r>
    </w:p>
    <w:p>
      <w:pPr>
        <w:pStyle w:val="BodyText"/>
      </w:pPr>
      <w:r>
        <w:t xml:space="preserve">184</w:t>
      </w:r>
      <w:r>
        <w:t xml:space="preserve"> </w:t>
      </w:r>
      <w:r>
        <w:t xml:space="preserve">Evidence for cost effective application across different stakeholders is similar to previous</w:t>
      </w:r>
      <w:r>
        <w:t xml:space="preserve"> </w:t>
      </w:r>
      <w:r>
        <w:t xml:space="preserve">studies. For stationary installations in different sectors, the total costs reflect the complexity of</w:t>
      </w:r>
      <w:r>
        <w:t xml:space="preserve"> </w:t>
      </w:r>
      <w:r>
        <w:t xml:space="preserve">the industrial processes and volume of emissions. Additional requirements for biomass</w:t>
      </w:r>
      <w:r>
        <w:t xml:space="preserve"> </w:t>
      </w:r>
      <w:r>
        <w:t xml:space="preserve">reporting seem to lead to higher per unit CO2 costs in some sectors. In terms of size of</w:t>
      </w:r>
      <w:r>
        <w:t xml:space="preserve"> </w:t>
      </w:r>
      <w:r>
        <w:t xml:space="preserve">installation, smaller installations bear relatively higher costs per unit of emissions than the</w:t>
      </w:r>
      <w:r>
        <w:t xml:space="preserve"> </w:t>
      </w:r>
      <w:r>
        <w:t xml:space="preserve">larger installations, despite efforts to simplify requirements for these installations. The relative</w:t>
      </w:r>
      <w:r>
        <w:t xml:space="preserve"> </w:t>
      </w:r>
      <w:r>
        <w:t xml:space="preserve">difference between the largest and smallest installations has not however increased since the</w:t>
      </w:r>
      <w:r>
        <w:t xml:space="preserve"> </w:t>
      </w:r>
      <w:r>
        <w:t xml:space="preserve">previous study. The sample size in the survey means that differences between countries can be</w:t>
      </w:r>
      <w:r>
        <w:t xml:space="preserve"> </w:t>
      </w:r>
      <w:r>
        <w:t xml:space="preserve">considered between two broad groups based on GDP per capita. There are no significant</w:t>
      </w:r>
      <w:r>
        <w:t xml:space="preserve"> </w:t>
      </w:r>
      <w:r>
        <w:t xml:space="preserve">differences between costs in different country groups beyond those that can be explained by</w:t>
      </w:r>
      <w:r>
        <w:t xml:space="preserve"> </w:t>
      </w:r>
      <w:r>
        <w:t xml:space="preserve">differences in labour costs and distribution of installation types.</w:t>
      </w:r>
      <w:r>
        <w:t xml:space="preserve"> </w:t>
      </w:r>
      <w:r>
        <w:t xml:space="preserve">The MRVA system has already been streamlined and simplified as it developed, motivated by</w:t>
      </w:r>
      <w:r>
        <w:t xml:space="preserve"> </w:t>
      </w:r>
      <w:r>
        <w:t xml:space="preserve">increasing cost efficiency but also improving equal treatment. No significant opportunities to</w:t>
      </w:r>
      <w:r>
        <w:t xml:space="preserve"> </w:t>
      </w:r>
      <w:r>
        <w:t xml:space="preserve">streamline or simplify the system have yet been identified in the evidence, but there are options</w:t>
      </w:r>
      <w:r>
        <w:t xml:space="preserve"> </w:t>
      </w:r>
      <w:r>
        <w:t xml:space="preserve">that might provide incremental efficiency gains. While potentially providing some efficiencies,</w:t>
      </w:r>
      <w:r>
        <w:t xml:space="preserve"> </w:t>
      </w:r>
      <w:r>
        <w:t xml:space="preserve">many of the options have implications for environmental effectiveness or legal/practical</w:t>
      </w:r>
      <w:r>
        <w:t xml:space="preserve"> </w:t>
      </w:r>
      <w:r>
        <w:t xml:space="preserve">implications that need more consideration. Both survey and consultation results from the ETS</w:t>
      </w:r>
      <w:r>
        <w:t xml:space="preserve"> </w:t>
      </w:r>
      <w:r>
        <w:t xml:space="preserve">and MSR evaluation indicate that Phase IV reforms strengthened traceability and consistency,</w:t>
      </w:r>
      <w:r>
        <w:t xml:space="preserve"> </w:t>
      </w:r>
      <w:r>
        <w:t xml:space="preserve">but stakeholders felt that it did not totally deliver on simplification, leaving administrative</w:t>
      </w:r>
      <w:r>
        <w:t xml:space="preserve"> </w:t>
      </w:r>
      <w:r>
        <w:t xml:space="preserve">burden a key concern for future MRVA improvements.</w:t>
      </w:r>
      <w:r>
        <w:t xml:space="preserve"> </w:t>
      </w:r>
      <w:r>
        <w:t xml:space="preserve">Experience to date suggests both efficiency and accuracy of MRVA can be improved by the</w:t>
      </w:r>
      <w:r>
        <w:t xml:space="preserve"> </w:t>
      </w:r>
      <w:r>
        <w:t xml:space="preserve">implementation of digital tools, such as the Commission reporting tool ERT. Additional to the</w:t>
      </w:r>
      <w:r>
        <w:t xml:space="preserve"> </w:t>
      </w:r>
      <w:r>
        <w:t xml:space="preserve">current use, there are further options to incentivise used of digital tools to improve efficiency.</w:t>
      </w:r>
      <w:r>
        <w:t xml:space="preserve"> </w:t>
      </w:r>
      <w:r>
        <w:t xml:space="preserve">There are also emerging technologies that can be used for different components of MRVA.</w:t>
      </w:r>
      <w:r>
        <w:t xml:space="preserve"> </w:t>
      </w:r>
      <w:r>
        <w:t xml:space="preserve">These include amongst others the Internet of Things (IoT), AI and Machine Learning and</w:t>
      </w:r>
      <w:r>
        <w:t xml:space="preserve"> </w:t>
      </w:r>
      <w:r>
        <w:t xml:space="preserve">Blockchains. The role of regulation in this case would be to enable their use where it can</w:t>
      </w:r>
      <w:r>
        <w:t xml:space="preserve"> </w:t>
      </w:r>
      <w:r>
        <w:t xml:space="preserve">improve efficiency, while maintaining environmental effectiveness.</w:t>
      </w:r>
      <w:r>
        <w:t xml:space="preserve"> </w:t>
      </w:r>
      <w:r>
        <w:t xml:space="preserve">Overall, the findings indicate that the EU ETS MRVA system functions as a mature and</w:t>
      </w:r>
      <w:r>
        <w:t xml:space="preserve"> </w:t>
      </w:r>
      <w:r>
        <w:t xml:space="preserve">harmonised framework. While incremental improvements have been noted, ongoing</w:t>
      </w:r>
      <w:r>
        <w:t xml:space="preserve"> </w:t>
      </w:r>
      <w:r>
        <w:t xml:space="preserve">evaluations and strategic investments in technology and simplification initiatives are vital to</w:t>
      </w:r>
      <w:r>
        <w:t xml:space="preserve"> </w:t>
      </w:r>
      <w:r>
        <w:t xml:space="preserve">enhance both effectiveness and efficiency, ensuring sustainable environmental compliance</w:t>
      </w:r>
      <w:r>
        <w:t xml:space="preserve"> </w:t>
      </w:r>
      <w:r>
        <w:t xml:space="preserve">across the EU.</w:t>
      </w:r>
    </w:p>
    <w:p>
      <w:pPr>
        <w:pStyle w:val="BodyText"/>
      </w:pPr>
      <w:r>
        <w:t xml:space="preserve">185</w:t>
      </w:r>
      <w:r>
        <w:t xml:space="preserve"> </w:t>
      </w:r>
      <w:r>
        <w:t xml:space="preserve">8.5</w:t>
      </w:r>
      <w:r>
        <w:t xml:space="preserve"> </w:t>
      </w:r>
      <w:r>
        <w:t xml:space="preserve">The Monitoring, Reporting and Verification (MRV) Maritime Regulation</w:t>
      </w:r>
      <w:r>
        <w:br/>
      </w:r>
      <w:r>
        <w:t xml:space="preserve">8.5.1 Introduction</w:t>
      </w:r>
      <w:r>
        <w:t xml:space="preserve"> </w:t>
      </w:r>
      <w:r>
        <w:t xml:space="preserve">The MRV Maritime Regulation (EU) 2015/757 established a system for the monitoring,</w:t>
      </w:r>
      <w:r>
        <w:t xml:space="preserve"> </w:t>
      </w:r>
      <w:r>
        <w:t xml:space="preserve">reporting and verification of greenhouse gas emissions based on the fuel consumption of ships</w:t>
      </w:r>
      <w:r>
        <w:t xml:space="preserve"> </w:t>
      </w:r>
      <w:r>
        <w:t xml:space="preserve">(MRV maritime system) as a first step of a staged approach for the inclusion of maritime</w:t>
      </w:r>
      <w:r>
        <w:t xml:space="preserve"> </w:t>
      </w:r>
      <w:r>
        <w:t xml:space="preserve">transport emissions in the EU ETS.</w:t>
      </w:r>
      <w:r>
        <w:br/>
      </w:r>
      <w:r>
        <w:t xml:space="preserve">This evaluation analyses the role of the MRV maritime system concerning its policy objectives</w:t>
      </w:r>
      <w:r>
        <w:t xml:space="preserve"> </w:t>
      </w:r>
      <w:r>
        <w:t xml:space="preserve">of supporting shipping decarbonisation, by establishing a robust and transparent reporting</w:t>
      </w:r>
      <w:r>
        <w:t xml:space="preserve"> </w:t>
      </w:r>
      <w:r>
        <w:t xml:space="preserve">system for greenhouse gas emissions and supporting the ETS extension to the sector. The</w:t>
      </w:r>
      <w:r>
        <w:t xml:space="preserve"> </w:t>
      </w:r>
      <w:r>
        <w:t xml:space="preserve">evaluation covers the entire period since the application (2018) of the MRV Maritime</w:t>
      </w:r>
      <w:r>
        <w:t xml:space="preserve"> </w:t>
      </w:r>
      <w:r>
        <w:t xml:space="preserve">Regulation and takes into due account the recent (2023) revision of the system, to the extent</w:t>
      </w:r>
      <w:r>
        <w:t xml:space="preserve"> </w:t>
      </w:r>
      <w:r>
        <w:t xml:space="preserve">relevant to the MRV scope and in a manner compatible with the limited evidence and</w:t>
      </w:r>
      <w:r>
        <w:t xml:space="preserve"> </w:t>
      </w:r>
      <w:r>
        <w:t xml:space="preserve">experience of its implementation, which only started in the reporting period 2024. This</w:t>
      </w:r>
      <w:r>
        <w:t xml:space="preserve"> </w:t>
      </w:r>
      <w:r>
        <w:t xml:space="preserve">evaluation builds on a dedicated support study of which finalisation is still ongoing at the time</w:t>
      </w:r>
      <w:r>
        <w:t xml:space="preserve"> </w:t>
      </w:r>
      <w:r>
        <w:t xml:space="preserve">of writing, and of which publication is expected in 2026292.</w:t>
      </w:r>
      <w:r>
        <w:br/>
      </w:r>
      <w:r>
        <w:t xml:space="preserve">Regulation (EU) 2015/757 was limited to ships of 5,000 GT and above in respect of the carbon</w:t>
      </w:r>
      <w:r>
        <w:t xml:space="preserve"> </w:t>
      </w:r>
      <w:r>
        <w:t xml:space="preserve">dioxide emissions released during their voyages from or/and the EEA for transporting for</w:t>
      </w:r>
      <w:r>
        <w:t xml:space="preserve"> </w:t>
      </w:r>
      <w:r>
        <w:t xml:space="preserve">commercial purposes cargo or passengers. The amendments introduced by Regulation (EU)</w:t>
      </w:r>
      <w:r>
        <w:t xml:space="preserve"> </w:t>
      </w:r>
      <w:r>
        <w:t xml:space="preserve">2023/957 provided for the inclusion of maritime transport activities in the EU ETS. The main</w:t>
      </w:r>
      <w:r>
        <w:t xml:space="preserve"> </w:t>
      </w:r>
      <w:r>
        <w:t xml:space="preserve">changes to the MRV system brought by the 2023 revision are illustrated in the following table:</w:t>
      </w:r>
      <w:r>
        <w:t xml:space="preserve"> </w:t>
      </w:r>
      <w:r>
        <w:t xml:space="preserve">Table 14: Key changes to the MRV system introduced with the 2023 revision (amending</w:t>
      </w:r>
      <w:r>
        <w:t xml:space="preserve"> </w:t>
      </w:r>
      <w:r>
        <w:t xml:space="preserve">Regulation (EU) 2023/957)</w:t>
      </w:r>
      <w:r>
        <w:t xml:space="preserve"> </w:t>
      </w:r>
      <w:r>
        <w:t xml:space="preserve">Issue</w:t>
      </w:r>
      <w:r>
        <w:br/>
      </w:r>
      <w:r>
        <w:t xml:space="preserve">Key changes introduced</w:t>
      </w:r>
      <w:r>
        <w:br/>
      </w:r>
      <w:r>
        <w:t xml:space="preserve">Scope of greenhouse</w:t>
      </w:r>
      <w:r>
        <w:t xml:space="preserve"> </w:t>
      </w:r>
      <w:r>
        <w:t xml:space="preserve">gases</w:t>
      </w:r>
      <w:r>
        <w:t xml:space="preserve"> </w:t>
      </w:r>
      <w:r>
        <w:t xml:space="preserve">Expansion of monitored gases beyond CO₂: from 1 January 2024,</w:t>
      </w:r>
      <w:r>
        <w:t xml:space="preserve"> </w:t>
      </w:r>
      <w:r>
        <w:t xml:space="preserve">both methane (CH₄) and nitrous oxide (N₂O) must be monitored</w:t>
      </w:r>
      <w:r>
        <w:t xml:space="preserve"> </w:t>
      </w:r>
      <w:r>
        <w:t xml:space="preserve">and reported. Monitoring methods and parameter rules updated</w:t>
      </w:r>
      <w:r>
        <w:t xml:space="preserve"> </w:t>
      </w:r>
      <w:r>
        <w:t xml:space="preserve">through Delegated Regulation 2023/2776</w:t>
      </w:r>
      <w:r>
        <w:t xml:space="preserve"> </w:t>
      </w:r>
      <w:r>
        <w:t xml:space="preserve">Ships under scope</w:t>
      </w:r>
      <w:r>
        <w:br/>
      </w:r>
      <w:r>
        <w:t xml:space="preserve">From 1 January 2025, the scope extends to general cargo ships of</w:t>
      </w:r>
      <w:r>
        <w:t xml:space="preserve"> </w:t>
      </w:r>
      <w:r>
        <w:t xml:space="preserve">400 GT and above (but below 5,000 GT) and offshore ships of</w:t>
      </w:r>
      <w:r>
        <w:t xml:space="preserve"> </w:t>
      </w:r>
      <w:r>
        <w:t xml:space="preserve">400 GT and above.</w:t>
      </w:r>
      <w:r>
        <w:t xml:space="preserve"> </w:t>
      </w:r>
      <w:r>
        <w:t xml:space="preserve">Company</w:t>
      </w:r>
      <w:r>
        <w:t xml:space="preserve"> </w:t>
      </w:r>
      <w:r>
        <w:t xml:space="preserve">and</w:t>
      </w:r>
      <w:r>
        <w:t xml:space="preserve"> </w:t>
      </w:r>
      <w:r>
        <w:t xml:space="preserve">fleet-</w:t>
      </w:r>
      <w:r>
        <w:t xml:space="preserve"> </w:t>
      </w:r>
      <w:r>
        <w:t xml:space="preserve">level</w:t>
      </w:r>
      <w:r>
        <w:t xml:space="preserve"> </w:t>
      </w:r>
      <w:r>
        <w:t xml:space="preserve">reporting</w:t>
      </w:r>
      <w:r>
        <w:t xml:space="preserve"> </w:t>
      </w:r>
      <w:r>
        <w:t xml:space="preserve">and</w:t>
      </w:r>
      <w:r>
        <w:t xml:space="preserve"> </w:t>
      </w:r>
      <w:r>
        <w:t xml:space="preserve">partial reports</w:t>
      </w:r>
      <w:r>
        <w:t xml:space="preserve"> </w:t>
      </w:r>
      <w:r>
        <w:t xml:space="preserve">From 2025, verified aggregated emissions data at company (fleet)</w:t>
      </w:r>
      <w:r>
        <w:t xml:space="preserve"> </w:t>
      </w:r>
      <w:r>
        <w:t xml:space="preserve">level must also be submitted annually, together with ship-level</w:t>
      </w:r>
      <w:r>
        <w:t xml:space="preserve"> </w:t>
      </w:r>
      <w:r>
        <w:t xml:space="preserve">emissions, using a standardised electronic template.</w:t>
      </w:r>
      <w:r>
        <w:t xml:space="preserve"> </w:t>
      </w:r>
      <w:r>
        <w:t xml:space="preserve">Introduction of “partial emissions reports” in case of change of</w:t>
      </w:r>
      <w:r>
        <w:t xml:space="preserve"> </w:t>
      </w:r>
      <w:r>
        <w:t xml:space="preserve">company during a reporting period: the prior company must</w:t>
      </w:r>
      <w:r>
        <w:t xml:space="preserve"> </w:t>
      </w:r>
      <w:r>
        <w:t xml:space="preserve">submit a verified partial emissions report covering its period of</w:t>
      </w:r>
      <w:r>
        <w:t xml:space="preserve"> </w:t>
      </w:r>
      <w:r>
        <w:t xml:space="preserve">responsibility.</w:t>
      </w:r>
    </w:p>
    <w:p>
      <w:pPr>
        <w:pStyle w:val="BodyText"/>
      </w:pPr>
      <w:r>
        <w:t xml:space="preserve">292 RICARDO, 2026, Support study for the evaluation of the EU Maritime MRV system in the context of the ETS</w:t>
      </w:r>
      <w:r>
        <w:t xml:space="preserve"> </w:t>
      </w:r>
      <w:r>
        <w:t xml:space="preserve">Directive review (forthcoming).</w:t>
      </w:r>
    </w:p>
    <w:p>
      <w:pPr>
        <w:pStyle w:val="BodyText"/>
      </w:pPr>
      <w:r>
        <w:t xml:space="preserve">186</w:t>
      </w:r>
      <w:r>
        <w:t xml:space="preserve"> </w:t>
      </w:r>
      <w:r>
        <w:t xml:space="preserve">Monitoring</w:t>
      </w:r>
      <w:r>
        <w:t xml:space="preserve"> </w:t>
      </w:r>
      <w:r>
        <w:t xml:space="preserve">plans/submission</w:t>
      </w:r>
      <w:r>
        <w:t xml:space="preserve"> </w:t>
      </w:r>
      <w:r>
        <w:t xml:space="preserve">deadlines/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New and updated templates and electronic formats adopted</w:t>
      </w:r>
      <w:r>
        <w:t xml:space="preserve"> </w:t>
      </w:r>
      <w:r>
        <w:t xml:space="preserve">through Implementing Regulation (EU) 2023/2449 to capture</w:t>
      </w:r>
      <w:r>
        <w:t xml:space="preserve"> </w:t>
      </w:r>
      <w:r>
        <w:t xml:space="preserve">CH₄/N₂O, company-level aggregates and new data requirements.</w:t>
      </w:r>
      <w:r>
        <w:t xml:space="preserve"> </w:t>
      </w:r>
      <w:r>
        <w:t xml:space="preserve">Deadline: by 1 April 2024 (or within three months after first EEA</w:t>
      </w:r>
      <w:r>
        <w:t xml:space="preserve"> </w:t>
      </w:r>
      <w:r>
        <w:t xml:space="preserve">port call) companies to submit verified monitoring plans under</w:t>
      </w:r>
      <w:r>
        <w:t xml:space="preserve"> </w:t>
      </w:r>
      <w:r>
        <w:t xml:space="preserve">the amended rules.</w:t>
      </w:r>
      <w:r>
        <w:br/>
      </w:r>
      <w:r>
        <w:t xml:space="preserve">The administering authority (Member State authority responsible</w:t>
      </w:r>
      <w:r>
        <w:t xml:space="preserve"> </w:t>
      </w:r>
      <w:r>
        <w:t xml:space="preserve">for ETS administration) is introduced in the MRV/ETS</w:t>
      </w:r>
      <w:r>
        <w:t xml:space="preserve"> </w:t>
      </w:r>
      <w:r>
        <w:t xml:space="preserve">compliance cycle.</w:t>
      </w:r>
      <w:r>
        <w:br/>
      </w:r>
      <w:r>
        <w:t xml:space="preserve">8.5.2 Point of comparison</w:t>
      </w:r>
      <w:r>
        <w:t xml:space="preserve"> </w:t>
      </w:r>
      <w:r>
        <w:t xml:space="preserve">The evaluation of the MRV maritime system is based on the provisions of the ETS Directive,</w:t>
      </w:r>
      <w:r>
        <w:t xml:space="preserve"> </w:t>
      </w:r>
      <w:r>
        <w:t xml:space="preserve">the MRV maritime Regulation, and its related implementing regulations. The key legal</w:t>
      </w:r>
      <w:r>
        <w:t xml:space="preserve"> </w:t>
      </w:r>
      <w:r>
        <w:t xml:space="preserve">provisions of the ETS Directive relevant to the MRV maritime are:</w:t>
      </w:r>
      <w:r>
        <w:t xml:space="preserve"> </w:t>
      </w:r>
      <w:r>
        <w:t xml:space="preserve">Article 3gd: Monitoring and reporting of emissions from maritime transport. Requires</w:t>
      </w:r>
      <w:r>
        <w:t xml:space="preserve"> </w:t>
      </w:r>
      <w:r>
        <w:t xml:space="preserve">shipping companies to monitor and report relevant parameters and aggregate emissions data at</w:t>
      </w:r>
      <w:r>
        <w:t xml:space="preserve"> </w:t>
      </w:r>
      <w:r>
        <w:t xml:space="preserve">company level in accordance with the MRV maritime system.</w:t>
      </w:r>
      <w:r>
        <w:t xml:space="preserve"> </w:t>
      </w:r>
      <w:r>
        <w:t xml:space="preserve">Article 3ge: Verification and accreditation rules for emissions from maritime transport.</w:t>
      </w:r>
      <w:r>
        <w:t xml:space="preserve"> </w:t>
      </w:r>
      <w:r>
        <w:t xml:space="preserve">Requires that emissions reports be verified by accredited independent verifiers in accordance</w:t>
      </w:r>
      <w:r>
        <w:t xml:space="preserve"> </w:t>
      </w:r>
      <w:r>
        <w:t xml:space="preserve">with the verification and accreditation rules set in the MRV maritime Regulation.</w:t>
      </w:r>
      <w:r>
        <w:br/>
      </w:r>
      <w:r>
        <w:t xml:space="preserve">Article 3gf: Administering authority in respect of a shipping company. Outlines the role</w:t>
      </w:r>
      <w:r>
        <w:t xml:space="preserve"> </w:t>
      </w:r>
      <w:r>
        <w:t xml:space="preserve">of administering authorities in respect of shipping companies, including with respect to the</w:t>
      </w:r>
      <w:r>
        <w:t xml:space="preserve"> </w:t>
      </w:r>
      <w:r>
        <w:t xml:space="preserve">attribution mechanism.</w:t>
      </w:r>
      <w:r>
        <w:br/>
      </w:r>
      <w:r>
        <w:t xml:space="preserve">The key provisions outlining the principles of the MRV maritime system as in Regulation (EU)</w:t>
      </w:r>
      <w:r>
        <w:t xml:space="preserve"> </w:t>
      </w:r>
      <w:r>
        <w:t xml:space="preserve">2015/757 are:</w:t>
      </w:r>
      <w:r>
        <w:br/>
      </w:r>
      <w:r>
        <w:t xml:space="preserve">Article 6: Content and submission of the monitoring plan. Requires companies to establish</w:t>
      </w:r>
      <w:r>
        <w:t xml:space="preserve"> </w:t>
      </w:r>
      <w:r>
        <w:t xml:space="preserve">a monitoring plan and outlines its main elements.</w:t>
      </w:r>
      <w:r>
        <w:br/>
      </w:r>
      <w:r>
        <w:t xml:space="preserve">Article 8: Monitoring of activities within a reporting period. Requires companies to carry</w:t>
      </w:r>
      <w:r>
        <w:t xml:space="preserve"> </w:t>
      </w:r>
      <w:r>
        <w:t xml:space="preserve">out the monitoring of relevant parameters on the basis of the monitoring plan.</w:t>
      </w:r>
      <w:r>
        <w:br/>
      </w:r>
      <w:r>
        <w:t xml:space="preserve">Article 11: Content of the emissions report. Establish the obligation for companies to submit</w:t>
      </w:r>
      <w:r>
        <w:t xml:space="preserve"> </w:t>
      </w:r>
      <w:r>
        <w:t xml:space="preserve">verified emissions reports and outlines the information to be contained therein.</w:t>
      </w:r>
      <w:r>
        <w:br/>
      </w:r>
      <w:r>
        <w:t xml:space="preserve">Article 13 Scope of verification activities and verification report. Outlines the verifier’s role</w:t>
      </w:r>
      <w:r>
        <w:t xml:space="preserve"> </w:t>
      </w:r>
      <w:r>
        <w:t xml:space="preserve">in respect of the different elements of the MRV compliance cycle and provides the legal basis</w:t>
      </w:r>
      <w:r>
        <w:t xml:space="preserve"> </w:t>
      </w:r>
      <w:r>
        <w:t xml:space="preserve">for the Delegated Regulation on Accreditation and Verification for MRV maritime.</w:t>
      </w:r>
      <w:r>
        <w:br/>
      </w:r>
      <w:r>
        <w:t xml:space="preserve">Article 20: Penalties, information exchange and expulsion order. Establishes the</w:t>
      </w:r>
      <w:r>
        <w:t xml:space="preserve"> </w:t>
      </w:r>
      <w:r>
        <w:t xml:space="preserve">enforcement regime for non-compliance in respect of MRV maritime obligations.</w:t>
      </w:r>
      <w:r>
        <w:br/>
      </w:r>
      <w:r>
        <w:t xml:space="preserve">Delegated and implementing acts have also been adopted by the Commission to operationalise</w:t>
      </w:r>
      <w:r>
        <w:t xml:space="preserve"> </w:t>
      </w:r>
      <w:r>
        <w:t xml:space="preserve">the MRV Maritime framework. These include:</w:t>
      </w:r>
      <w:r>
        <w:br/>
      </w:r>
      <w:r>
        <w:t xml:space="preserve">Commission Delegated Regulation (EU) 2023/2776 that amended the rules for monitoring</w:t>
      </w:r>
      <w:r>
        <w:t xml:space="preserve"> </w:t>
      </w:r>
      <w:r>
        <w:t xml:space="preserve">greenhouse gas emissions and other relevant information</w:t>
      </w:r>
    </w:p>
    <w:p>
      <w:pPr>
        <w:pStyle w:val="BodyText"/>
      </w:pPr>
      <w:r>
        <w:t xml:space="preserve">187</w:t>
      </w:r>
      <w:r>
        <w:t xml:space="preserve"> </w:t>
      </w:r>
      <w:r>
        <w:t xml:space="preserve">Commission Delegated Regulation (EU) 2023/2917 that replaced Delegated Regulation (EU)</w:t>
      </w:r>
      <w:r>
        <w:t xml:space="preserve"> </w:t>
      </w:r>
      <w:r>
        <w:t xml:space="preserve">2016/2072 covering verification activities, accreditation of verifiers and approval of</w:t>
      </w:r>
      <w:r>
        <w:t xml:space="preserve"> </w:t>
      </w:r>
      <w:r>
        <w:t xml:space="preserve">monitoring plans by administering authorities</w:t>
      </w:r>
      <w:r>
        <w:t xml:space="preserve"> </w:t>
      </w:r>
      <w:r>
        <w:t xml:space="preserve">Implementing Regulation (EU) 2023/2449 that repealed Implementing Regulation (EU)</w:t>
      </w:r>
      <w:r>
        <w:t xml:space="preserve"> </w:t>
      </w:r>
      <w:r>
        <w:t xml:space="preserve">2016/1927 providing templates to be used for monitoring plans, emission reports and</w:t>
      </w:r>
      <w:r>
        <w:t xml:space="preserve"> </w:t>
      </w:r>
      <w:r>
        <w:t xml:space="preserve">Documents of Compliance</w:t>
      </w:r>
      <w:r>
        <w:t xml:space="preserve"> </w:t>
      </w:r>
      <w:r>
        <w:t xml:space="preserve">Implementing Regulation (EU) 2016/1928 providing the rules to determine cargo carried for</w:t>
      </w:r>
      <w:r>
        <w:t xml:space="preserve"> </w:t>
      </w:r>
      <w:r>
        <w:t xml:space="preserve">certain ship categories</w:t>
      </w:r>
      <w:r>
        <w:br/>
      </w:r>
      <w:r>
        <w:t xml:space="preserve">Following the adoption of Regulation (EU) 2023/957, a further amendment was adopted in late</w:t>
      </w:r>
      <w:r>
        <w:t xml:space="preserve"> </w:t>
      </w:r>
      <w:r>
        <w:t xml:space="preserve">2024 through Commission Delegated Regulation (EU) 2024/3214 to clarify MRV application</w:t>
      </w:r>
      <w:r>
        <w:t xml:space="preserve"> </w:t>
      </w:r>
      <w:r>
        <w:t xml:space="preserve">to offshore activities and the zero-rating of sustainable fuels.</w:t>
      </w:r>
      <w:r>
        <w:br/>
      </w:r>
      <w:r>
        <w:t xml:space="preserve">Because of the 2023 revision of the Regulation, guidance and templates were developed and</w:t>
      </w:r>
      <w:r>
        <w:t xml:space="preserve"> </w:t>
      </w:r>
      <w:r>
        <w:t xml:space="preserve">updated in relevant expert groups to ensure a harmonised interpretation of the new</w:t>
      </w:r>
      <w:r>
        <w:t xml:space="preserve"> </w:t>
      </w:r>
      <w:r>
        <w:t xml:space="preserve">requirements.</w:t>
      </w:r>
      <w:r>
        <w:br/>
      </w:r>
      <w:r>
        <w:t xml:space="preserve">8.5.3 Intervention logic</w:t>
      </w:r>
      <w:r>
        <w:t xml:space="preserve"> </w:t>
      </w:r>
      <w:r>
        <w:t xml:space="preserve">The below figure provides a structured representation of how different actors and actions have</w:t>
      </w:r>
      <w:r>
        <w:t xml:space="preserve"> </w:t>
      </w:r>
      <w:r>
        <w:t xml:space="preserve">been interacting under the EU maritime MRV system and how they contribute to deliver on the</w:t>
      </w:r>
      <w:r>
        <w:t xml:space="preserve"> </w:t>
      </w:r>
      <w:r>
        <w:t xml:space="preserve">general and specific objectives of the system. It sets out the causal chain linking inputs,</w:t>
      </w:r>
      <w:r>
        <w:t xml:space="preserve"> </w:t>
      </w:r>
      <w:r>
        <w:t xml:space="preserve">activities, outputs, results, and impacts, while identifying the assumptions underpinning each</w:t>
      </w:r>
      <w:r>
        <w:t xml:space="preserve"> </w:t>
      </w:r>
      <w:r>
        <w:t xml:space="preserve">stage.</w:t>
      </w:r>
      <w:r>
        <w:t xml:space="preserve"> </w:t>
      </w:r>
      <w:r>
        <w:t xml:space="preserve">The objectives, needs and problems identified in the diagram reflect the issues the MRV</w:t>
      </w:r>
      <w:r>
        <w:t xml:space="preserve"> </w:t>
      </w:r>
      <w:r>
        <w:t xml:space="preserve">Regulation was designed to address. The intervention logic has therefore been developed</w:t>
      </w:r>
      <w:r>
        <w:t xml:space="preserve"> </w:t>
      </w:r>
      <w:r>
        <w:t xml:space="preserve">drawing on the relevant legislation as well as on the 2013 Impact Assessment supporting the</w:t>
      </w:r>
      <w:r>
        <w:t xml:space="preserve"> </w:t>
      </w:r>
      <w:r>
        <w:t xml:space="preserve">2015 MRV Regulation, and the Commission’s 2021 Impact Assessment for the inclusion of</w:t>
      </w:r>
      <w:r>
        <w:t xml:space="preserve"> </w:t>
      </w:r>
      <w:r>
        <w:t xml:space="preserve">maritime transport in the ETS.</w:t>
      </w:r>
      <w:r>
        <w:t xml:space="preserve"> </w:t>
      </w:r>
      <w:r>
        <w:t xml:space="preserve">Figure 32: Intervention logic diagram (MRV Maritime system)</w:t>
      </w:r>
    </w:p>
    <w:p>
      <w:pPr>
        <w:pStyle w:val="BodyText"/>
      </w:pPr>
      <w:r>
        <w:t xml:space="preserve">188</w:t>
      </w:r>
      <w:r>
        <w:t xml:space="preserve"> </w:t>
      </w:r>
      <w:r>
        <w:t xml:space="preserve">Source: Own illustration</w:t>
      </w:r>
      <w:r>
        <w:t xml:space="preserve"> </w:t>
      </w:r>
      <w:r>
        <w:t xml:space="preserve">8.5.3.1</w:t>
      </w:r>
      <w:r>
        <w:t xml:space="preserve"> </w:t>
      </w:r>
      <w:r>
        <w:t xml:space="preserve">Problem to address</w:t>
      </w:r>
      <w:r>
        <w:t xml:space="preserve"> </w:t>
      </w:r>
      <w:r>
        <w:t xml:space="preserve">The MRV Maritime system was established to collect transparent, accurate and complete data</w:t>
      </w:r>
      <w:r>
        <w:t xml:space="preserve"> </w:t>
      </w:r>
      <w:r>
        <w:t xml:space="preserve">on greenhouse gas emissions and energy efficiency from maritime transport activities. Before</w:t>
      </w:r>
      <w:r>
        <w:t xml:space="preserve"> </w:t>
      </w:r>
      <w:r>
        <w:t xml:space="preserve">the implementation of the system, few Member States had piloted partial or sector-specific</w:t>
      </w:r>
      <w:r>
        <w:t xml:space="preserve"> </w:t>
      </w:r>
      <w:r>
        <w:t xml:space="preserve">initiatives to monitor and report shipping emissions, resulting in a fragmented scenario, unfit</w:t>
      </w:r>
      <w:r>
        <w:t xml:space="preserve"> </w:t>
      </w:r>
      <w:r>
        <w:t xml:space="preserve">to support the integration of the sector into EU climate policy instruments and causing an</w:t>
      </w:r>
      <w:r>
        <w:t xml:space="preserve"> </w:t>
      </w:r>
      <w:r>
        <w:t xml:space="preserve">asymmetry of information between different actors within the shipping industry, thus hindering</w:t>
      </w:r>
      <w:r>
        <w:t xml:space="preserve"> </w:t>
      </w:r>
      <w:r>
        <w:t xml:space="preserve">the uptake of energy efficiency and low-carbon technologies.</w:t>
      </w:r>
      <w:r>
        <w:br/>
      </w:r>
      <w:r>
        <w:t xml:space="preserve">8.5.3.2</w:t>
      </w:r>
      <w:r>
        <w:t xml:space="preserve"> </w:t>
      </w:r>
      <w:r>
        <w:t xml:space="preserve">Objectives</w:t>
      </w:r>
      <w:r>
        <w:t xml:space="preserve"> </w:t>
      </w:r>
      <w:r>
        <w:t xml:space="preserve">The general objective of the MRV maritime system is to support EU climate neutrality by 2050</w:t>
      </w:r>
      <w:r>
        <w:t xml:space="preserve"> </w:t>
      </w:r>
      <w:r>
        <w:t xml:space="preserve">and greenhouse gas reduction targets, as set in the EU Climate Law and the Fit for 55 legislation</w:t>
      </w:r>
      <w:r>
        <w:t xml:space="preserve"> </w:t>
      </w:r>
      <w:r>
        <w:t xml:space="preserve">to deliver the European Green Deal. To deliver this, the system pursues three specific</w:t>
      </w:r>
      <w:r>
        <w:t xml:space="preserve"> </w:t>
      </w:r>
      <w:r>
        <w:t xml:space="preserve">objectives. The first one is to establish and maintain a harmonised emissions data system</w:t>
      </w:r>
      <w:r>
        <w:t xml:space="preserve"> </w:t>
      </w:r>
      <w:r>
        <w:t xml:space="preserve">applicable to all relevant ship categories, activities, and greenhouse gases. The second specific</w:t>
      </w:r>
      <w:r>
        <w:t xml:space="preserve"> </w:t>
      </w:r>
      <w:r>
        <w:t xml:space="preserve">objective of the system is to enable the effective implementation of the EU ETS application to</w:t>
      </w:r>
      <w:r>
        <w:t xml:space="preserve"> </w:t>
      </w:r>
      <w:r>
        <w:t xml:space="preserve">maritime transport activities. The third specific objective of the system is to ensure legal and</w:t>
      </w:r>
      <w:r>
        <w:t xml:space="preserve"> </w:t>
      </w:r>
      <w:r>
        <w:t xml:space="preserve">regulatory certainty for involved actors, while reducing administrative burden.</w:t>
      </w:r>
      <w:r>
        <w:br/>
      </w:r>
      <w:r>
        <w:t xml:space="preserve">8.5.3.3</w:t>
      </w:r>
      <w:r>
        <w:t xml:space="preserve"> </w:t>
      </w:r>
      <w:r>
        <w:t xml:space="preserve">Inputs</w:t>
      </w:r>
      <w:r>
        <w:t xml:space="preserve"> </w:t>
      </w:r>
      <w:r>
        <w:t xml:space="preserve">The successful implementation and enhancement of the MRV maritime framework is expected</w:t>
      </w:r>
      <w:r>
        <w:t xml:space="preserve"> </w:t>
      </w:r>
      <w:r>
        <w:t xml:space="preserve">to rely on several key inputs allocated by different actors, both at national and EU level:</w:t>
      </w:r>
      <w:r>
        <w:t xml:space="preserve"> </w:t>
      </w:r>
      <w:r>
        <w:t xml:space="preserve">collaboration and support from relevant Commission services and the European Maritime</w:t>
      </w:r>
      <w:r>
        <w:t xml:space="preserve"> </w:t>
      </w:r>
      <w:r>
        <w:t xml:space="preserve">Safety Agency (EMSA) to provide the necessary support to implementation, administrative</w:t>
      </w:r>
      <w:r>
        <w:t xml:space="preserve"> </w:t>
      </w:r>
      <w:r>
        <w:t xml:space="preserve">and financial support to maintain in operation the mandatory IT system for compliance</w:t>
      </w:r>
      <w:r>
        <w:t xml:space="preserve"> </w:t>
      </w:r>
      <w:r>
        <w:t xml:space="preserve">(THETIS-MRV), resources from actors involved in the verification and accreditation system</w:t>
      </w:r>
      <w:r>
        <w:t xml:space="preserve"> </w:t>
      </w:r>
      <w:r>
        <w:t xml:space="preserve">(accredited verifiers and National Accreditation Bodies - NABs) to ensure the quality of</w:t>
      </w:r>
      <w:r>
        <w:t xml:space="preserve"> </w:t>
      </w:r>
      <w:r>
        <w:t xml:space="preserve">verification activities, adequate technical, financial, and administrative capacity by the actors</w:t>
      </w:r>
      <w:r>
        <w:t xml:space="preserve"> </w:t>
      </w:r>
      <w:r>
        <w:t xml:space="preserve">required to administer and implementing the system (shipping companies, verifiers,</w:t>
      </w:r>
      <w:r>
        <w:t xml:space="preserve"> </w:t>
      </w:r>
      <w:r>
        <w:t xml:space="preserve">Administering Authorities of Member State).</w:t>
      </w:r>
      <w:r>
        <w:br/>
      </w:r>
      <w:r>
        <w:t xml:space="preserve">8.5.3.4</w:t>
      </w:r>
      <w:r>
        <w:t xml:space="preserve"> </w:t>
      </w:r>
      <w:r>
        <w:t xml:space="preserve">Actions</w:t>
      </w:r>
      <w:r>
        <w:t xml:space="preserve"> </w:t>
      </w:r>
      <w:r>
        <w:t xml:space="preserve">Relevant actors affected by the establishment of the MRV system are expected to be</w:t>
      </w:r>
      <w:r>
        <w:t xml:space="preserve"> </w:t>
      </w:r>
      <w:r>
        <w:t xml:space="preserve">undertaking different activities, depending on their role in the MRV compliance cycle</w:t>
      </w:r>
      <w:r>
        <w:t xml:space="preserve"> </w:t>
      </w:r>
      <w:r>
        <w:t xml:space="preserve">stemming from the respective legislative requirements. The European Commission Services</w:t>
      </w:r>
      <w:r>
        <w:t xml:space="preserve"> </w:t>
      </w:r>
      <w:r>
        <w:t xml:space="preserve">and EMSA provide the necessary support to stakeholders, through guidance and maintenance</w:t>
      </w:r>
      <w:r>
        <w:t xml:space="preserve"> </w:t>
      </w:r>
      <w:r>
        <w:t xml:space="preserve">of relevant technical tools for implementation. Operators collect and aggregate the data</w:t>
      </w:r>
      <w:r>
        <w:t xml:space="preserve"> </w:t>
      </w:r>
      <w:r>
        <w:t xml:space="preserve">required under the system, producing reports for submission on the basis of monitoring plans.</w:t>
      </w:r>
      <w:r>
        <w:t xml:space="preserve"> </w:t>
      </w:r>
      <w:r>
        <w:t xml:space="preserve">Verifiers and NABs provide respectively verification and accreditation services. Member State</w:t>
      </w:r>
      <w:r>
        <w:t xml:space="preserve"> </w:t>
      </w:r>
      <w:r>
        <w:t xml:space="preserve">authorities are responsible for the implementation of the system in respect of the companies</w:t>
      </w:r>
      <w:r>
        <w:t xml:space="preserve"> </w:t>
      </w:r>
      <w:r>
        <w:t xml:space="preserve">under their responsibility, including through exchange of information with NABs to ensure</w:t>
      </w:r>
      <w:r>
        <w:t xml:space="preserve"> </w:t>
      </w:r>
      <w:r>
        <w:t xml:space="preserve">quality of verification, and further complement the support to implementation provided by</w:t>
      </w:r>
      <w:r>
        <w:t xml:space="preserve"> </w:t>
      </w:r>
      <w:r>
        <w:t xml:space="preserve">EMSA.</w:t>
      </w:r>
      <w:r>
        <w:br/>
      </w:r>
      <w:r>
        <w:t xml:space="preserve">8.5.3.5</w:t>
      </w:r>
      <w:r>
        <w:t xml:space="preserve"> </w:t>
      </w:r>
      <w:r>
        <w:t xml:space="preserve">Output</w:t>
      </w:r>
      <w:r>
        <w:t xml:space="preserve"> </w:t>
      </w:r>
      <w:r>
        <w:t xml:space="preserve">Because of the implementation of the system, different outputs are expected in the short term</w:t>
      </w:r>
      <w:r>
        <w:t xml:space="preserve"> </w:t>
      </w:r>
      <w:r>
        <w:t xml:space="preserve">by relevant stakeholders. European Commission services and EMSA deliver guidance, provide</w:t>
      </w:r>
    </w:p>
    <w:p>
      <w:pPr>
        <w:pStyle w:val="BodyText"/>
      </w:pPr>
      <w:r>
        <w:t xml:space="preserve">189</w:t>
      </w:r>
      <w:r>
        <w:t xml:space="preserve"> </w:t>
      </w:r>
      <w:r>
        <w:t xml:space="preserve">support to implementation, and maintain the technical tools necessary for compliance (e.g. </w:t>
      </w:r>
      <w:r>
        <w:t xml:space="preserve"> </w:t>
      </w:r>
      <w:r>
        <w:t xml:space="preserve">THETIS-MRV). Accredited verifiers deliver third party verification on the relevant outputs by</w:t>
      </w:r>
      <w:r>
        <w:t xml:space="preserve"> </w:t>
      </w:r>
      <w:r>
        <w:t xml:space="preserve">shipping companies and NABs carry out surveillance activities to ensure the robustness of the</w:t>
      </w:r>
      <w:r>
        <w:t xml:space="preserve"> </w:t>
      </w:r>
      <w:r>
        <w:t xml:space="preserve">verification framework under which accredited verifiers operate. After establishing and</w:t>
      </w:r>
      <w:r>
        <w:t xml:space="preserve"> </w:t>
      </w:r>
      <w:r>
        <w:t xml:space="preserve">implementing monitoring methods in accordance with MRV requirements, shipping companies</w:t>
      </w:r>
      <w:r>
        <w:t xml:space="preserve"> </w:t>
      </w:r>
      <w:r>
        <w:t xml:space="preserve">submit relevant emissions data. Member State authorities administer the system, ensuring</w:t>
      </w:r>
      <w:r>
        <w:t xml:space="preserve"> </w:t>
      </w:r>
      <w:r>
        <w:t xml:space="preserve">compliance checks on key deliverables and imposing enforcement measures.</w:t>
      </w:r>
      <w:r>
        <w:br/>
      </w:r>
      <w:r>
        <w:t xml:space="preserve">8.5.3.6</w:t>
      </w:r>
      <w:r>
        <w:t xml:space="preserve"> </w:t>
      </w:r>
      <w:r>
        <w:t xml:space="preserve">Intended results and impacts</w:t>
      </w:r>
      <w:r>
        <w:t xml:space="preserve"> </w:t>
      </w:r>
      <w:r>
        <w:t xml:space="preserve">The expected effects of the intervention in the medium and long term include the</w:t>
      </w:r>
      <w:r>
        <w:t xml:space="preserve"> </w:t>
      </w:r>
      <w:r>
        <w:t xml:space="preserve">implementation of a coherent MRV system by shipping companies, thus supporting the</w:t>
      </w:r>
      <w:r>
        <w:t xml:space="preserve"> </w:t>
      </w:r>
      <w:r>
        <w:t xml:space="preserve">accuracy, completeness, and transparency of reported greenhouse gas emissions and energy</w:t>
      </w:r>
      <w:r>
        <w:t xml:space="preserve"> </w:t>
      </w:r>
      <w:r>
        <w:t xml:space="preserve">efficiency data from maritime transport activities. The harmonised implementation across</w:t>
      </w:r>
      <w:r>
        <w:t xml:space="preserve"> </w:t>
      </w:r>
      <w:r>
        <w:t xml:space="preserve">different EU Member State is expected to increase stakeholders’ trust in the system’s reliability</w:t>
      </w:r>
      <w:r>
        <w:t xml:space="preserve"> </w:t>
      </w:r>
      <w:r>
        <w:t xml:space="preserve">in collecting energy and emissions performance data, while serving as a necessary element for</w:t>
      </w:r>
      <w:r>
        <w:t xml:space="preserve"> </w:t>
      </w:r>
      <w:r>
        <w:t xml:space="preserve">the robust implementation of the ETS extension to shipping.</w:t>
      </w:r>
      <w:r>
        <w:br/>
      </w:r>
      <w:r>
        <w:t xml:space="preserve">The reliance on robust, complete and transparent data is further expected to enable industry</w:t>
      </w:r>
      <w:r>
        <w:t xml:space="preserve"> </w:t>
      </w:r>
      <w:r>
        <w:t xml:space="preserve">players to better understand emissions data and behaviours, thus making informed financial</w:t>
      </w:r>
      <w:r>
        <w:t xml:space="preserve"> </w:t>
      </w:r>
      <w:r>
        <w:t xml:space="preserve">and management decisions on their operations to ultimately better contribute to the uptake of</w:t>
      </w:r>
      <w:r>
        <w:t xml:space="preserve"> </w:t>
      </w:r>
      <w:r>
        <w:t xml:space="preserve">decarbonisation technologies to support the EU policy objective of shipping decarbonisation.</w:t>
      </w:r>
      <w:r>
        <w:t xml:space="preserve"> </w:t>
      </w:r>
      <w:r>
        <w:t xml:space="preserve">Also, regulators and national authorities are expected to increasingly rely on robust and</w:t>
      </w:r>
      <w:r>
        <w:t xml:space="preserve"> </w:t>
      </w:r>
      <w:r>
        <w:t xml:space="preserve">complete emissions data as reported under the MRV maritime system, to design regulatory</w:t>
      </w:r>
      <w:r>
        <w:t xml:space="preserve"> </w:t>
      </w:r>
      <w:r>
        <w:t xml:space="preserve">measures to further support shipping decarbonisation, while enhancing coherence and</w:t>
      </w:r>
      <w:r>
        <w:t xml:space="preserve"> </w:t>
      </w:r>
      <w:r>
        <w:t xml:space="preserve">interoperability with other relevant frameworks.</w:t>
      </w:r>
      <w:r>
        <w:br/>
      </w:r>
      <w:r>
        <w:t xml:space="preserve">8.5.3.7</w:t>
      </w:r>
      <w:r>
        <w:t xml:space="preserve"> </w:t>
      </w:r>
      <w:r>
        <w:t xml:space="preserve">Unintended results and impacts</w:t>
      </w:r>
      <w:r>
        <w:br/>
      </w:r>
      <w:r>
        <w:t xml:space="preserve">The implementation of the MRV Regulation may potentially lead to unintended effects in the</w:t>
      </w:r>
      <w:r>
        <w:t xml:space="preserve"> </w:t>
      </w:r>
      <w:r>
        <w:t xml:space="preserve">form of increased complexity and administrative costs, in particular as a consequence of the</w:t>
      </w:r>
      <w:r>
        <w:t xml:space="preserve"> </w:t>
      </w:r>
      <w:r>
        <w:t xml:space="preserve">2023 revision to prepare for the extension of ETS to maritime. A further concern stems from</w:t>
      </w:r>
      <w:r>
        <w:t xml:space="preserve"> </w:t>
      </w:r>
      <w:r>
        <w:t xml:space="preserve">the potential for duplications or inconsistencies in reporting requirements established by other</w:t>
      </w:r>
      <w:r>
        <w:t xml:space="preserve"> </w:t>
      </w:r>
      <w:r>
        <w:t xml:space="preserve">regulatory measures affecting the sector, within and outside the EU.</w:t>
      </w:r>
      <w:r>
        <w:br/>
      </w:r>
      <w:r>
        <w:t xml:space="preserve">8.5.3.8</w:t>
      </w:r>
      <w:r>
        <w:t xml:space="preserve"> </w:t>
      </w:r>
      <w:r>
        <w:t xml:space="preserve">External factors</w:t>
      </w:r>
      <w:r>
        <w:t xml:space="preserve"> </w:t>
      </w:r>
      <w:r>
        <w:t xml:space="preserve">External factors relevant to the MRV maritime system include the interactions with</w:t>
      </w:r>
      <w:r>
        <w:t xml:space="preserve"> </w:t>
      </w:r>
      <w:r>
        <w:t xml:space="preserve">international regulations establishing data collection and reporting for the purpose of shipping</w:t>
      </w:r>
      <w:r>
        <w:t xml:space="preserve"> </w:t>
      </w:r>
      <w:r>
        <w:t xml:space="preserve">decarbonisation and potentially covering the same regulated entities and/or activities, such as</w:t>
      </w:r>
      <w:r>
        <w:t xml:space="preserve"> </w:t>
      </w:r>
      <w:r>
        <w:t xml:space="preserve">the Data Collection System (IMO DCS) established under the International Maritime</w:t>
      </w:r>
      <w:r>
        <w:t xml:space="preserve"> </w:t>
      </w:r>
      <w:r>
        <w:t xml:space="preserve">Organisation (IMO). The pace and depth of the uptake of technological solutions to implement</w:t>
      </w:r>
      <w:r>
        <w:t xml:space="preserve"> </w:t>
      </w:r>
      <w:r>
        <w:t xml:space="preserve">MRV system (e.g. digitisation) may further affect the intervention, as well as any general major</w:t>
      </w:r>
      <w:r>
        <w:t xml:space="preserve"> </w:t>
      </w:r>
      <w:r>
        <w:t xml:space="preserve">political and economic event affecting the shipping sector’s ability to comply.</w:t>
      </w:r>
      <w:r>
        <w:br/>
      </w:r>
      <w:r>
        <w:t xml:space="preserve">8.5.3.9</w:t>
      </w:r>
      <w:r>
        <w:t xml:space="preserve"> </w:t>
      </w:r>
      <w:r>
        <w:t xml:space="preserve">EU/national policies</w:t>
      </w:r>
      <w:r>
        <w:t xml:space="preserve"> </w:t>
      </w:r>
      <w:r>
        <w:t xml:space="preserve">The MRV maritime system works in the context of the broader EU climate policy, one of its</w:t>
      </w:r>
      <w:r>
        <w:t xml:space="preserve"> </w:t>
      </w:r>
      <w:r>
        <w:t xml:space="preserve">main objectives being to support the implementation of the EU ETS system insofar maritime</w:t>
      </w:r>
      <w:r>
        <w:t xml:space="preserve"> </w:t>
      </w:r>
      <w:r>
        <w:t xml:space="preserve">transport activities. In addition to this, the system operates within a complex policy</w:t>
      </w:r>
      <w:r>
        <w:t xml:space="preserve"> </w:t>
      </w:r>
      <w:r>
        <w:t xml:space="preserve">environment, at the intersection of climate action, transport, energy, and innovation policy. A</w:t>
      </w:r>
      <w:r>
        <w:t xml:space="preserve"> </w:t>
      </w:r>
      <w:r>
        <w:t xml:space="preserve">number of emerging and evolving policy instruments are introducing new climate-related</w:t>
      </w:r>
      <w:r>
        <w:t xml:space="preserve"> </w:t>
      </w:r>
      <w:r>
        <w:t xml:space="preserve">reporting obligations that potentially interacted with, or overlap, the requirements of the MRV</w:t>
      </w:r>
      <w:r>
        <w:t xml:space="preserve"> </w:t>
      </w:r>
      <w:r>
        <w:t xml:space="preserve">system for maritime. These notably include some of the key elements to support shipping</w:t>
      </w:r>
    </w:p>
    <w:p>
      <w:pPr>
        <w:pStyle w:val="BodyText"/>
      </w:pPr>
      <w:r>
        <w:t xml:space="preserve">190</w:t>
      </w:r>
      <w:r>
        <w:t xml:space="preserve"> </w:t>
      </w:r>
      <w:r>
        <w:t xml:space="preserve">decarbonisation under the ‘Fit for 55’ package, such as the FuelEU maritime Regulation and</w:t>
      </w:r>
      <w:r>
        <w:t xml:space="preserve"> </w:t>
      </w:r>
      <w:r>
        <w:t xml:space="preserve">the revision of the Renewable Energy Directive.</w:t>
      </w:r>
      <w:r>
        <w:br/>
      </w:r>
      <w:r>
        <w:t xml:space="preserve">8.5.3.10 Data collection</w:t>
      </w:r>
      <w:r>
        <w:br/>
      </w:r>
      <w:r>
        <w:t xml:space="preserve">The evaluation findings rely on several data sources, which include:</w:t>
      </w:r>
      <w:r>
        <w:br/>
      </w:r>
      <w:r>
        <w:t xml:space="preserve">•</w:t>
      </w:r>
      <w:r>
        <w:t xml:space="preserve"> </w:t>
      </w:r>
      <w:r>
        <w:t xml:space="preserve">legislative and policy documents (e.g. primary and secondary legal acts).</w:t>
      </w:r>
      <w:r>
        <w:t xml:space="preserve"> </w:t>
      </w:r>
      <w:r>
        <w:t xml:space="preserve">•</w:t>
      </w:r>
      <w:r>
        <w:t xml:space="preserve"> </w:t>
      </w:r>
      <w:r>
        <w:t xml:space="preserve">available impact assessment and evaluations carried out by the European Commission on</w:t>
      </w:r>
      <w:r>
        <w:t xml:space="preserve"> </w:t>
      </w:r>
      <w:r>
        <w:t xml:space="preserve">MRV and ETS maritime.</w:t>
      </w:r>
      <w:r>
        <w:t xml:space="preserve"> </w:t>
      </w:r>
      <w:r>
        <w:t xml:space="preserve">•</w:t>
      </w:r>
      <w:r>
        <w:t xml:space="preserve"> </w:t>
      </w:r>
      <w:r>
        <w:t xml:space="preserve">any relevant studies, guidance, and information material on MRV and ETS system for</w:t>
      </w:r>
      <w:r>
        <w:t xml:space="preserve"> </w:t>
      </w:r>
      <w:r>
        <w:t xml:space="preserve">maritime produced by the European Commission or the European Maritime Safety Agency.</w:t>
      </w:r>
      <w:r>
        <w:t xml:space="preserve"> </w:t>
      </w:r>
      <w:r>
        <w:t xml:space="preserve">•</w:t>
      </w:r>
      <w:r>
        <w:t xml:space="preserve"> </w:t>
      </w:r>
      <w:r>
        <w:t xml:space="preserve">research and academic studies on MRV systems and shipping decarbonisation.</w:t>
      </w:r>
      <w:r>
        <w:t xml:space="preserve"> </w:t>
      </w:r>
      <w:r>
        <w:t xml:space="preserve">•</w:t>
      </w:r>
      <w:r>
        <w:t xml:space="preserve"> </w:t>
      </w:r>
      <w:r>
        <w:t xml:space="preserve">quantitative datasets.</w:t>
      </w:r>
      <w:r>
        <w:br/>
      </w:r>
      <w:r>
        <w:t xml:space="preserve">Desk research activity was combined with an online survey which collected 152 complete</w:t>
      </w:r>
      <w:r>
        <w:t xml:space="preserve"> </w:t>
      </w:r>
      <w:r>
        <w:t xml:space="preserve">questionnaires from shipping companies, verifiers, NABs, and Member State authorities.</w:t>
      </w:r>
      <w:r>
        <w:t xml:space="preserve"> </w:t>
      </w:r>
      <w:r>
        <w:t xml:space="preserve">Follow-up interviews were conducted with selected stakeholders to gain deeper understanding</w:t>
      </w:r>
      <w:r>
        <w:t xml:space="preserve"> </w:t>
      </w:r>
      <w:r>
        <w:t xml:space="preserve">of selected issues raised in the survey.</w:t>
      </w:r>
      <w:r>
        <w:br/>
      </w:r>
      <w:r>
        <w:t xml:space="preserve">8.5.4 Evaluation findings</w:t>
      </w:r>
      <w:r>
        <w:t xml:space="preserve"> </w:t>
      </w:r>
      <w:r>
        <w:t xml:space="preserve">8.5.4.1</w:t>
      </w:r>
      <w:r>
        <w:t xml:space="preserve"> </w:t>
      </w:r>
      <w:r>
        <w:t xml:space="preserve">Effectiveness</w:t>
      </w:r>
      <w:r>
        <w:br/>
      </w:r>
      <w:r>
        <w:t xml:space="preserve">The effectiveness criterion evaluates how successfully the MRV maritime system has fulfilled</w:t>
      </w:r>
      <w:r>
        <w:t xml:space="preserve"> </w:t>
      </w:r>
      <w:r>
        <w:t xml:space="preserve">its objectives of ensuring that greenhouse gas and energy efficiency data reported by shipping</w:t>
      </w:r>
      <w:r>
        <w:t xml:space="preserve"> </w:t>
      </w:r>
      <w:r>
        <w:t xml:space="preserve">companies are accurate, complete and transparent, in compliance with the requirements of</w:t>
      </w:r>
      <w:r>
        <w:t xml:space="preserve"> </w:t>
      </w:r>
      <w:r>
        <w:t xml:space="preserve">Regulation (EU) 2015/757, as amended in 2023. To this end, the analysis of this criterion</w:t>
      </w:r>
      <w:r>
        <w:t xml:space="preserve"> </w:t>
      </w:r>
      <w:r>
        <w:t xml:space="preserve">examines whether the procedures, digital infrastructure, and governance mechanisms put in</w:t>
      </w:r>
      <w:r>
        <w:t xml:space="preserve"> </w:t>
      </w:r>
      <w:r>
        <w:t xml:space="preserve">place covering monitoring, verification, reporting, and publication, have effectively prevented</w:t>
      </w:r>
      <w:r>
        <w:t xml:space="preserve"> </w:t>
      </w:r>
      <w:r>
        <w:t xml:space="preserve">errors, misreporting and inconsistencies, thereby ensuring the reliability of the data used for</w:t>
      </w:r>
      <w:r>
        <w:t xml:space="preserve"> </w:t>
      </w:r>
      <w:r>
        <w:t xml:space="preserve">policy and compliance purposes. This criterion is developed through three evaluation questions</w:t>
      </w:r>
      <w:r>
        <w:t xml:space="preserve"> </w:t>
      </w:r>
      <w:r>
        <w:t xml:space="preserve">related to the effectiveness of the monitoring and reporting system, as well as that of the</w:t>
      </w:r>
      <w:r>
        <w:t xml:space="preserve"> </w:t>
      </w:r>
      <w:r>
        <w:t xml:space="preserve">verification and accreditation framework, and to the ability of the system to respond to new</w:t>
      </w:r>
      <w:r>
        <w:t xml:space="preserve"> </w:t>
      </w:r>
      <w:r>
        <w:t xml:space="preserve">challenges.</w:t>
      </w:r>
      <w:r>
        <w:br/>
      </w:r>
      <w:r>
        <w:t xml:space="preserve">• EQ1: To what extent has the MRV maritime system ensured the accuracy,</w:t>
      </w:r>
      <w:r>
        <w:t xml:space="preserve"> </w:t>
      </w:r>
      <w:r>
        <w:t xml:space="preserve">completeness, and transparency of greenhouse gas emissions data, and has it effectively</w:t>
      </w:r>
      <w:r>
        <w:t xml:space="preserve"> </w:t>
      </w:r>
      <w:r>
        <w:t xml:space="preserve">prevented errors and misreporting?</w:t>
      </w:r>
      <w:r>
        <w:t xml:space="preserve"> </w:t>
      </w:r>
      <w:r>
        <w:t xml:space="preserve">To answer this question, the analysis was developed in respect of three main data dimensions:</w:t>
      </w:r>
      <w:r>
        <w:t xml:space="preserve"> </w:t>
      </w:r>
      <w:r>
        <w:t xml:space="preserve">relevant procedures and control mechanisms in place under the system, the observed results</w:t>
      </w:r>
      <w:r>
        <w:t xml:space="preserve"> </w:t>
      </w:r>
      <w:r>
        <w:t xml:space="preserve">and quality trends, and the transparency and accessibility of MRV data. The analysis draws on</w:t>
      </w:r>
      <w:r>
        <w:t xml:space="preserve"> </w:t>
      </w:r>
      <w:r>
        <w:t xml:space="preserve">quantitative indicators, as collected through THETIS-MRV, survey evidence, follow-up</w:t>
      </w:r>
      <w:r>
        <w:t xml:space="preserve"> </w:t>
      </w:r>
      <w:r>
        <w:t xml:space="preserve">interviews with stakeholders, and desk research activity.</w:t>
      </w:r>
      <w:r>
        <w:br/>
      </w:r>
      <w:r>
        <w:t xml:space="preserve">Evidence shows that the MRV maritime system has substantially strengthened the accuracy,</w:t>
      </w:r>
      <w:r>
        <w:t xml:space="preserve"> </w:t>
      </w:r>
      <w:r>
        <w:t xml:space="preserve">completeness and transparency of greenhouse gas emissions data. is the MRV system can rely</w:t>
      </w:r>
      <w:r>
        <w:t xml:space="preserve"> </w:t>
      </w:r>
      <w:r>
        <w:t xml:space="preserve">on a multi-step and multi-actor compliance system based on harmonised monitoring plans,</w:t>
      </w:r>
      <w:r>
        <w:t xml:space="preserve"> </w:t>
      </w:r>
      <w:r>
        <w:t xml:space="preserve">standardised monitoring and calculations methods (for fuel consumption, emissions, and other</w:t>
      </w:r>
      <w:r>
        <w:t xml:space="preserve"> </w:t>
      </w:r>
      <w:r>
        <w:t xml:space="preserve">relevant parameters), risk-based accredited verification, administering authority checks, and</w:t>
      </w:r>
      <w:r>
        <w:t xml:space="preserve"> </w:t>
      </w:r>
      <w:r>
        <w:t xml:space="preserve">public disclosure. These elements have contributed to a marked improvement in the quality of</w:t>
      </w:r>
    </w:p>
    <w:p>
      <w:pPr>
        <w:pStyle w:val="BodyText"/>
      </w:pPr>
      <w:r>
        <w:t xml:space="preserve">191</w:t>
      </w:r>
      <w:r>
        <w:t xml:space="preserve"> </w:t>
      </w:r>
      <w:r>
        <w:t xml:space="preserve">reported data: the number of outliers as in verified submissions considerably declined since the</w:t>
      </w:r>
      <w:r>
        <w:t xml:space="preserve"> </w:t>
      </w:r>
      <w:r>
        <w:t xml:space="preserve">first reporting period (i.e. 2018), with remaining anomalies generally not impacting emissions</w:t>
      </w:r>
      <w:r>
        <w:t xml:space="preserve"> </w:t>
      </w:r>
      <w:r>
        <w:t xml:space="preserve">data, yet still showing some residual data quality issues.</w:t>
      </w:r>
      <w:r>
        <w:t xml:space="preserve"> </w:t>
      </w:r>
      <w:r>
        <w:t xml:space="preserve">On completeness, coverage is robust for the fleet above 5 000 gross tonnage and main emitting</w:t>
      </w:r>
      <w:r>
        <w:t xml:space="preserve"> </w:t>
      </w:r>
      <w:r>
        <w:t xml:space="preserve">ship types and routes, capturing roughly 87% of CO₂ from EEA-related traffic. Smaller vessels,</w:t>
      </w:r>
      <w:r>
        <w:t xml:space="preserve"> </w:t>
      </w:r>
      <w:r>
        <w:t xml:space="preserve">some specific ship types (e.g. the type of LNG carrier, the type “other ships”), and newly added</w:t>
      </w:r>
      <w:r>
        <w:t xml:space="preserve"> </w:t>
      </w:r>
      <w:r>
        <w:t xml:space="preserve">methane and nitrous oxide reporting requirements, were found to present higher</w:t>
      </w:r>
      <w:r>
        <w:t xml:space="preserve"> </w:t>
      </w:r>
      <w:r>
        <w:t xml:space="preserve">incompleteness risk, in particular due to knowledge and capacity constraints among small and</w:t>
      </w:r>
      <w:r>
        <w:t xml:space="preserve"> </w:t>
      </w:r>
      <w:r>
        <w:t xml:space="preserve">first-time operators in the first reporting year after the 2023 revision (i.e. 2024). These,</w:t>
      </w:r>
      <w:r>
        <w:t xml:space="preserve"> </w:t>
      </w:r>
      <w:r>
        <w:t xml:space="preserve">however, are expected to be temporary issues.</w:t>
      </w:r>
      <w:r>
        <w:br/>
      </w:r>
      <w:r>
        <w:t xml:space="preserve">The MRV system guarantees access to transparent and easy-to-read data to the wider public.</w:t>
      </w:r>
      <w:r>
        <w:t xml:space="preserve"> </w:t>
      </w:r>
      <w:r>
        <w:t xml:space="preserve">Verified ship-level datasets and MRV aggregate annual reports are openly available,</w:t>
      </w:r>
      <w:r>
        <w:t xml:space="preserve"> </w:t>
      </w:r>
      <w:r>
        <w:t xml:space="preserve">technically reliable, and widely used by regulators, researchers and market actors. Still, some</w:t>
      </w:r>
      <w:r>
        <w:t xml:space="preserve"> </w:t>
      </w:r>
      <w:r>
        <w:t xml:space="preserve">users indicate potential improvements in the IT infrastructure to enhance their ability to access</w:t>
      </w:r>
      <w:r>
        <w:t xml:space="preserve"> </w:t>
      </w:r>
      <w:r>
        <w:t xml:space="preserve">and use available data. Verifiers and authorities supported additional download or filtering</w:t>
      </w:r>
      <w:r>
        <w:t xml:space="preserve"> </w:t>
      </w:r>
      <w:r>
        <w:t xml:space="preserve">functionalities, and the general public highlighted the need to manually detect, remove or</w:t>
      </w:r>
      <w:r>
        <w:t xml:space="preserve"> </w:t>
      </w:r>
      <w:r>
        <w:t xml:space="preserve">correct residual obvious errors (i.e. outliers) in the extracts before the data can be further</w:t>
      </w:r>
      <w:r>
        <w:t xml:space="preserve"> </w:t>
      </w:r>
      <w:r>
        <w:t xml:space="preserve">exploited for further analytical purposes. Furthermore, non-disclosure of some additional</w:t>
      </w:r>
      <w:r>
        <w:t xml:space="preserve"> </w:t>
      </w:r>
      <w:r>
        <w:t xml:space="preserve">datapoints at ship level (e.g. ship’s technical efficiency values, tonnage, IMO carbon intensity</w:t>
      </w:r>
      <w:r>
        <w:t xml:space="preserve"> </w:t>
      </w:r>
      <w:r>
        <w:t xml:space="preserve">indicator, or fuel consumption differentiated by fuel type) could further help researchers to</w:t>
      </w:r>
      <w:r>
        <w:t xml:space="preserve"> </w:t>
      </w:r>
      <w:r>
        <w:t xml:space="preserve">fully exploit the potential of published datasets.</w:t>
      </w:r>
      <w:r>
        <w:br/>
      </w:r>
      <w:r>
        <w:t xml:space="preserve">There is currently no evidence of widespread deliberate misreporting or falsification of</w:t>
      </w:r>
      <w:r>
        <w:t xml:space="preserve"> </w:t>
      </w:r>
      <w:r>
        <w:t xml:space="preserve">reported data, and enforcement and verification rules are in place to avoid it, but data on issued</w:t>
      </w:r>
      <w:r>
        <w:t xml:space="preserve"> </w:t>
      </w:r>
      <w:r>
        <w:t xml:space="preserve">sanctions and key quality-related performance indicators (e.g. verification outcomes,</w:t>
      </w:r>
      <w:r>
        <w:t xml:space="preserve"> </w:t>
      </w:r>
      <w:r>
        <w:t xml:space="preserve">monitoring plan approval rates, type and frequency of corrections) are not made public nor</w:t>
      </w:r>
      <w:r>
        <w:t xml:space="preserve"> </w:t>
      </w:r>
      <w:r>
        <w:t xml:space="preserve">systematically reported yet , thus limiting the ability to fully assess system performance.</w:t>
      </w:r>
      <w:r>
        <w:br/>
      </w:r>
      <w:r>
        <w:t xml:space="preserve">Overall, the MRV framework has proved to be effective and credible in ensuring the accuracy,</w:t>
      </w:r>
      <w:r>
        <w:t xml:space="preserve"> </w:t>
      </w:r>
      <w:r>
        <w:t xml:space="preserve">completeness, and transparency of the reported data for the main regulated fleet and activity</w:t>
      </w:r>
      <w:r>
        <w:t xml:space="preserve"> </w:t>
      </w:r>
      <w:r>
        <w:t xml:space="preserve">parameters. The procedures and governance infrastructure of the system proved capable of</w:t>
      </w:r>
      <w:r>
        <w:t xml:space="preserve"> </w:t>
      </w:r>
      <w:r>
        <w:t xml:space="preserve">detecting and minimizing the risk of errors and misreporting. The 2023 revision determined an</w:t>
      </w:r>
      <w:r>
        <w:t xml:space="preserve"> </w:t>
      </w:r>
      <w:r>
        <w:t xml:space="preserve">increased in the complexity of reporting requirements, including the inclusion of new fleet</w:t>
      </w:r>
      <w:r>
        <w:t xml:space="preserve"> </w:t>
      </w:r>
      <w:r>
        <w:t xml:space="preserve">segments and new greenhouse gases (i.e. methane and nitrous oxide) under the scope, which</w:t>
      </w:r>
      <w:r>
        <w:t xml:space="preserve"> </w:t>
      </w:r>
      <w:r>
        <w:t xml:space="preserve">presented new challenges for the completeness and quality of the reported data. This is</w:t>
      </w:r>
      <w:r>
        <w:t xml:space="preserve"> </w:t>
      </w:r>
      <w:r>
        <w:t xml:space="preserve">expected to require closer compliance monitoring to fully assess the MRV robustness across</w:t>
      </w:r>
      <w:r>
        <w:t xml:space="preserve"> </w:t>
      </w:r>
      <w:r>
        <w:t xml:space="preserve">all elements of the system in the next reporting periods.</w:t>
      </w:r>
      <w:r>
        <w:t xml:space="preserve"> </w:t>
      </w:r>
      <w:r>
        <w:t xml:space="preserve">• EQ2: Has the verification and accreditation system been successful in delivering robust</w:t>
      </w:r>
      <w:r>
        <w:t xml:space="preserve"> </w:t>
      </w:r>
      <w:r>
        <w:t xml:space="preserve">implementation of the MRV and ETS system for maritime?</w:t>
      </w:r>
      <w:r>
        <w:t xml:space="preserve"> </w:t>
      </w:r>
      <w:r>
        <w:t xml:space="preserve">EQ2 assesses how effectively the verification and accreditation framework established under</w:t>
      </w:r>
      <w:r>
        <w:t xml:space="preserve"> </w:t>
      </w:r>
      <w:r>
        <w:t xml:space="preserve">the MRV Regulation ensured the successful implementation of the overall MRV and ETS</w:t>
      </w:r>
      <w:r>
        <w:t xml:space="preserve"> </w:t>
      </w:r>
      <w:r>
        <w:t xml:space="preserve">system for maritime, by providing confidence on the accuracy of reported emissions data. It</w:t>
      </w:r>
      <w:r>
        <w:t xml:space="preserve"> </w:t>
      </w:r>
      <w:r>
        <w:t xml:space="preserve">draws primarily on stakeholder survey findings, supplemented by evidence from desk research.</w:t>
      </w:r>
      <w:r>
        <w:br/>
      </w:r>
      <w:r>
        <w:t xml:space="preserve">Together, these sources confirm that the MRV maritime framework can rely on a mature and</w:t>
      </w:r>
      <w:r>
        <w:t xml:space="preserve"> </w:t>
      </w:r>
      <w:r>
        <w:t xml:space="preserve">well-functioning system that consistently upholds data integrity. Verifiers and NABs generally</w:t>
      </w:r>
      <w:r>
        <w:t xml:space="preserve"> </w:t>
      </w:r>
      <w:r>
        <w:t xml:space="preserve">fulfil their expected roles, ensuring compliance and data accuracy through rigorous,</w:t>
      </w:r>
      <w:r>
        <w:t xml:space="preserve"> </w:t>
      </w:r>
      <w:r>
        <w:t xml:space="preserve">harmonised methodologies aligned with EU-wide standards. A comprehensive accreditation</w:t>
      </w:r>
      <w:r>
        <w:t xml:space="preserve"> </w:t>
      </w:r>
      <w:r>
        <w:t xml:space="preserve">framework, supported by structured audit cycles ensures the accuracy, consistency and</w:t>
      </w:r>
    </w:p>
    <w:p>
      <w:pPr>
        <w:pStyle w:val="BodyText"/>
      </w:pPr>
      <w:r>
        <w:t xml:space="preserve">192</w:t>
      </w:r>
      <w:r>
        <w:t xml:space="preserve"> </w:t>
      </w:r>
      <w:r>
        <w:t xml:space="preserve">credibility of emissions data underpinned by clearly defined roles for verifiers and NABs. The</w:t>
      </w:r>
      <w:r>
        <w:t xml:space="preserve"> </w:t>
      </w:r>
      <w:r>
        <w:t xml:space="preserve">EU-wide alignment of accreditation standards and processes have ensured a baseline level of</w:t>
      </w:r>
      <w:r>
        <w:t xml:space="preserve"> </w:t>
      </w:r>
      <w:r>
        <w:t xml:space="preserve">competence and independence for the different verifiers active under the scope, irrespective of</w:t>
      </w:r>
      <w:r>
        <w:t xml:space="preserve"> </w:t>
      </w:r>
      <w:r>
        <w:t xml:space="preserve">the Member State where they operate. These features have collectively established a credible</w:t>
      </w:r>
      <w:r>
        <w:t xml:space="preserve"> </w:t>
      </w:r>
      <w:r>
        <w:t xml:space="preserve">and functionally robust system that contributes significantly to the accuracy, consistency and</w:t>
      </w:r>
      <w:r>
        <w:t xml:space="preserve"> </w:t>
      </w:r>
      <w:r>
        <w:t xml:space="preserve">credibility of emissions data.</w:t>
      </w:r>
      <w:r>
        <w:br/>
      </w:r>
      <w:r>
        <w:t xml:space="preserve">However, the evidence also suggests that this robustness may potentially be constrained by</w:t>
      </w:r>
      <w:r>
        <w:t xml:space="preserve"> </w:t>
      </w:r>
      <w:r>
        <w:t xml:space="preserve">some limitations. Verification capacity remains concentrated among a limited number of</w:t>
      </w:r>
      <w:r>
        <w:t xml:space="preserve"> </w:t>
      </w:r>
      <w:r>
        <w:t xml:space="preserve">providers, which could lead to bottlenecks and delays in verification works. Both authorities</w:t>
      </w:r>
      <w:r>
        <w:t xml:space="preserve"> </w:t>
      </w:r>
      <w:r>
        <w:t xml:space="preserve">and shipping companies have flagged a lack of responsiveness or poor communication by some</w:t>
      </w:r>
      <w:r>
        <w:t xml:space="preserve"> </w:t>
      </w:r>
      <w:r>
        <w:t xml:space="preserve">verifiers, and authorities noted some variability in the quality of the verification services</w:t>
      </w:r>
      <w:r>
        <w:t xml:space="preserve"> </w:t>
      </w:r>
      <w:r>
        <w:t xml:space="preserve">provided across accredited verifiers. Both these elements, if properly addressed, could</w:t>
      </w:r>
      <w:r>
        <w:t xml:space="preserve"> </w:t>
      </w:r>
      <w:r>
        <w:t xml:space="preserve">contribute to improve stakeholders’ confidence in the verification system.</w:t>
      </w:r>
      <w:r>
        <w:br/>
      </w:r>
      <w:r>
        <w:t xml:space="preserve">While oversight through accreditation appears overall robust, the analysis conducted under this</w:t>
      </w:r>
      <w:r>
        <w:t xml:space="preserve"> </w:t>
      </w:r>
      <w:r>
        <w:t xml:space="preserve">evaluation could not find wide evidence to ascertain in detail how NABs implement conflict-</w:t>
      </w:r>
      <w:r>
        <w:t xml:space="preserve"> </w:t>
      </w:r>
      <w:r>
        <w:t xml:space="preserve">of-interest checks, corrective actions, and information exchange mechanisms, which could</w:t>
      </w:r>
      <w:r>
        <w:t xml:space="preserve"> </w:t>
      </w:r>
      <w:r>
        <w:t xml:space="preserve">potentially hide cases of uneven enforcement.</w:t>
      </w:r>
      <w:r>
        <w:br/>
      </w:r>
      <w:r>
        <w:t xml:space="preserve">Overall, while the verification and accreditation system has successfully supported the</w:t>
      </w:r>
      <w:r>
        <w:t xml:space="preserve"> </w:t>
      </w:r>
      <w:r>
        <w:t xml:space="preserve">implementation of the MRV system so far, the 2023 revision has been presenting new</w:t>
      </w:r>
      <w:r>
        <w:t xml:space="preserve"> </w:t>
      </w:r>
      <w:r>
        <w:t xml:space="preserve">challenges in the verification pillar of the system. Strengthening verifiers capacity and</w:t>
      </w:r>
      <w:r>
        <w:t xml:space="preserve"> </w:t>
      </w:r>
      <w:r>
        <w:t xml:space="preserve">enhancing coordination between verifiers, NABs and Member State Authorities, are two key</w:t>
      </w:r>
      <w:r>
        <w:t xml:space="preserve"> </w:t>
      </w:r>
      <w:r>
        <w:t xml:space="preserve">elements which could further reinforce the system’s credibility, transparency and effectiveness</w:t>
      </w:r>
      <w:r>
        <w:t xml:space="preserve"> </w:t>
      </w:r>
      <w:r>
        <w:t xml:space="preserve">in the long term.</w:t>
      </w:r>
      <w:r>
        <w:br/>
      </w:r>
      <w:r>
        <w:t xml:space="preserve">• EQ3: How well has the MRV maritime system adapted to new challenges, such as the</w:t>
      </w:r>
      <w:r>
        <w:t xml:space="preserve"> </w:t>
      </w:r>
      <w:r>
        <w:t xml:space="preserve">inclusion of new gases and activities, and what improvements can be made to ensure</w:t>
      </w:r>
      <w:r>
        <w:t xml:space="preserve"> </w:t>
      </w:r>
      <w:r>
        <w:t xml:space="preserve">its continued effectiveness?</w:t>
      </w:r>
      <w:r>
        <w:t xml:space="preserve"> </w:t>
      </w:r>
      <w:r>
        <w:t xml:space="preserve">EQ3 examines how effectively the MRV maritime system (comprising its regulatory</w:t>
      </w:r>
      <w:r>
        <w:t xml:space="preserve"> </w:t>
      </w:r>
      <w:r>
        <w:t xml:space="preserve">framework, digital infrastructure, and institutional capacities) has adapted to the new</w:t>
      </w:r>
      <w:r>
        <w:t xml:space="preserve"> </w:t>
      </w:r>
      <w:r>
        <w:t xml:space="preserve">challenges stemming from the 2023 revision to prepare for the ETS extension to shipping. More</w:t>
      </w:r>
      <w:r>
        <w:t xml:space="preserve"> </w:t>
      </w:r>
      <w:r>
        <w:t xml:space="preserve">specifically, the analysis assesses the fitness of support to stakeholders’ initiatives and technical</w:t>
      </w:r>
      <w:r>
        <w:t xml:space="preserve"> </w:t>
      </w:r>
      <w:r>
        <w:t xml:space="preserve">IT tools, the preparedness of companies, verifiers, NABs and Member State authorities to</w:t>
      </w:r>
      <w:r>
        <w:t xml:space="preserve"> </w:t>
      </w:r>
      <w:r>
        <w:t xml:space="preserve">implement the new requirements, and the extent to which the system’s operational</w:t>
      </w:r>
      <w:r>
        <w:t xml:space="preserve"> </w:t>
      </w:r>
      <w:r>
        <w:t xml:space="preserve">effectiveness has been maintained during this transition.</w:t>
      </w:r>
      <w:r>
        <w:br/>
      </w:r>
      <w:r>
        <w:t xml:space="preserve">The analysis found that overall, the MRV maritime system has demonstrated a high degree of</w:t>
      </w:r>
      <w:r>
        <w:t xml:space="preserve"> </w:t>
      </w:r>
      <w:r>
        <w:t xml:space="preserve">adaptability in response to the 2023 amendments, successfully absorbing an expanded</w:t>
      </w:r>
      <w:r>
        <w:t xml:space="preserve"> </w:t>
      </w:r>
      <w:r>
        <w:t xml:space="preserve">regulatory scope while maintaining operational continuity and data reliability. The integration</w:t>
      </w:r>
      <w:r>
        <w:t xml:space="preserve"> </w:t>
      </w:r>
      <w:r>
        <w:t xml:space="preserve">of new gases (methane and nitrous oxide – starting 2024), the inclusion of additional ship</w:t>
      </w:r>
      <w:r>
        <w:t xml:space="preserve"> </w:t>
      </w:r>
      <w:r>
        <w:t xml:space="preserve">categories (starting 2025), the introduction of company-level and partial emissions reporting</w:t>
      </w:r>
      <w:r>
        <w:t xml:space="preserve"> </w:t>
      </w:r>
      <w:r>
        <w:t xml:space="preserve">requirements, and the changes to the workflow for compliance documents submission, were all</w:t>
      </w:r>
      <w:r>
        <w:t xml:space="preserve"> </w:t>
      </w:r>
      <w:r>
        <w:t xml:space="preserve">implemented within tight timelines, supported by timely technical upgrades to the IT system</w:t>
      </w:r>
      <w:r>
        <w:t xml:space="preserve"> </w:t>
      </w:r>
      <w:r>
        <w:t xml:space="preserve">THETIS-MRV, and sustained support to implementation available to all relevant actors. Most</w:t>
      </w:r>
      <w:r>
        <w:t xml:space="preserve"> </w:t>
      </w:r>
      <w:r>
        <w:t xml:space="preserve">companies, verifiers, and Member States managed to adjust their procedures in time for the</w:t>
      </w:r>
      <w:r>
        <w:t xml:space="preserve"> </w:t>
      </w:r>
      <w:r>
        <w:t xml:space="preserve">2024 reporting cycle, and the overall system was ready for the full integration with the ETS</w:t>
      </w:r>
      <w:r>
        <w:t xml:space="preserve"> </w:t>
      </w:r>
      <w:r>
        <w:t xml:space="preserve">framework, as confirmed by the findings on punctuality and completeness of submissions. This</w:t>
      </w:r>
      <w:r>
        <w:t xml:space="preserve"> </w:t>
      </w:r>
      <w:r>
        <w:t xml:space="preserve">allowed for high ETS compliance, paving the way for a smooth start of EU ETS for maritime,</w:t>
      </w:r>
      <w:r>
        <w:t xml:space="preserve"> </w:t>
      </w:r>
      <w:r>
        <w:t xml:space="preserve">with shipping companies surrendering allowances for more than 99% of their relevant</w:t>
      </w:r>
    </w:p>
    <w:p>
      <w:pPr>
        <w:pStyle w:val="BodyText"/>
      </w:pPr>
      <w:r>
        <w:t xml:space="preserve">193</w:t>
      </w:r>
      <w:r>
        <w:t xml:space="preserve"> </w:t>
      </w:r>
      <w:r>
        <w:t xml:space="preserve">surrendering requirements by the 30 September deadline in 2025. The extension of the</w:t>
      </w:r>
      <w:r>
        <w:t xml:space="preserve"> </w:t>
      </w:r>
      <w:r>
        <w:t xml:space="preserve">reporting system to small general cargo ships and offshore vessels closed a significant coverage</w:t>
      </w:r>
      <w:r>
        <w:t xml:space="preserve"> </w:t>
      </w:r>
      <w:r>
        <w:t xml:space="preserve">gap, ensuring, starting 2025, the monitoring and reporting of emissions by types responsible</w:t>
      </w:r>
      <w:r>
        <w:t xml:space="preserve"> </w:t>
      </w:r>
      <w:r>
        <w:t xml:space="preserve">for a meaningful amount of additional emissions, thus extending the completeness of MRV</w:t>
      </w:r>
      <w:r>
        <w:t xml:space="preserve"> </w:t>
      </w:r>
      <w:r>
        <w:t xml:space="preserve">data.</w:t>
      </w:r>
      <w:r>
        <w:br/>
      </w:r>
      <w:r>
        <w:t xml:space="preserve">At the same time, the adaptation process revealed transitional weaknesses stemming from some</w:t>
      </w:r>
      <w:r>
        <w:t xml:space="preserve"> </w:t>
      </w:r>
      <w:r>
        <w:t xml:space="preserve">of the new reporting requirements and changes to the workflow in the compliance process.</w:t>
      </w:r>
      <w:r>
        <w:t xml:space="preserve"> </w:t>
      </w:r>
      <w:r>
        <w:t xml:space="preserve">Uneven familiarity among smaller operators, late or incomplete publication of guidance</w:t>
      </w:r>
      <w:r>
        <w:t xml:space="preserve"> </w:t>
      </w:r>
      <w:r>
        <w:t xml:space="preserve">updates on specific interpretative points, and limited IT system-performance issues have been</w:t>
      </w:r>
      <w:r>
        <w:t xml:space="preserve"> </w:t>
      </w:r>
      <w:r>
        <w:t xml:space="preserve">flagged by some stakeholders as adjustment frictions following the 2023 revision. The evidence</w:t>
      </w:r>
      <w:r>
        <w:t xml:space="preserve"> </w:t>
      </w:r>
      <w:r>
        <w:t xml:space="preserve">suggests that the system can rely on the technical and institutional capacities of relevant</w:t>
      </w:r>
      <w:r>
        <w:t xml:space="preserve"> </w:t>
      </w:r>
      <w:r>
        <w:t xml:space="preserve">authorities to overcome these challenges through further support to stakeholders, provided that</w:t>
      </w:r>
      <w:r>
        <w:t xml:space="preserve"> </w:t>
      </w:r>
      <w:r>
        <w:t xml:space="preserve">the necessary resources, both technical and administrative ones, are made available in the</w:t>
      </w:r>
      <w:r>
        <w:t xml:space="preserve"> </w:t>
      </w:r>
      <w:r>
        <w:t xml:space="preserve">future.</w:t>
      </w:r>
      <w:r>
        <w:t xml:space="preserve"> </w:t>
      </w:r>
      <w:r>
        <w:t xml:space="preserve">8.5.4.2</w:t>
      </w:r>
      <w:r>
        <w:t xml:space="preserve"> </w:t>
      </w:r>
      <w:r>
        <w:t xml:space="preserve">Efficiency</w:t>
      </w:r>
      <w:r>
        <w:br/>
      </w:r>
      <w:r>
        <w:t xml:space="preserve">The efficiency criterion evaluates whether the monitoring, reporting and verification of</w:t>
      </w:r>
      <w:r>
        <w:t xml:space="preserve"> </w:t>
      </w:r>
      <w:r>
        <w:t xml:space="preserve">greenhouse gas emissions for maritime was implemented cost effectively and whether any</w:t>
      </w:r>
      <w:r>
        <w:t xml:space="preserve"> </w:t>
      </w:r>
      <w:r>
        <w:t xml:space="preserve">options for simplification are apparent with a view to reduce administrative burden on relevant</w:t>
      </w:r>
      <w:r>
        <w:t xml:space="preserve"> </w:t>
      </w:r>
      <w:r>
        <w:t xml:space="preserve">stakeholders. Efficiency is achieved by the MRV system as long as the administrative costs are</w:t>
      </w:r>
      <w:r>
        <w:t xml:space="preserve"> </w:t>
      </w:r>
      <w:r>
        <w:t xml:space="preserve">balanced by tangible gains in data quality, relevance and usability, and wider regulatory</w:t>
      </w:r>
      <w:r>
        <w:t xml:space="preserve"> </w:t>
      </w:r>
      <w:r>
        <w:t xml:space="preserve">synergies (e.g. alignment with ETS, FuelEU, and IMO DCS) are exploited without</w:t>
      </w:r>
      <w:r>
        <w:t xml:space="preserve"> </w:t>
      </w:r>
      <w:r>
        <w:t xml:space="preserve">compromising the effectiveness of the measure. This criterion is developed through three</w:t>
      </w:r>
      <w:r>
        <w:t xml:space="preserve"> </w:t>
      </w:r>
      <w:r>
        <w:t xml:space="preserve">evaluation questions to gain a detailed understanding of the cost elements of the system, to</w:t>
      </w:r>
      <w:r>
        <w:t xml:space="preserve"> </w:t>
      </w:r>
      <w:r>
        <w:t xml:space="preserve">investigate opportunities for further cost reductions and simplification, and to assess the role</w:t>
      </w:r>
      <w:r>
        <w:t xml:space="preserve"> </w:t>
      </w:r>
      <w:r>
        <w:t xml:space="preserve">technology and increased harmonisation could play in supporting efficiency.</w:t>
      </w:r>
      <w:r>
        <w:br/>
      </w:r>
      <w:r>
        <w:t xml:space="preserve">• EQ4: Has the MRV maritime system achieved its objectives in a cost-efficient manner</w:t>
      </w:r>
      <w:r>
        <w:t xml:space="preserve"> </w:t>
      </w:r>
      <w:r>
        <w:t xml:space="preserve">for all the parties involved, industry and Member States?</w:t>
      </w:r>
      <w:r>
        <w:t xml:space="preserve"> </w:t>
      </w:r>
      <w:r>
        <w:t xml:space="preserve">The costs associated to the operation the MRV for maritime are investigated through desk</w:t>
      </w:r>
      <w:r>
        <w:t xml:space="preserve"> </w:t>
      </w:r>
      <w:r>
        <w:t xml:space="preserve">research and the additional input provided through a survey and follow-up interviews with</w:t>
      </w:r>
      <w:r>
        <w:t xml:space="preserve"> </w:t>
      </w:r>
      <w:r>
        <w:t xml:space="preserve">stakeholders implementing the system.</w:t>
      </w:r>
      <w:r>
        <w:br/>
      </w:r>
      <w:r>
        <w:t xml:space="preserve">To answer this question, the analysis mainly focused on the recurrent costs for shipping</w:t>
      </w:r>
      <w:r>
        <w:t xml:space="preserve"> </w:t>
      </w:r>
      <w:r>
        <w:t xml:space="preserve">companies, as the costs incurred every year by operators to implement the monitoring and</w:t>
      </w:r>
      <w:r>
        <w:t xml:space="preserve"> </w:t>
      </w:r>
      <w:r>
        <w:t xml:space="preserve">reporting of emissions per each vessel.</w:t>
      </w:r>
      <w:r>
        <w:br/>
      </w:r>
      <w:r>
        <w:t xml:space="preserve">The analysis estimated the average median cost for MRV compliance for shipping companies</w:t>
      </w:r>
      <w:r>
        <w:t xml:space="preserve"> </w:t>
      </w:r>
      <w:r>
        <w:t xml:space="preserve">at 3 150 EUR per vessel/year, overall, in line with recent findings from studies carried out on</w:t>
      </w:r>
      <w:r>
        <w:t xml:space="preserve"> </w:t>
      </w:r>
      <w:r>
        <w:t xml:space="preserve">the MRV maritime system (e.g. 3 390 EUR per vessel/year for tonnage above 4,999 GT) and</w:t>
      </w:r>
      <w:r>
        <w:t xml:space="preserve"> </w:t>
      </w:r>
      <w:r>
        <w:t xml:space="preserve">ex-ante assumptions made in the European Commission’s impact assessment (3 470</w:t>
      </w:r>
      <w:r>
        <w:t xml:space="preserve"> </w:t>
      </w:r>
      <w:r>
        <w:t xml:space="preserve">euro/vessel/year in current prices). Most respondents further indicated that the estimated costs</w:t>
      </w:r>
      <w:r>
        <w:t xml:space="preserve"> </w:t>
      </w:r>
      <w:r>
        <w:t xml:space="preserve">incurred for MRV compliance are in fact shared with other reporting systems, such as EU ETS,</w:t>
      </w:r>
      <w:r>
        <w:t xml:space="preserve"> </w:t>
      </w:r>
      <w:r>
        <w:t xml:space="preserve">FuelEU Maritime, or the IMO DCS, rather than being MRV-only specific. Around half of the</w:t>
      </w:r>
      <w:r>
        <w:t xml:space="preserve"> </w:t>
      </w:r>
      <w:r>
        <w:t xml:space="preserve">inputs received indicated that most of the person-hours employed to ensure MRV compliance</w:t>
      </w:r>
      <w:r>
        <w:t xml:space="preserve"> </w:t>
      </w:r>
      <w:r>
        <w:t xml:space="preserve">are in fact also serving the compliance under those other schemes.</w:t>
      </w:r>
      <w:r>
        <w:br/>
      </w:r>
      <w:r>
        <w:t xml:space="preserve">In terms of MRV costs components, the answers collected through survey and follow-up</w:t>
      </w:r>
      <w:r>
        <w:t xml:space="preserve"> </w:t>
      </w:r>
      <w:r>
        <w:t xml:space="preserve">interviews indicate that costs are generally well distributed across a range of activities (staff</w:t>
      </w:r>
      <w:r>
        <w:t xml:space="preserve"> </w:t>
      </w:r>
      <w:r>
        <w:t xml:space="preserve">costs, data collection and internal monitoring, IT systems, verification fees, preparation and</w:t>
      </w:r>
    </w:p>
    <w:p>
      <w:pPr>
        <w:pStyle w:val="BodyText"/>
      </w:pPr>
      <w:r>
        <w:t xml:space="preserve">194</w:t>
      </w:r>
      <w:r>
        <w:t xml:space="preserve"> </w:t>
      </w:r>
      <w:r>
        <w:t xml:space="preserve">revision of monitoring plans, emissions report preparation and submission, administrative</w:t>
      </w:r>
      <w:r>
        <w:t xml:space="preserve"> </w:t>
      </w:r>
      <w:r>
        <w:t xml:space="preserve">coordination and interactions with relevant authorities). Staff costs emerged as the more</w:t>
      </w:r>
      <w:r>
        <w:t xml:space="preserve"> </w:t>
      </w:r>
      <w:r>
        <w:t xml:space="preserve">prominent cost driver, generally accounting for more than half of total incurred MRV</w:t>
      </w:r>
      <w:r>
        <w:t xml:space="preserve"> </w:t>
      </w:r>
      <w:r>
        <w:t xml:space="preserve">administrative costs, followed by monitoring plans and emissions report preparation and</w:t>
      </w:r>
      <w:r>
        <w:t xml:space="preserve"> </w:t>
      </w:r>
      <w:r>
        <w:t xml:space="preserve">submission, indicated by most respondents as a minor contributor to total costs (less than</w:t>
      </w:r>
      <w:r>
        <w:t xml:space="preserve"> </w:t>
      </w:r>
      <w:r>
        <w:t xml:space="preserve">quarter than total costs). Shipping companies generally find that costs are higher when voyage</w:t>
      </w:r>
      <w:r>
        <w:t xml:space="preserve"> </w:t>
      </w:r>
      <w:r>
        <w:t xml:space="preserve">frequency and/or data granularity are greater, which is often the case for smaller vessels and</w:t>
      </w:r>
      <w:r>
        <w:t xml:space="preserve"> </w:t>
      </w:r>
      <w:r>
        <w:t xml:space="preserve">sometimes for specific vessel segments like containerships and offshore vessels. Most inputs</w:t>
      </w:r>
      <w:r>
        <w:t xml:space="preserve"> </w:t>
      </w:r>
      <w:r>
        <w:t xml:space="preserve">to the survey found MRV compliance costs to have increased following the 2023 revision,</w:t>
      </w:r>
      <w:r>
        <w:t xml:space="preserve"> </w:t>
      </w:r>
      <w:r>
        <w:t xml:space="preserve">mainly in the form of one-off adjustment costs associated with the need to update reporting</w:t>
      </w:r>
      <w:r>
        <w:t xml:space="preserve"> </w:t>
      </w:r>
      <w:r>
        <w:t xml:space="preserve">processes and templates following in particular to adapt to new ETS-related reporting</w:t>
      </w:r>
      <w:r>
        <w:t xml:space="preserve"> </w:t>
      </w:r>
      <w:r>
        <w:t xml:space="preserve">requirements which primarily required additional training to prepare relevant staff.</w:t>
      </w:r>
      <w:r>
        <w:br/>
      </w:r>
      <w:r>
        <w:t xml:space="preserve">The analysis further covered verification costs, as a component of the overall MRV costs</w:t>
      </w:r>
      <w:r>
        <w:t xml:space="preserve"> </w:t>
      </w:r>
      <w:r>
        <w:t xml:space="preserve">incurred by shipping companies to comply, which are passed over by accredited verifiers</w:t>
      </w:r>
      <w:r>
        <w:t xml:space="preserve"> </w:t>
      </w:r>
      <w:r>
        <w:t xml:space="preserve">through verification fees. Inputs collected from accredited verifiers indicated that the main</w:t>
      </w:r>
      <w:r>
        <w:t xml:space="preserve"> </w:t>
      </w:r>
      <w:r>
        <w:t xml:space="preserve">verification activities (i.e. monitoring plan and emissions data checks) are highly harmonised</w:t>
      </w:r>
      <w:r>
        <w:t xml:space="preserve"> </w:t>
      </w:r>
      <w:r>
        <w:t xml:space="preserve">and in fact run in parallel across different emissions and energy efficiency reporting regulatory</w:t>
      </w:r>
      <w:r>
        <w:t xml:space="preserve"> </w:t>
      </w:r>
      <w:r>
        <w:t xml:space="preserve">frameworks (i.e. FuelEU Maritime, IMO DCS). In terms of costs composition, verifiers</w:t>
      </w:r>
      <w:r>
        <w:t xml:space="preserve"> </w:t>
      </w:r>
      <w:r>
        <w:t xml:space="preserve">indicated that most resources to ensure MRV verification are absorbed by the review of</w:t>
      </w:r>
      <w:r>
        <w:t xml:space="preserve"> </w:t>
      </w:r>
      <w:r>
        <w:t xml:space="preserve">monitoring plans and of emissions reports, which remain staff-intensive, followed by site visits.</w:t>
      </w:r>
      <w:r>
        <w:br/>
      </w:r>
      <w:r>
        <w:t xml:space="preserve">No quantifiable benefits have been identified to allow the extraction of meaningful cost–benefit</w:t>
      </w:r>
      <w:r>
        <w:t xml:space="preserve"> </w:t>
      </w:r>
      <w:r>
        <w:t xml:space="preserve">ratios or any conclusions of how these have performed relative to benchmarks. Yet, the survey</w:t>
      </w:r>
      <w:r>
        <w:t xml:space="preserve"> </w:t>
      </w:r>
      <w:r>
        <w:t xml:space="preserve">could collect some qualitative insight on this point, as half of shipping companies consulted</w:t>
      </w:r>
      <w:r>
        <w:t xml:space="preserve"> </w:t>
      </w:r>
      <w:r>
        <w:t xml:space="preserve">found the data collected through the MRV system to be appropriate, thus suggesting that</w:t>
      </w:r>
      <w:r>
        <w:t xml:space="preserve"> </w:t>
      </w:r>
      <w:r>
        <w:t xml:space="preserve">administrative requirements may be proportional to the benefits of the system. Many</w:t>
      </w:r>
      <w:r>
        <w:t xml:space="preserve"> </w:t>
      </w:r>
      <w:r>
        <w:t xml:space="preserve">companies also reported the use of MRV-derived data for other purposes, such as, in order of</w:t>
      </w:r>
      <w:r>
        <w:t xml:space="preserve"> </w:t>
      </w:r>
      <w:r>
        <w:t xml:space="preserve">relevance, helping to achieve wider business goals including regulatory submissions related to</w:t>
      </w:r>
      <w:r>
        <w:t xml:space="preserve"> </w:t>
      </w:r>
      <w:r>
        <w:t xml:space="preserve">other regulatory frameworks, internal energy management, environmental, social and</w:t>
      </w:r>
      <w:r>
        <w:t xml:space="preserve"> </w:t>
      </w:r>
      <w:r>
        <w:t xml:space="preserve">governance (ESG) goals, customer reporting, and financing. This suggests that significant</w:t>
      </w:r>
      <w:r>
        <w:t xml:space="preserve"> </w:t>
      </w:r>
      <w:r>
        <w:t xml:space="preserve">synergies may at least partially offset the administrative burden to comply with MRV maritime</w:t>
      </w:r>
      <w:r>
        <w:t xml:space="preserve"> </w:t>
      </w:r>
      <w:r>
        <w:t xml:space="preserve">requirements.</w:t>
      </w:r>
      <w:r>
        <w:br/>
      </w:r>
      <w:r>
        <w:t xml:space="preserve">• EQ5: Are there opportunities for further cost reductions, including opportunities to</w:t>
      </w:r>
      <w:r>
        <w:t xml:space="preserve"> </w:t>
      </w:r>
      <w:r>
        <w:t xml:space="preserve">streamline or simplify the MRV maritime system process, without compromising</w:t>
      </w:r>
      <w:r>
        <w:t xml:space="preserve"> </w:t>
      </w:r>
      <w:r>
        <w:t xml:space="preserve">effectiveness?</w:t>
      </w:r>
      <w:r>
        <w:t xml:space="preserve"> </w:t>
      </w:r>
      <w:r>
        <w:t xml:space="preserve">This evaluation question examines whether, and to what extent, the MRV maritime system</w:t>
      </w:r>
      <w:r>
        <w:t xml:space="preserve"> </w:t>
      </w:r>
      <w:r>
        <w:t xml:space="preserve">could be further simplified or streamlined to reduce administrative costs, while preserving the</w:t>
      </w:r>
      <w:r>
        <w:t xml:space="preserve"> </w:t>
      </w:r>
      <w:r>
        <w:t xml:space="preserve">accuracy, transparency, and regulatory effectiveness achieved under the current framework.</w:t>
      </w:r>
      <w:r>
        <w:t xml:space="preserve"> </w:t>
      </w:r>
      <w:r>
        <w:t xml:space="preserve">The 2023 revision of the MRV system have increased the requirements on operators and</w:t>
      </w:r>
      <w:r>
        <w:t xml:space="preserve"> </w:t>
      </w:r>
      <w:r>
        <w:t xml:space="preserve">verifiers but also created opportunities for process integration and data reuse synergies across</w:t>
      </w:r>
      <w:r>
        <w:t xml:space="preserve"> </w:t>
      </w:r>
      <w:r>
        <w:t xml:space="preserve">regulatory regimes. This question therefore assesses the potential for cost reductions through</w:t>
      </w:r>
      <w:r>
        <w:t xml:space="preserve"> </w:t>
      </w:r>
      <w:r>
        <w:t xml:space="preserve">harmonisation, automation, and procedural simplification, identifying measures that could</w:t>
      </w:r>
      <w:r>
        <w:t xml:space="preserve"> </w:t>
      </w:r>
      <w:r>
        <w:t xml:space="preserve">enhance the robustness of the system while reducing redundant effort.</w:t>
      </w:r>
      <w:r>
        <w:t xml:space="preserve"> </w:t>
      </w:r>
      <w:r>
        <w:t xml:space="preserve">The analysis confirmed the maturity and robustness of the MRV maritime system but also</w:t>
      </w:r>
      <w:r>
        <w:t xml:space="preserve"> </w:t>
      </w:r>
      <w:r>
        <w:t xml:space="preserve">identified some procedural overlaps and administrative inefficiencies that could be reduced</w:t>
      </w:r>
      <w:r>
        <w:t xml:space="preserve"> </w:t>
      </w:r>
      <w:r>
        <w:t xml:space="preserve">through targeted digital and implementation improvements, in the absence of changes to the</w:t>
      </w:r>
      <w:r>
        <w:t xml:space="preserve"> </w:t>
      </w:r>
      <w:r>
        <w:t xml:space="preserve">legislative framework. Most stakeholders perceive duplication not in the MRV design itself,</w:t>
      </w:r>
    </w:p>
    <w:p>
      <w:pPr>
        <w:pStyle w:val="BodyText"/>
      </w:pPr>
      <w:r>
        <w:t xml:space="preserve">195</w:t>
      </w:r>
      <w:r>
        <w:t xml:space="preserve"> </w:t>
      </w:r>
      <w:r>
        <w:t xml:space="preserve">but in its co-existence with other regimes, particularly FuelEU Maritime and IMO DCS. Survey</w:t>
      </w:r>
      <w:r>
        <w:t xml:space="preserve"> </w:t>
      </w:r>
      <w:r>
        <w:t xml:space="preserve">data show that around 80 % of respondents share MRV-related processes with these other</w:t>
      </w:r>
      <w:r>
        <w:t xml:space="preserve"> </w:t>
      </w:r>
      <w:r>
        <w:t xml:space="preserve">compliance systems and over 90 % routinely cross-check data across regimes. Roughly half</w:t>
      </w:r>
      <w:r>
        <w:t xml:space="preserve"> </w:t>
      </w:r>
      <w:r>
        <w:t xml:space="preserve">reported they encounter occasional discrepancies to reuse relevant data caused by divergent</w:t>
      </w:r>
      <w:r>
        <w:t xml:space="preserve"> </w:t>
      </w:r>
      <w:r>
        <w:t xml:space="preserve">voyage definitions, aggregation rules or validation logic.</w:t>
      </w:r>
      <w:r>
        <w:br/>
      </w:r>
      <w:r>
        <w:t xml:space="preserve">At the same time, the analysis found that developments undertaken in the THETIS-MRV IT</w:t>
      </w:r>
      <w:r>
        <w:t xml:space="preserve"> </w:t>
      </w:r>
      <w:r>
        <w:t xml:space="preserve">system following the 2023 revision to prepare for the ETS extension to maritime and the</w:t>
      </w:r>
      <w:r>
        <w:t xml:space="preserve"> </w:t>
      </w:r>
      <w:r>
        <w:t xml:space="preserve">targeted support to implementation provided by relevant authorities have been considerably</w:t>
      </w:r>
      <w:r>
        <w:t xml:space="preserve"> </w:t>
      </w:r>
      <w:r>
        <w:t xml:space="preserve">reducing duplications in implementation and improving interoperability across systems</w:t>
      </w:r>
      <w:r>
        <w:t xml:space="preserve"> </w:t>
      </w:r>
      <w:r>
        <w:t xml:space="preserve">already. This suggests that remaining cost-saving potential is likely to lie mainly in further</w:t>
      </w:r>
      <w:r>
        <w:t xml:space="preserve"> </w:t>
      </w:r>
      <w:r>
        <w:t xml:space="preserve">digital alignment, additional and updated guidance, and possibly expanding targeted training</w:t>
      </w:r>
      <w:r>
        <w:t xml:space="preserve"> </w:t>
      </w:r>
      <w:r>
        <w:t xml:space="preserve">opportunities for smaller operators and verifiers.</w:t>
      </w:r>
      <w:r>
        <w:t xml:space="preserve"> </w:t>
      </w:r>
      <w:r>
        <w:t xml:space="preserve">These targeted improvement elements within the existing MRV legislative framework for</w:t>
      </w:r>
      <w:r>
        <w:t xml:space="preserve"> </w:t>
      </w:r>
      <w:r>
        <w:t xml:space="preserve">maritime are found to be achievable without compromising data quality or regulatory</w:t>
      </w:r>
      <w:r>
        <w:t xml:space="preserve"> </w:t>
      </w:r>
      <w:r>
        <w:t xml:space="preserve">robustness. The priority should therefore be to enhance the integration and consistency of</w:t>
      </w:r>
      <w:r>
        <w:t xml:space="preserve"> </w:t>
      </w:r>
      <w:r>
        <w:t xml:space="preserve">existing digital and methodological processes, rather than introduce new obligations, thereby</w:t>
      </w:r>
      <w:r>
        <w:t xml:space="preserve"> </w:t>
      </w:r>
      <w:r>
        <w:t xml:space="preserve">reinforcing both efficiency and effectiveness of the MRV maritime framework.</w:t>
      </w:r>
      <w:r>
        <w:t xml:space="preserve"> </w:t>
      </w:r>
      <w:r>
        <w:t xml:space="preserve">•</w:t>
      </w:r>
      <w:r>
        <w:t xml:space="preserve"> </w:t>
      </w:r>
      <w:r>
        <w:t xml:space="preserve">EQ6: What role can technology (e.g., digitalisation, automation) and increased</w:t>
      </w:r>
      <w:r>
        <w:t xml:space="preserve"> </w:t>
      </w:r>
      <w:r>
        <w:t xml:space="preserve">harmonisation play in improving the efficiency of the MRV maritime system, and what</w:t>
      </w:r>
      <w:r>
        <w:t xml:space="preserve"> </w:t>
      </w:r>
      <w:r>
        <w:t xml:space="preserve">investments are needed to realise these benefits?</w:t>
      </w:r>
      <w:r>
        <w:t xml:space="preserve"> </w:t>
      </w:r>
      <w:r>
        <w:t xml:space="preserve">This evaluation question explores how the use of technology (in particular digitalisation and</w:t>
      </w:r>
      <w:r>
        <w:t xml:space="preserve"> </w:t>
      </w:r>
      <w:r>
        <w:t xml:space="preserve">automation) and the degree of harmonisation across processes, tools and actors, contribute to</w:t>
      </w:r>
      <w:r>
        <w:t xml:space="preserve"> </w:t>
      </w:r>
      <w:r>
        <w:t xml:space="preserve">the efficiency of the EU maritime MRV system. It also considers what further investments may</w:t>
      </w:r>
      <w:r>
        <w:t xml:space="preserve"> </w:t>
      </w:r>
      <w:r>
        <w:t xml:space="preserve">be required to fully realise these potential efficiency gains.</w:t>
      </w:r>
      <w:r>
        <w:t xml:space="preserve"> </w:t>
      </w:r>
      <w:r>
        <w:t xml:space="preserve">The assessment focuses on the extent to which the current digital infrastructure (notably the</w:t>
      </w:r>
      <w:r>
        <w:t xml:space="preserve"> </w:t>
      </w:r>
      <w:r>
        <w:t xml:space="preserve">THETIS-MRV platform managed by EMSA) and the associated harmonised procedures</w:t>
      </w:r>
      <w:r>
        <w:t xml:space="preserve"> </w:t>
      </w:r>
      <w:r>
        <w:t xml:space="preserve">(templates, verifier accreditation, common guidance, and data publication) reduce</w:t>
      </w:r>
      <w:r>
        <w:t xml:space="preserve"> </w:t>
      </w:r>
      <w:r>
        <w:t xml:space="preserve">administrative effort, improve data quality and facilitate compliance for all actors involved.</w:t>
      </w:r>
      <w:r>
        <w:t xml:space="preserve"> </w:t>
      </w:r>
      <w:r>
        <w:t xml:space="preserve">These include shipping companies, managers, verifiers, NABs, Member State authorities,</w:t>
      </w:r>
      <w:r>
        <w:t xml:space="preserve"> </w:t>
      </w:r>
      <w:r>
        <w:t xml:space="preserve">EMSA and the European Commission. The evaluation considers both current efficiency gains</w:t>
      </w:r>
      <w:r>
        <w:t xml:space="preserve"> </w:t>
      </w:r>
      <w:r>
        <w:t xml:space="preserve">achieved through digitalisation and harmonisation and remaining inefficiencies that hinder</w:t>
      </w:r>
      <w:r>
        <w:t xml:space="preserve"> </w:t>
      </w:r>
      <w:r>
        <w:t xml:space="preserve">further optimisation, before identifying key investment priorities and potential future</w:t>
      </w:r>
      <w:r>
        <w:t xml:space="preserve"> </w:t>
      </w:r>
      <w:r>
        <w:t xml:space="preserve">improvements such as enhanced interoperability, automation, and data exchange between</w:t>
      </w:r>
      <w:r>
        <w:t xml:space="preserve"> </w:t>
      </w:r>
      <w:r>
        <w:t xml:space="preserve">systems.</w:t>
      </w:r>
      <w:r>
        <w:t xml:space="preserve"> </w:t>
      </w:r>
      <w:r>
        <w:t xml:space="preserve">Overall, the evidence indicates that further efficiency gains could primarily stem from deeper</w:t>
      </w:r>
      <w:r>
        <w:t xml:space="preserve"> </w:t>
      </w:r>
      <w:r>
        <w:t xml:space="preserve">digital integration and automation, while long-term cost reductions and implementation</w:t>
      </w:r>
      <w:r>
        <w:t xml:space="preserve"> </w:t>
      </w:r>
      <w:r>
        <w:t xml:space="preserve">consistency will depend on complementary investments in human and institutional capacity.</w:t>
      </w:r>
      <w:r>
        <w:t xml:space="preserve"> </w:t>
      </w:r>
      <w:r>
        <w:t xml:space="preserve">Both strands are mutually reinforcing and should be pursued in parallel to consolidate the</w:t>
      </w:r>
      <w:r>
        <w:t xml:space="preserve"> </w:t>
      </w:r>
      <w:r>
        <w:t xml:space="preserve">efficiency and effectiveness of the MRV maritime framework. The further consolidation of</w:t>
      </w:r>
      <w:r>
        <w:t xml:space="preserve"> </w:t>
      </w:r>
      <w:r>
        <w:t xml:space="preserve">workflows within THETIS-MRV, the introduction of automated validation checks to detect</w:t>
      </w:r>
      <w:r>
        <w:t xml:space="preserve"> </w:t>
      </w:r>
      <w:r>
        <w:t xml:space="preserve">potential outliers and typos, and the use of harmonised templates have markedly reduced</w:t>
      </w:r>
      <w:r>
        <w:t xml:space="preserve"> </w:t>
      </w:r>
      <w:r>
        <w:t xml:space="preserve">already administrative duplication and facilitated consistency across companies, verifiers, and</w:t>
      </w:r>
      <w:r>
        <w:t xml:space="preserve"> </w:t>
      </w:r>
      <w:r>
        <w:t xml:space="preserve">national authorities. Approximately half of the companies replying to the survey reported a</w:t>
      </w:r>
      <w:r>
        <w:t xml:space="preserve"> </w:t>
      </w:r>
      <w:r>
        <w:t xml:space="preserve">positive experience with the IT platform, and a majority of verifiers indicated shorter</w:t>
      </w:r>
      <w:r>
        <w:t xml:space="preserve"> </w:t>
      </w:r>
      <w:r>
        <w:t xml:space="preserve">verification cycles and fewer manual interventions compared to the MRV implementation</w:t>
      </w:r>
      <w:r>
        <w:t xml:space="preserve"> </w:t>
      </w:r>
      <w:r>
        <w:t xml:space="preserve">phase before the revision (i.e. 2018-2023). Member States similarly acknowledged that the</w:t>
      </w:r>
    </w:p>
    <w:p>
      <w:pPr>
        <w:pStyle w:val="BodyText"/>
      </w:pPr>
      <w:r>
        <w:t xml:space="preserve">196</w:t>
      </w:r>
      <w:r>
        <w:t xml:space="preserve"> </w:t>
      </w:r>
      <w:r>
        <w:t xml:space="preserve">centralisation of verified MRV data and shared access to Documents of Compliance have</w:t>
      </w:r>
      <w:r>
        <w:t xml:space="preserve"> </w:t>
      </w:r>
      <w:r>
        <w:t xml:space="preserve">simplified enforcement and reduced redundant exchanges of information.</w:t>
      </w:r>
      <w:r>
        <w:t xml:space="preserve"> </w:t>
      </w:r>
      <w:r>
        <w:t xml:space="preserve">At the same time, the evaluation highlighted residual inefficiencies that limit the full realisation</w:t>
      </w:r>
      <w:r>
        <w:t xml:space="preserve"> </w:t>
      </w:r>
      <w:r>
        <w:t xml:space="preserve">of these benefits. The most significant barriers identified by companies and verifiers relate to</w:t>
      </w:r>
      <w:r>
        <w:t xml:space="preserve"> </w:t>
      </w:r>
      <w:r>
        <w:t xml:space="preserve">incomplete interoperability between THETIS-MRV and companies IT systems, which still</w:t>
      </w:r>
      <w:r>
        <w:t xml:space="preserve"> </w:t>
      </w:r>
      <w:r>
        <w:t xml:space="preserve">requires partial manual data entry or file uploads. Other recurring concerns include usability</w:t>
      </w:r>
      <w:r>
        <w:t xml:space="preserve"> </w:t>
      </w:r>
      <w:r>
        <w:t xml:space="preserve">and performance issues following system updates and limited analytical capacity and staff</w:t>
      </w:r>
      <w:r>
        <w:t xml:space="preserve"> </w:t>
      </w:r>
      <w:r>
        <w:t xml:space="preserve">resources in several national administrations. These findings align with external analyses</w:t>
      </w:r>
      <w:r>
        <w:t xml:space="preserve"> </w:t>
      </w:r>
      <w:r>
        <w:t xml:space="preserve">showing that while MRV data are reliable and comprehensive, overlaps with other reporting</w:t>
      </w:r>
      <w:r>
        <w:t xml:space="preserve"> </w:t>
      </w:r>
      <w:r>
        <w:t xml:space="preserve">frameworks (e.g. IMO DCS) continue to impose redundant administrative effort.</w:t>
      </w:r>
      <w:r>
        <w:t xml:space="preserve"> </w:t>
      </w:r>
      <w:r>
        <w:t xml:space="preserve">Addressing these challenges will require targeted investment and capacity-building, both from</w:t>
      </w:r>
      <w:r>
        <w:t xml:space="preserve"> </w:t>
      </w:r>
      <w:r>
        <w:t xml:space="preserve">regulators and business actors (i.e. shipping companies, verifiers, other services providers).</w:t>
      </w:r>
      <w:r>
        <w:t xml:space="preserve"> </w:t>
      </w:r>
      <w:r>
        <w:t xml:space="preserve">Stakeholders and authorities emphasised the need for continued investments in API</w:t>
      </w:r>
      <w:r>
        <w:t xml:space="preserve"> </w:t>
      </w:r>
      <w:r>
        <w:t xml:space="preserve">development and full automation of data exchanges, enhanced training and technical support</w:t>
      </w:r>
      <w:r>
        <w:t xml:space="preserve"> </w:t>
      </w:r>
      <w:r>
        <w:t xml:space="preserve">for different user types, and reinforced cybersecurity and maintenance budgets as the THETIS-</w:t>
      </w:r>
      <w:r>
        <w:t xml:space="preserve"> </w:t>
      </w:r>
      <w:r>
        <w:t xml:space="preserve">MRV system is being constantly updated to cater for both ETS and FuelEU Maritime</w:t>
      </w:r>
      <w:r>
        <w:t xml:space="preserve"> </w:t>
      </w:r>
      <w:r>
        <w:t xml:space="preserve">requirements. Illustrative examples of potential efficiency improvements mentioned by</w:t>
      </w:r>
      <w:r>
        <w:t xml:space="preserve"> </w:t>
      </w:r>
      <w:r>
        <w:t xml:space="preserve">stakeholders include:</w:t>
      </w:r>
      <w:r>
        <w:t xml:space="preserve"> </w:t>
      </w:r>
      <w:r>
        <w:t xml:space="preserve">•</w:t>
      </w:r>
      <w:r>
        <w:t xml:space="preserve"> </w:t>
      </w:r>
      <w:r>
        <w:t xml:space="preserve">implementation of automated data transfers from fuel suppliers (e.g. through electronic</w:t>
      </w:r>
      <w:r>
        <w:t xml:space="preserve"> </w:t>
      </w:r>
      <w:r>
        <w:t xml:space="preserve">Bunker Delivery Notes or fuel sustainability documentation) directly into THETIS-MRV.</w:t>
      </w:r>
      <w:r>
        <w:t xml:space="preserve"> </w:t>
      </w:r>
      <w:r>
        <w:t xml:space="preserve">•</w:t>
      </w:r>
      <w:r>
        <w:t xml:space="preserve"> </w:t>
      </w:r>
      <w:r>
        <w:t xml:space="preserve">deployment of advanced analytics and Artificial Intelligence-based anomaly detection tools</w:t>
      </w:r>
      <w:r>
        <w:t xml:space="preserve"> </w:t>
      </w:r>
      <w:r>
        <w:t xml:space="preserve">to support risk-based verification.</w:t>
      </w:r>
      <w:r>
        <w:t xml:space="preserve"> </w:t>
      </w:r>
      <w:r>
        <w:t xml:space="preserve">•</w:t>
      </w:r>
      <w:r>
        <w:t xml:space="preserve"> </w:t>
      </w:r>
      <w:r>
        <w:t xml:space="preserve">enhanced API interoperability allowing companies’ internal systems to exchange data</w:t>
      </w:r>
      <w:r>
        <w:t xml:space="preserve"> </w:t>
      </w:r>
      <w:r>
        <w:t xml:space="preserve">directly with THETIS-MRV without manual uploads.</w:t>
      </w:r>
      <w:r>
        <w:t xml:space="preserve"> </w:t>
      </w:r>
      <w:r>
        <w:t xml:space="preserve">These examples illustrate that most efficiency gains expected in the next phase will derive from</w:t>
      </w:r>
      <w:r>
        <w:t xml:space="preserve"> </w:t>
      </w:r>
      <w:r>
        <w:t xml:space="preserve">investments in deeper automation, stronger inter-system connectivity, and improved analytical</w:t>
      </w:r>
      <w:r>
        <w:t xml:space="preserve"> </w:t>
      </w:r>
      <w:r>
        <w:t xml:space="preserve">capacity.</w:t>
      </w:r>
      <w:r>
        <w:t xml:space="preserve"> </w:t>
      </w:r>
      <w:r>
        <w:t xml:space="preserve">8.5.4.3</w:t>
      </w:r>
      <w:r>
        <w:t xml:space="preserve"> </w:t>
      </w:r>
      <w:r>
        <w:t xml:space="preserve">Relevance</w:t>
      </w:r>
      <w:r>
        <w:br/>
      </w:r>
      <w:r>
        <w:t xml:space="preserve">This criterion was developed through two evaluation questions to assess to what extent the</w:t>
      </w:r>
      <w:r>
        <w:t xml:space="preserve"> </w:t>
      </w:r>
      <w:r>
        <w:t xml:space="preserve">objectives and design of the MRV maritime system remain relevant to the objectives of the</w:t>
      </w:r>
      <w:r>
        <w:t xml:space="preserve"> </w:t>
      </w:r>
      <w:r>
        <w:t xml:space="preserve">overall EU climate policy framework, including by addressing current and emerging</w:t>
      </w:r>
      <w:r>
        <w:t xml:space="preserve"> </w:t>
      </w:r>
      <w:r>
        <w:t xml:space="preserve">challenges.</w:t>
      </w:r>
      <w:r>
        <w:br/>
      </w:r>
      <w:r>
        <w:t xml:space="preserve">• EQ7: To what extent do the objectives and design of the MRV system remain relevant</w:t>
      </w:r>
      <w:r>
        <w:t xml:space="preserve"> </w:t>
      </w:r>
      <w:r>
        <w:t xml:space="preserve">to the objectives of the compliance cycle and the overall EU climate policy framework,</w:t>
      </w:r>
      <w:r>
        <w:t xml:space="preserve"> </w:t>
      </w:r>
      <w:r>
        <w:t xml:space="preserve">and are they still appropriate in light of the evolving regulatory context?</w:t>
      </w:r>
      <w:r>
        <w:t xml:space="preserve"> </w:t>
      </w:r>
      <w:r>
        <w:t xml:space="preserve">The assessment of this evaluation question focused on three key objectives of the MRV system:</w:t>
      </w:r>
      <w:r>
        <w:t xml:space="preserve"> </w:t>
      </w:r>
      <w:r>
        <w:t xml:space="preserve">• Provide harmonised, high-quality emissions data across all relevant ship categories and</w:t>
      </w:r>
      <w:r>
        <w:t xml:space="preserve"> </w:t>
      </w:r>
      <w:r>
        <w:t xml:space="preserve">gases.</w:t>
      </w:r>
      <w:r>
        <w:br/>
      </w:r>
      <w:r>
        <w:t xml:space="preserve">• Enable the effective implementation and enforcement of the EU ETS for maritime</w:t>
      </w:r>
      <w:r>
        <w:t xml:space="preserve"> </w:t>
      </w:r>
      <w:r>
        <w:t xml:space="preserve">transport.</w:t>
      </w:r>
      <w:r>
        <w:br/>
      </w:r>
      <w:r>
        <w:t xml:space="preserve">• Reduce administrative burden and ensure legal and regulatory certainty for operators</w:t>
      </w:r>
      <w:r>
        <w:t xml:space="preserve"> </w:t>
      </w:r>
      <w:r>
        <w:t xml:space="preserve">and Member States.</w:t>
      </w:r>
    </w:p>
    <w:p>
      <w:pPr>
        <w:pStyle w:val="BodyText"/>
      </w:pPr>
      <w:r>
        <w:t xml:space="preserve">197</w:t>
      </w:r>
      <w:r>
        <w:t xml:space="preserve"> </w:t>
      </w:r>
      <w:r>
        <w:t xml:space="preserve">These objectives were assessed against the relevance of the MRV system for the EU climate</w:t>
      </w:r>
      <w:r>
        <w:t xml:space="preserve"> </w:t>
      </w:r>
      <w:r>
        <w:t xml:space="preserve">policy, its compatibility with the EU ETS and FuelEU Maritime compliance cycles, the</w:t>
      </w:r>
      <w:r>
        <w:t xml:space="preserve"> </w:t>
      </w:r>
      <w:r>
        <w:t xml:space="preserve">usefulness of the data reported to different stakeholders groups, the responsiveness of the scope</w:t>
      </w:r>
      <w:r>
        <w:t xml:space="preserve"> </w:t>
      </w:r>
      <w:r>
        <w:t xml:space="preserve">and structure of the system to sectoral changes, and the level of support of the reported data to</w:t>
      </w:r>
      <w:r>
        <w:t xml:space="preserve"> </w:t>
      </w:r>
      <w:r>
        <w:t xml:space="preserve">EU ETS, FuelEU Maritime and the Renewable Energy Directive (RED) frameworks.</w:t>
      </w:r>
      <w:r>
        <w:br/>
      </w:r>
      <w:r>
        <w:t xml:space="preserve">The analysis found that MRV provides accurate data on maritime greenhouse gas emissions</w:t>
      </w:r>
      <w:r>
        <w:t xml:space="preserve"> </w:t>
      </w:r>
      <w:r>
        <w:t xml:space="preserve">and energy efficiency that serve as the primary data source for the operation of EU ETS and</w:t>
      </w:r>
      <w:r>
        <w:t xml:space="preserve"> </w:t>
      </w:r>
      <w:r>
        <w:t xml:space="preserve">for the implementation of FuelEU Maritime requirements. Its scope is overall aligned with the</w:t>
      </w:r>
      <w:r>
        <w:t xml:space="preserve"> </w:t>
      </w:r>
      <w:r>
        <w:t xml:space="preserve">EU ETS in terms of ships and emissions covered and its verification and reporting timelines</w:t>
      </w:r>
      <w:r>
        <w:t xml:space="preserve"> </w:t>
      </w:r>
      <w:r>
        <w:t xml:space="preserve">are synchronized with EU ETS deadlines. As such, the MRV maritime system is closely aligned</w:t>
      </w:r>
      <w:r>
        <w:t xml:space="preserve"> </w:t>
      </w:r>
      <w:r>
        <w:t xml:space="preserve">with the EU’s climate policy, one of its key objectives being to support the implementation of</w:t>
      </w:r>
      <w:r>
        <w:t xml:space="preserve"> </w:t>
      </w:r>
      <w:r>
        <w:t xml:space="preserve">the EU ETS compliance cycle.</w:t>
      </w:r>
      <w:r>
        <w:br/>
      </w:r>
      <w:r>
        <w:t xml:space="preserve">The data collected under the MRV maritime system are relevant and useful for stakeholders</w:t>
      </w:r>
      <w:r>
        <w:t xml:space="preserve"> </w:t>
      </w:r>
      <w:r>
        <w:t xml:space="preserve">beyond the scope of MRV compliance alone, being used for compliance with FuelEU</w:t>
      </w:r>
      <w:r>
        <w:t xml:space="preserve"> </w:t>
      </w:r>
      <w:r>
        <w:t xml:space="preserve">Maritime, IMO DCS, as well as for ESG, internal energy management, customer reporting and</w:t>
      </w:r>
      <w:r>
        <w:t xml:space="preserve"> </w:t>
      </w:r>
      <w:r>
        <w:t xml:space="preserve">financing purposes.</w:t>
      </w:r>
      <w:r>
        <w:t xml:space="preserve"> </w:t>
      </w:r>
      <w:r>
        <w:t xml:space="preserve">The MRV Regulation has demonstrated a high level of responsiveness to sectoral changes in</w:t>
      </w:r>
      <w:r>
        <w:t xml:space="preserve"> </w:t>
      </w:r>
      <w:r>
        <w:t xml:space="preserve">maritime transport, aligning to evolving EU climate and transport legislation, market dynamics,</w:t>
      </w:r>
      <w:r>
        <w:t xml:space="preserve"> </w:t>
      </w:r>
      <w:r>
        <w:t xml:space="preserve">and technological advancements. The expansion of its scope to include additional vessel types</w:t>
      </w:r>
      <w:r>
        <w:t xml:space="preserve"> </w:t>
      </w:r>
      <w:r>
        <w:t xml:space="preserve">and greenhouse gases reflects a proactive approach to capturing more comprehensive emissions</w:t>
      </w:r>
      <w:r>
        <w:t xml:space="preserve"> </w:t>
      </w:r>
      <w:r>
        <w:t xml:space="preserve">data, for instance in relation to the uptake of new fuels (e.g. LNG).</w:t>
      </w:r>
      <w:r>
        <w:br/>
      </w:r>
      <w:r>
        <w:t xml:space="preserve">The MRV system provides essential support to the implementation of EU ETS, FuelEU</w:t>
      </w:r>
      <w:r>
        <w:t xml:space="preserve"> </w:t>
      </w:r>
      <w:r>
        <w:t xml:space="preserve">Maritime, and RED III by supplying verified emissions and fuel consumption data that</w:t>
      </w:r>
      <w:r>
        <w:t xml:space="preserve"> </w:t>
      </w:r>
      <w:r>
        <w:t xml:space="preserve">underpin relevant compliance and reporting mechanisms. Stakeholder feedback confirms the</w:t>
      </w:r>
      <w:r>
        <w:t xml:space="preserve"> </w:t>
      </w:r>
      <w:r>
        <w:t xml:space="preserve">system’s foundational role but also highlights areas for improvement, particularly insofar</w:t>
      </w:r>
      <w:r>
        <w:t xml:space="preserve"> </w:t>
      </w:r>
      <w:r>
        <w:t xml:space="preserve">further alignment between MRV and EU ETS and FuelEU Maritime systems, usability, and</w:t>
      </w:r>
      <w:r>
        <w:t xml:space="preserve"> </w:t>
      </w:r>
      <w:r>
        <w:t xml:space="preserve">digital integration.</w:t>
      </w:r>
      <w:r>
        <w:t xml:space="preserve"> </w:t>
      </w:r>
      <w:r>
        <w:t xml:space="preserve">• EQ8: To what extent are the scope and structure of the MRV system appropriate to</w:t>
      </w:r>
      <w:r>
        <w:t xml:space="preserve"> </w:t>
      </w:r>
      <w:r>
        <w:t xml:space="preserve">address current and emerging challenges?</w:t>
      </w:r>
      <w:r>
        <w:t xml:space="preserve"> </w:t>
      </w:r>
      <w:r>
        <w:t xml:space="preserve">The readiness of the MRV system to adapt to current and emerging challenges was analysed in</w:t>
      </w:r>
      <w:r>
        <w:t xml:space="preserve"> </w:t>
      </w:r>
      <w:r>
        <w:t xml:space="preserve">relation to the inclusion of non-CO2 gases under its scope starting 2024 and in terms of its</w:t>
      </w:r>
      <w:r>
        <w:t xml:space="preserve"> </w:t>
      </w:r>
      <w:r>
        <w:t xml:space="preserve">capability in handling the increased data quality and complexity stemming from the 2023</w:t>
      </w:r>
      <w:r>
        <w:t xml:space="preserve"> </w:t>
      </w:r>
      <w:r>
        <w:t xml:space="preserve">revision without compromising data quality or usability.</w:t>
      </w:r>
      <w:r>
        <w:br/>
      </w:r>
      <w:r>
        <w:t xml:space="preserve">The analysis found that the monitoring and reporting provisions of the MRV maritime system</w:t>
      </w:r>
      <w:r>
        <w:t xml:space="preserve"> </w:t>
      </w:r>
      <w:r>
        <w:t xml:space="preserve">have been broadly adequate in covering the newly included greenhouse gases (methane and</w:t>
      </w:r>
      <w:r>
        <w:t xml:space="preserve"> </w:t>
      </w:r>
      <w:r>
        <w:t xml:space="preserve">nitrous oxide) and vessel categories (offshore ships and small general cargo vessels), following</w:t>
      </w:r>
      <w:r>
        <w:t xml:space="preserve"> </w:t>
      </w:r>
      <w:r>
        <w:t xml:space="preserve">the 2023 revision. The secondary legislation developed following the revision provided clear</w:t>
      </w:r>
      <w:r>
        <w:t xml:space="preserve"> </w:t>
      </w:r>
      <w:r>
        <w:t xml:space="preserve">templates and definitions, enabling technical adaptation of the THETIS-MRV platform and</w:t>
      </w:r>
      <w:r>
        <w:t xml:space="preserve"> </w:t>
      </w:r>
      <w:r>
        <w:t xml:space="preserve">timely procedural adjustments by relevant stakeholders. However, the majority of surveyed</w:t>
      </w:r>
      <w:r>
        <w:t xml:space="preserve"> </w:t>
      </w:r>
      <w:r>
        <w:t xml:space="preserve">companies and a significant share of verifiers, flagged the support for more detailed and more</w:t>
      </w:r>
      <w:r>
        <w:t xml:space="preserve"> </w:t>
      </w:r>
      <w:r>
        <w:t xml:space="preserve">timely guidance on the legislative requirements of the system, so to ensure consistent</w:t>
      </w:r>
      <w:r>
        <w:t xml:space="preserve"> </w:t>
      </w:r>
      <w:r>
        <w:t xml:space="preserve">implementation and further uphold stakeholder compliance under the expanded MRV scope.</w:t>
      </w:r>
      <w:r>
        <w:t xml:space="preserve"> </w:t>
      </w:r>
      <w:r>
        <w:t xml:space="preserve">The MRV maritime system has demonstrated a general capability to handle the increased data</w:t>
      </w:r>
      <w:r>
        <w:t xml:space="preserve"> </w:t>
      </w:r>
      <w:r>
        <w:t xml:space="preserve">volume and complexity without compromising overall data quality or usability. Following the</w:t>
      </w:r>
      <w:r>
        <w:t xml:space="preserve"> </w:t>
      </w:r>
      <w:r>
        <w:t xml:space="preserve">2023 amendment, the THETIS-MRV IT platform, which companies, verifiers and</w:t>
      </w:r>
    </w:p>
    <w:p>
      <w:pPr>
        <w:pStyle w:val="BodyText"/>
      </w:pPr>
      <w:r>
        <w:t xml:space="preserve">198</w:t>
      </w:r>
      <w:r>
        <w:t xml:space="preserve"> </w:t>
      </w:r>
      <w:r>
        <w:t xml:space="preserve">Administering Authorities are required to use to implement and enforce the system,</w:t>
      </w:r>
      <w:r>
        <w:t xml:space="preserve"> </w:t>
      </w:r>
      <w:r>
        <w:t xml:space="preserve">accommodated the changes without performance degradation. While some of the respondents</w:t>
      </w:r>
      <w:r>
        <w:t xml:space="preserve"> </w:t>
      </w:r>
      <w:r>
        <w:t xml:space="preserve">flagged potential technical improvements to further enhance efficiency and data accuracy, the</w:t>
      </w:r>
      <w:r>
        <w:t xml:space="preserve"> </w:t>
      </w:r>
      <w:r>
        <w:t xml:space="preserve">IT system’s core functionalities remain adequate, also thanks to EMSA ability to adapt it to</w:t>
      </w:r>
      <w:r>
        <w:t xml:space="preserve"> </w:t>
      </w:r>
      <w:r>
        <w:t xml:space="preserve">emerging needs and inputs from users, as in the case of a built-in validation mechanisms to flag</w:t>
      </w:r>
      <w:r>
        <w:t xml:space="preserve"> </w:t>
      </w:r>
      <w:r>
        <w:t xml:space="preserve">likely inconsistencies and errors, confirming the adaptability of the IT system to emerging</w:t>
      </w:r>
      <w:r>
        <w:t xml:space="preserve"> </w:t>
      </w:r>
      <w:r>
        <w:t xml:space="preserve">needs.</w:t>
      </w:r>
      <w:r>
        <w:br/>
      </w:r>
      <w:r>
        <w:t xml:space="preserve">8.5.4.4</w:t>
      </w:r>
      <w:r>
        <w:t xml:space="preserve"> </w:t>
      </w:r>
      <w:r>
        <w:t xml:space="preserve">Coherence</w:t>
      </w:r>
      <w:r>
        <w:t xml:space="preserve"> </w:t>
      </w:r>
      <w:r>
        <w:t xml:space="preserve">The evaluation of coherence assesses how well the MRV maritime system is functioning in a</w:t>
      </w:r>
      <w:r>
        <w:t xml:space="preserve"> </w:t>
      </w:r>
      <w:r>
        <w:t xml:space="preserve">harmonised way with other regulatory frameworks pursuing or supporting shipping</w:t>
      </w:r>
      <w:r>
        <w:t xml:space="preserve"> </w:t>
      </w:r>
      <w:r>
        <w:t xml:space="preserve">decarbonisation objectives, both at the EU level and globally. This criterion has been analysed</w:t>
      </w:r>
      <w:r>
        <w:t xml:space="preserve"> </w:t>
      </w:r>
      <w:r>
        <w:t xml:space="preserve">through three evaluation questions, both to assess the overall systemic coherence with measures</w:t>
      </w:r>
      <w:r>
        <w:t xml:space="preserve"> </w:t>
      </w:r>
      <w:r>
        <w:t xml:space="preserve">at global level (IMO DCS) and at the EU level (EU ETS, FuelEU Maritime, RED), but also to</w:t>
      </w:r>
      <w:r>
        <w:t xml:space="preserve"> </w:t>
      </w:r>
      <w:r>
        <w:t xml:space="preserve">detect potential areas of conflict.</w:t>
      </w:r>
      <w:r>
        <w:br/>
      </w:r>
      <w:r>
        <w:t xml:space="preserve">• EQ9: Has the MRV been coherent with the IMO DCS?</w:t>
      </w:r>
      <w:r>
        <w:t xml:space="preserve"> </w:t>
      </w:r>
      <w:r>
        <w:t xml:space="preserve">The MRV maritime system set in Regulation (EU) 2015/757 and the IMO DCS both require</w:t>
      </w:r>
      <w:r>
        <w:t xml:space="preserve"> </w:t>
      </w:r>
      <w:r>
        <w:t xml:space="preserve">the monitoring and reporting of the fuel consumption from ships as means to inform policy</w:t>
      </w:r>
      <w:r>
        <w:t xml:space="preserve"> </w:t>
      </w:r>
      <w:r>
        <w:t xml:space="preserve">makers and design policy tools towards the reduction of emissions from shipping. The basic</w:t>
      </w:r>
      <w:r>
        <w:t xml:space="preserve"> </w:t>
      </w:r>
      <w:r>
        <w:t xml:space="preserve">general requirement of monitoring and aggregating fuel consumption data is therefore common</w:t>
      </w:r>
      <w:r>
        <w:t xml:space="preserve"> </w:t>
      </w:r>
      <w:r>
        <w:t xml:space="preserve">to the two systems and the three monitoring methods being applied under the MRV system are</w:t>
      </w:r>
      <w:r>
        <w:t xml:space="preserve"> </w:t>
      </w:r>
      <w:r>
        <w:t xml:space="preserve">also accepted under the IMO DCS. Despite such general design similarities, several details in</w:t>
      </w:r>
      <w:r>
        <w:t xml:space="preserve"> </w:t>
      </w:r>
      <w:r>
        <w:t xml:space="preserve">the measures details result in divergences between the two systems. For example, the scope of</w:t>
      </w:r>
      <w:r>
        <w:t xml:space="preserve"> </w:t>
      </w:r>
      <w:r>
        <w:t xml:space="preserve">affected ships is not fully harmonised, and the IMO DCS mandates fuel consumption reporting,</w:t>
      </w:r>
      <w:r>
        <w:t xml:space="preserve"> </w:t>
      </w:r>
      <w:r>
        <w:t xml:space="preserve">excluding the quantification of greenhouse emissions. Differences also exist in the verification</w:t>
      </w:r>
      <w:r>
        <w:t xml:space="preserve"> </w:t>
      </w:r>
      <w:r>
        <w:t xml:space="preserve">processes: the MRV system requires third-party independent verification, while the IMO DCS</w:t>
      </w:r>
      <w:r>
        <w:t xml:space="preserve"> </w:t>
      </w:r>
      <w:r>
        <w:t xml:space="preserve">relies on flag state procedures based on IMO guidelines. A further area of divergence concerns</w:t>
      </w:r>
      <w:r>
        <w:t xml:space="preserve"> </w:t>
      </w:r>
      <w:r>
        <w:t xml:space="preserve">data transparency. The MRV mandates full public disclosure of a defined set of data, capable</w:t>
      </w:r>
      <w:r>
        <w:t xml:space="preserve"> </w:t>
      </w:r>
      <w:r>
        <w:t xml:space="preserve">of gaining a general understanding of the emissions and energy efficiency performance of the</w:t>
      </w:r>
      <w:r>
        <w:t xml:space="preserve"> </w:t>
      </w:r>
      <w:r>
        <w:t xml:space="preserve">fleet, with granularity at ship level. In contrast, the IMO DCS only publishes anonymized, fleet-</w:t>
      </w:r>
      <w:r>
        <w:t xml:space="preserve"> </w:t>
      </w:r>
      <w:r>
        <w:t xml:space="preserve">level aggregated data, through an annual report. The full alignment on these elements would</w:t>
      </w:r>
      <w:r>
        <w:t xml:space="preserve"> </w:t>
      </w:r>
      <w:r>
        <w:t xml:space="preserve">imply structural changes to the MRV system, in a manner not compatible with the measure’s</w:t>
      </w:r>
      <w:r>
        <w:t xml:space="preserve"> </w:t>
      </w:r>
      <w:r>
        <w:t xml:space="preserve">effectiveness in delivering on its policy objectives.</w:t>
      </w:r>
      <w:r>
        <w:br/>
      </w:r>
      <w:r>
        <w:t xml:space="preserve">On the contrary, there are some other divergencies between the two systems which could be</w:t>
      </w:r>
      <w:r>
        <w:t xml:space="preserve"> </w:t>
      </w:r>
      <w:r>
        <w:t xml:space="preserve">mitigated without compromising the overall design of the measure, thus minimising</w:t>
      </w:r>
      <w:r>
        <w:t xml:space="preserve"> </w:t>
      </w:r>
      <w:r>
        <w:t xml:space="preserve">administrative burden for operators. This is the case of some inconsistencies in definitions</w:t>
      </w:r>
      <w:r>
        <w:t xml:space="preserve"> </w:t>
      </w:r>
      <w:r>
        <w:t xml:space="preserve">applicable to reporting parameters (e.g. on time and distance travelled), or in the type and detail</w:t>
      </w:r>
      <w:r>
        <w:t xml:space="preserve"> </w:t>
      </w:r>
      <w:r>
        <w:t xml:space="preserve">of information required where the requirement to report fuel consumption by consumer type</w:t>
      </w:r>
      <w:r>
        <w:t xml:space="preserve"> </w:t>
      </w:r>
      <w:r>
        <w:t xml:space="preserve">(e.g., engines vs. boilers) under IMO DCS could represent an added value also under the MRV</w:t>
      </w:r>
      <w:r>
        <w:t xml:space="preserve"> </w:t>
      </w:r>
      <w:r>
        <w:t xml:space="preserve">system.</w:t>
      </w:r>
      <w:r>
        <w:br/>
      </w:r>
      <w:r>
        <w:t xml:space="preserve">In conclusion, the evaluation underscored some divergences in the design and implementation</w:t>
      </w:r>
      <w:r>
        <w:t xml:space="preserve"> </w:t>
      </w:r>
      <w:r>
        <w:t xml:space="preserve">of the MRV and IMO DCS system, which determine duplications for the entities required to</w:t>
      </w:r>
      <w:r>
        <w:t xml:space="preserve"> </w:t>
      </w:r>
      <w:r>
        <w:t xml:space="preserve">comply with both schemes. Despite such differences which are mostly inherent to the different</w:t>
      </w:r>
      <w:r>
        <w:t xml:space="preserve"> </w:t>
      </w:r>
      <w:r>
        <w:t xml:space="preserve">objectives of the measures, the evaluation identified the potential for closer alignment in respect</w:t>
      </w:r>
      <w:r>
        <w:t xml:space="preserve"> </w:t>
      </w:r>
      <w:r>
        <w:t xml:space="preserve">to some limited reporting requirements and applicable definitions between the two system. To</w:t>
      </w:r>
      <w:r>
        <w:t xml:space="preserve"> </w:t>
      </w:r>
      <w:r>
        <w:t xml:space="preserve">the extent that these remain compatible with the policy objectives and effectiveness of the MRV</w:t>
      </w:r>
    </w:p>
    <w:p>
      <w:pPr>
        <w:pStyle w:val="BodyText"/>
      </w:pPr>
      <w:r>
        <w:t xml:space="preserve">199</w:t>
      </w:r>
      <w:r>
        <w:t xml:space="preserve"> </w:t>
      </w:r>
      <w:r>
        <w:t xml:space="preserve">maritime system, these could reduce the administrative burden for operators and further</w:t>
      </w:r>
      <w:r>
        <w:t xml:space="preserve"> </w:t>
      </w:r>
      <w:r>
        <w:t xml:space="preserve">enhance the granularity of the reporting requirements under MRV.</w:t>
      </w:r>
      <w:r>
        <w:br/>
      </w:r>
      <w:r>
        <w:t xml:space="preserve">• EQ10: Has the MRV maritime system been coherent with the EU ETS legal framework</w:t>
      </w:r>
      <w:r>
        <w:t xml:space="preserve"> </w:t>
      </w:r>
      <w:r>
        <w:t xml:space="preserve">and, secondly, how well does the MRV maritime system align with other EU policies</w:t>
      </w:r>
      <w:r>
        <w:t xml:space="preserve"> </w:t>
      </w:r>
      <w:r>
        <w:t xml:space="preserve">such as FuelEU and the RED?</w:t>
      </w:r>
      <w:r>
        <w:t xml:space="preserve"> </w:t>
      </w:r>
      <w:r>
        <w:t xml:space="preserve">The EU MRV is highly coherent with the EU ETS framework. This coherence is by design, as</w:t>
      </w:r>
      <w:r>
        <w:t xml:space="preserve"> </w:t>
      </w:r>
      <w:r>
        <w:t xml:space="preserve">the MRV system provides the verified greenhouse gas emissions data required for ETS</w:t>
      </w:r>
      <w:r>
        <w:t xml:space="preserve"> </w:t>
      </w:r>
      <w:r>
        <w:t xml:space="preserve">implementation for shipping. The coherence is ensured through definitions, cross references in</w:t>
      </w:r>
      <w:r>
        <w:t xml:space="preserve"> </w:t>
      </w:r>
      <w:r>
        <w:t xml:space="preserve">key legal instruments, a common verification system for reported data, and an align aligned</w:t>
      </w:r>
      <w:r>
        <w:t xml:space="preserve"> </w:t>
      </w:r>
      <w:r>
        <w:t xml:space="preserve">administrative process which is integrated within the THETIS-MRV platform.</w:t>
      </w:r>
      <w:r>
        <w:br/>
      </w:r>
      <w:r>
        <w:t xml:space="preserve">The MRV system used for ETS compliance and FuelEU Maritime are slightly less aligned</w:t>
      </w:r>
      <w:r>
        <w:t xml:space="preserve"> </w:t>
      </w:r>
      <w:r>
        <w:t xml:space="preserve">while maintaining overall coherence. The different approaches to the regulated entity may</w:t>
      </w:r>
      <w:r>
        <w:t xml:space="preserve"> </w:t>
      </w:r>
      <w:r>
        <w:t xml:space="preserve">result in two different entities being responsible for the same ship under FuelEU on the one</w:t>
      </w:r>
      <w:r>
        <w:t xml:space="preserve"> </w:t>
      </w:r>
      <w:r>
        <w:t xml:space="preserve">hand, and under EU ETS/MRV on the other hand293. Further differences exist in the scope of</w:t>
      </w:r>
      <w:r>
        <w:t xml:space="preserve"> </w:t>
      </w:r>
      <w:r>
        <w:t xml:space="preserve">application: FuelEU applies to a slightly different subset of ships in terms of size and type than</w:t>
      </w:r>
      <w:r>
        <w:t xml:space="preserve"> </w:t>
      </w:r>
      <w:r>
        <w:t xml:space="preserve">the MRV system. The MRV system mandates the reporting of tank-to-wake (TtW) CO₂e</w:t>
      </w:r>
      <w:r>
        <w:t xml:space="preserve"> </w:t>
      </w:r>
      <w:r>
        <w:t xml:space="preserve">emissions, whereas FuelEU requires the calculation of well-to-wake (WtW) GHG intensity. As</w:t>
      </w:r>
      <w:r>
        <w:t xml:space="preserve"> </w:t>
      </w:r>
      <w:r>
        <w:t xml:space="preserve">a result, FuelEU requires additional fuel characteristics and life-cycle data that are not relevant</w:t>
      </w:r>
      <w:r>
        <w:t xml:space="preserve"> </w:t>
      </w:r>
      <w:r>
        <w:t xml:space="preserve">under the MRV system. The monitoring and reporting requirements between MRV and FuelEU</w:t>
      </w:r>
      <w:r>
        <w:t xml:space="preserve"> </w:t>
      </w:r>
      <w:r>
        <w:t xml:space="preserve">are generally aligned, but some divergences persist: FuelEU requires some additional</w:t>
      </w:r>
      <w:r>
        <w:t xml:space="preserve"> </w:t>
      </w:r>
      <w:r>
        <w:t xml:space="preserve">parameters to be reported, which currently prevents the use of unique templates for reporting</w:t>
      </w:r>
      <w:r>
        <w:t xml:space="preserve"> </w:t>
      </w:r>
      <w:r>
        <w:t xml:space="preserve">purposes (i.e. monitoring plans and emissions reports). Despite these differences, both systems</w:t>
      </w:r>
      <w:r>
        <w:t xml:space="preserve"> </w:t>
      </w:r>
      <w:r>
        <w:t xml:space="preserve">share high consistency in the methods for monitoring fuel consumption, rules for determining</w:t>
      </w:r>
      <w:r>
        <w:t xml:space="preserve"> </w:t>
      </w:r>
      <w:r>
        <w:t xml:space="preserve">emission factors, and procedures for verifying the sustainability and GHG savings of</w:t>
      </w:r>
      <w:r>
        <w:t xml:space="preserve"> </w:t>
      </w:r>
      <w:r>
        <w:t xml:space="preserve">alternative fuels. Data submission by users is further facilitated by THETIS-MRV, as a shared</w:t>
      </w:r>
      <w:r>
        <w:t xml:space="preserve"> </w:t>
      </w:r>
      <w:r>
        <w:t xml:space="preserve">digital single interface for compliance.</w:t>
      </w:r>
      <w:r>
        <w:br/>
      </w:r>
      <w:r>
        <w:t xml:space="preserve">8.5.4.5</w:t>
      </w:r>
      <w:r>
        <w:t xml:space="preserve"> </w:t>
      </w:r>
      <w:r>
        <w:t xml:space="preserve">EU added value</w:t>
      </w:r>
      <w:r>
        <w:br/>
      </w:r>
      <w:r>
        <w:t xml:space="preserve">• EQ11: To what extent has the MRV system delivered added value at EU level compared</w:t>
      </w:r>
      <w:r>
        <w:t xml:space="preserve"> </w:t>
      </w:r>
      <w:r>
        <w:t xml:space="preserve">to what could have been achieved through acting by individual Member States?</w:t>
      </w:r>
      <w:r>
        <w:br/>
      </w:r>
      <w:r>
        <w:t xml:space="preserve">The EU maritime MRV framework has delivered added value compared to what could have</w:t>
      </w:r>
      <w:r>
        <w:t xml:space="preserve"> </w:t>
      </w:r>
      <w:r>
        <w:t xml:space="preserve">been achieved through uncoordinated national action. The Regulation replaced a fragmented</w:t>
      </w:r>
      <w:r>
        <w:t xml:space="preserve"> </w:t>
      </w:r>
      <w:r>
        <w:t xml:space="preserve">landscape of partial or voluntary national initiatives with a harmonised, legally binding and</w:t>
      </w:r>
      <w:r>
        <w:t xml:space="preserve"> </w:t>
      </w:r>
      <w:r>
        <w:t xml:space="preserve">verifier-based system covering all ships calling at EU ports. The establishment of common</w:t>
      </w:r>
      <w:r>
        <w:t xml:space="preserve"> </w:t>
      </w:r>
      <w:r>
        <w:t xml:space="preserve">templates, definitions and accreditation procedures, supported by the mandatory use of a</w:t>
      </w:r>
      <w:r>
        <w:t xml:space="preserve"> </w:t>
      </w:r>
      <w:r>
        <w:t xml:space="preserve">centralised THETIS-MRV IT platform, has ensured uniform data quality, administrative</w:t>
      </w:r>
      <w:r>
        <w:t xml:space="preserve"> </w:t>
      </w:r>
      <w:r>
        <w:t xml:space="preserve">efficiency and transparency across Member States. The system has reduced compliance costs,</w:t>
      </w:r>
      <w:r>
        <w:t xml:space="preserve"> </w:t>
      </w:r>
      <w:r>
        <w:t xml:space="preserve">avoided duplication and overlap of verification markets, and provided the methodological and</w:t>
      </w:r>
      <w:r>
        <w:t xml:space="preserve"> </w:t>
      </w:r>
      <w:r>
        <w:t xml:space="preserve">technical foundation necessary for the integration of maritime transport into the EU Emissions</w:t>
      </w:r>
    </w:p>
    <w:p>
      <w:pPr>
        <w:pStyle w:val="BodyText"/>
      </w:pPr>
      <w:r>
        <w:t xml:space="preserve">293 The definitions of the regulated entity under EU ETS/EU MRV and FuelEU Maritime are aligned. The legally</w:t>
      </w:r>
      <w:r>
        <w:t xml:space="preserve"> </w:t>
      </w:r>
      <w:r>
        <w:t xml:space="preserve">non-binding FAQs of FuelEU Maritime explain that the ‘ISM Company’ distinct from the shipowner is the</w:t>
      </w:r>
      <w:r>
        <w:t xml:space="preserve"> </w:t>
      </w:r>
      <w:r>
        <w:t xml:space="preserve">entity responsible for compliance with FuelEU Maritime. By contrast, under EU ETS and EU MRV, the</w:t>
      </w:r>
      <w:r>
        <w:t xml:space="preserve"> </w:t>
      </w:r>
      <w:r>
        <w:t xml:space="preserve">regulated entity can be either the shipowner or the ISM Company, with the shipowner being the regulated</w:t>
      </w:r>
      <w:r>
        <w:t xml:space="preserve"> </w:t>
      </w:r>
      <w:r>
        <w:t xml:space="preserve">entity by default. The ISM Company refers to the entity responsible for the compliance of a ship with the</w:t>
      </w:r>
      <w:r>
        <w:t xml:space="preserve"> </w:t>
      </w:r>
      <w:r>
        <w:t xml:space="preserve">requirements of the International Management Code for the Safe Operation of Ships and for Pollution</w:t>
      </w:r>
      <w:r>
        <w:t xml:space="preserve"> </w:t>
      </w:r>
      <w:r>
        <w:t xml:space="preserve">Prevention.</w:t>
      </w:r>
    </w:p>
    <w:p>
      <w:pPr>
        <w:pStyle w:val="BodyText"/>
      </w:pPr>
      <w:r>
        <w:t xml:space="preserve">200</w:t>
      </w:r>
      <w:r>
        <w:t xml:space="preserve"> </w:t>
      </w:r>
      <w:r>
        <w:t xml:space="preserve">Trading System. In the absence of EU intervention, Member States would have implemented</w:t>
      </w:r>
      <w:r>
        <w:t xml:space="preserve"> </w:t>
      </w:r>
      <w:r>
        <w:t xml:space="preserve">divergent or overlapping schemes, increasing costs and undermining data comparability and</w:t>
      </w:r>
      <w:r>
        <w:t xml:space="preserve"> </w:t>
      </w:r>
      <w:r>
        <w:t xml:space="preserve">policy coherence. The EU-level approach has therefore generated economies of scale, ensured</w:t>
      </w:r>
      <w:r>
        <w:t xml:space="preserve"> </w:t>
      </w:r>
      <w:r>
        <w:t xml:space="preserve">a level playing field for operators, and strengthened the overall effectiveness of the Union’s</w:t>
      </w:r>
      <w:r>
        <w:t xml:space="preserve"> </w:t>
      </w:r>
      <w:r>
        <w:t xml:space="preserve">climate-policy framework in the maritime sector.</w:t>
      </w:r>
      <w:r>
        <w:t xml:space="preserve"> </w:t>
      </w:r>
      <w:r>
        <w:t xml:space="preserve">• EQ12: To what extent has the EU-level MRV maritime system enabled results that</w:t>
      </w:r>
      <w:r>
        <w:t xml:space="preserve"> </w:t>
      </w:r>
      <w:r>
        <w:t xml:space="preserve">would not have been possible through MS national systems alone, in terms of</w:t>
      </w:r>
      <w:r>
        <w:t xml:space="preserve"> </w:t>
      </w:r>
      <w:r>
        <w:t xml:space="preserve">supporting ETS implementation and broader EU climate objectives?</w:t>
      </w:r>
      <w:r>
        <w:t xml:space="preserve"> </w:t>
      </w:r>
      <w:r>
        <w:t xml:space="preserve">The analysis found that the EU-level MRV maritime framework has enabled outcomes that</w:t>
      </w:r>
      <w:r>
        <w:t xml:space="preserve"> </w:t>
      </w:r>
      <w:r>
        <w:t xml:space="preserve">Member States acting individually could not have achieved. By establishing a harmonised,</w:t>
      </w:r>
      <w:r>
        <w:t xml:space="preserve"> </w:t>
      </w:r>
      <w:r>
        <w:t xml:space="preserve">verifier-based, and digitally integrated monitoring system, it provided the essential</w:t>
      </w:r>
      <w:r>
        <w:t xml:space="preserve"> </w:t>
      </w:r>
      <w:r>
        <w:t xml:space="preserve">infrastructure for extending the EU ETS to maritime transport and for supporting the Union’s</w:t>
      </w:r>
      <w:r>
        <w:t xml:space="preserve"> </w:t>
      </w:r>
      <w:r>
        <w:t xml:space="preserve">broader decarbonisation objectives. The system’s verified and transparent emissions database</w:t>
      </w:r>
      <w:r>
        <w:t xml:space="preserve"> </w:t>
      </w:r>
      <w:r>
        <w:t xml:space="preserve">now serves as the reference for ETS compliance, the assessment of fuel and energy-efficiency</w:t>
      </w:r>
      <w:r>
        <w:t xml:space="preserve"> </w:t>
      </w:r>
      <w:r>
        <w:t xml:space="preserve">measures, and evidence-based policy design across multiple climate instruments.</w:t>
      </w:r>
      <w:r>
        <w:t xml:space="preserve"> </w:t>
      </w:r>
      <w:r>
        <w:t xml:space="preserve">In the absence of EU intervention, Member States would likely have implemented divergent or</w:t>
      </w:r>
      <w:r>
        <w:t xml:space="preserve"> </w:t>
      </w:r>
      <w:r>
        <w:t xml:space="preserve">voluntary monitoring schemes, leading to inconsistent data, higher administrative costs, and</w:t>
      </w:r>
      <w:r>
        <w:t xml:space="preserve"> </w:t>
      </w:r>
      <w:r>
        <w:t xml:space="preserve">limited policy interoperability. The MRV system therefore represents a clear case of EU added</w:t>
      </w:r>
      <w:r>
        <w:t xml:space="preserve"> </w:t>
      </w:r>
      <w:r>
        <w:t xml:space="preserve">value: it has created the analytical, regulatory and technical foundation for the integration of</w:t>
      </w:r>
      <w:r>
        <w:t xml:space="preserve"> </w:t>
      </w:r>
      <w:r>
        <w:t xml:space="preserve">maritime transport into the EU climate framework and for the Union’s leadership in global</w:t>
      </w:r>
      <w:r>
        <w:t xml:space="preserve"> </w:t>
      </w:r>
      <w:r>
        <w:t xml:space="preserve">maritime decarbonisation.</w:t>
      </w:r>
      <w:r>
        <w:br/>
      </w:r>
      <w:r>
        <w:t xml:space="preserve">8.5.5 Conclusions</w:t>
      </w:r>
      <w:r>
        <w:t xml:space="preserve"> </w:t>
      </w:r>
      <w:r>
        <w:t xml:space="preserve">The evaluation of the MRV maritime system confirmed the effectiveness and efficiency of the</w:t>
      </w:r>
      <w:r>
        <w:t xml:space="preserve"> </w:t>
      </w:r>
      <w:r>
        <w:t xml:space="preserve">framework in ensuring the reporting of accurate, complete, and transparent greenhouse gas</w:t>
      </w:r>
      <w:r>
        <w:t xml:space="preserve"> </w:t>
      </w:r>
      <w:r>
        <w:t xml:space="preserve">emissions data from maritime transport activities. The revision of the system, effective as of</w:t>
      </w:r>
      <w:r>
        <w:t xml:space="preserve"> </w:t>
      </w:r>
      <w:r>
        <w:t xml:space="preserve">the 2024 reporting period, brought an expansion of the activities under scope as well as</w:t>
      </w:r>
      <w:r>
        <w:t xml:space="preserve"> </w:t>
      </w:r>
      <w:r>
        <w:t xml:space="preserve">additional complexity for operators.</w:t>
      </w:r>
      <w:r>
        <w:br/>
      </w:r>
      <w:r>
        <w:t xml:space="preserve">The evaluation found that stakeholders were overall well prepared and adapted quickly to these</w:t>
      </w:r>
      <w:r>
        <w:t xml:space="preserve"> </w:t>
      </w:r>
      <w:r>
        <w:t xml:space="preserve">new challenges, thus ensuring that the MRV system could keep fulfilling its policy objectives</w:t>
      </w:r>
      <w:r>
        <w:t xml:space="preserve"> </w:t>
      </w:r>
      <w:r>
        <w:t xml:space="preserve">as the ETS extension to maritime came to implementation. While the system can at present rely</w:t>
      </w:r>
      <w:r>
        <w:t xml:space="preserve"> </w:t>
      </w:r>
      <w:r>
        <w:t xml:space="preserve">on a centralised digital infrastructure for reporting and compliance, on the use of uniform</w:t>
      </w:r>
      <w:r>
        <w:t xml:space="preserve"> </w:t>
      </w:r>
      <w:r>
        <w:t xml:space="preserve">mandatory templates, and on robust support to implementation, some temporary adjustment</w:t>
      </w:r>
      <w:r>
        <w:t xml:space="preserve"> </w:t>
      </w:r>
      <w:r>
        <w:t xml:space="preserve">frictions following the 2023 revision were detected during the evaluation. These may require</w:t>
      </w:r>
      <w:r>
        <w:t xml:space="preserve"> </w:t>
      </w:r>
      <w:r>
        <w:t xml:space="preserve">closer attention by relevant authorities, in the form of sustained support to implementation,</w:t>
      </w:r>
      <w:r>
        <w:t xml:space="preserve"> </w:t>
      </w:r>
      <w:r>
        <w:t xml:space="preserve">continuous adaptations of the IT infrastructure, and closer attention to potential capacity</w:t>
      </w:r>
      <w:r>
        <w:t xml:space="preserve"> </w:t>
      </w:r>
      <w:r>
        <w:t xml:space="preserve">limitations in the verification and accreditation system.</w:t>
      </w:r>
      <w:r>
        <w:br/>
      </w:r>
      <w:r>
        <w:t xml:space="preserve">Consulted stakeholders overall confirmed that administrative requirements are proportional to</w:t>
      </w:r>
      <w:r>
        <w:t xml:space="preserve"> </w:t>
      </w:r>
      <w:r>
        <w:t xml:space="preserve">the benefits of the system and that the MRV maritime system is delivering its objectives cost-</w:t>
      </w:r>
      <w:r>
        <w:t xml:space="preserve"> </w:t>
      </w:r>
      <w:r>
        <w:t xml:space="preserve">efficiently. While the evaluation found the average recurrent compliance cost per vessel to be</w:t>
      </w:r>
      <w:r>
        <w:t xml:space="preserve"> </w:t>
      </w:r>
      <w:r>
        <w:t xml:space="preserve">in line with previous estimates, operators also highlighted having incurred one-off adjustment</w:t>
      </w:r>
      <w:r>
        <w:t xml:space="preserve"> </w:t>
      </w:r>
      <w:r>
        <w:t xml:space="preserve">costs following the 2023 revision. Most of the consulted stakeholders indicated that MRV</w:t>
      </w:r>
      <w:r>
        <w:t xml:space="preserve"> </w:t>
      </w:r>
      <w:r>
        <w:t xml:space="preserve">compliance costs are in fact shared with other reporting systems, such as EU ETS, FuelEU</w:t>
      </w:r>
      <w:r>
        <w:t xml:space="preserve"> </w:t>
      </w:r>
      <w:r>
        <w:t xml:space="preserve">Maritime, or the IMO DCS, rather than being MRV-specific, and that MRV-derived data is</w:t>
      </w:r>
      <w:r>
        <w:t xml:space="preserve"> </w:t>
      </w:r>
      <w:r>
        <w:t xml:space="preserve">used for other purposes within the company, including internal energy management, ESG</w:t>
      </w:r>
      <w:r>
        <w:t xml:space="preserve"> </w:t>
      </w:r>
      <w:r>
        <w:t xml:space="preserve">goals, customer reporting, and financing. This indicates that MRV compliance costs for</w:t>
      </w:r>
    </w:p>
    <w:p>
      <w:pPr>
        <w:pStyle w:val="BodyText"/>
      </w:pPr>
      <w:r>
        <w:t xml:space="preserve">201</w:t>
      </w:r>
      <w:r>
        <w:t xml:space="preserve"> </w:t>
      </w:r>
      <w:r>
        <w:t xml:space="preserve">operators are at least partially offset due to interdependencies with other regulatory frameworks</w:t>
      </w:r>
      <w:r>
        <w:t xml:space="preserve"> </w:t>
      </w:r>
      <w:r>
        <w:t xml:space="preserve">or business goals.</w:t>
      </w:r>
      <w:r>
        <w:br/>
      </w:r>
      <w:r>
        <w:t xml:space="preserve">Despite such evident synergies, the evaluation also identified some procedural overlaps and</w:t>
      </w:r>
      <w:r>
        <w:t xml:space="preserve"> </w:t>
      </w:r>
      <w:r>
        <w:t xml:space="preserve">discrepancies between the MRV system and other regulatory frameworks mandating emissions</w:t>
      </w:r>
      <w:r>
        <w:t xml:space="preserve"> </w:t>
      </w:r>
      <w:r>
        <w:t xml:space="preserve">and energy efficiency data reporting to the shipping sector. These may result in administrative</w:t>
      </w:r>
      <w:r>
        <w:t xml:space="preserve"> </w:t>
      </w:r>
      <w:r>
        <w:t xml:space="preserve">inefficiencies for operators being required to comply with parallel yet somewhat divergent</w:t>
      </w:r>
      <w:r>
        <w:t xml:space="preserve"> </w:t>
      </w:r>
      <w:r>
        <w:t xml:space="preserve">requirements under MRV, EU ETS, FuelEU Maritime, and IMO DCS. The evaluation found</w:t>
      </w:r>
      <w:r>
        <w:t xml:space="preserve"> </w:t>
      </w:r>
      <w:r>
        <w:t xml:space="preserve">that some of these could be addressed under the current legislative framework through</w:t>
      </w:r>
      <w:r>
        <w:t xml:space="preserve"> </w:t>
      </w:r>
      <w:r>
        <w:t xml:space="preserve">investments in deeper digital integration, automation in data management and reporting, further</w:t>
      </w:r>
      <w:r>
        <w:t xml:space="preserve"> </w:t>
      </w:r>
      <w:r>
        <w:t xml:space="preserve">guidance and targeted training opportunities for users. Others, such as discrepancies in</w:t>
      </w:r>
      <w:r>
        <w:t xml:space="preserve"> </w:t>
      </w:r>
      <w:r>
        <w:t xml:space="preserve">definitions, monitoring and reporting requirements, or overlaps in compliance processes, could</w:t>
      </w:r>
      <w:r>
        <w:t xml:space="preserve"> </w:t>
      </w:r>
      <w:r>
        <w:t xml:space="preserve">be mitigated through legislative amendments to the MRV maritime Regulation or FuelEU</w:t>
      </w:r>
      <w:r>
        <w:t xml:space="preserve"> </w:t>
      </w:r>
      <w:r>
        <w:t xml:space="preserve">Maritime, to be considered against their potential in terms of cost reductions and compatibility</w:t>
      </w:r>
      <w:r>
        <w:t xml:space="preserve"> </w:t>
      </w:r>
      <w:r>
        <w:t xml:space="preserve">with the effectiveness of the measure. Aligning the approach to the regulated entity under</w:t>
      </w:r>
      <w:r>
        <w:t xml:space="preserve"> </w:t>
      </w:r>
      <w:r>
        <w:t xml:space="preserve">FuelEU and EU ETS/MRV Maritime would ensure that one entity is responsible for</w:t>
      </w:r>
      <w:r>
        <w:t xml:space="preserve"> </w:t>
      </w:r>
      <w:r>
        <w:t xml:space="preserve">compliance with the monitoring and reporting requirements under FuelEU and EU ETS/MRV</w:t>
      </w:r>
      <w:r>
        <w:t xml:space="preserve"> </w:t>
      </w:r>
      <w:r>
        <w:t xml:space="preserve">Maritime. This would in turn enable the implementation of the monitoring-and-reporting-only-</w:t>
      </w:r>
      <w:r>
        <w:t xml:space="preserve"> </w:t>
      </w:r>
      <w:r>
        <w:t xml:space="preserve">once principle.</w:t>
      </w:r>
      <w:r>
        <w:t xml:space="preserve"> </w:t>
      </w:r>
      <w:r>
        <w:t xml:space="preserve">In conclusion, the findings indicate that the MRV maritime system functions as a robust</w:t>
      </w:r>
      <w:r>
        <w:t xml:space="preserve"> </w:t>
      </w:r>
      <w:r>
        <w:t xml:space="preserve">framework, which has demonstrated its capability to handle the increased data volume and</w:t>
      </w:r>
      <w:r>
        <w:t xml:space="preserve"> </w:t>
      </w:r>
      <w:r>
        <w:t xml:space="preserve">complexity stemming from the 2023 revision without compromising overall data quality or</w:t>
      </w:r>
      <w:r>
        <w:t xml:space="preserve"> </w:t>
      </w:r>
      <w:r>
        <w:t xml:space="preserve">usability, while delivering added value compared to uncoordinated national action efficiently.</w:t>
      </w:r>
      <w:r>
        <w:t xml:space="preserve"> </w:t>
      </w:r>
      <w:r>
        <w:t xml:space="preserve">The evaluation found that rather than a structural overhaul of the system, incremental</w:t>
      </w:r>
      <w:r>
        <w:t xml:space="preserve"> </w:t>
      </w:r>
      <w:r>
        <w:t xml:space="preserve">improvements through investments in technology and simplification initiatives could further</w:t>
      </w:r>
      <w:r>
        <w:t xml:space="preserve"> </w:t>
      </w:r>
      <w:r>
        <w:t xml:space="preserve">enhance the harmonised and robust implementation of the system, thus ensuring the policy</w:t>
      </w:r>
      <w:r>
        <w:t xml:space="preserve"> </w:t>
      </w:r>
      <w:r>
        <w:t xml:space="preserve">objectives of the measure and notably the adequate support to the ETS implementation for</w:t>
      </w:r>
      <w:r>
        <w:t xml:space="preserve"> </w:t>
      </w:r>
      <w:r>
        <w:t xml:space="preserve">maritime transport.</w:t>
      </w:r>
    </w:p>
    <w:p>
      <w:pPr>
        <w:pStyle w:val="BodyText"/>
      </w:pPr>
      <w:r>
        <w:t xml:space="preserve">202</w:t>
      </w:r>
      <w:r>
        <w:t xml:space="preserve"> </w:t>
      </w:r>
      <w:r>
        <w:t xml:space="preserve">8.6</w:t>
      </w:r>
      <w:r>
        <w:t xml:space="preserve"> </w:t>
      </w:r>
      <w:r>
        <w:t xml:space="preserve">Union Registry</w:t>
      </w:r>
      <w:r>
        <w:t xml:space="preserve"> </w:t>
      </w:r>
      <w:r>
        <w:t xml:space="preserve">8.6.1 Introduction</w:t>
      </w:r>
      <w:r>
        <w:br/>
      </w:r>
      <w:r>
        <w:t xml:space="preserve">The Union Registry is a system of electronic databases established in 2012 and serves to</w:t>
      </w:r>
      <w:r>
        <w:t xml:space="preserve"> </w:t>
      </w:r>
      <w:r>
        <w:t xml:space="preserve">guarantee accurate accounting for all allowances issued under the EU Emissions Trading</w:t>
      </w:r>
      <w:r>
        <w:t xml:space="preserve"> </w:t>
      </w:r>
      <w:r>
        <w:t xml:space="preserve">System (EU ETS). The Union Registry hosts over 16 000 operator (compliance entity) and</w:t>
      </w:r>
      <w:r>
        <w:t xml:space="preserve"> </w:t>
      </w:r>
      <w:r>
        <w:t xml:space="preserve">trading accounts. While the number of yearly transactions is below 100.000, the average value</w:t>
      </w:r>
      <w:r>
        <w:t xml:space="preserve"> </w:t>
      </w:r>
      <w:r>
        <w:t xml:space="preserve">of allowances held on the accounts exceeds 200 billion EUR. This evaluation is based on the</w:t>
      </w:r>
      <w:r>
        <w:t xml:space="preserve"> </w:t>
      </w:r>
      <w:r>
        <w:t xml:space="preserve">2015 ETS Directive assessment, which examined the performance of the Union Registry. The</w:t>
      </w:r>
      <w:r>
        <w:t xml:space="preserve"> </w:t>
      </w:r>
      <w:r>
        <w:t xml:space="preserve">assessment focuses on the Union Registry’s effectiveness and efficiency in carrying out its key</w:t>
      </w:r>
      <w:r>
        <w:t xml:space="preserve"> </w:t>
      </w:r>
      <w:r>
        <w:t xml:space="preserve">tasks, including the allocation, surrender, and cancellation of allowances, as well as the tracking</w:t>
      </w:r>
      <w:r>
        <w:t xml:space="preserve"> </w:t>
      </w:r>
      <w:r>
        <w:t xml:space="preserve">of transfers and administration of central holding accounts. The overall goal of the evaluation</w:t>
      </w:r>
      <w:r>
        <w:t xml:space="preserve"> </w:t>
      </w:r>
      <w:r>
        <w:t xml:space="preserve">is to determine whether the Union Registry can execute these tasks in a secure, robust, and</w:t>
      </w:r>
      <w:r>
        <w:t xml:space="preserve"> </w:t>
      </w:r>
      <w:r>
        <w:t xml:space="preserve">cost-effective manner, ensuring the integrity and reliability of the system.</w:t>
      </w:r>
      <w:r>
        <w:t xml:space="preserve"> </w:t>
      </w:r>
      <w:r>
        <w:t xml:space="preserve">The ETS Directive provides the main requirements for the functioning of the Union Registry.</w:t>
      </w:r>
      <w:r>
        <w:t xml:space="preserve"> </w:t>
      </w:r>
      <w:r>
        <w:t xml:space="preserve">The Directive stipulates that the Union registry holds all EU ETS allowances (EUAs) issued</w:t>
      </w:r>
      <w:r>
        <w:t xml:space="preserve"> </w:t>
      </w:r>
      <w:r>
        <w:t xml:space="preserve">from 1 January 2012 onwards and executes processes related to account maintenance,</w:t>
      </w:r>
      <w:r>
        <w:t xml:space="preserve"> </w:t>
      </w:r>
      <w:r>
        <w:t xml:space="preserve">allocation, surrender, and cancellation of allowances. The Union Registry must be public and</w:t>
      </w:r>
      <w:r>
        <w:t xml:space="preserve"> </w:t>
      </w:r>
      <w:r>
        <w:t xml:space="preserve">allow anyone who fulfils the criteria (compliance entity or trading account) to hold allowances.</w:t>
      </w:r>
      <w:r>
        <w:t xml:space="preserve"> </w:t>
      </w:r>
      <w:r>
        <w:t xml:space="preserve">And finally, Union registry must have modalities in place for undertaking transactions,</w:t>
      </w:r>
      <w:r>
        <w:t xml:space="preserve"> </w:t>
      </w:r>
      <w:r>
        <w:t xml:space="preserve">implementing arrangements, and managing changes and incidents.</w:t>
      </w:r>
      <w:r>
        <w:t xml:space="preserve"> </w:t>
      </w:r>
      <w:r>
        <w:t xml:space="preserve">The Commission was empowered to adopt delegated acts to establish a standardised and</w:t>
      </w:r>
      <w:r>
        <w:t xml:space="preserve"> </w:t>
      </w:r>
      <w:r>
        <w:t xml:space="preserve">secured system of the Union Registry that tracks and manages the issuance, holding, transfer,</w:t>
      </w:r>
      <w:r>
        <w:t xml:space="preserve"> </w:t>
      </w:r>
      <w:r>
        <w:t xml:space="preserve">and cancellation of EUAs and other units. The Registry Regulation294 sets out rules for account</w:t>
      </w:r>
      <w:r>
        <w:t xml:space="preserve"> </w:t>
      </w:r>
      <w:r>
        <w:t xml:space="preserve">management, allowance issuance, Kyoto units, and compliance, and establishes a centralised</w:t>
      </w:r>
      <w:r>
        <w:t xml:space="preserve"> </w:t>
      </w:r>
      <w:r>
        <w:t xml:space="preserve">electronic database. The Registry Regulation enables the Union Registry to comply with the</w:t>
      </w:r>
      <w:r>
        <w:t xml:space="preserve"> </w:t>
      </w:r>
      <w:r>
        <w:t xml:space="preserve">requirements for Phase IV set by the revised ETS Directive, for example by adjusting the</w:t>
      </w:r>
      <w:r>
        <w:t xml:space="preserve"> </w:t>
      </w:r>
      <w:r>
        <w:t xml:space="preserve">functionalities so that allowances are valid indefinitely and can only be used to cover emissions</w:t>
      </w:r>
      <w:r>
        <w:t xml:space="preserve"> </w:t>
      </w:r>
      <w:r>
        <w:t xml:space="preserve">as of the first year of the ten-year period in which they were issued, as well as to ensure that</w:t>
      </w:r>
      <w:r>
        <w:t xml:space="preserve"> </w:t>
      </w:r>
      <w:r>
        <w:t xml:space="preserve">international credits cannot be used to cover emissions as of 2021. Moreover, the new</w:t>
      </w:r>
      <w:r>
        <w:t xml:space="preserve"> </w:t>
      </w:r>
      <w:r>
        <w:t xml:space="preserve">Regulation was adapted following the classification of emission allowances as ‘financial</w:t>
      </w:r>
      <w:r>
        <w:t xml:space="preserve"> </w:t>
      </w:r>
      <w:r>
        <w:t xml:space="preserve">instruments’ under Directive 2014/65/EU14 (MiFID2)295 as of 3 January 2018 and updated</w:t>
      </w:r>
      <w:r>
        <w:t xml:space="preserve"> </w:t>
      </w:r>
      <w:r>
        <w:t xml:space="preserve">with the requirements of the revised data protection rules.</w:t>
      </w:r>
      <w:r>
        <w:t xml:space="preserve"> </w:t>
      </w:r>
      <w:r>
        <w:t xml:space="preserve">An essential component of the Union Registry is the EU Transaction Log (EUTL296). For</w:t>
      </w:r>
      <w:r>
        <w:t xml:space="preserve"> </w:t>
      </w:r>
      <w:r>
        <w:t xml:space="preserve">transparency, the public website discloses all transactions older than three years. Additionally,</w:t>
      </w:r>
      <w:r>
        <w:t xml:space="preserve"> </w:t>
      </w:r>
      <w:r>
        <w:t xml:space="preserve">it provides easy access to data for researchers, policymakers, and other stakeholders to analyse</w:t>
      </w:r>
      <w:r>
        <w:t xml:space="preserve"> </w:t>
      </w:r>
      <w:r>
        <w:t xml:space="preserve">trends and make informed decisions.</w:t>
      </w:r>
      <w:r>
        <w:br/>
      </w:r>
      <w:r>
        <w:t xml:space="preserve">The management of the system is shared by several stakeholders. The central administrator</w:t>
      </w:r>
      <w:r>
        <w:t xml:space="preserve"> </w:t>
      </w:r>
      <w:r>
        <w:t xml:space="preserve">whose main responsibilities are to provide, operate and maintain the Union Registry, to manage</w:t>
      </w:r>
    </w:p>
    <w:p>
      <w:pPr>
        <w:pStyle w:val="BodyText"/>
      </w:pPr>
      <w:r>
        <w:t xml:space="preserve">294 Commission Delegated Regulation (EU) 2019/1122 of 12 March 2019 supplementing Directive 2003/87/EC</w:t>
      </w:r>
      <w:r>
        <w:t xml:space="preserve"> </w:t>
      </w:r>
      <w:r>
        <w:t xml:space="preserve">of the European Parliament and of the Council as regards the functioning of the Union Registry (Text with</w:t>
      </w:r>
      <w:r>
        <w:t xml:space="preserve"> </w:t>
      </w:r>
      <w:r>
        <w:t xml:space="preserve">EEA relevance)</w:t>
      </w:r>
      <w:r>
        <w:t xml:space="preserve"> </w:t>
      </w:r>
      <w:r>
        <w:t xml:space="preserve">295 Directive 2014/65/EU of the European Parliament and of the Council of 15 May 2014 on markets in financial</w:t>
      </w:r>
      <w:r>
        <w:t xml:space="preserve"> </w:t>
      </w:r>
      <w:r>
        <w:t xml:space="preserve">instruments and amending Directive 2002/92/EC and Directive 2011/61/EU (recast) Text with EEA relevance</w:t>
      </w:r>
      <w:r>
        <w:t xml:space="preserve"> </w:t>
      </w:r>
      <w:r>
        <w:t xml:space="preserve">296 As of 2024 the EUTL has changed its name to become Union Registry public website: https://union-registry-</w:t>
      </w:r>
      <w:r>
        <w:t xml:space="preserve"> </w:t>
      </w:r>
      <w:r>
        <w:t xml:space="preserve">data.ec.europa.eu/report/welcome</w:t>
      </w:r>
    </w:p>
    <w:p>
      <w:pPr>
        <w:pStyle w:val="BodyText"/>
      </w:pPr>
      <w:r>
        <w:t xml:space="preserve">203</w:t>
      </w:r>
      <w:r>
        <w:t xml:space="preserve"> </w:t>
      </w:r>
      <w:r>
        <w:t xml:space="preserve">central accounts and to perform operations which are carried out centrally (such as issuing of</w:t>
      </w:r>
      <w:r>
        <w:t xml:space="preserve"> </w:t>
      </w:r>
      <w:r>
        <w:t xml:space="preserve">allowances).). The Commission assigned the task of the central administrator of the Union</w:t>
      </w:r>
      <w:r>
        <w:t xml:space="preserve"> </w:t>
      </w:r>
      <w:r>
        <w:t xml:space="preserve">Registry to the Director General of DG CLIMA.</w:t>
      </w:r>
      <w:r>
        <w:br/>
      </w:r>
      <w:r>
        <w:t xml:space="preserve">There are also national administrators who manage the accounts under their jurisdiction. It is</w:t>
      </w:r>
      <w:r>
        <w:t xml:space="preserve"> </w:t>
      </w:r>
      <w:r>
        <w:t xml:space="preserve">the national administrators’ main responsibilities to be the contact point with their respective</w:t>
      </w:r>
      <w:r>
        <w:t xml:space="preserve"> </w:t>
      </w:r>
      <w:r>
        <w:t xml:space="preserve">account holders in the Union Registry and perform all operations involving direct contact with</w:t>
      </w:r>
      <w:r>
        <w:t xml:space="preserve"> </w:t>
      </w:r>
      <w:r>
        <w:t xml:space="preserve">them, including the opening, suspension, and closure of accounts. To participate in the ETS,</w:t>
      </w:r>
      <w:r>
        <w:t xml:space="preserve"> </w:t>
      </w:r>
      <w:r>
        <w:t xml:space="preserve">for compliance or trading of allowances, legal or natural persons must open an account in the</w:t>
      </w:r>
      <w:r>
        <w:t xml:space="preserve"> </w:t>
      </w:r>
      <w:r>
        <w:t xml:space="preserve">Union Registry. To open an account, the persons must send a request to their respective national</w:t>
      </w:r>
      <w:r>
        <w:t xml:space="preserve"> </w:t>
      </w:r>
      <w:r>
        <w:t xml:space="preserve">administrator, who collects and verifies all supporting documentation. Once their request is</w:t>
      </w:r>
      <w:r>
        <w:t xml:space="preserve"> </w:t>
      </w:r>
      <w:r>
        <w:t xml:space="preserve">approved, they receive credentials to access their account on the Union Registry portal.</w:t>
      </w:r>
      <w:r>
        <w:t xml:space="preserve"> </w:t>
      </w:r>
      <w:r>
        <w:t xml:space="preserve">The Union Registry keeps records of the accounts of Member States and all transactions of</w:t>
      </w:r>
      <w:r>
        <w:t xml:space="preserve"> </w:t>
      </w:r>
      <w:r>
        <w:t xml:space="preserve">EUAs performed. Furthermore, national implementation measures are documented, including</w:t>
      </w:r>
      <w:r>
        <w:t xml:space="preserve"> </w:t>
      </w:r>
      <w:r>
        <w:t xml:space="preserve">the list of installations covered by the EU ETS in each country and the free allocations to each</w:t>
      </w:r>
      <w:r>
        <w:t xml:space="preserve"> </w:t>
      </w:r>
      <w:r>
        <w:t xml:space="preserve">of those installations. The Union Registry also records annual verified CO2 emissions from</w:t>
      </w:r>
      <w:r>
        <w:t xml:space="preserve"> </w:t>
      </w:r>
      <w:r>
        <w:t xml:space="preserve">installations and aircraft operators, as well as the surrendered allowances by the compliance</w:t>
      </w:r>
      <w:r>
        <w:t xml:space="preserve"> </w:t>
      </w:r>
      <w:r>
        <w:t xml:space="preserve">entities to ensure that they cover all verified emissions.</w:t>
      </w:r>
      <w:r>
        <w:t xml:space="preserve"> </w:t>
      </w:r>
      <w:r>
        <w:t xml:space="preserve">The Registry Regulation outlines the types of accounts to manage emissions allowances.</w:t>
      </w:r>
      <w:r>
        <w:t xml:space="preserve"> </w:t>
      </w:r>
      <w:r>
        <w:t xml:space="preserve">operator holding accounts and aircraft operator accounts enable installations and aircraft</w:t>
      </w:r>
      <w:r>
        <w:t xml:space="preserve"> </w:t>
      </w:r>
      <w:r>
        <w:t xml:space="preserve">operators to comply with their emissions. Person holding accounts allow market participants</w:t>
      </w:r>
      <w:r>
        <w:t xml:space="preserve"> </w:t>
      </w:r>
      <w:r>
        <w:t xml:space="preserve">to buy, sell, or hold allowances. Trading accounts facilitate market transactions without</w:t>
      </w:r>
      <w:r>
        <w:t xml:space="preserve"> </w:t>
      </w:r>
      <w:r>
        <w:t xml:space="preserve">compliance links. One allocation account and one auction account are both run by the</w:t>
      </w:r>
      <w:r>
        <w:t xml:space="preserve"> </w:t>
      </w:r>
      <w:r>
        <w:t xml:space="preserve">Commission (Central Administrator), and represent the accounts used to distribute newly</w:t>
      </w:r>
      <w:r>
        <w:t xml:space="preserve"> </w:t>
      </w:r>
      <w:r>
        <w:t xml:space="preserve">issued EUAs via free allocations and auctions, respectively. In 2022297, the analysis of the</w:t>
      </w:r>
      <w:r>
        <w:t xml:space="preserve"> </w:t>
      </w:r>
      <w:r>
        <w:t xml:space="preserve">outstanding balance reveals that most allowances are held in Operator Holding Accounts and</w:t>
      </w:r>
      <w:r>
        <w:t xml:space="preserve"> </w:t>
      </w:r>
      <w:r>
        <w:t xml:space="preserve">Trading Accounts.</w:t>
      </w:r>
      <w:r>
        <w:br/>
      </w:r>
      <w:r>
        <w:t xml:space="preserve">There were almost 7,700 Operator Holding Accounts, holding around 33% of outstanding</w:t>
      </w:r>
      <w:r>
        <w:t xml:space="preserve"> </w:t>
      </w:r>
      <w:r>
        <w:t xml:space="preserve">allowances. Combining this with the Trading Accounts of compliance operators, 53% of EUAs</w:t>
      </w:r>
      <w:r>
        <w:t xml:space="preserve"> </w:t>
      </w:r>
      <w:r>
        <w:t xml:space="preserve">were held by compliance entities. Another 39% were held in the Trading Accounts of non-</w:t>
      </w:r>
      <w:r>
        <w:t xml:space="preserve"> </w:t>
      </w:r>
      <w:r>
        <w:t xml:space="preserve">compliance entities.</w:t>
      </w:r>
    </w:p>
    <w:p>
      <w:pPr>
        <w:pStyle w:val="BodyText"/>
      </w:pPr>
      <w:r>
        <w:t xml:space="preserve">297 ESMA report ‘Emission Allowances and derivatives thereof’. In 2022 ESMA has analysed the data regarding</w:t>
      </w:r>
      <w:r>
        <w:t xml:space="preserve"> </w:t>
      </w:r>
      <w:r>
        <w:t xml:space="preserve">emission allowances gathered from different sources, including EU Registry. The results of the analysis are</w:t>
      </w:r>
      <w:r>
        <w:t xml:space="preserve"> </w:t>
      </w:r>
      <w:r>
        <w:t xml:space="preserve">the report</w:t>
      </w:r>
    </w:p>
    <w:p>
      <w:pPr>
        <w:pStyle w:val="BodyText"/>
      </w:pPr>
      <w:r>
        <w:t xml:space="preserve">204</w:t>
      </w:r>
      <w:r>
        <w:t xml:space="preserve"> </w:t>
      </w:r>
      <w:r>
        <w:t xml:space="preserve">Figure 33: Share of outstanding account balances and number of accounts, by account type and</w:t>
      </w:r>
      <w:r>
        <w:t xml:space="preserve"> </w:t>
      </w:r>
      <w:r>
        <w:t xml:space="preserve">entity classification.</w:t>
      </w:r>
      <w:r>
        <w:t xml:space="preserve"> </w:t>
      </w:r>
      <w:r>
        <w:t xml:space="preserve">Source: European Commission, GLEIF, Refinitiv, ESMA.</w:t>
      </w:r>
      <w:r>
        <w:t xml:space="preserve"> </w:t>
      </w:r>
      <w:r>
        <w:t xml:space="preserve">When looking at the balances and number of accounts, it’s clear that EUAs are more</w:t>
      </w:r>
      <w:r>
        <w:t xml:space="preserve"> </w:t>
      </w:r>
      <w:r>
        <w:t xml:space="preserve">concentrated in Trading Accounts than in Operator Holding Accounts. In fact, the top 10</w:t>
      </w:r>
      <w:r>
        <w:t xml:space="preserve"> </w:t>
      </w:r>
      <w:r>
        <w:t xml:space="preserve">companies hold 36% of all EUAs, and the top 100 companies hold 75%. This shows that a</w:t>
      </w:r>
      <w:r>
        <w:t xml:space="preserve"> </w:t>
      </w:r>
      <w:r>
        <w:t xml:space="preserve">small number of companies control a large portion of EUAs.</w:t>
      </w:r>
      <w:r>
        <w:t xml:space="preserve"> </w:t>
      </w:r>
      <w:r>
        <w:t xml:space="preserve">However, it is important to state that compliance entities sometimes open trading accounts as</w:t>
      </w:r>
      <w:r>
        <w:t xml:space="preserve"> </w:t>
      </w:r>
      <w:r>
        <w:t xml:space="preserve">well, in addition to the compulsory compliance account. In 2022, the Union Registry holds 3.1</w:t>
      </w:r>
      <w:r>
        <w:t xml:space="preserve"> </w:t>
      </w:r>
      <w:r>
        <w:t xml:space="preserve">billion general allowances and 38.5 million aviation allowances, worth about EUR 79 billion.</w:t>
      </w:r>
      <w:r>
        <w:t xml:space="preserve"> </w:t>
      </w:r>
      <w:r>
        <w:t xml:space="preserve">Yearly, around 8 billion allowances, worth EUR 200 billion, are exchanged between accounts.</w:t>
      </w:r>
      <w:r>
        <w:t xml:space="preserve"> </w:t>
      </w:r>
      <w:r>
        <w:t xml:space="preserve">It is imperative to safeguard the integrity of the Union Registry. Considering the high value of</w:t>
      </w:r>
      <w:r>
        <w:t xml:space="preserve"> </w:t>
      </w:r>
      <w:r>
        <w:t xml:space="preserve">the allowances in the Registry, it is worth evaluating its functioning.</w:t>
      </w:r>
      <w:r>
        <w:t xml:space="preserve"> </w:t>
      </w:r>
      <w:r>
        <w:t xml:space="preserve">This evaluation primarily considers the provisions outlined in the ETS Directive in particular</w:t>
      </w:r>
      <w:r>
        <w:t xml:space="preserve"> </w:t>
      </w:r>
      <w:r>
        <w:t xml:space="preserve">the principles governing the Registry system listed in Article 19. According to these principles,</w:t>
      </w:r>
      <w:r>
        <w:t xml:space="preserve"> </w:t>
      </w:r>
      <w:r>
        <w:t xml:space="preserve">the Union Registry should be designed to ensure that:</w:t>
      </w:r>
      <w:r>
        <w:br/>
      </w:r>
      <w:r>
        <w:t xml:space="preserve">• Central Registry: All allowances issued from January 1, 2012, onwards must be</w:t>
      </w:r>
      <w:r>
        <w:t xml:space="preserve"> </w:t>
      </w:r>
      <w:r>
        <w:t xml:space="preserve">recorded in the Union Registry.</w:t>
      </w:r>
      <w:r>
        <w:t xml:space="preserve"> </w:t>
      </w:r>
      <w:r>
        <w:t xml:space="preserve">• Public Access: The Registry must be publicly accessible, allowing anyone to view</w:t>
      </w:r>
      <w:r>
        <w:t xml:space="preserve"> </w:t>
      </w:r>
      <w:r>
        <w:t xml:space="preserve">the accounts and transactions of allowances.</w:t>
      </w:r>
      <w:r>
        <w:t xml:space="preserve"> </w:t>
      </w:r>
      <w:r>
        <w:t xml:space="preserve">• Standardised Tracking: The Registry must track the issuance, holding, transfer, and</w:t>
      </w:r>
      <w:r>
        <w:t xml:space="preserve"> </w:t>
      </w:r>
      <w:r>
        <w:t xml:space="preserve">cancellation of allowances in a standardized and electronic format.</w:t>
      </w:r>
      <w:r>
        <w:t xml:space="preserve"> </w:t>
      </w:r>
      <w:r>
        <w:t xml:space="preserve">• Transparency and Security: The Registry must ensure transparency and security in</w:t>
      </w:r>
      <w:r>
        <w:t xml:space="preserve"> </w:t>
      </w:r>
      <w:r>
        <w:t xml:space="preserve">its operations, including provisions for confidentiality, incident management, and</w:t>
      </w:r>
      <w:r>
        <w:t xml:space="preserve"> </w:t>
      </w:r>
      <w:r>
        <w:t xml:space="preserve">change management, to maintain the integrity of the emission system.</w:t>
      </w:r>
      <w:r>
        <w:t xml:space="preserve"> </w:t>
      </w:r>
      <w:r>
        <w:t xml:space="preserve">• The technical details are to be laid down in a Regulation adopted by the Commission.</w:t>
      </w:r>
      <w:r>
        <w:t xml:space="preserve"> </w:t>
      </w:r>
      <w:r>
        <w:t xml:space="preserve">The technical specifications are outlined in the Registry Regulation and are generally outside</w:t>
      </w:r>
      <w:r>
        <w:t xml:space="preserve"> </w:t>
      </w:r>
      <w:r>
        <w:t xml:space="preserve">the scope of this evaluation, except for one notable provision. Given the importance and value</w:t>
      </w:r>
      <w:r>
        <w:t xml:space="preserve"> </w:t>
      </w:r>
      <w:r>
        <w:t xml:space="preserve">of the allowances and the number of transactions the functioning of the Union Registry requires</w:t>
      </w:r>
      <w:r>
        <w:t xml:space="preserve"> </w:t>
      </w:r>
      <w:r>
        <w:t xml:space="preserve">resources. Article 81(2) of the Registry Regulation allows national administrators to impose</w:t>
      </w:r>
      <w:r>
        <w:t xml:space="preserve"> </w:t>
      </w:r>
      <w:r>
        <w:t xml:space="preserve">“reasonable fees” on account holders for accounts under their administration, provided they</w:t>
      </w:r>
      <w:r>
        <w:t xml:space="preserve"> </w:t>
      </w:r>
      <w:r>
        <w:t xml:space="preserve">-</w:t>
      </w:r>
      <w:r>
        <w:t xml:space="preserve"> </w:t>
      </w:r>
      <w:r>
        <w:t xml:space="preserve">1,000</w:t>
      </w:r>
      <w:r>
        <w:t xml:space="preserve"> </w:t>
      </w:r>
      <w:r>
        <w:t xml:space="preserve">2,000</w:t>
      </w:r>
      <w:r>
        <w:t xml:space="preserve"> </w:t>
      </w:r>
      <w:r>
        <w:t xml:space="preserve">3,000</w:t>
      </w:r>
      <w:r>
        <w:t xml:space="preserve"> </w:t>
      </w:r>
      <w:r>
        <w:t xml:space="preserve">4,000</w:t>
      </w:r>
      <w:r>
        <w:t xml:space="preserve"> </w:t>
      </w:r>
      <w:r>
        <w:t xml:space="preserve">5,000</w:t>
      </w:r>
      <w:r>
        <w:t xml:space="preserve"> </w:t>
      </w:r>
      <w:r>
        <w:t xml:space="preserve">6,000</w:t>
      </w:r>
      <w:r>
        <w:t xml:space="preserve"> </w:t>
      </w:r>
      <w:r>
        <w:t xml:space="preserve">7,000</w:t>
      </w:r>
      <w:r>
        <w:t xml:space="preserve"> </w:t>
      </w:r>
      <w:r>
        <w:t xml:space="preserve">8,000</w:t>
      </w:r>
      <w:r>
        <w:t xml:space="preserve"> </w:t>
      </w:r>
      <w:r>
        <w:t xml:space="preserve">9,000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35%</w:t>
      </w:r>
      <w:r>
        <w:t xml:space="preserve"> </w:t>
      </w:r>
      <w:r>
        <w:t xml:space="preserve">40%</w:t>
      </w:r>
      <w:r>
        <w:t xml:space="preserve"> </w:t>
      </w:r>
      <w:r>
        <w:t xml:space="preserve">45%</w:t>
      </w:r>
      <w:r>
        <w:t xml:space="preserve"> </w:t>
      </w:r>
      <w:r>
        <w:t xml:space="preserve">Allocation Account</w:t>
      </w:r>
      <w:r>
        <w:t xml:space="preserve"> </w:t>
      </w:r>
      <w:r>
        <w:t xml:space="preserve">Auction Account</w:t>
      </w:r>
      <w:r>
        <w:t xml:space="preserve"> </w:t>
      </w:r>
      <w:r>
        <w:t xml:space="preserve">Aircraft Operator</w:t>
      </w:r>
      <w:r>
        <w:t xml:space="preserve"> </w:t>
      </w:r>
      <w:r>
        <w:t xml:space="preserve">Account</w:t>
      </w:r>
      <w:r>
        <w:t xml:space="preserve"> </w:t>
      </w:r>
      <w:r>
        <w:t xml:space="preserve">(Compliance)</w:t>
      </w:r>
      <w:r>
        <w:t xml:space="preserve"> </w:t>
      </w:r>
      <w:r>
        <w:t xml:space="preserve">Operator Holding</w:t>
      </w:r>
      <w:r>
        <w:t xml:space="preserve"> </w:t>
      </w:r>
      <w:r>
        <w:t xml:space="preserve">Account</w:t>
      </w:r>
      <w:r>
        <w:t xml:space="preserve"> </w:t>
      </w:r>
      <w:r>
        <w:t xml:space="preserve">(Compliance)</w:t>
      </w:r>
      <w:r>
        <w:t xml:space="preserve"> </w:t>
      </w:r>
      <w:r>
        <w:t xml:space="preserve">Trading Account</w:t>
      </w:r>
      <w:r>
        <w:t xml:space="preserve"> </w:t>
      </w:r>
      <w:r>
        <w:t xml:space="preserve">(Compliance)</w:t>
      </w:r>
      <w:r>
        <w:t xml:space="preserve"> </w:t>
      </w:r>
      <w:r>
        <w:t xml:space="preserve">Trading Account</w:t>
      </w:r>
      <w:r>
        <w:t xml:space="preserve"> </w:t>
      </w:r>
      <w:r>
        <w:t xml:space="preserve">(Non-Compliance)</w:t>
      </w:r>
      <w:r>
        <w:t xml:space="preserve"> </w:t>
      </w:r>
      <w:r>
        <w:t xml:space="preserve">Trading Account</w:t>
      </w:r>
      <w:r>
        <w:t xml:space="preserve"> </w:t>
      </w:r>
      <w:r>
        <w:t xml:space="preserve">(Unclassified)</w:t>
      </w:r>
      <w:r>
        <w:t xml:space="preserve"> </w:t>
      </w:r>
      <w:r>
        <w:t xml:space="preserve">Account balances by account type and classification</w:t>
      </w:r>
      <w:r>
        <w:t xml:space="preserve"> </w:t>
      </w:r>
      <w:r>
        <w:t xml:space="preserve">Account Balance</w:t>
      </w:r>
      <w:r>
        <w:t xml:space="preserve"> </w:t>
      </w:r>
      <w:r>
        <w:t xml:space="preserve">Number of Accounts (rhs)</w:t>
      </w:r>
    </w:p>
    <w:p>
      <w:pPr>
        <w:pStyle w:val="BodyText"/>
      </w:pPr>
      <w:r>
        <w:t xml:space="preserve">205</w:t>
      </w:r>
      <w:r>
        <w:t xml:space="preserve"> </w:t>
      </w:r>
      <w:r>
        <w:t xml:space="preserve">notify the European Commission. The Commission is then required to make this information</w:t>
      </w:r>
      <w:r>
        <w:t xml:space="preserve"> </w:t>
      </w:r>
      <w:r>
        <w:t xml:space="preserve">publicly available on its website. However, the fees levied on accounts holders in the Union</w:t>
      </w:r>
      <w:r>
        <w:t xml:space="preserve"> </w:t>
      </w:r>
      <w:r>
        <w:t xml:space="preserve">Registry vary substantially across Member States, prompting prolonged discussions on</w:t>
      </w:r>
      <w:r>
        <w:t xml:space="preserve"> </w:t>
      </w:r>
      <w:r>
        <w:t xml:space="preserve">potential harmonization of these fees.</w:t>
      </w:r>
      <w:r>
        <w:t xml:space="preserve"> </w:t>
      </w:r>
      <w:r>
        <w:t xml:space="preserve">The Union Registry covers a variety of instruments, including EUAs, EUAA, Certified</w:t>
      </w:r>
      <w:r>
        <w:t xml:space="preserve"> </w:t>
      </w:r>
      <w:r>
        <w:t xml:space="preserve">Emission Reductions (CERs) and Removal Units (RMUs) and their Swiss equivalents (CHUs</w:t>
      </w:r>
      <w:r>
        <w:t xml:space="preserve"> </w:t>
      </w:r>
      <w:r>
        <w:t xml:space="preserve">&amp; CHUAs). Indeed, the agreement on linking the EU ETS with Switzerland’s ETS entered into</w:t>
      </w:r>
      <w:r>
        <w:t xml:space="preserve"> </w:t>
      </w:r>
      <w:r>
        <w:t xml:space="preserve">force on 1 January 2020. To operationalise the link between the emissions trading systems, the</w:t>
      </w:r>
      <w:r>
        <w:t xml:space="preserve"> </w:t>
      </w:r>
      <w:r>
        <w:t xml:space="preserve">parties agreed to establish a provisional solution for linking the two registries and enabling the</w:t>
      </w:r>
      <w:r>
        <w:t xml:space="preserve"> </w:t>
      </w:r>
      <w:r>
        <w:t xml:space="preserve">transfer of allowances between them. Also, from 1 January 2019, the Commission suspended</w:t>
      </w:r>
      <w:r>
        <w:t xml:space="preserve"> </w:t>
      </w:r>
      <w:r>
        <w:t xml:space="preserve">all processes for the UK relating to free allocation, auctioning and the exchange of international</w:t>
      </w:r>
      <w:r>
        <w:t xml:space="preserve"> </w:t>
      </w:r>
      <w:r>
        <w:t xml:space="preserve">credits, in accordance with the safeguard measures to protect the environmental integrity of the</w:t>
      </w:r>
      <w:r>
        <w:t xml:space="preserve"> </w:t>
      </w:r>
      <w:r>
        <w:t xml:space="preserve">EU ETS in cases where EU law ceases to apply to a Member State withdrawing from the EU.</w:t>
      </w:r>
      <w:r>
        <w:br/>
      </w:r>
      <w:r>
        <w:t xml:space="preserve">The evaluation will focus on EUAs and EUAAs, which represent by far the largest proportion</w:t>
      </w:r>
      <w:r>
        <w:t xml:space="preserve"> </w:t>
      </w:r>
      <w:r>
        <w:t xml:space="preserve">of the market.</w:t>
      </w:r>
      <w:r>
        <w:br/>
      </w:r>
      <w:r>
        <w:t xml:space="preserve">8.6.2 Point of comparison</w:t>
      </w:r>
      <w:r>
        <w:t xml:space="preserve"> </w:t>
      </w:r>
      <w:r>
        <w:t xml:space="preserve">The Union Registry has been governed by the provisions laid out in Article 19 of the ETS</w:t>
      </w:r>
      <w:r>
        <w:t xml:space="preserve"> </w:t>
      </w:r>
      <w:r>
        <w:t xml:space="preserve">Directive.</w:t>
      </w:r>
      <w:r>
        <w:br/>
      </w:r>
      <w:r>
        <w:t xml:space="preserve">• (1) Allowances issued from 1 January 2012 onwards shall be held in the Union registry</w:t>
      </w:r>
      <w:r>
        <w:t xml:space="preserve"> </w:t>
      </w:r>
      <w:r>
        <w:t xml:space="preserve">for the execution of processes pertaining to the maintenance of the holding accounts</w:t>
      </w:r>
      <w:r>
        <w:t xml:space="preserve"> </w:t>
      </w:r>
      <w:r>
        <w:t xml:space="preserve">opened in the Member State and the allocation, surrender and cancellation of</w:t>
      </w:r>
      <w:r>
        <w:t xml:space="preserve"> </w:t>
      </w:r>
      <w:r>
        <w:t xml:space="preserve">allowances under the Commission Acts referred to in paragraph 3. Each Member State</w:t>
      </w:r>
      <w:r>
        <w:t xml:space="preserve"> </w:t>
      </w:r>
      <w:r>
        <w:t xml:space="preserve">shall be able to fulfil the execution of authorised operations under the UNFCCC or the</w:t>
      </w:r>
      <w:r>
        <w:t xml:space="preserve"> </w:t>
      </w:r>
      <w:r>
        <w:t xml:space="preserve">Kyoto Protocol.</w:t>
      </w:r>
      <w:r>
        <w:t xml:space="preserve"> </w:t>
      </w:r>
      <w:r>
        <w:t xml:space="preserve">• (2) Any person may hold allowances. The registry shall be accessible to the public and</w:t>
      </w:r>
      <w:r>
        <w:t xml:space="preserve"> </w:t>
      </w:r>
      <w:r>
        <w:t xml:space="preserve">shall contain separate accounts to record the allowances held by each person to whom</w:t>
      </w:r>
      <w:r>
        <w:t xml:space="preserve"> </w:t>
      </w:r>
      <w:r>
        <w:t xml:space="preserve">and from whom allowances are issued or transferred.</w:t>
      </w:r>
      <w:r>
        <w:t xml:space="preserve"> </w:t>
      </w:r>
      <w:r>
        <w:t xml:space="preserve">The 2018 revision of the ETS Directive has added the empowerment for the Commission to</w:t>
      </w:r>
      <w:r>
        <w:t xml:space="preserve"> </w:t>
      </w:r>
      <w:r>
        <w:t xml:space="preserve">adopt requirements for the functioning of the Union Registry, included in paragraph 3 of Article</w:t>
      </w:r>
      <w:r>
        <w:t xml:space="preserve"> </w:t>
      </w:r>
      <w:r>
        <w:t xml:space="preserve">19:</w:t>
      </w:r>
      <w:r>
        <w:t xml:space="preserve"> </w:t>
      </w:r>
      <w:r>
        <w:t xml:space="preserve">• (3) The Commission is empowered to adopt delegated acts in accordance with</w:t>
      </w:r>
      <w:r>
        <w:t xml:space="preserve"> </w:t>
      </w:r>
      <w:r>
        <w:t xml:space="preserve">Article 23 to supplement this Directive by laying down all necessary requirements</w:t>
      </w:r>
      <w:r>
        <w:t xml:space="preserve"> </w:t>
      </w:r>
      <w:r>
        <w:t xml:space="preserve">concerning the Union Registry for the trading period commencing on 1 January 2013</w:t>
      </w:r>
      <w:r>
        <w:t xml:space="preserve"> </w:t>
      </w:r>
      <w:r>
        <w:t xml:space="preserve">and subsequent periods, in the form of standardised electronic databases containing</w:t>
      </w:r>
      <w:r>
        <w:t xml:space="preserve"> </w:t>
      </w:r>
      <w:r>
        <w:t xml:space="preserve">common data elements to track the issue, holding, transfer and cancellation, as</w:t>
      </w:r>
      <w:r>
        <w:t xml:space="preserve"> </w:t>
      </w:r>
      <w:r>
        <w:t xml:space="preserve">applicable, of allowances, and to provide for public access and confidentiality, as</w:t>
      </w:r>
      <w:r>
        <w:t xml:space="preserve"> </w:t>
      </w:r>
      <w:r>
        <w:t xml:space="preserve">appropriate. Those delegated acts shall also include provisions to put into effect rules</w:t>
      </w:r>
      <w:r>
        <w:t xml:space="preserve"> </w:t>
      </w:r>
      <w:r>
        <w:t xml:space="preserve">on the mutual recognition of allowances in agreements to link emission trading systems.</w:t>
      </w:r>
      <w:r>
        <w:t xml:space="preserve"> </w:t>
      </w:r>
      <w:r>
        <w:t xml:space="preserve">On the basis of this empowerment, the Commission developed and adopted Commission</w:t>
      </w:r>
      <w:r>
        <w:t xml:space="preserve"> </w:t>
      </w:r>
      <w:r>
        <w:t xml:space="preserve">Delegated Regulation (EU) 2019/1122 supplementing Directive 2003/87/EC of the European</w:t>
      </w:r>
      <w:r>
        <w:t xml:space="preserve"> </w:t>
      </w:r>
      <w:r>
        <w:t xml:space="preserve">Parliament and of the Council as regards the functioning of the Union Registry (the Registry</w:t>
      </w:r>
      <w:r>
        <w:t xml:space="preserve"> </w:t>
      </w:r>
      <w:r>
        <w:t xml:space="preserve">Regulation). The regulation covers several aspects, including the following:</w:t>
      </w:r>
      <w:r>
        <w:t xml:space="preserve"> </w:t>
      </w:r>
      <w:r>
        <w:t xml:space="preserve">• The registries system is operated and maintained by a central administrator and</w:t>
      </w:r>
      <w:r>
        <w:t xml:space="preserve"> </w:t>
      </w:r>
      <w:r>
        <w:t xml:space="preserve">national administrators.</w:t>
      </w:r>
    </w:p>
    <w:p>
      <w:pPr>
        <w:pStyle w:val="BodyText"/>
      </w:pPr>
      <w:r>
        <w:t xml:space="preserve">206</w:t>
      </w:r>
      <w:r>
        <w:t xml:space="preserve"> </w:t>
      </w:r>
      <w:r>
        <w:t xml:space="preserve">• The regulation simplifies rules on account management with the aim of reducing the</w:t>
      </w:r>
      <w:r>
        <w:t xml:space="preserve"> </w:t>
      </w:r>
      <w:r>
        <w:t xml:space="preserve">burden on national administrators.</w:t>
      </w:r>
      <w:r>
        <w:t xml:space="preserve"> </w:t>
      </w:r>
      <w:r>
        <w:t xml:space="preserve">• Specific rules for the EU ETS registry regarding issues such as:</w:t>
      </w:r>
      <w:r>
        <w:t xml:space="preserve"> </w:t>
      </w:r>
      <w:r>
        <w:t xml:space="preserve">o verified emissions and compliance.</w:t>
      </w:r>
      <w:r>
        <w:t xml:space="preserve"> </w:t>
      </w:r>
      <w:r>
        <w:t xml:space="preserve">o transactions, including rules on the execution of transfers and the creation,</w:t>
      </w:r>
      <w:r>
        <w:t xml:space="preserve"> </w:t>
      </w:r>
      <w:r>
        <w:t xml:space="preserve">allocation and transfer of allowances.</w:t>
      </w:r>
      <w:r>
        <w:t xml:space="preserve"> </w:t>
      </w:r>
      <w:r>
        <w:t xml:space="preserve">o trusted account lists for transactions above a particular threshold (value) to be</w:t>
      </w:r>
      <w:r>
        <w:t xml:space="preserve"> </w:t>
      </w:r>
      <w:r>
        <w:t xml:space="preserve">set by the central administrator, to ensure high-value transactions are secure.</w:t>
      </w:r>
      <w:r>
        <w:t xml:space="preserve"> </w:t>
      </w:r>
      <w:r>
        <w:t xml:space="preserve">o improving links between the EU ETS and other ETS schemes where a linking</w:t>
      </w:r>
      <w:r>
        <w:t xml:space="preserve"> </w:t>
      </w:r>
      <w:r>
        <w:t xml:space="preserve">agreement has been concluded (e.g. the Swiss ETS – see summary).</w:t>
      </w:r>
      <w:r>
        <w:t xml:space="preserve"> </w:t>
      </w:r>
      <w:r>
        <w:t xml:space="preserve">• Where discrepancies are detected, the central administrator must ensure that the</w:t>
      </w:r>
      <w:r>
        <w:t xml:space="preserve"> </w:t>
      </w:r>
      <w:r>
        <w:t xml:space="preserve">registry terminates the relevant processes and must inform the relevant account or</w:t>
      </w:r>
      <w:r>
        <w:t xml:space="preserve"> </w:t>
      </w:r>
      <w:r>
        <w:t xml:space="preserve">allowance holders that the process has been terminated.</w:t>
      </w:r>
      <w:r>
        <w:t xml:space="preserve"> </w:t>
      </w:r>
      <w:r>
        <w:t xml:space="preserve">• Technical rules and requirements for the registry, including national helpdesks for</w:t>
      </w:r>
      <w:r>
        <w:t xml:space="preserve"> </w:t>
      </w:r>
      <w:r>
        <w:t xml:space="preserve">account holders and representatives.</w:t>
      </w:r>
      <w:r>
        <w:t xml:space="preserve"> </w:t>
      </w:r>
      <w:r>
        <w:t xml:space="preserve">8.6.3 Intervention logic</w:t>
      </w:r>
      <w:r>
        <w:t xml:space="preserve"> </w:t>
      </w:r>
      <w:r>
        <w:t xml:space="preserve">Figure 34: Intervention logic Union Registry</w:t>
      </w:r>
      <w:r>
        <w:t xml:space="preserve"> </w:t>
      </w:r>
      <w:r>
        <w:t xml:space="preserve">Source: Own illustration</w:t>
      </w:r>
      <w:r>
        <w:t xml:space="preserve"> </w:t>
      </w:r>
      <w:r>
        <w:t xml:space="preserve">8.6.3.1</w:t>
      </w:r>
      <w:r>
        <w:t xml:space="preserve"> </w:t>
      </w:r>
      <w:r>
        <w:t xml:space="preserve">Problem to address</w:t>
      </w:r>
      <w:r>
        <w:t xml:space="preserve"> </w:t>
      </w:r>
      <w:r>
        <w:t xml:space="preserve">Operate an efficient Registry, with adequate security measures in place to protect data integrity</w:t>
      </w:r>
      <w:r>
        <w:t xml:space="preserve"> </w:t>
      </w:r>
      <w:r>
        <w:t xml:space="preserve">and maintain confidentiality in a cost-effective way. Continuous evaluations of the Union</w:t>
      </w:r>
      <w:r>
        <w:t xml:space="preserve"> </w:t>
      </w:r>
      <w:r>
        <w:t xml:space="preserve">Registry have identified structural issues inside the Commission that prevent from reaching</w:t>
      </w:r>
      <w:r>
        <w:t xml:space="preserve"> </w:t>
      </w:r>
      <w:r>
        <w:t xml:space="preserve">appropriate security levels. This is expressed in a reservation in the AAR Commission’s</w:t>
      </w:r>
      <w:r>
        <w:t xml:space="preserve"> </w:t>
      </w:r>
      <w:r>
        <w:t xml:space="preserve">Annual Activity Report since 2010. Commission IT services are designed to support most IT</w:t>
      </w:r>
    </w:p>
    <w:p>
      <w:pPr>
        <w:pStyle w:val="BodyText"/>
      </w:pPr>
      <w:r>
        <w:t xml:space="preserve">207</w:t>
      </w:r>
      <w:r>
        <w:t xml:space="preserve"> </w:t>
      </w:r>
      <w:r>
        <w:t xml:space="preserve">needs inside the Commission, but they do not come up to the levels required by the need to</w:t>
      </w:r>
      <w:r>
        <w:t xml:space="preserve"> </w:t>
      </w:r>
      <w:r>
        <w:t xml:space="preserve">manage financial instruments.</w:t>
      </w:r>
      <w:r>
        <w:t xml:space="preserve"> </w:t>
      </w:r>
      <w:r>
        <w:t xml:space="preserve">8.6.3.2</w:t>
      </w:r>
      <w:r>
        <w:t xml:space="preserve"> </w:t>
      </w:r>
      <w:r>
        <w:t xml:space="preserve">Objectives</w:t>
      </w:r>
      <w:r>
        <w:t xml:space="preserve"> </w:t>
      </w:r>
      <w:r>
        <w:t xml:space="preserve">General objective:</w:t>
      </w:r>
      <w:r>
        <w:br/>
      </w:r>
      <w:r>
        <w:t xml:space="preserve">The general objective is to establish and maintain a robust and secure registry for the Union</w:t>
      </w:r>
      <w:r>
        <w:t xml:space="preserve"> </w:t>
      </w:r>
      <w:r>
        <w:t xml:space="preserve">Registry infrastructure to ensure the accurate accounting, holding, transfer and cancellation of</w:t>
      </w:r>
      <w:r>
        <w:t xml:space="preserve"> </w:t>
      </w:r>
      <w:r>
        <w:t xml:space="preserve">allowances.</w:t>
      </w:r>
      <w:r>
        <w:t xml:space="preserve"> </w:t>
      </w:r>
      <w:r>
        <w:t xml:space="preserve">Specific objectives:</w:t>
      </w:r>
      <w:r>
        <w:br/>
      </w:r>
      <w:r>
        <w:t xml:space="preserve">• The primary objective is to establish a comprehensive registry system. This involves</w:t>
      </w:r>
      <w:r>
        <w:t xml:space="preserve"> </w:t>
      </w:r>
      <w:r>
        <w:t xml:space="preserve">implementing a Regulation for the registry system and a detailed technical specification</w:t>
      </w:r>
      <w:r>
        <w:t xml:space="preserve"> </w:t>
      </w:r>
      <w:r>
        <w:t xml:space="preserve">that enables it to perform its intended functions efficiently and effectively.</w:t>
      </w:r>
      <w:r>
        <w:t xml:space="preserve"> </w:t>
      </w:r>
      <w:r>
        <w:t xml:space="preserve">• Providing an IT system that ensures appropriate management of financial instruments.</w:t>
      </w:r>
      <w:r>
        <w:t xml:space="preserve"> </w:t>
      </w:r>
      <w:r>
        <w:t xml:space="preserve">• Ensuring the registry system is reliable and accessible, a high level of system</w:t>
      </w:r>
      <w:r>
        <w:t xml:space="preserve"> </w:t>
      </w:r>
      <w:r>
        <w:t xml:space="preserve">availability must be maintained to minimize downtime in case of system failures.</w:t>
      </w:r>
      <w:r>
        <w:t xml:space="preserve"> </w:t>
      </w:r>
      <w:r>
        <w:t xml:space="preserve">• Ensuring the security of the registry system and taking appropriate measures to protect</w:t>
      </w:r>
      <w:r>
        <w:t xml:space="preserve"> </w:t>
      </w:r>
      <w:r>
        <w:t xml:space="preserve">it from potential threats.</w:t>
      </w:r>
      <w:r>
        <w:t xml:space="preserve"> </w:t>
      </w:r>
      <w:r>
        <w:t xml:space="preserve">• Ensuring compliance with the Regulation and technical specification.</w:t>
      </w:r>
      <w:r>
        <w:t xml:space="preserve"> </w:t>
      </w:r>
      <w:r>
        <w:t xml:space="preserve">• Making the information publicly available.</w:t>
      </w:r>
      <w:r>
        <w:t xml:space="preserve"> </w:t>
      </w:r>
      <w:r>
        <w:t xml:space="preserve">8.6.3.3</w:t>
      </w:r>
      <w:r>
        <w:t xml:space="preserve"> </w:t>
      </w:r>
      <w:r>
        <w:t xml:space="preserve">Actions</w:t>
      </w:r>
      <w:r>
        <w:t xml:space="preserve"> </w:t>
      </w:r>
      <w:r>
        <w:t xml:space="preserve">• Implement the Regulation, the technical specifications and a Registry system providing</w:t>
      </w:r>
      <w:r>
        <w:t xml:space="preserve"> </w:t>
      </w:r>
      <w:r>
        <w:t xml:space="preserve">all necessary functions.</w:t>
      </w:r>
      <w:r>
        <w:t xml:space="preserve"> </w:t>
      </w:r>
      <w:r>
        <w:t xml:space="preserve">• Ensure the day-to-day management of the transactions and tracking the issuance,</w:t>
      </w:r>
      <w:r>
        <w:t xml:space="preserve"> </w:t>
      </w:r>
      <w:r>
        <w:t xml:space="preserve">holding, transfer, reversal and cancellation of allowances in a standardised and</w:t>
      </w:r>
      <w:r>
        <w:t xml:space="preserve"> </w:t>
      </w:r>
      <w:r>
        <w:t xml:space="preserve">electronic format.</w:t>
      </w:r>
      <w:r>
        <w:t xml:space="preserve"> </w:t>
      </w:r>
      <w:r>
        <w:t xml:space="preserve">• Ensure high system availability of the registry system.</w:t>
      </w:r>
      <w:r>
        <w:t xml:space="preserve"> </w:t>
      </w:r>
      <w:r>
        <w:t xml:space="preserve">• Provide public information of transactions of allowances.</w:t>
      </w:r>
      <w:r>
        <w:br/>
      </w:r>
      <w:r>
        <w:t xml:space="preserve">• Enforce appropriate security measures for the registry system.</w:t>
      </w:r>
      <w:r>
        <w:t xml:space="preserve"> </w:t>
      </w:r>
      <w:r>
        <w:t xml:space="preserve">• Provide technical details and guidance.</w:t>
      </w:r>
      <w:r>
        <w:br/>
      </w:r>
      <w:r>
        <w:t xml:space="preserve">8.6.3.4</w:t>
      </w:r>
      <w:r>
        <w:t xml:space="preserve"> </w:t>
      </w:r>
      <w:r>
        <w:t xml:space="preserve">Inputs:</w:t>
      </w:r>
      <w:r>
        <w:br/>
      </w:r>
      <w:r>
        <w:t xml:space="preserve">• Human and financial resources to maintain the Registry system. IT system for the</w:t>
      </w:r>
      <w:r>
        <w:t xml:space="preserve"> </w:t>
      </w:r>
      <w:r>
        <w:t xml:space="preserve">management of the financial instrument</w:t>
      </w:r>
      <w:r>
        <w:br/>
      </w:r>
      <w:r>
        <w:t xml:space="preserve">• Security plan and security measures</w:t>
      </w:r>
      <w:r>
        <w:br/>
      </w:r>
      <w:r>
        <w:t xml:space="preserve">• Strong regulatory framework</w:t>
      </w:r>
      <w:r>
        <w:t xml:space="preserve"> </w:t>
      </w:r>
      <w:r>
        <w:t xml:space="preserve">8.6.3.5</w:t>
      </w:r>
      <w:r>
        <w:t xml:space="preserve"> </w:t>
      </w:r>
      <w:r>
        <w:t xml:space="preserve">Outputs</w:t>
      </w:r>
      <w:r>
        <w:t xml:space="preserve"> </w:t>
      </w:r>
      <w:r>
        <w:t xml:space="preserve">• A fully functional Registry system with technical specifications and an implementation</w:t>
      </w:r>
      <w:r>
        <w:t xml:space="preserve"> </w:t>
      </w:r>
      <w:r>
        <w:t xml:space="preserve">plan in place, providing all necessary functions for managing allowances.</w:t>
      </w:r>
      <w:r>
        <w:t xml:space="preserve"> </w:t>
      </w:r>
      <w:r>
        <w:t xml:space="preserve">• A standardised and electronic system for tracking and managing transactions, including</w:t>
      </w:r>
      <w:r>
        <w:t xml:space="preserve"> </w:t>
      </w:r>
      <w:r>
        <w:t xml:space="preserve">issuance, holding, transfer, and cancellation of allowances.</w:t>
      </w:r>
      <w:r>
        <w:t xml:space="preserve"> </w:t>
      </w:r>
      <w:r>
        <w:t xml:space="preserve">• A highly available registry system with minimal downtime, ensuring continuous access</w:t>
      </w:r>
      <w:r>
        <w:t xml:space="preserve"> </w:t>
      </w:r>
      <w:r>
        <w:t xml:space="preserve">to allowance management functions.</w:t>
      </w:r>
      <w:r>
        <w:t xml:space="preserve"> </w:t>
      </w:r>
      <w:r>
        <w:t xml:space="preserve">• Prevention of market abuse, so that integrity is ensured.</w:t>
      </w:r>
      <w:r>
        <w:br/>
      </w:r>
      <w:r>
        <w:t xml:space="preserve">• A publicly accessible platform for viewing transactions of allowances, to ensure</w:t>
      </w:r>
      <w:r>
        <w:t xml:space="preserve"> </w:t>
      </w:r>
      <w:r>
        <w:t xml:space="preserve">transparency and accountability.</w:t>
      </w:r>
    </w:p>
    <w:p>
      <w:pPr>
        <w:pStyle w:val="BodyText"/>
      </w:pPr>
      <w:r>
        <w:t xml:space="preserve">208</w:t>
      </w:r>
      <w:r>
        <w:t xml:space="preserve"> </w:t>
      </w:r>
      <w:r>
        <w:t xml:space="preserve">• A comprehensive security plan for the Registry system, including measures to prevent</w:t>
      </w:r>
      <w:r>
        <w:t xml:space="preserve"> </w:t>
      </w:r>
      <w:r>
        <w:t xml:space="preserve">security threats, with regular audits and reviews to ensure compliance.</w:t>
      </w:r>
      <w:r>
        <w:t xml:space="preserve"> </w:t>
      </w:r>
      <w:r>
        <w:t xml:space="preserve">• Detailed technical guidance and support for users of the registry system, including user</w:t>
      </w:r>
      <w:r>
        <w:t xml:space="preserve"> </w:t>
      </w:r>
      <w:r>
        <w:t xml:space="preserve">manuals, training materials, and technical assistance, to ensure effective use and</w:t>
      </w:r>
      <w:r>
        <w:t xml:space="preserve"> </w:t>
      </w:r>
      <w:r>
        <w:t xml:space="preserve">management of the system.</w:t>
      </w:r>
      <w:r>
        <w:t xml:space="preserve"> </w:t>
      </w:r>
      <w:r>
        <w:t xml:space="preserve">8.6.3.6</w:t>
      </w:r>
      <w:r>
        <w:t xml:space="preserve"> </w:t>
      </w:r>
      <w:r>
        <w:t xml:space="preserve">Intended Results</w:t>
      </w:r>
      <w:r>
        <w:t xml:space="preserve"> </w:t>
      </w:r>
      <w:r>
        <w:t xml:space="preserve">• Enhanced Allowance Management: Establish a fully functional Registry system and</w:t>
      </w:r>
      <w:r>
        <w:t xml:space="preserve"> </w:t>
      </w:r>
      <w:r>
        <w:t xml:space="preserve">ensure that the registry system provides a robust and reliable platform for managing</w:t>
      </w:r>
      <w:r>
        <w:t xml:space="preserve"> </w:t>
      </w:r>
      <w:r>
        <w:t xml:space="preserve">allowances, enabling efficient and effective tracking and management of transactions.</w:t>
      </w:r>
      <w:r>
        <w:t xml:space="preserve"> </w:t>
      </w:r>
      <w:r>
        <w:t xml:space="preserve">• Improved System Availability and Security: Ensure that the Registry system is</w:t>
      </w:r>
      <w:r>
        <w:t xml:space="preserve"> </w:t>
      </w:r>
      <w:r>
        <w:t xml:space="preserve">highly available, secure, and compliant with relevant standards and regulations,</w:t>
      </w:r>
      <w:r>
        <w:t xml:space="preserve"> </w:t>
      </w:r>
      <w:r>
        <w:t xml:space="preserve">minimizing downtime and preventing security threats.</w:t>
      </w:r>
      <w:r>
        <w:t xml:space="preserve"> </w:t>
      </w:r>
      <w:r>
        <w:t xml:space="preserve">• Increased Transparency and Accessibility: Provide a standardised and accessible</w:t>
      </w:r>
      <w:r>
        <w:t xml:space="preserve"> </w:t>
      </w:r>
      <w:r>
        <w:t xml:space="preserve">platform for stakeholders to access information and manage allowances, promoting</w:t>
      </w:r>
      <w:r>
        <w:t xml:space="preserve"> </w:t>
      </w:r>
      <w:r>
        <w:t xml:space="preserve">transparency and accountability.</w:t>
      </w:r>
      <w:r>
        <w:t xml:space="preserve"> </w:t>
      </w:r>
      <w:r>
        <w:t xml:space="preserve">• Reduced errors and Incidents: Reduce the number of incidents and errors associated</w:t>
      </w:r>
      <w:r>
        <w:t xml:space="preserve"> </w:t>
      </w:r>
      <w:r>
        <w:t xml:space="preserve">with allowance management to ensure a more efficient and reliable system.</w:t>
      </w:r>
      <w:r>
        <w:t xml:space="preserve"> </w:t>
      </w:r>
      <w:r>
        <w:t xml:space="preserve">• Provide detailed technical guidance and support for users of the registry system,</w:t>
      </w:r>
      <w:r>
        <w:t xml:space="preserve"> </w:t>
      </w:r>
      <w:r>
        <w:t xml:space="preserve">including user manuals, training materials, and technical assistance, to ensure effective</w:t>
      </w:r>
      <w:r>
        <w:t xml:space="preserve"> </w:t>
      </w:r>
      <w:r>
        <w:t xml:space="preserve">use and management of the system.</w:t>
      </w:r>
      <w:r>
        <w:t xml:space="preserve"> </w:t>
      </w:r>
      <w:r>
        <w:t xml:space="preserve">8.6.3.7</w:t>
      </w:r>
      <w:r>
        <w:t xml:space="preserve"> </w:t>
      </w:r>
      <w:r>
        <w:t xml:space="preserve">Unintended results and impacts</w:t>
      </w:r>
      <w:r>
        <w:br/>
      </w:r>
      <w:r>
        <w:t xml:space="preserve">• Cybersecurity threats: Hacking, phishing, and other cyberattacks can compromise the</w:t>
      </w:r>
      <w:r>
        <w:t xml:space="preserve"> </w:t>
      </w:r>
      <w:r>
        <w:t xml:space="preserve">security and integrity of the Registry system.</w:t>
      </w:r>
      <w:r>
        <w:t xml:space="preserve"> </w:t>
      </w:r>
      <w:r>
        <w:t xml:space="preserve">• IT infrastructure failures: Failures of hardware, software, or network infrastructure</w:t>
      </w:r>
      <w:r>
        <w:t xml:space="preserve"> </w:t>
      </w:r>
      <w:r>
        <w:t xml:space="preserve">can cause downtime, data loss, or system crashes.</w:t>
      </w:r>
      <w:r>
        <w:t xml:space="preserve"> </w:t>
      </w:r>
      <w:r>
        <w:t xml:space="preserve">• Budget and resource constraints: Limited budget or resources can restrict the</w:t>
      </w:r>
      <w:r>
        <w:t xml:space="preserve"> </w:t>
      </w:r>
      <w:r>
        <w:t xml:space="preserve">Registry system’s development, maintenance, or operation.</w:t>
      </w:r>
      <w:r>
        <w:t xml:space="preserve"> </w:t>
      </w:r>
      <w:r>
        <w:t xml:space="preserve">• Political instability.</w:t>
      </w:r>
      <w:r>
        <w:br/>
      </w:r>
      <w:r>
        <w:t xml:space="preserve">8.6.3.8</w:t>
      </w:r>
      <w:r>
        <w:t xml:space="preserve"> </w:t>
      </w:r>
      <w:r>
        <w:t xml:space="preserve">External factors</w:t>
      </w:r>
      <w:r>
        <w:br/>
      </w:r>
      <w:r>
        <w:t xml:space="preserve">• Development of external threat scenarios to the IT system</w:t>
      </w:r>
      <w:r>
        <w:t xml:space="preserve"> </w:t>
      </w:r>
      <w:r>
        <w:t xml:space="preserve">• Market volatility</w:t>
      </w:r>
      <w:r>
        <w:br/>
      </w:r>
      <w:r>
        <w:t xml:space="preserve">• Political instability</w:t>
      </w:r>
      <w:r>
        <w:br/>
      </w:r>
      <w:r>
        <w:t xml:space="preserve">• Natural disasters: Earthquakes, floods, or other natural disasters can damage or destroy</w:t>
      </w:r>
      <w:r>
        <w:t xml:space="preserve"> </w:t>
      </w:r>
      <w:r>
        <w:t xml:space="preserve">infrastructure, causing system downtime or data loss.</w:t>
      </w:r>
      <w:r>
        <w:t xml:space="preserve"> </w:t>
      </w:r>
      <w:r>
        <w:t xml:space="preserve">• Emerging technologies: Rapidly evolving technologies such as artificial intelligence,</w:t>
      </w:r>
      <w:r>
        <w:t xml:space="preserve"> </w:t>
      </w:r>
      <w:r>
        <w:t xml:space="preserve">or cloud computing, can challenge the Registry System.</w:t>
      </w:r>
      <w:r>
        <w:t xml:space="preserve"> </w:t>
      </w:r>
      <w:r>
        <w:t xml:space="preserve">• Global events and crises: Global events, such as pandemics, can create new challenges</w:t>
      </w:r>
      <w:r>
        <w:t xml:space="preserve"> </w:t>
      </w:r>
      <w:r>
        <w:t xml:space="preserve">requiring adaptability and resilience.</w:t>
      </w:r>
      <w:r>
        <w:t xml:space="preserve"> </w:t>
      </w:r>
      <w:r>
        <w:t xml:space="preserve">8.6.4 Evaluation of findings</w:t>
      </w:r>
      <w:r>
        <w:t xml:space="preserve"> </w:t>
      </w:r>
      <w:r>
        <w:t xml:space="preserve">8.6.4.1</w:t>
      </w:r>
      <w:r>
        <w:t xml:space="preserve"> </w:t>
      </w:r>
      <w:r>
        <w:t xml:space="preserve">Effectiveness</w:t>
      </w:r>
      <w:r>
        <w:br/>
      </w:r>
      <w:r>
        <w:t xml:space="preserve">The effectiveness of the Registry system will be evaluated via the following questions:</w:t>
      </w:r>
      <w:r>
        <w:br/>
      </w:r>
      <w:r>
        <w:t xml:space="preserve">•</w:t>
      </w:r>
      <w:r>
        <w:t xml:space="preserve"> </w:t>
      </w:r>
      <w:r>
        <w:t xml:space="preserve">EQ1: To which extent registry system was fully operational, with a reliable and</w:t>
      </w:r>
      <w:r>
        <w:t xml:space="preserve"> </w:t>
      </w:r>
      <w:r>
        <w:t xml:space="preserve">accessible IT system that ensures efficient management?</w:t>
      </w:r>
    </w:p>
    <w:p>
      <w:pPr>
        <w:pStyle w:val="BodyText"/>
      </w:pPr>
      <w:r>
        <w:t xml:space="preserve">209</w:t>
      </w:r>
      <w:r>
        <w:t xml:space="preserve"> </w:t>
      </w:r>
      <w:r>
        <w:t xml:space="preserve">The Union Registry and the EUTL operated seamlessly for the entirety of 2018, with only</w:t>
      </w:r>
      <w:r>
        <w:t xml:space="preserve"> </w:t>
      </w:r>
      <w:r>
        <w:t xml:space="preserve">minor technical interruptions totalling approximately 26 hours. These brief disruptions were</w:t>
      </w:r>
      <w:r>
        <w:t xml:space="preserve"> </w:t>
      </w:r>
      <w:r>
        <w:t xml:space="preserve">necessary for scheduled upgrades and did not significantly impact overall functionality. In</w:t>
      </w:r>
      <w:r>
        <w:t xml:space="preserve"> </w:t>
      </w:r>
      <w:r>
        <w:t xml:space="preserve">2019, the system maintained its high level of performance, experiencing only minor</w:t>
      </w:r>
      <w:r>
        <w:t xml:space="preserve"> </w:t>
      </w:r>
      <w:r>
        <w:t xml:space="preserve">interruptions that added up to around 7 hours, again due to technical upgrades298.</w:t>
      </w:r>
      <w:r>
        <w:t xml:space="preserve"> </w:t>
      </w:r>
      <w:r>
        <w:t xml:space="preserve">However, in 2020, the Union Registry encountered unexpected technical difficulties, resulting</w:t>
      </w:r>
      <w:r>
        <w:t xml:space="preserve"> </w:t>
      </w:r>
      <w:r>
        <w:t xml:space="preserve">in a temporary unavailability on August 18, 2020. Several transactions were not processed</w:t>
      </w:r>
      <w:r>
        <w:t xml:space="preserve"> </w:t>
      </w:r>
      <w:r>
        <w:t xml:space="preserve">correctly during this time. Prompt action was taken and troubleshooting and repair work were</w:t>
      </w:r>
      <w:r>
        <w:t xml:space="preserve"> </w:t>
      </w:r>
      <w:r>
        <w:t xml:space="preserve">conducted between August 19 and 21. Following these efforts, the Union Registry resumed full</w:t>
      </w:r>
      <w:r>
        <w:t xml:space="preserve"> </w:t>
      </w:r>
      <w:r>
        <w:t xml:space="preserve">operation, ensuring uninterrupted service to its users.</w:t>
      </w:r>
      <w:r>
        <w:br/>
      </w:r>
      <w:r>
        <w:t xml:space="preserve">During the evaluation period, the Union Registry encountered several minor incidents,</w:t>
      </w:r>
      <w:r>
        <w:t xml:space="preserve"> </w:t>
      </w:r>
      <w:r>
        <w:t xml:space="preserve">including technical glitches, EU Login issues, SMS routing problems, and network</w:t>
      </w:r>
      <w:r>
        <w:t xml:space="preserve"> </w:t>
      </w:r>
      <w:r>
        <w:t xml:space="preserve">connectivity disruptions. Although these incidents were limited in scope and did not affect all</w:t>
      </w:r>
      <w:r>
        <w:t xml:space="preserve"> </w:t>
      </w:r>
      <w:r>
        <w:t xml:space="preserve">users, they still caused brief disruptions to the service. This underscores the importance of</w:t>
      </w:r>
      <w:r>
        <w:t xml:space="preserve"> </w:t>
      </w:r>
      <w:r>
        <w:t xml:space="preserve">ongoing maintenance and improvement efforts to guarantee stability, reliability, and overall</w:t>
      </w:r>
      <w:r>
        <w:t xml:space="preserve"> </w:t>
      </w:r>
      <w:r>
        <w:t xml:space="preserve">performance of the system.</w:t>
      </w:r>
    </w:p>
    <w:p>
      <w:pPr>
        <w:pStyle w:val="BodyText"/>
      </w:pPr>
      <w:r>
        <w:t xml:space="preserve">298 ETS Service Desk report</w:t>
      </w:r>
    </w:p>
    <w:p>
      <w:pPr>
        <w:pStyle w:val="BodyText"/>
      </w:pPr>
      <w:r>
        <w:t xml:space="preserve">210</w:t>
      </w:r>
      <w:r>
        <w:t xml:space="preserve"> </w:t>
      </w:r>
      <w:r>
        <w:t xml:space="preserve">Figure 35: Availability of the registry system from January to August 2020</w:t>
      </w:r>
      <w:r>
        <w:t xml:space="preserve"> </w:t>
      </w:r>
      <w:r>
        <w:t xml:space="preserve">Source: ETS Service Desk</w:t>
      </w:r>
      <w:r>
        <w:t xml:space="preserve"> </w:t>
      </w:r>
      <w:r>
        <w:t xml:space="preserve">To ensure efficient management of allowances in the Union Registry by all stakeholders</w:t>
      </w:r>
      <w:r>
        <w:t xml:space="preserve"> </w:t>
      </w:r>
      <w:r>
        <w:t xml:space="preserve">involved, including the Commission, the central administrator, Member States competent</w:t>
      </w:r>
      <w:r>
        <w:t xml:space="preserve"> </w:t>
      </w:r>
      <w:r>
        <w:t xml:space="preserve">authorities, National Administrators, and account holders, the Commission provided a robust</w:t>
      </w:r>
      <w:r>
        <w:t xml:space="preserve"> </w:t>
      </w:r>
      <w:r>
        <w:t xml:space="preserve">framework enshrined in the Terms of Cooperation adopted in accordance with article 7 of the</w:t>
      </w:r>
      <w:r>
        <w:t xml:space="preserve"> </w:t>
      </w:r>
      <w:r>
        <w:t xml:space="preserve">Registry Regulation. This framework provides stakeholders with the necessary guidelines to</w:t>
      </w:r>
      <w:r>
        <w:t xml:space="preserve"> </w:t>
      </w:r>
      <w:r>
        <w:t xml:space="preserve">operate the system in accordance with applicable regulations, including security and</w:t>
      </w:r>
      <w:r>
        <w:t xml:space="preserve"> </w:t>
      </w:r>
      <w:r>
        <w:t xml:space="preserve">confidentiality requirements, protection of personal data, and the use of secure means of</w:t>
      </w:r>
      <w:r>
        <w:t xml:space="preserve"> </w:t>
      </w:r>
      <w:r>
        <w:t xml:space="preserve">communication, as well as user education and development.</w:t>
      </w:r>
      <w:r>
        <w:t xml:space="preserve"> </w:t>
      </w:r>
      <w:r>
        <w:t xml:space="preserve">•</w:t>
      </w:r>
      <w:r>
        <w:t xml:space="preserve"> </w:t>
      </w:r>
      <w:r>
        <w:t xml:space="preserve">EQ2: Is the information provided by the registry system accurate, up-to-date, and easily</w:t>
      </w:r>
      <w:r>
        <w:t xml:space="preserve"> </w:t>
      </w:r>
      <w:r>
        <w:t xml:space="preserve">accessible to the public,</w:t>
      </w:r>
      <w:r>
        <w:br/>
      </w:r>
      <w:r>
        <w:t xml:space="preserve">The data recorded in the Union Registry and the EUTL is an important source of information</w:t>
      </w:r>
      <w:r>
        <w:t xml:space="preserve"> </w:t>
      </w:r>
      <w:r>
        <w:t xml:space="preserve">for various types of ETS reporting. The EUTL website serves as a vital resource for promoting</w:t>
      </w:r>
      <w:r>
        <w:t xml:space="preserve"> </w:t>
      </w:r>
      <w:r>
        <w:t xml:space="preserve">transparency, accountability, and compliance within the EU ETS. By providing unrestricted</w:t>
      </w:r>
      <w:r>
        <w:t xml:space="preserve"> </w:t>
      </w:r>
      <w:r>
        <w:t xml:space="preserve">access to data on emissions trading, the website enables the public to track the allocation,</w:t>
      </w:r>
      <w:r>
        <w:t xml:space="preserve"> </w:t>
      </w:r>
      <w:r>
        <w:t xml:space="preserve">transfer, and surrender of allowances, as well as verified emissions from compliance entities</w:t>
      </w:r>
      <w:r>
        <w:t xml:space="preserve"> </w:t>
      </w:r>
      <w:r>
        <w:t xml:space="preserve">participating in the system. This not only facilitates compliance monitoring but also fosters</w:t>
      </w:r>
      <w:r>
        <w:t xml:space="preserve"> </w:t>
      </w:r>
      <w:r>
        <w:t xml:space="preserve">market integrity by preventing fraudulent activities and ensuring a fair and efficient trading</w:t>
      </w:r>
      <w:r>
        <w:t xml:space="preserve"> </w:t>
      </w:r>
      <w:r>
        <w:t xml:space="preserve">environment. Furthermore, the website’s easily accessible data enables researchers,</w:t>
      </w:r>
      <w:r>
        <w:t xml:space="preserve"> </w:t>
      </w:r>
      <w:r>
        <w:t xml:space="preserve">policymakers, and environmental organizations to analyse trends, conduct studies, and make</w:t>
      </w:r>
      <w:r>
        <w:t xml:space="preserve"> </w:t>
      </w:r>
      <w:r>
        <w:t xml:space="preserve">informed decisions.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91</w:t>
      </w:r>
      <w:r>
        <w:t xml:space="preserve"> </w:t>
      </w:r>
      <w:r>
        <w:t xml:space="preserve">92</w:t>
      </w:r>
      <w:r>
        <w:t xml:space="preserve"> </w:t>
      </w:r>
      <w:r>
        <w:t xml:space="preserve">93</w:t>
      </w:r>
      <w:r>
        <w:t xml:space="preserve"> </w:t>
      </w:r>
      <w:r>
        <w:t xml:space="preserve">94</w:t>
      </w:r>
      <w:r>
        <w:t xml:space="preserve"> </w:t>
      </w:r>
      <w:r>
        <w:t xml:space="preserve">95</w:t>
      </w:r>
      <w:r>
        <w:t xml:space="preserve"> </w:t>
      </w:r>
      <w:r>
        <w:t xml:space="preserve">96</w:t>
      </w:r>
      <w:r>
        <w:t xml:space="preserve"> </w:t>
      </w:r>
      <w:r>
        <w:t xml:space="preserve">97</w:t>
      </w:r>
      <w:r>
        <w:t xml:space="preserve"> </w:t>
      </w:r>
      <w:r>
        <w:t xml:space="preserve">98</w:t>
      </w:r>
      <w:r>
        <w:t xml:space="preserve"> </w:t>
      </w:r>
      <w:r>
        <w:t xml:space="preserve">99</w:t>
      </w:r>
      <w:r>
        <w:t xml:space="preserve"> </w:t>
      </w:r>
      <w:r>
        <w:t xml:space="preserve">100</w:t>
      </w:r>
      <w:r>
        <w:t xml:space="preserve"> </w:t>
      </w:r>
      <w:r>
        <w:t xml:space="preserve">janv-20 févr-20 mars-20 avr-20</w:t>
      </w:r>
      <w:r>
        <w:t xml:space="preserve"> </w:t>
      </w:r>
      <w:r>
        <w:t xml:space="preserve">mai-20</w:t>
      </w:r>
      <w:r>
        <w:t xml:space="preserve"> </w:t>
      </w:r>
      <w:r>
        <w:t xml:space="preserve">juin-20</w:t>
      </w:r>
      <w:r>
        <w:t xml:space="preserve"> </w:t>
      </w:r>
      <w:r>
        <w:t xml:space="preserve">juil-20</w:t>
      </w:r>
      <w:r>
        <w:t xml:space="preserve"> </w:t>
      </w:r>
      <w:r>
        <w:t xml:space="preserve">août-20</w:t>
      </w:r>
      <w:r>
        <w:t xml:space="preserve"> </w:t>
      </w:r>
      <w:r>
        <w:t xml:space="preserve">EUCR</w:t>
      </w:r>
      <w:r>
        <w:t xml:space="preserve"> </w:t>
      </w:r>
      <w:r>
        <w:t xml:space="preserve">EUTL</w:t>
      </w:r>
    </w:p>
    <w:p>
      <w:pPr>
        <w:pStyle w:val="BodyText"/>
      </w:pPr>
      <w:r>
        <w:t xml:space="preserve">211</w:t>
      </w:r>
      <w:r>
        <w:t xml:space="preserve"> </w:t>
      </w:r>
      <w:r>
        <w:t xml:space="preserve">Table 15: Compliance data 2018-2023: Public Union Registry</w:t>
      </w:r>
      <w:r>
        <w:br/>
      </w:r>
      <w:r>
        <w:t xml:space="preserve">The Union Registry appears to meet transparency and accountability requirements by providing</w:t>
      </w:r>
      <w:r>
        <w:t xml:space="preserve"> </w:t>
      </w:r>
      <w:r>
        <w:t xml:space="preserve">publicly available and regularly updated data on greenhouse gas emissions. The data, which</w:t>
      </w:r>
      <w:r>
        <w:t xml:space="preserve"> </w:t>
      </w:r>
      <w:r>
        <w:t xml:space="preserve">covers the years 2018 to 2023, shows detailed information on the number of operators the</w:t>
      </w:r>
      <w:r>
        <w:t xml:space="preserve"> </w:t>
      </w:r>
      <w:r>
        <w:t xml:space="preserve">verified emissions and the surrendered units.</w:t>
      </w:r>
      <w:r>
        <w:br/>
      </w:r>
      <w:r>
        <w:t xml:space="preserve">However, one key challenge with using the EUTL data from a financial supervisory perspective</w:t>
      </w:r>
      <w:r>
        <w:t xml:space="preserve"> </w:t>
      </w:r>
      <w:r>
        <w:t xml:space="preserve">was the limited availability of legal entity identifiers (LEIs) that can be used to uniquely</w:t>
      </w:r>
      <w:r>
        <w:t xml:space="preserve"> </w:t>
      </w:r>
      <w:r>
        <w:t xml:space="preserve">pinpoint account holders/legal entities and match those with other data sources for market</w:t>
      </w:r>
      <w:r>
        <w:t xml:space="preserve"> </w:t>
      </w:r>
      <w:r>
        <w:t xml:space="preserve">analysis purposes. LEIs were only recently introduced as a requirement to open an account in</w:t>
      </w:r>
      <w:r>
        <w:t xml:space="preserve"> </w:t>
      </w:r>
      <w:r>
        <w:t xml:space="preserve">the Union Registry and are not consistently filled in by account holders and/or checked by the</w:t>
      </w:r>
      <w:r>
        <w:t xml:space="preserve"> </w:t>
      </w:r>
      <w:r>
        <w:t xml:space="preserve">National Administrators.</w:t>
      </w:r>
      <w:r>
        <w:br/>
      </w:r>
      <w:r>
        <w:t xml:space="preserve">•</w:t>
      </w:r>
      <w:r>
        <w:t xml:space="preserve"> </w:t>
      </w:r>
      <w:r>
        <w:t xml:space="preserve">EQ3: To what extent do the technical rules and requirements for the Registry system,</w:t>
      </w:r>
      <w:r>
        <w:t xml:space="preserve"> </w:t>
      </w:r>
      <w:r>
        <w:t xml:space="preserve">effectively support account holders and representatives?</w:t>
      </w:r>
      <w:r>
        <w:t xml:space="preserve"> </w:t>
      </w:r>
      <w:r>
        <w:t xml:space="preserve">The Union Registry provides access to the data to the National Administrators. They can access</w:t>
      </w:r>
      <w:r>
        <w:t xml:space="preserve"> </w:t>
      </w:r>
      <w:r>
        <w:t xml:space="preserve">the necessary data concerning users, accounts, transactions and compliance data pertaining to</w:t>
      </w:r>
      <w:r>
        <w:t xml:space="preserve"> </w:t>
      </w:r>
      <w:r>
        <w:t xml:space="preserve">accounts of the relevant Member State.</w:t>
      </w:r>
      <w:r>
        <w:t xml:space="preserve"> </w:t>
      </w:r>
      <w:r>
        <w:t xml:space="preserve">The Commission put in place measures to help users to operate the Union Registry to resolve</w:t>
      </w:r>
      <w:r>
        <w:t xml:space="preserve"> </w:t>
      </w:r>
      <w:r>
        <w:t xml:space="preserve">technical issues and ensure the overall security and integrity of the system. The ETS Service</w:t>
      </w:r>
      <w:r>
        <w:t xml:space="preserve"> </w:t>
      </w:r>
      <w:r>
        <w:t xml:space="preserve">Desk, set up by the Commission, acts as a second-level support for incidents related to the</w:t>
      </w:r>
      <w:r>
        <w:t xml:space="preserve"> </w:t>
      </w:r>
      <w:r>
        <w:t xml:space="preserve">software and IT infrastructure of the Union Registry. Additionally, the Commission provides</w:t>
      </w:r>
      <w:r>
        <w:t xml:space="preserve"> </w:t>
      </w:r>
      <w:r>
        <w:t xml:space="preserve">guidance, tools, and information299 to national helpdesks to improve their responses to</w:t>
      </w:r>
      <w:r>
        <w:t xml:space="preserve"> </w:t>
      </w:r>
      <w:r>
        <w:t xml:space="preserve">incidents. The Commission also monitors the quality of incidents raised by national helpdesks</w:t>
      </w:r>
      <w:r>
        <w:t xml:space="preserve"> </w:t>
      </w:r>
      <w:r>
        <w:t xml:space="preserve">and aims to improve response times and quality. Furthermore, the Commission supports</w:t>
      </w:r>
      <w:r>
        <w:t xml:space="preserve"> </w:t>
      </w:r>
      <w:r>
        <w:t xml:space="preserve">national helpdesks in providing local support to account holders and authorized representatives,</w:t>
      </w:r>
      <w:r>
        <w:t xml:space="preserve"> </w:t>
      </w:r>
      <w:r>
        <w:t xml:space="preserve">enabling them to resolve issues and help users.</w:t>
      </w:r>
      <w:r>
        <w:t xml:space="preserve"> </w:t>
      </w:r>
      <w:r>
        <w:t xml:space="preserve">•</w:t>
      </w:r>
      <w:r>
        <w:t xml:space="preserve"> </w:t>
      </w:r>
      <w:r>
        <w:t xml:space="preserve">EQ4: Are the security measures in place sufficient to ensure integrity of the system and</w:t>
      </w:r>
      <w:r>
        <w:t xml:space="preserve"> </w:t>
      </w:r>
      <w:r>
        <w:t xml:space="preserve">confidentiality of the data?</w:t>
      </w:r>
      <w:r>
        <w:br/>
      </w:r>
      <w:r>
        <w:t xml:space="preserve">The Commission has implemented a security framework to protect the confidentiality and</w:t>
      </w:r>
      <w:r>
        <w:t xml:space="preserve"> </w:t>
      </w:r>
      <w:r>
        <w:t xml:space="preserve">integrity of the data held in the EUTL and the Union Registry. A yearly IT Security Plan for</w:t>
      </w:r>
    </w:p>
    <w:p>
      <w:pPr>
        <w:pStyle w:val="BodyText"/>
      </w:pPr>
      <w:r>
        <w:t xml:space="preserve">299 Registry system - European Commission</w:t>
      </w:r>
      <w:r>
        <w:t xml:space="preserve"> </w:t>
      </w:r>
      <w:r>
        <w:t xml:space="preserve">Year</w:t>
      </w:r>
      <w:r>
        <w:t xml:space="preserve"> </w:t>
      </w:r>
      <w:r>
        <w:t xml:space="preserve">Op. Reported Op. Surrendered Verified Emission % YoY Surrendered Units %</w:t>
      </w:r>
      <w:r>
        <w:t xml:space="preserve"> </w:t>
      </w:r>
      <w:r>
        <w:t xml:space="preserve">Allocations</w:t>
      </w:r>
      <w:r>
        <w:t xml:space="preserve"> </w:t>
      </w:r>
      <w:r>
        <w:t xml:space="preserve">2023 10.481</w:t>
      </w:r>
      <w:r>
        <w:t xml:space="preserve"> </w:t>
      </w:r>
      <w:r>
        <w:t xml:space="preserve">8.390</w:t>
      </w:r>
      <w:r>
        <w:t xml:space="preserve"> </w:t>
      </w:r>
      <w:r>
        <w:t xml:space="preserve">1.150.199.843</w:t>
      </w:r>
      <w:r>
        <w:t xml:space="preserve"> </w:t>
      </w:r>
      <w:r>
        <w:t xml:space="preserve">-15,5 % 1.153.661.430</w:t>
      </w:r>
      <w:r>
        <w:t xml:space="preserve"> </w:t>
      </w:r>
      <w:r>
        <w:t xml:space="preserve">100,3 % 559.026.924</w:t>
      </w:r>
      <w:r>
        <w:t xml:space="preserve"> </w:t>
      </w:r>
      <w:r>
        <w:t xml:space="preserve">2022 10.560</w:t>
      </w:r>
      <w:r>
        <w:t xml:space="preserve"> </w:t>
      </w:r>
      <w:r>
        <w:t xml:space="preserve">8.460</w:t>
      </w:r>
      <w:r>
        <w:t xml:space="preserve"> </w:t>
      </w:r>
      <w:r>
        <w:t xml:space="preserve">1.361.850.781</w:t>
      </w:r>
      <w:r>
        <w:t xml:space="preserve"> </w:t>
      </w:r>
      <w:r>
        <w:t xml:space="preserve">-0,2 %</w:t>
      </w:r>
      <w:r>
        <w:t xml:space="preserve"> </w:t>
      </w:r>
      <w:r>
        <w:t xml:space="preserve">1.358.745.816</w:t>
      </w:r>
      <w:r>
        <w:t xml:space="preserve"> </w:t>
      </w:r>
      <w:r>
        <w:t xml:space="preserve">99,8 %</w:t>
      </w:r>
      <w:r>
        <w:t xml:space="preserve"> </w:t>
      </w:r>
      <w:r>
        <w:t xml:space="preserve">565.112.263</w:t>
      </w:r>
      <w:r>
        <w:t xml:space="preserve"> </w:t>
      </w:r>
      <w:r>
        <w:t xml:space="preserve">2021 10.879</w:t>
      </w:r>
      <w:r>
        <w:t xml:space="preserve"> </w:t>
      </w:r>
      <w:r>
        <w:t xml:space="preserve">8.573</w:t>
      </w:r>
      <w:r>
        <w:t xml:space="preserve"> </w:t>
      </w:r>
      <w:r>
        <w:t xml:space="preserve">1.364.436.716</w:t>
      </w:r>
      <w:r>
        <w:t xml:space="preserve"> </w:t>
      </w:r>
      <w:r>
        <w:t xml:space="preserve">-1,2 %</w:t>
      </w:r>
      <w:r>
        <w:t xml:space="preserve"> </w:t>
      </w:r>
      <w:r>
        <w:t xml:space="preserve">1.360.207.303</w:t>
      </w:r>
      <w:r>
        <w:t xml:space="preserve"> </w:t>
      </w:r>
      <w:r>
        <w:t xml:space="preserve">99,7 %</w:t>
      </w:r>
      <w:r>
        <w:t xml:space="preserve"> </w:t>
      </w:r>
      <w:r>
        <w:t xml:space="preserve">569.352.868</w:t>
      </w:r>
      <w:r>
        <w:t xml:space="preserve"> </w:t>
      </w:r>
      <w:r>
        <w:t xml:space="preserve">2020 12.094</w:t>
      </w:r>
      <w:r>
        <w:t xml:space="preserve"> </w:t>
      </w:r>
      <w:r>
        <w:t xml:space="preserve">9.982</w:t>
      </w:r>
      <w:r>
        <w:t xml:space="preserve"> </w:t>
      </w:r>
      <w:r>
        <w:t xml:space="preserve">1.380.952.173</w:t>
      </w:r>
      <w:r>
        <w:t xml:space="preserve"> </w:t>
      </w:r>
      <w:r>
        <w:t xml:space="preserve">-13,6 % 1.370.083.511</w:t>
      </w:r>
      <w:r>
        <w:t xml:space="preserve"> </w:t>
      </w:r>
      <w:r>
        <w:t xml:space="preserve">99,2 %</w:t>
      </w:r>
      <w:r>
        <w:t xml:space="preserve"> </w:t>
      </w:r>
      <w:r>
        <w:t xml:space="preserve">674.216.759</w:t>
      </w:r>
      <w:r>
        <w:t xml:space="preserve"> </w:t>
      </w:r>
      <w:r>
        <w:t xml:space="preserve">2019 12.385</w:t>
      </w:r>
      <w:r>
        <w:t xml:space="preserve"> </w:t>
      </w:r>
      <w:r>
        <w:t xml:space="preserve">10.372</w:t>
      </w:r>
      <w:r>
        <w:t xml:space="preserve"> </w:t>
      </w:r>
      <w:r>
        <w:t xml:space="preserve">1.598.557.918</w:t>
      </w:r>
      <w:r>
        <w:t xml:space="preserve"> </w:t>
      </w:r>
      <w:r>
        <w:t xml:space="preserve">-8,7 %</w:t>
      </w:r>
      <w:r>
        <w:t xml:space="preserve"> </w:t>
      </w:r>
      <w:r>
        <w:t xml:space="preserve">1.583.910.898</w:t>
      </w:r>
      <w:r>
        <w:t xml:space="preserve"> </w:t>
      </w:r>
      <w:r>
        <w:t xml:space="preserve">99,1 %</w:t>
      </w:r>
      <w:r>
        <w:t xml:space="preserve"> </w:t>
      </w:r>
      <w:r>
        <w:t xml:space="preserve">697.807.029</w:t>
      </w:r>
      <w:r>
        <w:t xml:space="preserve"> </w:t>
      </w:r>
      <w:r>
        <w:t xml:space="preserve">2018 12.523</w:t>
      </w:r>
      <w:r>
        <w:t xml:space="preserve"> </w:t>
      </w:r>
      <w:r>
        <w:t xml:space="preserve">10.505</w:t>
      </w:r>
      <w:r>
        <w:t xml:space="preserve"> </w:t>
      </w:r>
      <w:r>
        <w:t xml:space="preserve">1.750.590.404</w:t>
      </w:r>
      <w:r>
        <w:t xml:space="preserve"> </w:t>
      </w:r>
      <w:r>
        <w:t xml:space="preserve">-3,8 %</w:t>
      </w:r>
      <w:r>
        <w:t xml:space="preserve"> </w:t>
      </w:r>
      <w:r>
        <w:t xml:space="preserve">1.737.025.162</w:t>
      </w:r>
      <w:r>
        <w:t xml:space="preserve"> </w:t>
      </w:r>
      <w:r>
        <w:t xml:space="preserve">99,2 %</w:t>
      </w:r>
      <w:r>
        <w:t xml:space="preserve"> </w:t>
      </w:r>
      <w:r>
        <w:t xml:space="preserve">718.274.508</w:t>
      </w:r>
    </w:p>
    <w:p>
      <w:pPr>
        <w:pStyle w:val="BodyText"/>
      </w:pPr>
      <w:r>
        <w:t xml:space="preserve">212</w:t>
      </w:r>
      <w:r>
        <w:t xml:space="preserve"> </w:t>
      </w:r>
      <w:r>
        <w:t xml:space="preserve">the Union Registry System has been developed to manage the security of the Registry System</w:t>
      </w:r>
      <w:r>
        <w:t xml:space="preserve"> </w:t>
      </w:r>
      <w:r>
        <w:t xml:space="preserve">and implementing security measures to protect against potential threats. It identifies the</w:t>
      </w:r>
      <w:r>
        <w:t xml:space="preserve"> </w:t>
      </w:r>
      <w:r>
        <w:t xml:space="preserve">system’s functionality, roles and responsibilities, user population, operational status, and</w:t>
      </w:r>
      <w:r>
        <w:t xml:space="preserve"> </w:t>
      </w:r>
      <w:r>
        <w:t xml:space="preserve">business requirements. The plan also conducts a business impact analysis to identify potential</w:t>
      </w:r>
      <w:r>
        <w:t xml:space="preserve"> </w:t>
      </w:r>
      <w:r>
        <w:t xml:space="preserve">risks and assess the attractiveness of the assets to potential attackers. Additionally, it includes</w:t>
      </w:r>
      <w:r>
        <w:t xml:space="preserve"> </w:t>
      </w:r>
      <w:r>
        <w:t xml:space="preserve">a risk assessment to identify potential security risks and selects treatment strategies to mitigate</w:t>
      </w:r>
      <w:r>
        <w:t xml:space="preserve"> </w:t>
      </w:r>
      <w:r>
        <w:t xml:space="preserve">them.</w:t>
      </w:r>
      <w:r>
        <w:br/>
      </w:r>
      <w:r>
        <w:t xml:space="preserve">The terms of cooperation300 contain also detailed security measures including on the</w:t>
      </w:r>
      <w:r>
        <w:t xml:space="preserve"> </w:t>
      </w:r>
      <w:r>
        <w:t xml:space="preserve">confidentiality of sensitive information. Minimum security requirements have also been</w:t>
      </w:r>
      <w:r>
        <w:t xml:space="preserve"> </w:t>
      </w:r>
      <w:r>
        <w:t xml:space="preserve">established for account holders. Secure means of communication are also used to prevent</w:t>
      </w:r>
      <w:r>
        <w:t xml:space="preserve"> </w:t>
      </w:r>
      <w:r>
        <w:t xml:space="preserve">unauthorised access to the Union Registry. Furthermore, national administrators and the central</w:t>
      </w:r>
      <w:r>
        <w:t xml:space="preserve"> </w:t>
      </w:r>
      <w:r>
        <w:t xml:space="preserve">administrator are required to exchange security-related data, including information on breaches</w:t>
      </w:r>
      <w:r>
        <w:t xml:space="preserve"> </w:t>
      </w:r>
      <w:r>
        <w:t xml:space="preserve">and temporary suspensions of access, through secure channels to ensure the proper functioning</w:t>
      </w:r>
      <w:r>
        <w:t xml:space="preserve"> </w:t>
      </w:r>
      <w:r>
        <w:t xml:space="preserve">of the Union Registry and protect the personal data of account holders and authorized</w:t>
      </w:r>
      <w:r>
        <w:t xml:space="preserve"> </w:t>
      </w:r>
      <w:r>
        <w:t xml:space="preserve">representatives.</w:t>
      </w:r>
      <w:r>
        <w:t xml:space="preserve"> </w:t>
      </w:r>
      <w:r>
        <w:t xml:space="preserve">The integrity of the data in the system has been evaluated high, as only very few incidents have</w:t>
      </w:r>
      <w:r>
        <w:t xml:space="preserve"> </w:t>
      </w:r>
      <w:r>
        <w:t xml:space="preserve">led to inconsistencies in the data. One single major incident occurred during a database</w:t>
      </w:r>
      <w:r>
        <w:t xml:space="preserve"> </w:t>
      </w:r>
      <w:r>
        <w:t xml:space="preserve">operation in 2022 due to human error. No confidentiality breaches such as data theft or</w:t>
      </w:r>
      <w:r>
        <w:t xml:space="preserve"> </w:t>
      </w:r>
      <w:r>
        <w:t xml:space="preserve">accidental publication have been observed.</w:t>
      </w:r>
      <w:r>
        <w:t xml:space="preserve"> </w:t>
      </w:r>
      <w:r>
        <w:t xml:space="preserve">However, since 2012, the DG CLIMA has expressed concerns about IT security related the</w:t>
      </w:r>
      <w:r>
        <w:t xml:space="preserve"> </w:t>
      </w:r>
      <w:r>
        <w:t xml:space="preserve">Union Registry in its Annual Activity Report. The European carbon market has experienced</w:t>
      </w:r>
      <w:r>
        <w:t xml:space="preserve"> </w:t>
      </w:r>
      <w:r>
        <w:t xml:space="preserve">significant growth, with the total asset value in the Union Registry now exceeding EUR 200</w:t>
      </w:r>
      <w:r>
        <w:t xml:space="preserve"> </w:t>
      </w:r>
      <w:r>
        <w:t xml:space="preserve">billion. The carbon price has also been steadily increasing since 2014, rising from</w:t>
      </w:r>
      <w:r>
        <w:t xml:space="preserve"> </w:t>
      </w:r>
      <w:r>
        <w:t xml:space="preserve">approximately EUR 6 to EUR 85 in 2022, and reaching a peak of EUR 100 in 2023.</w:t>
      </w:r>
      <w:r>
        <w:t xml:space="preserve"> </w:t>
      </w:r>
      <w:r>
        <w:t xml:space="preserve">Furthermore, over the past decade, the regulatory environment for financial market institutions</w:t>
      </w:r>
      <w:r>
        <w:t xml:space="preserve"> </w:t>
      </w:r>
      <w:r>
        <w:t xml:space="preserve">has undergone significant changes, and the risk of cyber-attacks from foreign states or hostile</w:t>
      </w:r>
      <w:r>
        <w:t xml:space="preserve"> </w:t>
      </w:r>
      <w:r>
        <w:t xml:space="preserve">actors against the EU has increased. As a result, the IT risk landscape is evolving rapidly,</w:t>
      </w:r>
      <w:r>
        <w:t xml:space="preserve"> </w:t>
      </w:r>
      <w:r>
        <w:t xml:space="preserve">necessitating additional security measures to mitigate these growing threats.</w:t>
      </w:r>
      <w:r>
        <w:t xml:space="preserve"> </w:t>
      </w:r>
      <w:r>
        <w:t xml:space="preserve">The 2019 risk assessment confirmed several vulnerabilities to be addressed in a ‘security plan’</w:t>
      </w:r>
      <w:r>
        <w:t xml:space="preserve"> </w:t>
      </w:r>
      <w:r>
        <w:t xml:space="preserve">involving 12 reinforcing security measures and the unusually high residual risk situation was</w:t>
      </w:r>
      <w:r>
        <w:t xml:space="preserve"> </w:t>
      </w:r>
      <w:r>
        <w:t xml:space="preserve">escalated in September 2019 to the IT and Cybersecurity Board (ITCB) for advice. In addition,</w:t>
      </w:r>
      <w:r>
        <w:t xml:space="preserve"> </w:t>
      </w:r>
      <w:r>
        <w:t xml:space="preserve">an independent study was commissioned in 2019 to benchmark the resources and operating</w:t>
      </w:r>
      <w:r>
        <w:t xml:space="preserve"> </w:t>
      </w:r>
      <w:r>
        <w:t xml:space="preserve">model of the Union Registry against other institutions with comparable systems. The results</w:t>
      </w:r>
      <w:r>
        <w:t xml:space="preserve"> </w:t>
      </w:r>
      <w:r>
        <w:t xml:space="preserve">highlighted significant weaknesses in terms of economic and human resources.</w:t>
      </w:r>
      <w:r>
        <w:t xml:space="preserve"> </w:t>
      </w:r>
      <w:r>
        <w:t xml:space="preserve">A subsequent study301 was launched in December 2020 on potential alternative operating</w:t>
      </w:r>
      <w:r>
        <w:t xml:space="preserve"> </w:t>
      </w:r>
      <w:r>
        <w:t xml:space="preserve">models for the Union Registry concluding that there was a pressing need to reduce the</w:t>
      </w:r>
      <w:r>
        <w:t xml:space="preserve"> </w:t>
      </w:r>
      <w:r>
        <w:t xml:space="preserve">persistently high risks resulting from holding and handling high value assets that the current</w:t>
      </w:r>
      <w:r>
        <w:t xml:space="preserve"> </w:t>
      </w:r>
      <w:r>
        <w:t xml:space="preserve">operating model fails to address.</w:t>
      </w:r>
      <w:r>
        <w:t xml:space="preserve"> </w:t>
      </w:r>
      <w:r>
        <w:t xml:space="preserve">A risk assessment was finalised in July 2022. It reconfirmed that the risk landscape had evolved</w:t>
      </w:r>
      <w:r>
        <w:t xml:space="preserve"> </w:t>
      </w:r>
      <w:r>
        <w:t xml:space="preserve">in such a way that the 2019 measures even upon completion would not result in acceptable risk</w:t>
      </w:r>
      <w:r>
        <w:t xml:space="preserve"> </w:t>
      </w:r>
      <w:r>
        <w:t xml:space="preserve">levels. A new security plan was proposed in 2022 that recommends finalising the</w:t>
      </w:r>
    </w:p>
    <w:p>
      <w:pPr>
        <w:pStyle w:val="BodyText"/>
      </w:pPr>
      <w:r>
        <w:t xml:space="preserve">300 According to Article 7(4) of Regulation 2019/1122, the central administrator and the national administrators</w:t>
      </w:r>
      <w:r>
        <w:t xml:space="preserve"> </w:t>
      </w:r>
      <w:r>
        <w:t xml:space="preserve">shall agree on the terms of cooperation that shall include common operational procedures,</w:t>
      </w:r>
      <w:r>
        <w:t xml:space="preserve"> </w:t>
      </w:r>
      <w:r>
        <w:t xml:space="preserve">301 Union Registry Operating Model Study, Deloitte</w:t>
      </w:r>
    </w:p>
    <w:p>
      <w:pPr>
        <w:pStyle w:val="BodyText"/>
      </w:pPr>
      <w:r>
        <w:t xml:space="preserve">213</w:t>
      </w:r>
      <w:r>
        <w:t xml:space="preserve"> </w:t>
      </w:r>
      <w:r>
        <w:t xml:space="preserve">implementation of the measures from the previous plan (2019) and suggested 10 additional</w:t>
      </w:r>
      <w:r>
        <w:t xml:space="preserve"> </w:t>
      </w:r>
      <w:r>
        <w:t xml:space="preserve">measures. Challenges to operate the system in the Commission internal governance structure</w:t>
      </w:r>
      <w:r>
        <w:t xml:space="preserve"> </w:t>
      </w:r>
      <w:r>
        <w:t xml:space="preserve">facing the budgetary and HR constraints, remain. Therefore, a new business operating model</w:t>
      </w:r>
      <w:r>
        <w:t xml:space="preserve"> </w:t>
      </w:r>
      <w:r>
        <w:t xml:space="preserve">is required to address thoroughly the remaining issues to reach highest compliance with</w:t>
      </w:r>
      <w:r>
        <w:t xml:space="preserve"> </w:t>
      </w:r>
      <w:r>
        <w:t xml:space="preserve">applicable financial market frameworks.</w:t>
      </w:r>
      <w:r>
        <w:br/>
      </w:r>
      <w:r>
        <w:t xml:space="preserve">The Union Registry’s security framework has some strengths, such as the implementation of</w:t>
      </w:r>
      <w:r>
        <w:t xml:space="preserve"> </w:t>
      </w:r>
      <w:r>
        <w:t xml:space="preserve">security measures and low incidence of data inconsistencies. However, the effectiveness of the</w:t>
      </w:r>
      <w:r>
        <w:t xml:space="preserve"> </w:t>
      </w:r>
      <w:r>
        <w:t xml:space="preserve">Union Registry’s security framework is compromised by the inadequacies in its operating</w:t>
      </w:r>
      <w:r>
        <w:t xml:space="preserve"> </w:t>
      </w:r>
      <w:r>
        <w:t xml:space="preserve">model and the evolving IT risk landscape, which necessitate additional security measures and</w:t>
      </w:r>
      <w:r>
        <w:t xml:space="preserve"> </w:t>
      </w:r>
      <w:r>
        <w:t xml:space="preserve">a new business operating model to mitigate the growing threats.</w:t>
      </w:r>
      <w:r>
        <w:t xml:space="preserve"> </w:t>
      </w:r>
      <w:r>
        <w:t xml:space="preserve">8.6.4.2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efficiency of the Registry system is evaluated on the basis of the following question:</w:t>
      </w:r>
      <w:r>
        <w:t xml:space="preserve"> </w:t>
      </w:r>
      <w:r>
        <w:t xml:space="preserve">•</w:t>
      </w:r>
      <w:r>
        <w:t xml:space="preserve"> </w:t>
      </w:r>
      <w:r>
        <w:t xml:space="preserve">EQ5: Are there significant differences in registry fees charged by Member States and</w:t>
      </w:r>
      <w:r>
        <w:t xml:space="preserve"> </w:t>
      </w:r>
      <w:r>
        <w:t xml:space="preserve">if yes what is causing them?</w:t>
      </w:r>
      <w:r>
        <w:t xml:space="preserve"> </w:t>
      </w:r>
      <w:r>
        <w:t xml:space="preserve">Article 81(2) of the Registry Regulation stipulates that national administrators may charge</w:t>
      </w:r>
      <w:r>
        <w:t xml:space="preserve"> </w:t>
      </w:r>
      <w:r>
        <w:t xml:space="preserve">reasonable fees to account holders administered by them. This gives national administrators</w:t>
      </w:r>
      <w:r>
        <w:t xml:space="preserve"> </w:t>
      </w:r>
      <w:r>
        <w:t xml:space="preserve">considerable leeway in determining the fees. The fees charge by the national administrators are</w:t>
      </w:r>
      <w:r>
        <w:t xml:space="preserve"> </w:t>
      </w:r>
      <w:r>
        <w:t xml:space="preserve">published on the Commission’s website302. The fees vary with some countries charging no fees</w:t>
      </w:r>
      <w:r>
        <w:t xml:space="preserve"> </w:t>
      </w:r>
      <w:r>
        <w:t xml:space="preserve">and others imposing substantially high charges for the opening, maintenance/management of</w:t>
      </w:r>
      <w:r>
        <w:t xml:space="preserve"> </w:t>
      </w:r>
      <w:r>
        <w:t xml:space="preserve">accounts. Notably, several Member States, including Cyprus, Estonia, Finland, Germany,</w:t>
      </w:r>
      <w:r>
        <w:t xml:space="preserve"> </w:t>
      </w:r>
      <w:r>
        <w:t xml:space="preserve">Malta, Netherlands, and Sweden, do not charge any fees for certain account types. In contrast,</w:t>
      </w:r>
      <w:r>
        <w:t xml:space="preserve"> </w:t>
      </w:r>
      <w:r>
        <w:t xml:space="preserve">countries like Hungary, Latvia, Italy, and Poland have higher fees. For example, Hungary’s</w:t>
      </w:r>
      <w:r>
        <w:t xml:space="preserve"> </w:t>
      </w:r>
      <w:r>
        <w:t xml:space="preserve">trading account fee is EUR 5/tCO2/year, and Portugal’s fees range from EUR 107.24 to EUR</w:t>
      </w:r>
      <w:r>
        <w:t xml:space="preserve"> </w:t>
      </w:r>
      <w:r>
        <w:t xml:space="preserve">1,072.40 for different account types. Some Member States differentiate the fee based on the</w:t>
      </w:r>
      <w:r>
        <w:t xml:space="preserve"> </w:t>
      </w:r>
      <w:r>
        <w:t xml:space="preserve">amount of verified emissions, such as Austria with fees ranging from EUR 450 to EUR 15 862;</w:t>
      </w:r>
      <w:r>
        <w:t xml:space="preserve"> </w:t>
      </w:r>
      <w:r>
        <w:t xml:space="preserve">some also add a fee for changing name or authorised representatives of the account. For</w:t>
      </w:r>
      <w:r>
        <w:t xml:space="preserve"> </w:t>
      </w:r>
      <w:r>
        <w:t xml:space="preserve">instance, Belgium charges a uniform fee of EUR 600.71 for all account types, whereas France</w:t>
      </w:r>
      <w:r>
        <w:t xml:space="preserve"> </w:t>
      </w:r>
      <w:r>
        <w:t xml:space="preserve">has a tiered fee structure, with Operator Holding Accounts and Aircraft Operator Holding</w:t>
      </w:r>
      <w:r>
        <w:t xml:space="preserve"> </w:t>
      </w:r>
      <w:r>
        <w:t xml:space="preserve">Accounts incurring fees between EUR 500 and EUR 3,500.Denmark’s fees are in Danish Krone</w:t>
      </w:r>
      <w:r>
        <w:t xml:space="preserve"> </w:t>
      </w:r>
      <w:r>
        <w:t xml:space="preserve">(DKK), with a range of 10,500 DKK to 350,000 DKK.</w:t>
      </w:r>
      <w:r>
        <w:t xml:space="preserve"> </w:t>
      </w:r>
      <w:r>
        <w:t xml:space="preserve">The structure and amount of the fee vary considerably across the Member States. The Registry</w:t>
      </w:r>
      <w:r>
        <w:t xml:space="preserve"> </w:t>
      </w:r>
      <w:r>
        <w:t xml:space="preserve">Regulation provides a framework within which Member States can decide on the fees related</w:t>
      </w:r>
      <w:r>
        <w:t xml:space="preserve"> </w:t>
      </w:r>
      <w:r>
        <w:t xml:space="preserve">to the registry services they offer. Each Member State has the autonomy to determine the</w:t>
      </w:r>
      <w:r>
        <w:t xml:space="preserve"> </w:t>
      </w:r>
      <w:r>
        <w:t xml:space="preserve">specific structure and amount of these fees, resulting to variability across countries.</w:t>
      </w:r>
    </w:p>
    <w:p>
      <w:pPr>
        <w:pStyle w:val="BodyText"/>
      </w:pPr>
      <w:r>
        <w:t xml:space="preserve">302 https://climate.ec.europa.eu/eu-action/carbon-markets/eu-emissions-trading-system-eu-ets/union-</w:t>
      </w:r>
      <w:r>
        <w:t xml:space="preserve"> </w:t>
      </w:r>
      <w:r>
        <w:t xml:space="preserve">registry_en#fees</w:t>
      </w:r>
    </w:p>
    <w:p>
      <w:pPr>
        <w:pStyle w:val="BodyText"/>
      </w:pPr>
      <w:r>
        <w:t xml:space="preserve">214</w:t>
      </w:r>
      <w:r>
        <w:t xml:space="preserve"> </w:t>
      </w:r>
      <w:r>
        <w:t xml:space="preserve">Table 16: Overview of the fees303</w:t>
      </w:r>
      <w:r>
        <w:t xml:space="preserve"> </w:t>
      </w:r>
      <w:r>
        <w:t xml:space="preserve">Member State</w:t>
      </w:r>
      <w:r>
        <w:t xml:space="preserve"> </w:t>
      </w:r>
      <w:r>
        <w:t xml:space="preserve">Operator</w:t>
      </w:r>
      <w:r>
        <w:t xml:space="preserve"> </w:t>
      </w:r>
      <w:r>
        <w:t xml:space="preserve">Holding</w:t>
      </w:r>
      <w:r>
        <w:t xml:space="preserve"> </w:t>
      </w:r>
      <w:r>
        <w:t xml:space="preserve">Account</w:t>
      </w:r>
      <w:r>
        <w:t xml:space="preserve"> </w:t>
      </w:r>
      <w:r>
        <w:t xml:space="preserve">Aircraft</w:t>
      </w:r>
      <w:r>
        <w:t xml:space="preserve"> </w:t>
      </w:r>
      <w:r>
        <w:t xml:space="preserve">Operator</w:t>
      </w:r>
      <w:r>
        <w:t xml:space="preserve"> </w:t>
      </w:r>
      <w:r>
        <w:t xml:space="preserve">Holding</w:t>
      </w:r>
      <w:r>
        <w:t xml:space="preserve"> </w:t>
      </w:r>
      <w:r>
        <w:t xml:space="preserve">Account</w:t>
      </w:r>
      <w:r>
        <w:t xml:space="preserve"> </w:t>
      </w:r>
      <w:r>
        <w:t xml:space="preserve">Trading</w:t>
      </w:r>
      <w:r>
        <w:t xml:space="preserve"> </w:t>
      </w:r>
      <w:r>
        <w:t xml:space="preserve">Account</w:t>
      </w:r>
      <w:r>
        <w:t xml:space="preserve"> </w:t>
      </w:r>
      <w:r>
        <w:t xml:space="preserve">Verifier</w:t>
      </w:r>
      <w:r>
        <w:t xml:space="preserve"> </w:t>
      </w:r>
      <w:r>
        <w:t xml:space="preserve">Account</w:t>
      </w:r>
      <w:r>
        <w:t xml:space="preserve"> </w:t>
      </w:r>
      <w:r>
        <w:t xml:space="preserve">Austria</w:t>
      </w:r>
      <w:r>
        <w:t xml:space="preserve"> </w:t>
      </w:r>
      <w:r>
        <w:t xml:space="preserve">EUR 450 - EUR</w:t>
      </w:r>
      <w:r>
        <w:t xml:space="preserve"> </w:t>
      </w:r>
      <w:r>
        <w:t xml:space="preserve">15,862</w:t>
      </w:r>
      <w:r>
        <w:t xml:space="preserve"> </w:t>
      </w:r>
      <w:r>
        <w:t xml:space="preserve">EUR 450 - EUR</w:t>
      </w:r>
      <w:r>
        <w:t xml:space="preserve"> </w:t>
      </w:r>
      <w:r>
        <w:t xml:space="preserve">15,862</w:t>
      </w:r>
      <w:r>
        <w:t xml:space="preserve"> </w:t>
      </w:r>
      <w:r>
        <w:t xml:space="preserve">EUR 1,700</w:t>
      </w:r>
      <w:r>
        <w:t xml:space="preserve"> </w:t>
      </w:r>
      <w:r>
        <w:t xml:space="preserve">EUR 0</w:t>
      </w:r>
      <w:r>
        <w:t xml:space="preserve"> </w:t>
      </w:r>
      <w:r>
        <w:t xml:space="preserve">Belgium</w:t>
      </w:r>
      <w:r>
        <w:t xml:space="preserve"> </w:t>
      </w:r>
      <w:r>
        <w:t xml:space="preserve">EUR 600,71</w:t>
      </w:r>
      <w:r>
        <w:t xml:space="preserve"> </w:t>
      </w:r>
      <w:r>
        <w:t xml:space="preserve">EUR 600,71</w:t>
      </w:r>
      <w:r>
        <w:t xml:space="preserve"> </w:t>
      </w:r>
      <w:r>
        <w:t xml:space="preserve">EUR 600,71</w:t>
      </w:r>
      <w:r>
        <w:t xml:space="preserve"> </w:t>
      </w:r>
      <w:r>
        <w:t xml:space="preserve">EUR 0</w:t>
      </w:r>
      <w:r>
        <w:t xml:space="preserve"> </w:t>
      </w:r>
      <w:r>
        <w:t xml:space="preserve">Bulgaria</w:t>
      </w:r>
      <w:r>
        <w:t xml:space="preserve"> </w:t>
      </w:r>
      <w:r>
        <w:t xml:space="preserve">EUR 100</w:t>
      </w:r>
      <w:r>
        <w:t xml:space="preserve"> </w:t>
      </w:r>
      <w:r>
        <w:t xml:space="preserve">EUR 100</w:t>
      </w:r>
      <w:r>
        <w:t xml:space="preserve"> </w:t>
      </w:r>
      <w:r>
        <w:t xml:space="preserve">EUR 175</w:t>
      </w:r>
      <w:r>
        <w:t xml:space="preserve"> </w:t>
      </w:r>
      <w:r>
        <w:t xml:space="preserve">EUR 50</w:t>
      </w:r>
      <w:r>
        <w:t xml:space="preserve"> </w:t>
      </w:r>
      <w:r>
        <w:t xml:space="preserve">Cyprus</w:t>
      </w:r>
      <w:r>
        <w:t xml:space="preserve"> </w:t>
      </w:r>
      <w:r>
        <w:t xml:space="preserve">EUR 0</w:t>
      </w:r>
      <w:r>
        <w:t xml:space="preserve"> </w:t>
      </w:r>
      <w:r>
        <w:t xml:space="preserve">EUR 0</w:t>
      </w:r>
      <w:r>
        <w:t xml:space="preserve"> </w:t>
      </w:r>
      <w:r>
        <w:t xml:space="preserve">EUR 0</w:t>
      </w:r>
      <w:r>
        <w:t xml:space="preserve"> </w:t>
      </w:r>
      <w:r>
        <w:t xml:space="preserve">EUR 0</w:t>
      </w:r>
      <w:r>
        <w:t xml:space="preserve"> </w:t>
      </w:r>
      <w:r>
        <w:t xml:space="preserve">Croatia</w:t>
      </w:r>
      <w:r>
        <w:t xml:space="preserve"> </w:t>
      </w:r>
      <w:r>
        <w:t xml:space="preserve">EUR 0</w:t>
      </w:r>
      <w:r>
        <w:t xml:space="preserve"> </w:t>
      </w:r>
      <w:r>
        <w:t xml:space="preserve">EUR 0</w:t>
      </w:r>
      <w:r>
        <w:t xml:space="preserve"> </w:t>
      </w:r>
      <w:r>
        <w:t xml:space="preserve">EUR 0</w:t>
      </w:r>
      <w:r>
        <w:t xml:space="preserve"> </w:t>
      </w:r>
      <w:r>
        <w:t xml:space="preserve">EUR 0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EUR 47.62</w:t>
      </w:r>
      <w:r>
        <w:t xml:space="preserve"> </w:t>
      </w:r>
      <w:r>
        <w:t xml:space="preserve">EUR 47.62</w:t>
      </w:r>
      <w:r>
        <w:t xml:space="preserve"> </w:t>
      </w:r>
      <w:r>
        <w:t xml:space="preserve">EUR 59.52</w:t>
      </w:r>
      <w:r>
        <w:t xml:space="preserve"> </w:t>
      </w:r>
      <w:r>
        <w:t xml:space="preserve">EUR 0</w:t>
      </w:r>
      <w:r>
        <w:t xml:space="preserve"> </w:t>
      </w:r>
      <w:r>
        <w:t xml:space="preserve">Denmark</w:t>
      </w:r>
      <w:r>
        <w:t xml:space="preserve"> </w:t>
      </w:r>
      <w:r>
        <w:t xml:space="preserve">DKK14,000</w:t>
      </w:r>
      <w:r>
        <w:t xml:space="preserve"> </w:t>
      </w:r>
      <w:r>
        <w:t xml:space="preserve">-</w:t>
      </w:r>
      <w:r>
        <w:t xml:space="preserve"> </w:t>
      </w:r>
      <w:r>
        <w:t xml:space="preserve">DK 350,000</w:t>
      </w:r>
      <w:r>
        <w:t xml:space="preserve"> </w:t>
      </w:r>
      <w:r>
        <w:t xml:space="preserve">DKK 14,000 -</w:t>
      </w:r>
      <w:r>
        <w:t xml:space="preserve"> </w:t>
      </w:r>
      <w:r>
        <w:t xml:space="preserve">DK 350,000</w:t>
      </w:r>
      <w:r>
        <w:t xml:space="preserve"> </w:t>
      </w:r>
      <w:r>
        <w:t xml:space="preserve">DKK10,500</w:t>
      </w:r>
      <w:r>
        <w:t xml:space="preserve"> </w:t>
      </w:r>
      <w:r>
        <w:t xml:space="preserve">DKK7,200</w:t>
      </w:r>
      <w:r>
        <w:t xml:space="preserve"> </w:t>
      </w:r>
      <w:r>
        <w:t xml:space="preserve">Estonia</w:t>
      </w:r>
      <w:r>
        <w:t xml:space="preserve"> </w:t>
      </w:r>
      <w:r>
        <w:t xml:space="preserve">EUR 0</w:t>
      </w:r>
      <w:r>
        <w:t xml:space="preserve"> </w:t>
      </w:r>
      <w:r>
        <w:t xml:space="preserve">EUR 0</w:t>
      </w:r>
      <w:r>
        <w:t xml:space="preserve"> </w:t>
      </w:r>
      <w:r>
        <w:t xml:space="preserve">EUR 300</w:t>
      </w:r>
      <w:r>
        <w:t xml:space="preserve"> </w:t>
      </w:r>
      <w:r>
        <w:t xml:space="preserve">EUR 0</w:t>
      </w:r>
      <w:r>
        <w:t xml:space="preserve"> </w:t>
      </w:r>
      <w:r>
        <w:t xml:space="preserve">Finland</w:t>
      </w:r>
      <w:r>
        <w:t xml:space="preserve"> </w:t>
      </w:r>
      <w:r>
        <w:t xml:space="preserve">EUR 570</w:t>
      </w:r>
      <w:r>
        <w:t xml:space="preserve"> </w:t>
      </w:r>
      <w:r>
        <w:t xml:space="preserve">EUR 1620</w:t>
      </w:r>
      <w:r>
        <w:t xml:space="preserve"> </w:t>
      </w:r>
      <w:r>
        <w:t xml:space="preserve">EUR 570</w:t>
      </w:r>
      <w:r>
        <w:t xml:space="preserve"> </w:t>
      </w:r>
      <w:r>
        <w:t xml:space="preserve">EUR 570</w:t>
      </w:r>
      <w:r>
        <w:t xml:space="preserve"> </w:t>
      </w:r>
      <w:r>
        <w:t xml:space="preserve">France</w:t>
      </w:r>
      <w:r>
        <w:t xml:space="preserve"> </w:t>
      </w:r>
      <w:r>
        <w:t xml:space="preserve">EUR 500 - EUR</w:t>
      </w:r>
      <w:r>
        <w:t xml:space="preserve"> </w:t>
      </w:r>
      <w:r>
        <w:t xml:space="preserve">1250</w:t>
      </w:r>
      <w:r>
        <w:t xml:space="preserve"> </w:t>
      </w:r>
      <w:r>
        <w:t xml:space="preserve">EUR 500 - EUR</w:t>
      </w:r>
      <w:r>
        <w:t xml:space="preserve"> </w:t>
      </w:r>
      <w:r>
        <w:t xml:space="preserve">3,500</w:t>
      </w:r>
      <w:r>
        <w:t xml:space="preserve"> </w:t>
      </w:r>
      <w:r>
        <w:t xml:space="preserve">EUR 1,100-</w:t>
      </w:r>
      <w:r>
        <w:t xml:space="preserve"> </w:t>
      </w:r>
      <w:r>
        <w:t xml:space="preserve">EUR 1,250</w:t>
      </w:r>
      <w:r>
        <w:t xml:space="preserve"> </w:t>
      </w:r>
      <w:r>
        <w:t xml:space="preserve">EUR 0</w:t>
      </w:r>
      <w:r>
        <w:t xml:space="preserve"> </w:t>
      </w:r>
      <w:r>
        <w:t xml:space="preserve">Germany</w:t>
      </w:r>
      <w:r>
        <w:t xml:space="preserve"> </w:t>
      </w:r>
      <w:r>
        <w:t xml:space="preserve">EUR 0</w:t>
      </w:r>
      <w:r>
        <w:t xml:space="preserve"> </w:t>
      </w:r>
      <w:r>
        <w:t xml:space="preserve">EUR 0</w:t>
      </w:r>
      <w:r>
        <w:t xml:space="preserve"> </w:t>
      </w:r>
      <w:r>
        <w:t xml:space="preserve">EUR 393</w:t>
      </w:r>
      <w:r>
        <w:t xml:space="preserve"> </w:t>
      </w:r>
      <w:r>
        <w:t xml:space="preserve">EUR 0</w:t>
      </w:r>
      <w:r>
        <w:t xml:space="preserve"> </w:t>
      </w:r>
      <w:r>
        <w:t xml:space="preserve">Greece</w:t>
      </w:r>
      <w:r>
        <w:t xml:space="preserve"> </w:t>
      </w:r>
      <w:r>
        <w:t xml:space="preserve">EUR 100 - EUR</w:t>
      </w:r>
      <w:r>
        <w:t xml:space="preserve"> </w:t>
      </w:r>
      <w:r>
        <w:t xml:space="preserve">300</w:t>
      </w:r>
      <w:r>
        <w:t xml:space="preserve"> </w:t>
      </w:r>
      <w:r>
        <w:t xml:space="preserve">EUR 300</w:t>
      </w:r>
      <w:r>
        <w:t xml:space="preserve"> </w:t>
      </w:r>
      <w:r>
        <w:t xml:space="preserve">EUR 300</w:t>
      </w:r>
      <w:r>
        <w:t xml:space="preserve"> </w:t>
      </w:r>
      <w:r>
        <w:t xml:space="preserve">EUR 0</w:t>
      </w:r>
      <w:r>
        <w:t xml:space="preserve"> </w:t>
      </w:r>
      <w:r>
        <w:t xml:space="preserve">Hungary</w:t>
      </w:r>
      <w:r>
        <w:t xml:space="preserve"> </w:t>
      </w:r>
      <w:r>
        <w:t xml:space="preserve">5/tCO2/year</w:t>
      </w:r>
      <w:r>
        <w:t xml:space="preserve"> </w:t>
      </w:r>
      <w:r>
        <w:t xml:space="preserve">5/tCO2/year</w:t>
      </w:r>
      <w:r>
        <w:t xml:space="preserve"> </w:t>
      </w:r>
      <w:r>
        <w:t xml:space="preserve">HUF</w:t>
      </w:r>
      <w:r>
        <w:t xml:space="preserve"> </w:t>
      </w:r>
      <w:r>
        <w:t xml:space="preserve">150,000/year</w:t>
      </w:r>
      <w:r>
        <w:t xml:space="preserve"> </w:t>
      </w:r>
      <w:r>
        <w:t xml:space="preserve">EUR 0</w:t>
      </w:r>
      <w:r>
        <w:t xml:space="preserve"> </w:t>
      </w:r>
      <w:r>
        <w:t xml:space="preserve">Iceland</w:t>
      </w:r>
      <w:r>
        <w:t xml:space="preserve"> </w:t>
      </w:r>
      <w:r>
        <w:t xml:space="preserve">ISK72200</w:t>
      </w:r>
      <w:r>
        <w:t xml:space="preserve"> </w:t>
      </w:r>
      <w:r>
        <w:t xml:space="preserve">ISK 72200</w:t>
      </w:r>
      <w:r>
        <w:t xml:space="preserve"> </w:t>
      </w:r>
      <w:r>
        <w:t xml:space="preserve">ISK72200</w:t>
      </w:r>
      <w:r>
        <w:t xml:space="preserve"> </w:t>
      </w:r>
      <w:r>
        <w:t xml:space="preserve">ISK72200</w:t>
      </w:r>
      <w:r>
        <w:t xml:space="preserve"> </w:t>
      </w:r>
      <w:r>
        <w:t xml:space="preserve">Ireland</w:t>
      </w:r>
      <w:r>
        <w:t xml:space="preserve"> </w:t>
      </w:r>
      <w:r>
        <w:t xml:space="preserve">EUR 350</w:t>
      </w:r>
      <w:r>
        <w:t xml:space="preserve"> </w:t>
      </w:r>
      <w:r>
        <w:t xml:space="preserve">EUR 350</w:t>
      </w:r>
      <w:r>
        <w:t xml:space="preserve"> </w:t>
      </w:r>
      <w:r>
        <w:t xml:space="preserve">EUR 1,000</w:t>
      </w:r>
      <w:r>
        <w:t xml:space="preserve"> </w:t>
      </w:r>
      <w:r>
        <w:t xml:space="preserve">EUR 0</w:t>
      </w:r>
      <w:r>
        <w:t xml:space="preserve"> </w:t>
      </w:r>
      <w:r>
        <w:t xml:space="preserve">Italy</w:t>
      </w:r>
      <w:r>
        <w:t xml:space="preserve"> </w:t>
      </w:r>
      <w:r>
        <w:t xml:space="preserve">EUR 400</w:t>
      </w:r>
      <w:r>
        <w:t xml:space="preserve"> </w:t>
      </w:r>
      <w:r>
        <w:t xml:space="preserve">EUR 400</w:t>
      </w:r>
      <w:r>
        <w:t xml:space="preserve"> </w:t>
      </w:r>
      <w:r>
        <w:t xml:space="preserve">EUR 700</w:t>
      </w:r>
      <w:r>
        <w:t xml:space="preserve"> </w:t>
      </w:r>
      <w:r>
        <w:t xml:space="preserve">EUR 500</w:t>
      </w:r>
    </w:p>
    <w:p>
      <w:pPr>
        <w:pStyle w:val="BodyText"/>
      </w:pPr>
      <w:r>
        <w:t xml:space="preserve">303 Overview of the fees charge by the Member States: the table does not reflect all the disparities regarding the</w:t>
      </w:r>
      <w:r>
        <w:t xml:space="preserve"> </w:t>
      </w:r>
      <w:r>
        <w:t xml:space="preserve">fees; detailed information can be found on the website: https://climate.ec.europa.eu/eu-action/carbon-</w:t>
      </w:r>
      <w:r>
        <w:t xml:space="preserve"> </w:t>
      </w:r>
      <w:r>
        <w:t xml:space="preserve">markets/eu-emissions-trading-system-eu-ets/union-registry_en</w:t>
      </w:r>
    </w:p>
    <w:p>
      <w:pPr>
        <w:pStyle w:val="BodyText"/>
      </w:pPr>
      <w:r>
        <w:t xml:space="preserve">215</w:t>
      </w:r>
      <w:r>
        <w:t xml:space="preserve"> </w:t>
      </w:r>
      <w:r>
        <w:t xml:space="preserve">Latvia</w:t>
      </w:r>
      <w:r>
        <w:t xml:space="preserve"> </w:t>
      </w:r>
      <w:r>
        <w:t xml:space="preserve">EUR 95.70 -</w:t>
      </w:r>
      <w:r>
        <w:t xml:space="preserve"> </w:t>
      </w:r>
      <w:r>
        <w:t xml:space="preserve">EUR 957</w:t>
      </w:r>
      <w:r>
        <w:t xml:space="preserve"> </w:t>
      </w:r>
      <w:r>
        <w:t xml:space="preserve">EUR 95.70 -</w:t>
      </w:r>
      <w:r>
        <w:t xml:space="preserve"> </w:t>
      </w:r>
      <w:r>
        <w:t xml:space="preserve">EUR 957</w:t>
      </w:r>
      <w:r>
        <w:t xml:space="preserve"> </w:t>
      </w:r>
      <w:r>
        <w:t xml:space="preserve">EUR 803 - EUR</w:t>
      </w:r>
      <w:r>
        <w:t xml:space="preserve"> </w:t>
      </w:r>
      <w:r>
        <w:t xml:space="preserve">1,276</w:t>
      </w:r>
      <w:r>
        <w:t xml:space="preserve"> </w:t>
      </w:r>
      <w:r>
        <w:t xml:space="preserve">EUR 638</w:t>
      </w:r>
      <w:r>
        <w:t xml:space="preserve"> </w:t>
      </w:r>
      <w:r>
        <w:t xml:space="preserve">Liechtenstein</w:t>
      </w:r>
      <w:r>
        <w:t xml:space="preserve"> </w:t>
      </w:r>
      <w:r>
        <w:t xml:space="preserve">EUR 3,000</w:t>
      </w:r>
      <w:r>
        <w:t xml:space="preserve"> </w:t>
      </w:r>
      <w:r>
        <w:t xml:space="preserve">EUR 3,000</w:t>
      </w:r>
      <w:r>
        <w:t xml:space="preserve"> </w:t>
      </w:r>
      <w:r>
        <w:t xml:space="preserve">EUR 3,000</w:t>
      </w:r>
      <w:r>
        <w:t xml:space="preserve"> </w:t>
      </w:r>
      <w:r>
        <w:t xml:space="preserve">EUR 3,000</w:t>
      </w:r>
      <w:r>
        <w:t xml:space="preserve"> </w:t>
      </w:r>
      <w:r>
        <w:t xml:space="preserve">Lithuania</w:t>
      </w:r>
      <w:r>
        <w:t xml:space="preserve"> </w:t>
      </w:r>
      <w:r>
        <w:t xml:space="preserve">EUR 144</w:t>
      </w:r>
      <w:r>
        <w:t xml:space="preserve"> </w:t>
      </w:r>
      <w:r>
        <w:t xml:space="preserve">EUR 144</w:t>
      </w:r>
      <w:r>
        <w:t xml:space="preserve"> </w:t>
      </w:r>
      <w:r>
        <w:t xml:space="preserve">EUR 144</w:t>
      </w:r>
      <w:r>
        <w:t xml:space="preserve"> </w:t>
      </w:r>
      <w:r>
        <w:t xml:space="preserve">EUR 144</w:t>
      </w:r>
      <w:r>
        <w:t xml:space="preserve"> </w:t>
      </w:r>
      <w:r>
        <w:t xml:space="preserve">Luxembourg</w:t>
      </w:r>
      <w:r>
        <w:t xml:space="preserve"> </w:t>
      </w:r>
      <w:r>
        <w:t xml:space="preserve">EUR 500</w:t>
      </w:r>
      <w:r>
        <w:t xml:space="preserve"> </w:t>
      </w:r>
      <w:r>
        <w:t xml:space="preserve">EUR 500</w:t>
      </w:r>
      <w:r>
        <w:t xml:space="preserve"> </w:t>
      </w:r>
      <w:r>
        <w:t xml:space="preserve">EUR 500</w:t>
      </w:r>
      <w:r>
        <w:t xml:space="preserve"> </w:t>
      </w:r>
      <w:r>
        <w:t xml:space="preserve">EUR 0</w:t>
      </w:r>
      <w:r>
        <w:t xml:space="preserve"> </w:t>
      </w:r>
      <w:r>
        <w:t xml:space="preserve">Malta</w:t>
      </w:r>
      <w:r>
        <w:t xml:space="preserve"> </w:t>
      </w:r>
      <w:r>
        <w:t xml:space="preserve">EUR 0</w:t>
      </w:r>
      <w:r>
        <w:t xml:space="preserve"> </w:t>
      </w:r>
      <w:r>
        <w:t xml:space="preserve">EUR 0</w:t>
      </w:r>
      <w:r>
        <w:t xml:space="preserve"> </w:t>
      </w:r>
      <w:r>
        <w:t xml:space="preserve">EUR 0</w:t>
      </w:r>
      <w:r>
        <w:t xml:space="preserve"> </w:t>
      </w:r>
      <w:r>
        <w:t xml:space="preserve">EUR 0</w:t>
      </w:r>
      <w:r>
        <w:t xml:space="preserve"> </w:t>
      </w:r>
      <w:r>
        <w:t xml:space="preserve">Norway</w:t>
      </w:r>
      <w:r>
        <w:t xml:space="preserve"> </w:t>
      </w:r>
      <w:r>
        <w:t xml:space="preserve">NOK 9500</w:t>
      </w:r>
      <w:r>
        <w:t xml:space="preserve"> </w:t>
      </w:r>
      <w:r>
        <w:t xml:space="preserve">NOK 9500</w:t>
      </w:r>
      <w:r>
        <w:t xml:space="preserve"> </w:t>
      </w:r>
      <w:r>
        <w:t xml:space="preserve">NOK 9500</w:t>
      </w:r>
      <w:r>
        <w:t xml:space="preserve"> </w:t>
      </w:r>
      <w:r>
        <w:t xml:space="preserve">NOK 9500</w:t>
      </w:r>
      <w:r>
        <w:t xml:space="preserve"> </w:t>
      </w:r>
      <w:r>
        <w:t xml:space="preserve">Netherlands</w:t>
      </w:r>
      <w:r>
        <w:t xml:space="preserve"> </w:t>
      </w:r>
      <w:r>
        <w:t xml:space="preserve">EUR 0</w:t>
      </w:r>
      <w:r>
        <w:t xml:space="preserve"> </w:t>
      </w:r>
      <w:r>
        <w:t xml:space="preserve">EUR 0</w:t>
      </w:r>
      <w:r>
        <w:t xml:space="preserve"> </w:t>
      </w:r>
      <w:r>
        <w:t xml:space="preserve">EUR 400</w:t>
      </w:r>
      <w:r>
        <w:t xml:space="preserve"> </w:t>
      </w:r>
      <w:r>
        <w:t xml:space="preserve">EUR 0</w:t>
      </w:r>
      <w:r>
        <w:t xml:space="preserve"> </w:t>
      </w:r>
      <w:r>
        <w:t xml:space="preserve">Poland</w:t>
      </w:r>
      <w:r>
        <w:t xml:space="preserve"> </w:t>
      </w:r>
      <w:r>
        <w:t xml:space="preserve">PLN 2000</w:t>
      </w:r>
      <w:r>
        <w:t xml:space="preserve"> </w:t>
      </w:r>
      <w:r>
        <w:t xml:space="preserve">PLN 2000</w:t>
      </w:r>
      <w:r>
        <w:t xml:space="preserve"> </w:t>
      </w:r>
      <w:r>
        <w:t xml:space="preserve">PLN 2000</w:t>
      </w:r>
      <w:r>
        <w:t xml:space="preserve"> </w:t>
      </w:r>
      <w:r>
        <w:t xml:space="preserve">0</w:t>
      </w:r>
      <w:r>
        <w:t xml:space="preserve"> </w:t>
      </w:r>
      <w:r>
        <w:t xml:space="preserve">Portugal</w:t>
      </w:r>
      <w:r>
        <w:t xml:space="preserve"> </w:t>
      </w:r>
      <w:r>
        <w:t xml:space="preserve">EUR 375,34 -</w:t>
      </w:r>
      <w:r>
        <w:t xml:space="preserve"> </w:t>
      </w:r>
      <w:r>
        <w:t xml:space="preserve">750,68</w:t>
      </w:r>
      <w:r>
        <w:t xml:space="preserve"> </w:t>
      </w:r>
      <w:r>
        <w:t xml:space="preserve">EUR 375,34 -</w:t>
      </w:r>
      <w:r>
        <w:t xml:space="preserve"> </w:t>
      </w:r>
      <w:r>
        <w:t xml:space="preserve">750,68</w:t>
      </w:r>
      <w:r>
        <w:t xml:space="preserve"> </w:t>
      </w:r>
      <w:r>
        <w:t xml:space="preserve">EUR 1.072,00</w:t>
      </w:r>
      <w:r>
        <w:t xml:space="preserve"> </w:t>
      </w:r>
      <w:r>
        <w:t xml:space="preserve">EUR 857,92</w:t>
      </w:r>
      <w:r>
        <w:t xml:space="preserve"> </w:t>
      </w:r>
      <w:r>
        <w:t xml:space="preserve">Romania</w:t>
      </w:r>
      <w:r>
        <w:t xml:space="preserve"> </w:t>
      </w:r>
      <w:r>
        <w:t xml:space="preserve">EUR 200</w:t>
      </w:r>
      <w:r>
        <w:t xml:space="preserve"> </w:t>
      </w:r>
      <w:r>
        <w:t xml:space="preserve">EUR 200</w:t>
      </w:r>
      <w:r>
        <w:t xml:space="preserve"> </w:t>
      </w:r>
      <w:r>
        <w:t xml:space="preserve">EUR 300</w:t>
      </w:r>
      <w:r>
        <w:t xml:space="preserve"> </w:t>
      </w:r>
      <w:r>
        <w:t xml:space="preserve">EUR 250</w:t>
      </w:r>
      <w:r>
        <w:t xml:space="preserve"> </w:t>
      </w:r>
      <w:r>
        <w:t xml:space="preserve">Slovakia</w:t>
      </w:r>
      <w:r>
        <w:t xml:space="preserve"> </w:t>
      </w:r>
      <w:r>
        <w:t xml:space="preserve">EUR 500</w:t>
      </w:r>
      <w:r>
        <w:t xml:space="preserve"> </w:t>
      </w:r>
      <w:r>
        <w:t xml:space="preserve">EUR 500</w:t>
      </w:r>
      <w:r>
        <w:t xml:space="preserve"> </w:t>
      </w:r>
      <w:r>
        <w:t xml:space="preserve">EUR 625</w:t>
      </w:r>
      <w:r>
        <w:t xml:space="preserve"> </w:t>
      </w:r>
      <w:r>
        <w:t xml:space="preserve">EUR 0</w:t>
      </w:r>
      <w:r>
        <w:t xml:space="preserve"> </w:t>
      </w:r>
      <w:r>
        <w:t xml:space="preserve">Slovenia</w:t>
      </w:r>
      <w:r>
        <w:t xml:space="preserve"> </w:t>
      </w:r>
      <w:r>
        <w:t xml:space="preserve">EUR 100.15</w:t>
      </w:r>
      <w:r>
        <w:t xml:space="preserve"> </w:t>
      </w:r>
      <w:r>
        <w:t xml:space="preserve">EUR 100.15</w:t>
      </w:r>
      <w:r>
        <w:t xml:space="preserve"> </w:t>
      </w:r>
      <w:r>
        <w:t xml:space="preserve">EUR 50.07</w:t>
      </w:r>
      <w:r>
        <w:t xml:space="preserve"> </w:t>
      </w:r>
      <w:r>
        <w:t xml:space="preserve">EUR 0</w:t>
      </w:r>
      <w:r>
        <w:t xml:space="preserve"> </w:t>
      </w:r>
      <w:r>
        <w:t xml:space="preserve">Spain</w:t>
      </w:r>
      <w:r>
        <w:t xml:space="preserve"> </w:t>
      </w:r>
      <w:r>
        <w:t xml:space="preserve">EUR 575</w:t>
      </w:r>
      <w:r>
        <w:t xml:space="preserve"> </w:t>
      </w:r>
      <w:r>
        <w:t xml:space="preserve">EUR 575</w:t>
      </w:r>
      <w:r>
        <w:t xml:space="preserve"> </w:t>
      </w:r>
      <w:r>
        <w:t xml:space="preserve">EUR 805</w:t>
      </w:r>
      <w:r>
        <w:t xml:space="preserve"> </w:t>
      </w:r>
      <w:r>
        <w:t xml:space="preserve">0</w:t>
      </w:r>
      <w:r>
        <w:t xml:space="preserve"> </w:t>
      </w:r>
      <w:r>
        <w:t xml:space="preserve">Sweden</w:t>
      </w:r>
      <w:r>
        <w:t xml:space="preserve"> </w:t>
      </w:r>
      <w:r>
        <w:t xml:space="preserve">EUR 0</w:t>
      </w:r>
      <w:r>
        <w:t xml:space="preserve"> </w:t>
      </w:r>
      <w:r>
        <w:t xml:space="preserve">EUR 0</w:t>
      </w:r>
      <w:r>
        <w:t xml:space="preserve"> </w:t>
      </w:r>
      <w:r>
        <w:t xml:space="preserve">SEK 2000</w:t>
      </w:r>
      <w:r>
        <w:t xml:space="preserve"> </w:t>
      </w:r>
      <w:r>
        <w:t xml:space="preserve">EUR 0</w:t>
      </w:r>
      <w:r>
        <w:t xml:space="preserve"> </w:t>
      </w:r>
      <w:r>
        <w:t xml:space="preserve">United</w:t>
      </w:r>
      <w:r>
        <w:t xml:space="preserve"> </w:t>
      </w:r>
      <w:r>
        <w:t xml:space="preserve">Kingdom</w:t>
      </w:r>
      <w:r>
        <w:t xml:space="preserve"> </w:t>
      </w:r>
      <w:r>
        <w:t xml:space="preserve">(Northern</w:t>
      </w:r>
      <w:r>
        <w:t xml:space="preserve"> </w:t>
      </w:r>
      <w:r>
        <w:t xml:space="preserve">Ireland)</w:t>
      </w:r>
      <w:r>
        <w:t xml:space="preserve"> </w:t>
      </w:r>
      <w:r>
        <w:t xml:space="preserve">£284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•</w:t>
      </w:r>
      <w:r>
        <w:t xml:space="preserve"> </w:t>
      </w:r>
      <w:r>
        <w:t xml:space="preserve">EQ6: In what way the Union Registry has been operated cost effectively?</w:t>
      </w:r>
      <w:r>
        <w:t xml:space="preserve"> </w:t>
      </w:r>
      <w:r>
        <w:t xml:space="preserve">The annual costs to operate and maintain the Registry has been estimated at EUR 8 million.</w:t>
      </w:r>
      <w:r>
        <w:t xml:space="preserve"> </w:t>
      </w:r>
      <w:r>
        <w:t xml:space="preserve">However, the studies on the Union Registry Operating Model underlined that the current</w:t>
      </w:r>
      <w:r>
        <w:t xml:space="preserve"> </w:t>
      </w:r>
      <w:r>
        <w:t xml:space="preserve">economic and human resources are not sufficient to fully protect the confidentiality and</w:t>
      </w:r>
      <w:r>
        <w:t xml:space="preserve"> </w:t>
      </w:r>
      <w:r>
        <w:t xml:space="preserve">integrity of the data held in the EUTL and the Union Registry. The European carbon market</w:t>
      </w:r>
      <w:r>
        <w:t xml:space="preserve"> </w:t>
      </w:r>
      <w:r>
        <w:t xml:space="preserve">has experienced significant growth, with the total asset value in the Union Registry now</w:t>
      </w:r>
      <w:r>
        <w:t xml:space="preserve"> </w:t>
      </w:r>
      <w:r>
        <w:t xml:space="preserve">exceeding EUR 200 billion, and the carbon price has been steadily increasing, making it an</w:t>
      </w:r>
      <w:r>
        <w:t xml:space="preserve"> </w:t>
      </w:r>
      <w:r>
        <w:t xml:space="preserve">attractive target for cyber-attacks. Challenges in operating the system within the Commission’s</w:t>
      </w:r>
      <w:r>
        <w:t xml:space="preserve"> </w:t>
      </w:r>
      <w:r>
        <w:t xml:space="preserve">internal governance structure, facing budgetary and human resources constraints, remain. The</w:t>
      </w:r>
      <w:r>
        <w:t xml:space="preserve"> </w:t>
      </w:r>
      <w:r>
        <w:t xml:space="preserve">studies informed that a new operating model would be required to thoroughly address the</w:t>
      </w:r>
      <w:r>
        <w:t xml:space="preserve"> </w:t>
      </w:r>
      <w:r>
        <w:t xml:space="preserve">remaining issues and achieve the highest compliance with applicable financial market</w:t>
      </w:r>
      <w:r>
        <w:t xml:space="preserve"> </w:t>
      </w:r>
      <w:r>
        <w:t xml:space="preserve">frameworks. An evaluation of the costs needed to have adequate infrastructure indicates that</w:t>
      </w:r>
      <w:r>
        <w:t xml:space="preserve"> </w:t>
      </w:r>
      <w:r>
        <w:t xml:space="preserve">the proposed amount needed is EUR 30-40 million per year. This investment would be justified,</w:t>
      </w:r>
      <w:r>
        <w:t xml:space="preserve"> </w:t>
      </w:r>
      <w:r>
        <w:t xml:space="preserve">as the cost of a proper infrastructure would represent only 0.00016% of the assets hold in the</w:t>
      </w:r>
    </w:p>
    <w:p>
      <w:pPr>
        <w:pStyle w:val="BodyText"/>
      </w:pPr>
      <w:r>
        <w:t xml:space="preserve">216</w:t>
      </w:r>
      <w:r>
        <w:t xml:space="preserve"> </w:t>
      </w:r>
      <w:r>
        <w:t xml:space="preserve">Union Registry and would ensure the integrity and security of the system and the European</w:t>
      </w:r>
      <w:r>
        <w:t xml:space="preserve"> </w:t>
      </w:r>
      <w:r>
        <w:t xml:space="preserve">carbon market. The creation of a new infrastructure would be essential to mitigate the growing</w:t>
      </w:r>
      <w:r>
        <w:t xml:space="preserve"> </w:t>
      </w:r>
      <w:r>
        <w:t xml:space="preserve">threats and address the remaining issues, and the investment would be a critical step in</w:t>
      </w:r>
      <w:r>
        <w:t xml:space="preserve"> </w:t>
      </w:r>
      <w:r>
        <w:t xml:space="preserve">maintaining the trust and stability of the European carbon market. The efficiency of the Union</w:t>
      </w:r>
      <w:r>
        <w:t xml:space="preserve"> </w:t>
      </w:r>
      <w:r>
        <w:t xml:space="preserve">Registry, regarding the value of the assets, is linked to the creation and improvement of the IT</w:t>
      </w:r>
      <w:r>
        <w:t xml:space="preserve"> </w:t>
      </w:r>
      <w:r>
        <w:t xml:space="preserve">infrastructure.</w:t>
      </w:r>
      <w:r>
        <w:t xml:space="preserve"> </w:t>
      </w:r>
      <w:r>
        <w:t xml:space="preserve">8.6.5 Conclusion</w:t>
      </w:r>
      <w:r>
        <w:br/>
      </w:r>
      <w:r>
        <w:t xml:space="preserve">The evaluation of the Union Registry from 2018 to 2023 demonstrates its effectiveness in</w:t>
      </w:r>
      <w:r>
        <w:t xml:space="preserve"> </w:t>
      </w:r>
      <w:r>
        <w:t xml:space="preserve">maintaining a reliable and secure IT system for tracking the creation, allocation, surrender, and</w:t>
      </w:r>
      <w:r>
        <w:t xml:space="preserve"> </w:t>
      </w:r>
      <w:r>
        <w:t xml:space="preserve">reversal of allowances. The Registry operated efficiently, maintaining 99% uptime despite</w:t>
      </w:r>
      <w:r>
        <w:t xml:space="preserve"> </w:t>
      </w:r>
      <w:r>
        <w:t xml:space="preserve">scheduled upgrades and minor technical issues, particularly in 2020. It successfully provides</w:t>
      </w:r>
      <w:r>
        <w:t xml:space="preserve"> </w:t>
      </w:r>
      <w:r>
        <w:t xml:space="preserve">accurate, up-to-date, and publicly accessible information vital for ETS reporting, ensuring</w:t>
      </w:r>
      <w:r>
        <w:t xml:space="preserve"> </w:t>
      </w:r>
      <w:r>
        <w:t xml:space="preserve">transparency and accountability while supporting compliance monitoring, market integrity, and</w:t>
      </w:r>
      <w:r>
        <w:t xml:space="preserve"> </w:t>
      </w:r>
      <w:r>
        <w:t xml:space="preserve">informed decision-making. However, the Registry encounters challenges such as the limited</w:t>
      </w:r>
      <w:r>
        <w:t xml:space="preserve"> </w:t>
      </w:r>
      <w:r>
        <w:t xml:space="preserve">LEIs, impacting financial supervisory capabilities, though integration is underway.</w:t>
      </w:r>
      <w:r>
        <w:t xml:space="preserve"> </w:t>
      </w:r>
      <w:r>
        <w:t xml:space="preserve">Furthermore, while the security framework developed has protected data confidentiality and</w:t>
      </w:r>
      <w:r>
        <w:t xml:space="preserve"> </w:t>
      </w:r>
      <w:r>
        <w:t xml:space="preserve">system integrity, emerging threats necessitate ongoing enhancements. The Registry’s cost</w:t>
      </w:r>
      <w:r>
        <w:t xml:space="preserve"> </w:t>
      </w:r>
      <w:r>
        <w:t xml:space="preserve">efficiency reveals significant fee variations across Member States and limitations in resources,</w:t>
      </w:r>
      <w:r>
        <w:t xml:space="preserve"> </w:t>
      </w:r>
      <w:r>
        <w:t xml:space="preserve">which are crucial for system confidentiality and integrity. To address the evolving threats and</w:t>
      </w:r>
      <w:r>
        <w:t xml:space="preserve"> </w:t>
      </w:r>
      <w:r>
        <w:t xml:space="preserve">resource constraints faced by the Union Registry, enhancements would be recommended.</w:t>
      </w:r>
      <w:r>
        <w:t xml:space="preserve"> </w:t>
      </w:r>
      <w:r>
        <w:t xml:space="preserve">Studies suggest adapting security measures to meet increasing IT risks and market changes,</w:t>
      </w:r>
      <w:r>
        <w:t xml:space="preserve"> </w:t>
      </w:r>
      <w:r>
        <w:t xml:space="preserve">ensuring the system’s integrity remains robust. Strengthening the infrastructure security and</w:t>
      </w:r>
      <w:r>
        <w:t xml:space="preserve"> </w:t>
      </w:r>
      <w:r>
        <w:t xml:space="preserve">revising the operating model would be necessary to align with financial market frameworks.</w:t>
      </w:r>
      <w:r>
        <w:t xml:space="preserve"> </w:t>
      </w:r>
      <w:r>
        <w:t xml:space="preserve">Investment in a new operating model, estimated at EUR 30-40 million annually, would enhance</w:t>
      </w:r>
      <w:r>
        <w:t xml:space="preserve"> </w:t>
      </w:r>
      <w:r>
        <w:t xml:space="preserve">these security measures without posing a significant financial burden, representing only</w:t>
      </w:r>
      <w:r>
        <w:t xml:space="preserve"> </w:t>
      </w:r>
      <w:r>
        <w:t xml:space="preserve">0.00016% of the assets held within the Registry. This investment would guaranty the overall</w:t>
      </w:r>
      <w:r>
        <w:t xml:space="preserve"> </w:t>
      </w:r>
      <w:r>
        <w:t xml:space="preserve">security and integrity of the system and ensuring the credibility and reliability of the European</w:t>
      </w:r>
      <w:r>
        <w:t xml:space="preserve"> </w:t>
      </w:r>
      <w:r>
        <w:t xml:space="preserve">carbon market.</w:t>
      </w:r>
    </w:p>
    <w:p>
      <w:pPr>
        <w:pStyle w:val="BodyText"/>
      </w:pPr>
      <w:r>
        <w:t xml:space="preserve">217</w:t>
      </w:r>
      <w:r>
        <w:t xml:space="preserve"> </w:t>
      </w:r>
      <w:r>
        <w:t xml:space="preserve">8.7</w:t>
      </w:r>
      <w:r>
        <w:t xml:space="preserve"> </w:t>
      </w:r>
      <w:r>
        <w:t xml:space="preserve">Auctioning</w:t>
      </w:r>
      <w:r>
        <w:t xml:space="preserve"> </w:t>
      </w:r>
      <w:r>
        <w:t xml:space="preserve">8.7.1 Introduction</w:t>
      </w:r>
      <w:r>
        <w:br/>
      </w:r>
      <w:r>
        <w:t xml:space="preserve">Since January 2013 auctioning is the default method for allocating allowances within the</w:t>
      </w:r>
      <w:r>
        <w:t xml:space="preserve"> </w:t>
      </w:r>
      <w:r>
        <w:t xml:space="preserve">European Union Emission Trading System (EU ETS). The auctioning system plays a vital role</w:t>
      </w:r>
      <w:r>
        <w:t xml:space="preserve"> </w:t>
      </w:r>
      <w:r>
        <w:t xml:space="preserve">in the EU ETS, enabling Member States to generate revenues while promoting a market-based</w:t>
      </w:r>
      <w:r>
        <w:t xml:space="preserve"> </w:t>
      </w:r>
      <w:r>
        <w:t xml:space="preserve">approach to reduce greenhouse gas emission. Between 2015 and 2023, over 5 billion</w:t>
      </w:r>
      <w:r>
        <w:t xml:space="preserve"> </w:t>
      </w:r>
      <w:r>
        <w:t xml:space="preserve">allowances were auctioned, generating more than 169 billion EUR.</w:t>
      </w:r>
      <w:r>
        <w:t xml:space="preserve"> </w:t>
      </w:r>
      <w:r>
        <w:t xml:space="preserve">The ETS Directive304 establishes a regulatory framework for auctioning allowances. As of</w:t>
      </w:r>
      <w:r>
        <w:t xml:space="preserve"> </w:t>
      </w:r>
      <w:r>
        <w:t xml:space="preserve">2019, Member States are mandated to auction all allowances that are not allocated free of</w:t>
      </w:r>
      <w:r>
        <w:t xml:space="preserve"> </w:t>
      </w:r>
      <w:r>
        <w:t xml:space="preserve">charge, with a share of 57% of allowances to be auctioned from 2021 onwards. The distribution</w:t>
      </w:r>
      <w:r>
        <w:t xml:space="preserve"> </w:t>
      </w:r>
      <w:r>
        <w:t xml:space="preserve">of auctioned allowances among Member States is determined by a combination of factors,</w:t>
      </w:r>
      <w:r>
        <w:t xml:space="preserve"> </w:t>
      </w:r>
      <w:r>
        <w:t xml:space="preserve">including historical emissions from installations covered by the ETS, with 90% of the total</w:t>
      </w:r>
      <w:r>
        <w:t xml:space="preserve"> </w:t>
      </w:r>
      <w:r>
        <w:t xml:space="preserve">allowance volume allocated to Member States according to their verified emissions and 10%</w:t>
      </w:r>
      <w:r>
        <w:t xml:space="preserve"> </w:t>
      </w:r>
      <w:r>
        <w:t xml:space="preserve">allocated to support solidarity, growth, and interconnections among Member States. The</w:t>
      </w:r>
      <w:r>
        <w:t xml:space="preserve"> </w:t>
      </w:r>
      <w:r>
        <w:t xml:space="preserve">Directive ensures that revenues generated from the auctioning of allowances are reinvested in</w:t>
      </w:r>
      <w:r>
        <w:t xml:space="preserve"> </w:t>
      </w:r>
      <w:r>
        <w:t xml:space="preserve">efforts to reduce greenhouse gas emissions and promote a low-carbon economy.</w:t>
      </w:r>
      <w:r>
        <w:t xml:space="preserve"> </w:t>
      </w:r>
      <w:r>
        <w:t xml:space="preserve">Pursuant to Article 10(4) of the ETS Directive, the Commission is empowered to adopt a</w:t>
      </w:r>
      <w:r>
        <w:t xml:space="preserve"> </w:t>
      </w:r>
      <w:r>
        <w:t xml:space="preserve">delegated act that outlines the timing, administration, and other key aspects of the auctioning</w:t>
      </w:r>
      <w:r>
        <w:t xml:space="preserve"> </w:t>
      </w:r>
      <w:r>
        <w:t xml:space="preserve">process. To ensure the integrity and effectiveness of this process, operators, and in particular</w:t>
      </w:r>
      <w:r>
        <w:t xml:space="preserve"> </w:t>
      </w:r>
      <w:r>
        <w:t xml:space="preserve">small and medium-sized enterprises (SMEs) as well as small emitters covered by the EU ETS,</w:t>
      </w:r>
      <w:r>
        <w:t xml:space="preserve"> </w:t>
      </w:r>
      <w:r>
        <w:t xml:space="preserve">must have full, fair and equitable access to the auctions and have simultaneous access to the</w:t>
      </w:r>
      <w:r>
        <w:t xml:space="preserve"> </w:t>
      </w:r>
      <w:r>
        <w:t xml:space="preserve">same information. Additionally, the organisation and participation in the auctions should also</w:t>
      </w:r>
      <w:r>
        <w:t xml:space="preserve"> </w:t>
      </w:r>
      <w:r>
        <w:t xml:space="preserve">be cost-efficient. The Auctioning Regulation305 consequently complements these core</w:t>
      </w:r>
      <w:r>
        <w:t xml:space="preserve"> </w:t>
      </w:r>
      <w:r>
        <w:t xml:space="preserve">requirements and establishes a robust framework for ensuring the transparency and efficiency</w:t>
      </w:r>
      <w:r>
        <w:t xml:space="preserve"> </w:t>
      </w:r>
      <w:r>
        <w:t xml:space="preserve">of the auction process.</w:t>
      </w:r>
      <w:r>
        <w:br/>
      </w:r>
      <w:r>
        <w:t xml:space="preserve">In 2018, the Auctioning Regulation was revised to align with the new EU ETS rules for the</w:t>
      </w:r>
      <w:r>
        <w:t xml:space="preserve"> </w:t>
      </w:r>
      <w:r>
        <w:t xml:space="preserve">2021-2030 period. The revised regulation introduced additional requirements namely the</w:t>
      </w:r>
      <w:r>
        <w:t xml:space="preserve"> </w:t>
      </w:r>
      <w:r>
        <w:t xml:space="preserve">classification of EU ETS allowances as financial instruments under Directive 2014/65/EU306</w:t>
      </w:r>
      <w:r>
        <w:t xml:space="preserve"> </w:t>
      </w:r>
      <w:r>
        <w:t xml:space="preserve">on markets in financial instruments (MiFID2). Those requirements strengthened the integrity</w:t>
      </w:r>
      <w:r>
        <w:t xml:space="preserve"> </w:t>
      </w:r>
      <w:r>
        <w:t xml:space="preserve">of the carbon market by preventing market abuse, money laundering, and terrorist financing.</w:t>
      </w:r>
      <w:r>
        <w:t xml:space="preserve"> </w:t>
      </w:r>
      <w:r>
        <w:t xml:space="preserve">New requirements have also been introduced for the determination of the annual auction</w:t>
      </w:r>
      <w:r>
        <w:t xml:space="preserve"> </w:t>
      </w:r>
      <w:r>
        <w:t xml:space="preserve">volumes, which can be reduced by up to 3% in certain circumstances.</w:t>
      </w:r>
      <w:r>
        <w:t xml:space="preserve"> </w:t>
      </w:r>
      <w:r>
        <w:t xml:space="preserve">From 2021 the European Investment Bank (EIB) was appointed to auction allowances for the</w:t>
      </w:r>
      <w:r>
        <w:t xml:space="preserve"> </w:t>
      </w:r>
      <w:r>
        <w:t xml:space="preserve">Innovation Fund and the Modernisation Fund. In addition, the auctioning system was</w:t>
      </w:r>
      <w:r>
        <w:t xml:space="preserve"> </w:t>
      </w:r>
      <w:r>
        <w:t xml:space="preserve">sufficiently agile to make quick adjustments that allowed, as of July 2023, the auctioning of</w:t>
      </w:r>
    </w:p>
    <w:p>
      <w:pPr>
        <w:pStyle w:val="BodyText"/>
      </w:pPr>
      <w:r>
        <w:t xml:space="preserve">304 Directive 2003/87/EC of the European Parliament and of the Council of 13 October 2003 establishing a</w:t>
      </w:r>
      <w:r>
        <w:t xml:space="preserve"> </w:t>
      </w:r>
      <w:r>
        <w:t xml:space="preserve">scheme for greenhouse gas emission allowance trading within the Community and amending Council</w:t>
      </w:r>
      <w:r>
        <w:t xml:space="preserve"> </w:t>
      </w:r>
      <w:r>
        <w:t xml:space="preserve">Directive 96/61/EC (Text with EEA relevance)</w:t>
      </w:r>
      <w:r>
        <w:t xml:space="preserve"> </w:t>
      </w:r>
      <w:r>
        <w:t xml:space="preserve">305 Commission Regulation (EU) No 1031/2010 of 12 November 2010 on the timing, administration and other</w:t>
      </w:r>
      <w:r>
        <w:t xml:space="preserve"> </w:t>
      </w:r>
      <w:r>
        <w:t xml:space="preserve">aspects of auctioning of greenhouse gas emission allowances pursuant to Directive 2003/87/EC of the</w:t>
      </w:r>
      <w:r>
        <w:t xml:space="preserve"> </w:t>
      </w:r>
      <w:r>
        <w:t xml:space="preserve">European Parliament and of the Council establishing a scheme for greenhouse gas emission allowances</w:t>
      </w:r>
      <w:r>
        <w:t xml:space="preserve"> </w:t>
      </w:r>
      <w:r>
        <w:t xml:space="preserve">trading within the Community Text with EEA relevance</w:t>
      </w:r>
      <w:r>
        <w:t xml:space="preserve"> </w:t>
      </w:r>
      <w:r>
        <w:t xml:space="preserve">306 Directive 2014/65/EU of the European Parliament and of the Council of 15 May 2014 on markets in financial</w:t>
      </w:r>
      <w:r>
        <w:t xml:space="preserve"> </w:t>
      </w:r>
      <w:r>
        <w:t xml:space="preserve">instruments and amending Directive 2002/92/EC and Directive 2011/61/EU (recast) Text with EEA relevance</w:t>
      </w:r>
    </w:p>
    <w:p>
      <w:pPr>
        <w:pStyle w:val="BodyText"/>
      </w:pPr>
      <w:r>
        <w:t xml:space="preserve">218</w:t>
      </w:r>
      <w:r>
        <w:t xml:space="preserve"> </w:t>
      </w:r>
      <w:r>
        <w:t xml:space="preserve">allowances to generate EUR 20 billion for the Recovery and Resilience Facility (RRF) under</w:t>
      </w:r>
      <w:r>
        <w:t xml:space="preserve"> </w:t>
      </w:r>
      <w:r>
        <w:t xml:space="preserve">the REPowerEU Regulation (Regulation 2023/435)307</w:t>
      </w:r>
      <w:r>
        <w:t xml:space="preserve"> </w:t>
      </w:r>
      <w:r>
        <w:t xml:space="preserve">Figure 36: Volumes of allowances auctioned by EEX from 1 January 2015 to 31 December 2023</w:t>
      </w:r>
      <w:r>
        <w:br/>
      </w:r>
      <w:r>
        <w:t xml:space="preserve">Source: EEX data, Own illustration</w:t>
      </w:r>
      <w:r>
        <w:br/>
      </w:r>
      <w:r>
        <w:t xml:space="preserve">In 2018, the EU ETS auctioned 815 million allowances. Since 2019, with the introduction of</w:t>
      </w:r>
      <w:r>
        <w:t xml:space="preserve"> </w:t>
      </w:r>
      <w:r>
        <w:t xml:space="preserve">the Market Stability Reserve (MSR), the auctions volumes are adjusted based on the surplus or</w:t>
      </w:r>
      <w:r>
        <w:t xml:space="preserve"> </w:t>
      </w:r>
      <w:r>
        <w:t xml:space="preserve">deficit of allowances above or below pre-defined levels. This has stabilised the allowances</w:t>
      </w:r>
      <w:r>
        <w:t xml:space="preserve"> </w:t>
      </w:r>
      <w:r>
        <w:t xml:space="preserve">market. Some surplus was observed in 2020 and 2021 during the COVID-19 pandemic. In that</w:t>
      </w:r>
      <w:r>
        <w:t xml:space="preserve"> </w:t>
      </w:r>
      <w:r>
        <w:t xml:space="preserve">period, the drop in industrial production led to a decrease in the need of allowances. Other</w:t>
      </w:r>
      <w:r>
        <w:t xml:space="preserve"> </w:t>
      </w:r>
      <w:r>
        <w:t xml:space="preserve">mechanisms such as the Linear Reduction Factor (LRF) have played a crucial role in stabilizing</w:t>
      </w:r>
      <w:r>
        <w:t xml:space="preserve"> </w:t>
      </w:r>
      <w:r>
        <w:t xml:space="preserve">the allowances market. The increase in auctioned volume in 2023 reflects the additional</w:t>
      </w:r>
      <w:r>
        <w:t xml:space="preserve"> </w:t>
      </w:r>
      <w:r>
        <w:t xml:space="preserve">volumes allocated to the Recovery and Resilience Facility (RRF) under the REPowerEU</w:t>
      </w:r>
      <w:r>
        <w:t xml:space="preserve"> </w:t>
      </w:r>
      <w:r>
        <w:t xml:space="preserve">Regulation.</w:t>
      </w:r>
      <w:r>
        <w:t xml:space="preserve"> </w:t>
      </w:r>
      <w:r>
        <w:t xml:space="preserve">Figure 37: Evolution of the average monthly clearing price from 1 January 2015 to 31 December</w:t>
      </w:r>
      <w:r>
        <w:t xml:space="preserve"> </w:t>
      </w:r>
      <w:r>
        <w:t xml:space="preserve">2023</w:t>
      </w:r>
    </w:p>
    <w:p>
      <w:pPr>
        <w:pStyle w:val="BodyText"/>
      </w:pPr>
      <w:r>
        <w:t xml:space="preserve">Source: EEX data, Own illustration</w:t>
      </w:r>
    </w:p>
    <w:p>
      <w:pPr>
        <w:pStyle w:val="BodyText"/>
      </w:pPr>
      <w:r>
        <w:t xml:space="preserve">307 Regulation (EU) 2023/435 of the European Parliament and of the Council of 27 February 2023 amending</w:t>
      </w:r>
      <w:r>
        <w:t xml:space="preserve"> </w:t>
      </w:r>
      <w:r>
        <w:t xml:space="preserve">Regulation (EU) 2021/241 as regards REPowerEU chapters in recovery and resilience plans and amending</w:t>
      </w:r>
      <w:r>
        <w:t xml:space="preserve"> </w:t>
      </w:r>
      <w:r>
        <w:t xml:space="preserve">Regulations (EU) No 1303/2013, (EU) 2021/1060 and (EU) 2021/1755, and Directive 2003/87/EC</w:t>
      </w:r>
      <w:r>
        <w:t xml:space="preserve"> </w:t>
      </w:r>
      <w:r>
        <w:t xml:space="preserve">0,0 €</w:t>
      </w:r>
      <w:r>
        <w:t xml:space="preserve"> </w:t>
      </w:r>
      <w:r>
        <w:t xml:space="preserve">10,0 €</w:t>
      </w:r>
      <w:r>
        <w:t xml:space="preserve"> </w:t>
      </w:r>
      <w:r>
        <w:t xml:space="preserve">20,0 €</w:t>
      </w:r>
      <w:r>
        <w:t xml:space="preserve"> </w:t>
      </w:r>
      <w:r>
        <w:t xml:space="preserve">30,0 €</w:t>
      </w:r>
      <w:r>
        <w:t xml:space="preserve"> </w:t>
      </w:r>
      <w:r>
        <w:t xml:space="preserve">40,0 €</w:t>
      </w:r>
      <w:r>
        <w:t xml:space="preserve"> </w:t>
      </w:r>
      <w:r>
        <w:t xml:space="preserve">50,0 €</w:t>
      </w:r>
      <w:r>
        <w:t xml:space="preserve"> </w:t>
      </w:r>
      <w:r>
        <w:t xml:space="preserve">60,0 €</w:t>
      </w:r>
      <w:r>
        <w:t xml:space="preserve"> </w:t>
      </w:r>
      <w:r>
        <w:t xml:space="preserve">70,0 €</w:t>
      </w:r>
      <w:r>
        <w:t xml:space="preserve"> </w:t>
      </w:r>
      <w:r>
        <w:t xml:space="preserve">80,0 €</w:t>
      </w:r>
      <w:r>
        <w:t xml:space="preserve"> </w:t>
      </w:r>
      <w:r>
        <w:t xml:space="preserve">90,0 €</w:t>
      </w:r>
      <w:r>
        <w:t xml:space="preserve"> </w:t>
      </w:r>
      <w:r>
        <w:t xml:space="preserve">100,0 €</w:t>
      </w:r>
      <w:r>
        <w:t xml:space="preserve"> </w:t>
      </w:r>
      <w:r>
        <w:t xml:space="preserve">2015-01</w:t>
      </w:r>
      <w:r>
        <w:t xml:space="preserve"> </w:t>
      </w:r>
      <w:r>
        <w:t xml:space="preserve">2015-05</w:t>
      </w:r>
      <w:r>
        <w:t xml:space="preserve"> </w:t>
      </w:r>
      <w:r>
        <w:t xml:space="preserve">2015-09</w:t>
      </w:r>
      <w:r>
        <w:t xml:space="preserve"> </w:t>
      </w:r>
      <w:r>
        <w:t xml:space="preserve">2016-01</w:t>
      </w:r>
      <w:r>
        <w:t xml:space="preserve"> </w:t>
      </w:r>
      <w:r>
        <w:t xml:space="preserve">2016-05</w:t>
      </w:r>
      <w:r>
        <w:t xml:space="preserve"> </w:t>
      </w:r>
      <w:r>
        <w:t xml:space="preserve">2016-09</w:t>
      </w:r>
      <w:r>
        <w:t xml:space="preserve"> </w:t>
      </w:r>
      <w:r>
        <w:t xml:space="preserve">2017-01</w:t>
      </w:r>
      <w:r>
        <w:t xml:space="preserve"> </w:t>
      </w:r>
      <w:r>
        <w:t xml:space="preserve">2017-05</w:t>
      </w:r>
      <w:r>
        <w:t xml:space="preserve"> </w:t>
      </w:r>
      <w:r>
        <w:t xml:space="preserve">2017-09</w:t>
      </w:r>
      <w:r>
        <w:t xml:space="preserve"> </w:t>
      </w:r>
      <w:r>
        <w:t xml:space="preserve">2018-01</w:t>
      </w:r>
      <w:r>
        <w:t xml:space="preserve"> </w:t>
      </w:r>
      <w:r>
        <w:t xml:space="preserve">2018-05</w:t>
      </w:r>
      <w:r>
        <w:t xml:space="preserve"> </w:t>
      </w:r>
      <w:r>
        <w:t xml:space="preserve">2018-09</w:t>
      </w:r>
      <w:r>
        <w:t xml:space="preserve"> </w:t>
      </w:r>
      <w:r>
        <w:t xml:space="preserve">2019-01</w:t>
      </w:r>
      <w:r>
        <w:t xml:space="preserve"> </w:t>
      </w:r>
      <w:r>
        <w:t xml:space="preserve">2019-05</w:t>
      </w:r>
      <w:r>
        <w:t xml:space="preserve"> </w:t>
      </w:r>
      <w:r>
        <w:t xml:space="preserve">2019-09</w:t>
      </w:r>
      <w:r>
        <w:t xml:space="preserve"> </w:t>
      </w:r>
      <w:r>
        <w:t xml:space="preserve">2020-01</w:t>
      </w:r>
      <w:r>
        <w:t xml:space="preserve"> </w:t>
      </w:r>
      <w:r>
        <w:t xml:space="preserve">2020-05</w:t>
      </w:r>
      <w:r>
        <w:t xml:space="preserve"> </w:t>
      </w:r>
      <w:r>
        <w:t xml:space="preserve">2020-09</w:t>
      </w:r>
      <w:r>
        <w:t xml:space="preserve"> </w:t>
      </w:r>
      <w:r>
        <w:t xml:space="preserve">2021-01</w:t>
      </w:r>
      <w:r>
        <w:t xml:space="preserve"> </w:t>
      </w:r>
      <w:r>
        <w:t xml:space="preserve">2021-05</w:t>
      </w:r>
      <w:r>
        <w:t xml:space="preserve"> </w:t>
      </w:r>
      <w:r>
        <w:t xml:space="preserve">2021-09</w:t>
      </w:r>
      <w:r>
        <w:t xml:space="preserve"> </w:t>
      </w:r>
      <w:r>
        <w:t xml:space="preserve">2022-01</w:t>
      </w:r>
      <w:r>
        <w:t xml:space="preserve"> </w:t>
      </w:r>
      <w:r>
        <w:t xml:space="preserve">2022-05</w:t>
      </w:r>
      <w:r>
        <w:t xml:space="preserve"> </w:t>
      </w:r>
      <w:r>
        <w:t xml:space="preserve">2022-09</w:t>
      </w:r>
      <w:r>
        <w:t xml:space="preserve"> </w:t>
      </w:r>
      <w:r>
        <w:t xml:space="preserve">2023-01</w:t>
      </w:r>
      <w:r>
        <w:t xml:space="preserve"> </w:t>
      </w:r>
      <w:r>
        <w:t xml:space="preserve">2023-05</w:t>
      </w:r>
      <w:r>
        <w:t xml:space="preserve"> </w:t>
      </w:r>
      <w:r>
        <w:t xml:space="preserve">2023-09</w:t>
      </w:r>
      <w:r>
        <w:t xml:space="preserve"> </w:t>
      </w:r>
      <w:r>
        <w:t xml:space="preserve">0</w:t>
      </w:r>
      <w:r>
        <w:t xml:space="preserve"> </w:t>
      </w:r>
      <w:r>
        <w:t xml:space="preserve">100.000.000</w:t>
      </w:r>
      <w:r>
        <w:t xml:space="preserve"> </w:t>
      </w:r>
      <w:r>
        <w:t xml:space="preserve">200.000.000</w:t>
      </w:r>
      <w:r>
        <w:t xml:space="preserve"> </w:t>
      </w:r>
      <w:r>
        <w:t xml:space="preserve">300.000.000</w:t>
      </w:r>
      <w:r>
        <w:t xml:space="preserve"> </w:t>
      </w:r>
      <w:r>
        <w:t xml:space="preserve">400.000.000</w:t>
      </w:r>
      <w:r>
        <w:t xml:space="preserve"> </w:t>
      </w:r>
      <w:r>
        <w:t xml:space="preserve">500.000.000</w:t>
      </w:r>
      <w:r>
        <w:t xml:space="preserve"> </w:t>
      </w:r>
      <w:r>
        <w:t xml:space="preserve">600.000.000</w:t>
      </w:r>
      <w:r>
        <w:t xml:space="preserve"> </w:t>
      </w:r>
      <w:r>
        <w:t xml:space="preserve">700.000.000</w:t>
      </w:r>
      <w:r>
        <w:t xml:space="preserve"> </w:t>
      </w:r>
      <w:r>
        <w:t xml:space="preserve">800.000.000</w:t>
      </w:r>
      <w:r>
        <w:t xml:space="preserve"> </w:t>
      </w:r>
      <w:r>
        <w:t xml:space="preserve">900.000.000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</w:p>
    <w:p>
      <w:pPr>
        <w:pStyle w:val="BodyText"/>
      </w:pPr>
      <w:r>
        <w:t xml:space="preserve">219</w:t>
      </w:r>
      <w:r>
        <w:t xml:space="preserve"> </w:t>
      </w:r>
      <w:r>
        <w:t xml:space="preserve">Figure 38: Auction revenues from 1 January 2015 to 31 December 2023</w:t>
      </w:r>
      <w:r>
        <w:t xml:space="preserve"> </w:t>
      </w:r>
      <w:r>
        <w:t xml:space="preserve">Source: EEX data, Own illustration</w:t>
      </w:r>
      <w:r>
        <w:t xml:space="preserve"> </w:t>
      </w:r>
      <w:r>
        <w:t xml:space="preserve">The increase in EU ETS revenues between 2021 and 2023 can be attributed to a combination</w:t>
      </w:r>
      <w:r>
        <w:t xml:space="preserve"> </w:t>
      </w:r>
      <w:r>
        <w:t xml:space="preserve">of factors, including higher clearing prices, increased auction volumes, and changes in the</w:t>
      </w:r>
      <w:r>
        <w:t xml:space="preserve"> </w:t>
      </w:r>
      <w:r>
        <w:t xml:space="preserve">energy market. Indeed, the EU ETS Phase IV introduced several changes, including a more</w:t>
      </w:r>
      <w:r>
        <w:t xml:space="preserve"> </w:t>
      </w:r>
      <w:r>
        <w:t xml:space="preserve">ambitious emissions reduction target (-61% by 2030 compared to 2005 levels) and a higher</w:t>
      </w:r>
      <w:r>
        <w:t xml:space="preserve"> </w:t>
      </w:r>
      <w:r>
        <w:t xml:space="preserve">linear reduction factor (2.2% per year).</w:t>
      </w:r>
      <w:r>
        <w:t xml:space="preserve"> </w:t>
      </w:r>
      <w:r>
        <w:t xml:space="preserve">The substantial volume of allowances and resulting revenues generated through auctioning</w:t>
      </w:r>
      <w:r>
        <w:t xml:space="preserve"> </w:t>
      </w:r>
      <w:r>
        <w:t xml:space="preserve">make it a critical component to assess within the EU ETS. Following up on the 2015 Evaluation</w:t>
      </w:r>
      <w:r>
        <w:t xml:space="preserve"> </w:t>
      </w:r>
      <w:r>
        <w:t xml:space="preserve">of the ETS Directive, this evaluation focuses on the auctioning process, covering the period</w:t>
      </w:r>
      <w:r>
        <w:t xml:space="preserve"> </w:t>
      </w:r>
      <w:r>
        <w:t xml:space="preserve">from January 2015 to 2023.</w:t>
      </w:r>
      <w:r>
        <w:t xml:space="preserve"> </w:t>
      </w:r>
      <w:r>
        <w:t xml:space="preserve">Auctions are used to allocate two types of allowances: European Union Allowances (EUAs)</w:t>
      </w:r>
      <w:r>
        <w:t xml:space="preserve"> </w:t>
      </w:r>
      <w:r>
        <w:t xml:space="preserve">and Aviation Allowances (EUAAs). EUAs can be purchased by any entity and surrendered for</w:t>
      </w:r>
      <w:r>
        <w:t xml:space="preserve"> </w:t>
      </w:r>
      <w:r>
        <w:t xml:space="preserve">compliance by stationary or aircraft operators, whereas EUAAs can be bought by any entity</w:t>
      </w:r>
      <w:r>
        <w:t xml:space="preserve"> </w:t>
      </w:r>
      <w:r>
        <w:t xml:space="preserve">but can only be surrendered for compliance by aircraft operators. The volume and frequency</w:t>
      </w:r>
      <w:r>
        <w:t xml:space="preserve"> </w:t>
      </w:r>
      <w:r>
        <w:t xml:space="preserve">of EUAA auctions are significantly lower than those of EUA auctions, primarily due to the</w:t>
      </w:r>
      <w:r>
        <w:t xml:space="preserve"> </w:t>
      </w:r>
      <w:r>
        <w:t xml:space="preserve">scope of EUAAs, limited to the aviation sector. The high percentage of allowances allocated</w:t>
      </w:r>
      <w:r>
        <w:t xml:space="preserve"> </w:t>
      </w:r>
      <w:r>
        <w:t xml:space="preserve">for free in the aviation sector and the reduced coverage of flights, as per Regulation 189/2014</w:t>
      </w:r>
      <w:r>
        <w:t xml:space="preserve"> </w:t>
      </w:r>
      <w:r>
        <w:t xml:space="preserve">(following the</w:t>
      </w:r>
      <w:r>
        <w:t xml:space="preserve"> </w:t>
      </w:r>
      <w:r>
        <w:t xml:space="preserve">“stop-the-clock”</w:t>
      </w:r>
      <w:r>
        <w:t xml:space="preserve"> </w:t>
      </w:r>
      <w:r>
        <w:t xml:space="preserve">Decision 2014/746), also contribute to this disparity. As a</w:t>
      </w:r>
      <w:r>
        <w:t xml:space="preserve"> </w:t>
      </w:r>
      <w:r>
        <w:t xml:space="preserve">result, the conclusions drawn in this section primarily apply to EUA auctions, although they</w:t>
      </w:r>
      <w:r>
        <w:t xml:space="preserve"> </w:t>
      </w:r>
      <w:r>
        <w:t xml:space="preserve">may also be relevant to EUAA auctions to the extent that they are auctioned on the same</w:t>
      </w:r>
      <w:r>
        <w:t xml:space="preserve"> </w:t>
      </w:r>
      <w:r>
        <w:t xml:space="preserve">platform and follow the same rules and procedures.</w:t>
      </w:r>
      <w:r>
        <w:t xml:space="preserve"> </w:t>
      </w:r>
      <w:r>
        <w:t xml:space="preserve">Following the United Kingdom’s withdrawal from the European Union, the UK’s emissions are</w:t>
      </w:r>
      <w:r>
        <w:t xml:space="preserve"> </w:t>
      </w:r>
      <w:r>
        <w:t xml:space="preserve">no longer part of the EU ETS. This evaluation will therefore exclude the allowances that were</w:t>
      </w:r>
      <w:r>
        <w:t xml:space="preserve"> </w:t>
      </w:r>
      <w:r>
        <w:t xml:space="preserve">previously auctioned on the Intercontinental Exchange (ICE) platform for the UK.</w:t>
      </w:r>
      <w:r>
        <w:t xml:space="preserve"> </w:t>
      </w:r>
      <w:r>
        <w:t xml:space="preserve">This evaluation primarily considers the provisions outlined in the ETS Directive308, in</w:t>
      </w:r>
      <w:r>
        <w:t xml:space="preserve"> </w:t>
      </w:r>
      <w:r>
        <w:t xml:space="preserve">particular the principles of auction design listed in Article 10(4). According to these principles,</w:t>
      </w:r>
      <w:r>
        <w:t xml:space="preserve"> </w:t>
      </w:r>
      <w:r>
        <w:t xml:space="preserve">auctioning should be designed to ensure that:</w:t>
      </w:r>
    </w:p>
    <w:p>
      <w:pPr>
        <w:pStyle w:val="BodyText"/>
      </w:pPr>
      <w:r>
        <w:t xml:space="preserve">308 The Auctioning Regulation is not a primary focus of this evaluation</w:t>
      </w:r>
      <w:r>
        <w:t xml:space="preserve"> </w:t>
      </w:r>
      <w:r>
        <w:t xml:space="preserve">0</w:t>
      </w:r>
      <w:r>
        <w:t xml:space="preserve"> </w:t>
      </w:r>
      <w:r>
        <w:t xml:space="preserve">5.000.000.000</w:t>
      </w:r>
      <w:r>
        <w:t xml:space="preserve"> </w:t>
      </w:r>
      <w:r>
        <w:t xml:space="preserve">10.000.000.000</w:t>
      </w:r>
      <w:r>
        <w:t xml:space="preserve"> </w:t>
      </w:r>
      <w:r>
        <w:t xml:space="preserve">15.000.000.000</w:t>
      </w:r>
      <w:r>
        <w:t xml:space="preserve"> </w:t>
      </w:r>
      <w:r>
        <w:t xml:space="preserve">20.000.000.000</w:t>
      </w:r>
      <w:r>
        <w:t xml:space="preserve"> </w:t>
      </w:r>
      <w:r>
        <w:t xml:space="preserve">25.000.000.000</w:t>
      </w:r>
      <w:r>
        <w:t xml:space="preserve"> </w:t>
      </w:r>
      <w:r>
        <w:t xml:space="preserve">30.000.000.000</w:t>
      </w:r>
      <w:r>
        <w:t xml:space="preserve"> </w:t>
      </w:r>
      <w:r>
        <w:t xml:space="preserve">35.000.000.000</w:t>
      </w:r>
      <w:r>
        <w:t xml:space="preserve"> </w:t>
      </w:r>
      <w:r>
        <w:t xml:space="preserve">40.000.000.000</w:t>
      </w:r>
      <w:r>
        <w:t xml:space="preserve"> </w:t>
      </w:r>
      <w:r>
        <w:t xml:space="preserve">45.000.000.000</w:t>
      </w:r>
      <w:r>
        <w:t xml:space="preserve"> </w:t>
      </w:r>
      <w:r>
        <w:t xml:space="preserve">50.000.000.000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</w:p>
    <w:p>
      <w:pPr>
        <w:pStyle w:val="BodyText"/>
      </w:pPr>
      <w:r>
        <w:t xml:space="preserve">220</w:t>
      </w:r>
      <w:r>
        <w:t xml:space="preserve"> </w:t>
      </w:r>
      <w:r>
        <w:t xml:space="preserve">• auctioning is conducted in an open, transparent, harmonised and non-discriminatory</w:t>
      </w:r>
      <w:r>
        <w:t xml:space="preserve"> </w:t>
      </w:r>
      <w:r>
        <w:t xml:space="preserve">manner.</w:t>
      </w:r>
      <w:r>
        <w:t xml:space="preserve"> </w:t>
      </w:r>
      <w:r>
        <w:t xml:space="preserve">• operators, and any SMEs covered by the EU ETS, have full, fair and equitable</w:t>
      </w:r>
      <w:r>
        <w:t xml:space="preserve"> </w:t>
      </w:r>
      <w:r>
        <w:t xml:space="preserve">access.</w:t>
      </w:r>
      <w:r>
        <w:t xml:space="preserve"> </w:t>
      </w:r>
      <w:r>
        <w:t xml:space="preserve">• all participants have access to the same information at the same time and that</w:t>
      </w:r>
      <w:r>
        <w:t xml:space="preserve"> </w:t>
      </w:r>
      <w:r>
        <w:t xml:space="preserve">participants do not undermine the operation of the auctions.</w:t>
      </w:r>
      <w:r>
        <w:t xml:space="preserve"> </w:t>
      </w:r>
      <w:r>
        <w:t xml:space="preserve">• the organisation of, and participation in, the auctions is cost-efficient and undue</w:t>
      </w:r>
      <w:r>
        <w:t xml:space="preserve"> </w:t>
      </w:r>
      <w:r>
        <w:t xml:space="preserve">administrative costs are avoided; and</w:t>
      </w:r>
      <w:r>
        <w:t xml:space="preserve"> </w:t>
      </w:r>
      <w:r>
        <w:t xml:space="preserve">• access to allowances is granted to small emitters.</w:t>
      </w:r>
      <w:r>
        <w:t xml:space="preserve"> </w:t>
      </w:r>
      <w:r>
        <w:t xml:space="preserve">The auction system has been in operation for several years. For the purpose of this evaluation,</w:t>
      </w:r>
      <w:r>
        <w:t xml:space="preserve"> </w:t>
      </w:r>
      <w:r>
        <w:t xml:space="preserve">we focused on assessing its effectiveness and efficiency, as these aspects can be more readily</w:t>
      </w:r>
      <w:r>
        <w:t xml:space="preserve"> </w:t>
      </w:r>
      <w:r>
        <w:t xml:space="preserve">measured. Other evaluation criteria, such as relevance and coherence, are more challenging to</w:t>
      </w:r>
      <w:r>
        <w:t xml:space="preserve"> </w:t>
      </w:r>
      <w:r>
        <w:t xml:space="preserve">quantify and would require additional data or counterfactual scenarios. Therefore, our</w:t>
      </w:r>
      <w:r>
        <w:t xml:space="preserve"> </w:t>
      </w:r>
      <w:r>
        <w:t xml:space="preserve">evaluation will primarily examine how well the individual components of the auction system</w:t>
      </w:r>
      <w:r>
        <w:t xml:space="preserve"> </w:t>
      </w:r>
      <w:r>
        <w:t xml:space="preserve">are functioning and whether they are achieving their intended objectives.</w:t>
      </w:r>
      <w:r>
        <w:t xml:space="preserve"> </w:t>
      </w:r>
      <w:r>
        <w:t xml:space="preserve">8.7.2 Point of comparison</w:t>
      </w:r>
      <w:r>
        <w:t xml:space="preserve"> </w:t>
      </w:r>
      <w:r>
        <w:t xml:space="preserve">Provisions of relevance from the 2018 ETS Directive</w:t>
      </w:r>
      <w:r>
        <w:br/>
      </w:r>
      <w:r>
        <w:t xml:space="preserve">Following the revision to the ETS Directive in 2018, several changes have been made that are</w:t>
      </w:r>
      <w:r>
        <w:t xml:space="preserve"> </w:t>
      </w:r>
      <w:r>
        <w:t xml:space="preserve">relevant to the auctioning process. The changes concern the overall share of allowances to be</w:t>
      </w:r>
      <w:r>
        <w:t xml:space="preserve"> </w:t>
      </w:r>
      <w:r>
        <w:t xml:space="preserve">auctioned, as well as their distribution to the Member States and to the Modernisation and</w:t>
      </w:r>
      <w:r>
        <w:t xml:space="preserve"> </w:t>
      </w:r>
      <w:r>
        <w:t xml:space="preserve">Innovation Funds, established for Phase IV of the ETS. The main legal provisions are as</w:t>
      </w:r>
      <w:r>
        <w:t xml:space="preserve"> </w:t>
      </w:r>
      <w:r>
        <w:t xml:space="preserve">follows:</w:t>
      </w:r>
      <w:r>
        <w:br/>
      </w:r>
      <w:r>
        <w:t xml:space="preserve">• Article 10, paragraph 1 was amended as follows:</w:t>
      </w:r>
      <w:r>
        <w:br/>
      </w:r>
      <w:r>
        <w:t xml:space="preserve">From 2021 onwards, and without prejudice to a possible reduction pursuant to Article 10a(5a),</w:t>
      </w:r>
      <w:r>
        <w:t xml:space="preserve"> </w:t>
      </w:r>
      <w:r>
        <w:t xml:space="preserve">the share of allowances to be auctioned shall be 57 %.</w:t>
      </w:r>
      <w:r>
        <w:t xml:space="preserve"> </w:t>
      </w:r>
      <w:r>
        <w:t xml:space="preserve">• Article 10, paragraph 1, was amended as follows:</w:t>
      </w:r>
      <w:r>
        <w:br/>
      </w:r>
      <w:r>
        <w:t xml:space="preserve">2 % of the total quantity of allowances between 2021 and 2030 shall be auctioned to establish</w:t>
      </w:r>
      <w:r>
        <w:t xml:space="preserve"> </w:t>
      </w:r>
      <w:r>
        <w:t xml:space="preserve">a fund to improve energy efficiency and modernise the energy systems of certain</w:t>
      </w:r>
      <w:r>
        <w:t xml:space="preserve"> </w:t>
      </w:r>
      <w:r>
        <w:t xml:space="preserve">Member States as set out in Article 10d (‘the Modernisation Fund’).</w:t>
      </w:r>
      <w:r>
        <w:t xml:space="preserve"> </w:t>
      </w:r>
      <w:r>
        <w:t xml:space="preserve">• Article 10a, paragraph 8, was added as follows:</w:t>
      </w:r>
      <w:r>
        <w:t xml:space="preserve"> </w:t>
      </w:r>
      <w:r>
        <w:t xml:space="preserve">325 million allowances from the quantity which could otherwise be allocated for free pursuant</w:t>
      </w:r>
      <w:r>
        <w:t xml:space="preserve"> </w:t>
      </w:r>
      <w:r>
        <w:t xml:space="preserve">to this Article, and 75 million allowances from the quantity which could otherwise be auctioned</w:t>
      </w:r>
      <w:r>
        <w:t xml:space="preserve"> </w:t>
      </w:r>
      <w:r>
        <w:t xml:space="preserve">pursuant to Article 10, shall be made available to support innovation in low-carbon</w:t>
      </w:r>
      <w:r>
        <w:t xml:space="preserve"> </w:t>
      </w:r>
      <w:r>
        <w:t xml:space="preserve">technologies and processes in sectors listed in Annex I, including environmentally safe carbon</w:t>
      </w:r>
      <w:r>
        <w:t xml:space="preserve"> </w:t>
      </w:r>
      <w:r>
        <w:t xml:space="preserve">capture and utilisation (‘CCU’) that contributes substantially to mitigating climate change, as</w:t>
      </w:r>
      <w:r>
        <w:t xml:space="preserve"> </w:t>
      </w:r>
      <w:r>
        <w:t xml:space="preserve">well as products substituting carbon intensive ones produced in sectors listed in Annex I, and</w:t>
      </w:r>
      <w:r>
        <w:t xml:space="preserve"> </w:t>
      </w:r>
      <w:r>
        <w:t xml:space="preserve">to help stimulate the construction and operation of projects that aim at the environmentally safe</w:t>
      </w:r>
      <w:r>
        <w:t xml:space="preserve"> </w:t>
      </w:r>
      <w:r>
        <w:t xml:space="preserve">capture and geological storage (‘CCS’) of CO2, as well as of innovative renewable energy and</w:t>
      </w:r>
      <w:r>
        <w:t xml:space="preserve"> </w:t>
      </w:r>
      <w:r>
        <w:t xml:space="preserve">energy storage technologies; in geographically balanced locations within the territory of the</w:t>
      </w:r>
      <w:r>
        <w:t xml:space="preserve"> </w:t>
      </w:r>
      <w:r>
        <w:t xml:space="preserve">Union (the ‘innovation fund’). Projects in all Member States, including small-scale projects,</w:t>
      </w:r>
      <w:r>
        <w:t xml:space="preserve"> </w:t>
      </w:r>
      <w:r>
        <w:t xml:space="preserve">shall be eligible.</w:t>
      </w:r>
      <w:r>
        <w:t xml:space="preserve"> </w:t>
      </w:r>
      <w:r>
        <w:t xml:space="preserve">In addition, 50 million unallocated allowances from the market stability reserve shall</w:t>
      </w:r>
      <w:r>
        <w:t xml:space="preserve"> </w:t>
      </w:r>
      <w:r>
        <w:t xml:space="preserve">supplement any remaining revenues from the 300 million allowances available in the period</w:t>
      </w:r>
    </w:p>
    <w:p>
      <w:pPr>
        <w:pStyle w:val="BodyText"/>
      </w:pPr>
      <w:r>
        <w:t xml:space="preserve">221</w:t>
      </w:r>
      <w:r>
        <w:t xml:space="preserve"> </w:t>
      </w:r>
      <w:r>
        <w:t xml:space="preserve">from 2013 to 2020 under Commission Decision 2010/670/EU ( 5 ), and shall be used in a</w:t>
      </w:r>
      <w:r>
        <w:t xml:space="preserve"> </w:t>
      </w:r>
      <w:r>
        <w:t xml:space="preserve">timely manner for innovation support as referred to in the first subparagraph.</w:t>
      </w:r>
      <w:r>
        <w:t xml:space="preserve"> </w:t>
      </w:r>
      <w:r>
        <w:t xml:space="preserve">• Article 10, paragraph 2 (a) was amended as follows:</w:t>
      </w:r>
      <w:r>
        <w:br/>
      </w:r>
      <w:r>
        <w:t xml:space="preserve">The total quantity of allowances to be auctioned by each Member State shall be composed as</w:t>
      </w:r>
      <w:r>
        <w:t xml:space="preserve"> </w:t>
      </w:r>
      <w:r>
        <w:t xml:space="preserve">follows: 90 % of the total quantity of allowances to be auctioned being distributed amongst</w:t>
      </w:r>
      <w:r>
        <w:t xml:space="preserve"> </w:t>
      </w:r>
      <w:r>
        <w:t xml:space="preserve">Member States in shares that are identical to the share of verified emissions under the EU</w:t>
      </w:r>
      <w:r>
        <w:t xml:space="preserve"> </w:t>
      </w:r>
      <w:r>
        <w:t xml:space="preserve">ETS for 2005 or the average of the period from 2005 to 2007, whichever one is the highest, of</w:t>
      </w:r>
      <w:r>
        <w:t xml:space="preserve"> </w:t>
      </w:r>
      <w:r>
        <w:t xml:space="preserve">the Member State concerned;</w:t>
      </w:r>
      <w:r>
        <w:t xml:space="preserve"> </w:t>
      </w:r>
      <w:r>
        <w:t xml:space="preserve">• Article 10, paragraph 2 (b) was amended as follows:</w:t>
      </w:r>
      <w:r>
        <w:br/>
      </w:r>
      <w:r>
        <w:t xml:space="preserve">10 % of the total quantity of allowances to be auctioned being distributed amongst certain</w:t>
      </w:r>
      <w:r>
        <w:t xml:space="preserve"> </w:t>
      </w:r>
      <w:r>
        <w:t xml:space="preserve">Member States for the purposes of solidarity, growth and interconnections within the Union,</w:t>
      </w:r>
      <w:r>
        <w:t xml:space="preserve"> </w:t>
      </w:r>
      <w:r>
        <w:t xml:space="preserve">thereby increasing the number of allowances that those Member States auction under point (a)</w:t>
      </w:r>
      <w:r>
        <w:t xml:space="preserve"> </w:t>
      </w:r>
      <w:r>
        <w:t xml:space="preserve">by the percentages specified in Annex I.</w:t>
      </w:r>
      <w:r>
        <w:t xml:space="preserve"> </w:t>
      </w:r>
      <w:r>
        <w:t xml:space="preserve">• While the above provisions in the ETS Directive are relevant for determining the</w:t>
      </w:r>
      <w:r>
        <w:t xml:space="preserve"> </w:t>
      </w:r>
      <w:r>
        <w:t xml:space="preserve">quantity and distribution of allowances to be auctioned, the main provision that lies at</w:t>
      </w:r>
      <w:r>
        <w:t xml:space="preserve"> </w:t>
      </w:r>
      <w:r>
        <w:t xml:space="preserve">the basis of the detailed rules for the functioning of the auctioning system can be found</w:t>
      </w:r>
      <w:r>
        <w:t xml:space="preserve"> </w:t>
      </w:r>
      <w:r>
        <w:t xml:space="preserve">in Article 10, paragraph 4 as follows:</w:t>
      </w:r>
      <w:r>
        <w:t xml:space="preserve"> </w:t>
      </w:r>
      <w:r>
        <w:t xml:space="preserve">The Commission is empowered to adopt delegated acts in accordance with Article 23 to</w:t>
      </w:r>
      <w:r>
        <w:t xml:space="preserve"> </w:t>
      </w:r>
      <w:r>
        <w:t xml:space="preserve">supplement this Directive concerning the timing, administration and other aspects of</w:t>
      </w:r>
      <w:r>
        <w:t xml:space="preserve"> </w:t>
      </w:r>
      <w:r>
        <w:t xml:space="preserve">auctioning, in order to ensure that it is conducted in an open, transparent, harmonised and non-</w:t>
      </w:r>
      <w:r>
        <w:t xml:space="preserve"> </w:t>
      </w:r>
      <w:r>
        <w:t xml:space="preserve">discriminatory manner. To that end, the process shall be predictable, in particular as regards</w:t>
      </w:r>
      <w:r>
        <w:t xml:space="preserve"> </w:t>
      </w:r>
      <w:r>
        <w:t xml:space="preserve">the timing and sequencing of auctions and the estimated volumes of allowances to be made</w:t>
      </w:r>
      <w:r>
        <w:t xml:space="preserve"> </w:t>
      </w:r>
      <w:r>
        <w:t xml:space="preserve">available.</w:t>
      </w:r>
      <w:r>
        <w:t xml:space="preserve"> </w:t>
      </w:r>
      <w:r>
        <w:t xml:space="preserve">On the basis of the empowerment in Article 10(4) of the ETS Directive, the Commission</w:t>
      </w:r>
      <w:r>
        <w:t xml:space="preserve"> </w:t>
      </w:r>
      <w:r>
        <w:t xml:space="preserve">developed and adopted the Commission Regulation (EU) No 1031/2010 of 12 November 2010</w:t>
      </w:r>
      <w:r>
        <w:t xml:space="preserve"> </w:t>
      </w:r>
      <w:r>
        <w:t xml:space="preserve">on the timing, administration and other aspects of auctioning of greenhouse gas emission</w:t>
      </w:r>
      <w:r>
        <w:t xml:space="preserve"> </w:t>
      </w:r>
      <w:r>
        <w:t xml:space="preserve">allowances pursuant to Directive 2003/87/EC of the European Parliament and of the Council</w:t>
      </w:r>
      <w:r>
        <w:t xml:space="preserve"> </w:t>
      </w:r>
      <w:r>
        <w:t xml:space="preserve">establishing a system for greenhouse gas emission allowances trading within the Union (the</w:t>
      </w:r>
      <w:r>
        <w:t xml:space="preserve"> </w:t>
      </w:r>
      <w:r>
        <w:t xml:space="preserve">Auctioning Regulation). The main elements regulated in the Auctioning Regulation, are as</w:t>
      </w:r>
      <w:r>
        <w:t xml:space="preserve"> </w:t>
      </w:r>
      <w:r>
        <w:t xml:space="preserve">follows:</w:t>
      </w:r>
      <w:r>
        <w:t xml:space="preserve"> </w:t>
      </w:r>
      <w:r>
        <w:t xml:space="preserve">• the design of auctions (auctioned products, auction format, submission and withdrawal</w:t>
      </w:r>
      <w:r>
        <w:t xml:space="preserve"> </w:t>
      </w:r>
      <w:r>
        <w:t xml:space="preserve">of bids, auction clearing price and resolution of tied bids).).</w:t>
      </w:r>
      <w:r>
        <w:t xml:space="preserve"> </w:t>
      </w:r>
      <w:r>
        <w:t xml:space="preserve">• auction calendars (timing, frequency and distribution of the volume of allowances,</w:t>
      </w:r>
      <w:r>
        <w:t xml:space="preserve"> </w:t>
      </w:r>
      <w:r>
        <w:t xml:space="preserve">circumstances preventing auctions from taking place, annual volumes of auctioned</w:t>
      </w:r>
      <w:r>
        <w:t xml:space="preserve"> </w:t>
      </w:r>
      <w:r>
        <w:t xml:space="preserve">allowances).).</w:t>
      </w:r>
      <w:r>
        <w:t xml:space="preserve"> </w:t>
      </w:r>
      <w:r>
        <w:t xml:space="preserve">• access to auctions.</w:t>
      </w:r>
      <w:r>
        <w:t xml:space="preserve"> </w:t>
      </w:r>
      <w:r>
        <w:t xml:space="preserve">• appointment of auctioneer(s) and related tasks.</w:t>
      </w:r>
      <w:r>
        <w:t xml:space="preserve"> </w:t>
      </w:r>
      <w:r>
        <w:t xml:space="preserve">• procedures for the cancellation of allowances.</w:t>
      </w:r>
      <w:r>
        <w:t xml:space="preserve"> </w:t>
      </w:r>
      <w:r>
        <w:t xml:space="preserve">• appointment of a common auction platform and services that the platform provides to</w:t>
      </w:r>
      <w:r>
        <w:t xml:space="preserve"> </w:t>
      </w:r>
      <w:r>
        <w:t xml:space="preserve">Member States and the Commission.</w:t>
      </w:r>
      <w:r>
        <w:t xml:space="preserve"> </w:t>
      </w:r>
      <w:r>
        <w:t xml:space="preserve">• appointment and tasks of opt-out auction platforms (where a Member State does not</w:t>
      </w:r>
      <w:r>
        <w:t xml:space="preserve"> </w:t>
      </w:r>
      <w:r>
        <w:t xml:space="preserve">participate in the appointment of the common auction platform).</w:t>
      </w:r>
      <w:r>
        <w:t xml:space="preserve"> </w:t>
      </w:r>
      <w:r>
        <w:t xml:space="preserve">During the evaluation period, the Auctioning Regulation was amended three times by:</w:t>
      </w:r>
    </w:p>
    <w:p>
      <w:pPr>
        <w:pStyle w:val="BodyText"/>
      </w:pPr>
      <w:r>
        <w:t xml:space="preserve">222</w:t>
      </w:r>
      <w:r>
        <w:t xml:space="preserve"> </w:t>
      </w:r>
      <w:r>
        <w:t xml:space="preserve">• Commission Regulation (EU) 2017/1902 of 18 October 2017 amending Commission</w:t>
      </w:r>
      <w:r>
        <w:t xml:space="preserve"> </w:t>
      </w:r>
      <w:r>
        <w:t xml:space="preserve">Regulation (EU) No 1031/2010 to align the auctioning of allowances with Decision</w:t>
      </w:r>
      <w:r>
        <w:t xml:space="preserve"> </w:t>
      </w:r>
      <w:r>
        <w:t xml:space="preserve">(EU) 2015/1814 of the European Parliament and of the Council and to list an auction</w:t>
      </w:r>
      <w:r>
        <w:t xml:space="preserve"> </w:t>
      </w:r>
      <w:r>
        <w:t xml:space="preserve">platform to be appointed by the United Kingdom.</w:t>
      </w:r>
      <w:r>
        <w:t xml:space="preserve"> </w:t>
      </w:r>
      <w:r>
        <w:t xml:space="preserve">• Commission Delegated Regulation (EU) 2019/7 of 30 October 2018 amending</w:t>
      </w:r>
      <w:r>
        <w:t xml:space="preserve"> </w:t>
      </w:r>
      <w:r>
        <w:t xml:space="preserve">Regulation (EU) No 1031/2010 as regards the auctioning of 50 million unallocated</w:t>
      </w:r>
      <w:r>
        <w:t xml:space="preserve"> </w:t>
      </w:r>
      <w:r>
        <w:t xml:space="preserve">allowances from the market stability reserve for the innovation fund and to list an</w:t>
      </w:r>
      <w:r>
        <w:t xml:space="preserve"> </w:t>
      </w:r>
      <w:r>
        <w:t xml:space="preserve">auction platform to be appointed by Germany.</w:t>
      </w:r>
      <w:r>
        <w:t xml:space="preserve"> </w:t>
      </w:r>
      <w:r>
        <w:t xml:space="preserve">• Commission Delegated Regulation (EU) 2019/1868 of 28 August 2019 amending</w:t>
      </w:r>
      <w:r>
        <w:t xml:space="preserve"> </w:t>
      </w:r>
      <w:r>
        <w:t xml:space="preserve">Regulation (EU) No 1031/2010 to align the auctioning of allowances with the EU ETS</w:t>
      </w:r>
      <w:r>
        <w:t xml:space="preserve"> </w:t>
      </w:r>
      <w:r>
        <w:t xml:space="preserve">rules for the period 2021 to 2030 and with the classification of allowances as financial</w:t>
      </w:r>
      <w:r>
        <w:t xml:space="preserve"> </w:t>
      </w:r>
      <w:r>
        <w:t xml:space="preserve">instruments pursuant to Directive 2014/65/EU of the European Parliament and of the</w:t>
      </w:r>
      <w:r>
        <w:t xml:space="preserve"> </w:t>
      </w:r>
      <w:r>
        <w:t xml:space="preserve">Council.</w:t>
      </w:r>
      <w:r>
        <w:br/>
      </w:r>
      <w:r>
        <w:t xml:space="preserve">8.7.3 Intervention logic</w:t>
      </w:r>
      <w:r>
        <w:br/>
      </w:r>
      <w:r>
        <w:t xml:space="preserve">Figure 39: Auctioning Intervention logic</w:t>
      </w:r>
      <w:r>
        <w:t xml:space="preserve"> </w:t>
      </w:r>
      <w:r>
        <w:t xml:space="preserve">Source: Own illustration</w:t>
      </w:r>
      <w:r>
        <w:t xml:space="preserve"> </w:t>
      </w:r>
      <w:r>
        <w:t xml:space="preserve">8.7.3.1</w:t>
      </w:r>
      <w:r>
        <w:t xml:space="preserve"> </w:t>
      </w:r>
      <w:r>
        <w:t xml:space="preserve">Problem to address</w:t>
      </w:r>
      <w:r>
        <w:t xml:space="preserve"> </w:t>
      </w:r>
      <w:r>
        <w:t xml:space="preserve">Maintain an efficient allocation mechanism for allocating emission allowances</w:t>
      </w:r>
      <w:r>
        <w:br/>
      </w:r>
      <w:r>
        <w:t xml:space="preserve">8.7.3.2</w:t>
      </w:r>
      <w:r>
        <w:t xml:space="preserve"> </w:t>
      </w:r>
      <w:r>
        <w:t xml:space="preserve">Objectives</w:t>
      </w:r>
      <w:r>
        <w:br/>
      </w:r>
      <w:r>
        <w:t xml:space="preserve">The general objective is to ensure an open, transparent, harmonised and non-discriminatory</w:t>
      </w:r>
      <w:r>
        <w:t xml:space="preserve"> </w:t>
      </w:r>
      <w:r>
        <w:t xml:space="preserve">auctioning allocation of emission allowances within the EU ETS. This is essential for the</w:t>
      </w:r>
      <w:r>
        <w:t xml:space="preserve"> </w:t>
      </w:r>
      <w:r>
        <w:t xml:space="preserve">operation of the EU ETS as it distributes more than half of the quantity of ETS allowances (the</w:t>
      </w:r>
      <w:r>
        <w:t xml:space="preserve"> </w:t>
      </w:r>
      <w:r>
        <w:t xml:space="preserve">share not allocated for free to installations at risk of carbon leakage) and creates the basis for</w:t>
      </w:r>
      <w:r>
        <w:t xml:space="preserve"> </w:t>
      </w:r>
      <w:r>
        <w:t xml:space="preserve">the functioning of the carbon market and the formation of a carbon price.</w:t>
      </w:r>
    </w:p>
    <w:p>
      <w:pPr>
        <w:pStyle w:val="BodyText"/>
      </w:pPr>
      <w:r>
        <w:t xml:space="preserve">223</w:t>
      </w:r>
      <w:r>
        <w:t xml:space="preserve"> </w:t>
      </w:r>
      <w:r>
        <w:t xml:space="preserve">A key part of this objective is to operationalise and implement the detailed provisions necessary</w:t>
      </w:r>
      <w:r>
        <w:t xml:space="preserve"> </w:t>
      </w:r>
      <w:r>
        <w:t xml:space="preserve">to ensure the functioning of the auctioning system, reflected in the following specific</w:t>
      </w:r>
      <w:r>
        <w:t xml:space="preserve"> </w:t>
      </w:r>
      <w:r>
        <w:t xml:space="preserve">objectives:</w:t>
      </w:r>
      <w:r>
        <w:br/>
      </w:r>
      <w:r>
        <w:t xml:space="preserve">• Appoint auction platforms: the auction platform should be set up and function as</w:t>
      </w:r>
      <w:r>
        <w:t xml:space="preserve"> </w:t>
      </w:r>
      <w:r>
        <w:t xml:space="preserve">intended, the auctions should be conducted according to the rules and procedures.</w:t>
      </w:r>
      <w:r>
        <w:t xml:space="preserve"> </w:t>
      </w:r>
      <w:r>
        <w:t xml:space="preserve">• Minimize costs and maximize efficiency: the auction process should be designed to</w:t>
      </w:r>
      <w:r>
        <w:t xml:space="preserve"> </w:t>
      </w:r>
      <w:r>
        <w:t xml:space="preserve">reduce costs for participants and the auction platform, optimise the use of resources,</w:t>
      </w:r>
      <w:r>
        <w:t xml:space="preserve"> </w:t>
      </w:r>
      <w:r>
        <w:t xml:space="preserve">minimise administrative burdens and ensure a smooth and efficient auction process.</w:t>
      </w:r>
      <w:r>
        <w:t xml:space="preserve"> </w:t>
      </w:r>
      <w:r>
        <w:t xml:space="preserve">• Monitoring and preventing criminal activity, market abuse and ensure integrity:</w:t>
      </w:r>
      <w:r>
        <w:t xml:space="preserve"> </w:t>
      </w:r>
      <w:r>
        <w:t xml:space="preserve">the auction process should be monitored to prevent and detect criminal activities,</w:t>
      </w:r>
      <w:r>
        <w:t xml:space="preserve"> </w:t>
      </w:r>
      <w:r>
        <w:t xml:space="preserve">market manipulation and abusive practices and ensure the integrity of the auction</w:t>
      </w:r>
      <w:r>
        <w:t xml:space="preserve"> </w:t>
      </w:r>
      <w:r>
        <w:t xml:space="preserve">process and the EU ETS as a whole.</w:t>
      </w:r>
      <w:r>
        <w:t xml:space="preserve"> </w:t>
      </w:r>
      <w:r>
        <w:t xml:space="preserve">• Providing clear and accessible information to participants: ensuring that the</w:t>
      </w:r>
      <w:r>
        <w:t xml:space="preserve"> </w:t>
      </w:r>
      <w:r>
        <w:t xml:space="preserve">participants have the necessary information to participate in the auctions and keeping</w:t>
      </w:r>
      <w:r>
        <w:t xml:space="preserve"> </w:t>
      </w:r>
      <w:r>
        <w:t xml:space="preserve">them informed about the auction process and results.</w:t>
      </w:r>
      <w:r>
        <w:t xml:space="preserve"> </w:t>
      </w:r>
      <w:r>
        <w:t xml:space="preserve">• Participants: ensuring that all eligible participants, in particular SMEs and small</w:t>
      </w:r>
      <w:r>
        <w:t xml:space="preserve"> </w:t>
      </w:r>
      <w:r>
        <w:t xml:space="preserve">emitters, have equal access to the auction process and a clear understanding of the</w:t>
      </w:r>
      <w:r>
        <w:t xml:space="preserve"> </w:t>
      </w:r>
      <w:r>
        <w:t xml:space="preserve">auction rules and procedures.</w:t>
      </w:r>
      <w:r>
        <w:t xml:space="preserve"> </w:t>
      </w:r>
      <w:r>
        <w:t xml:space="preserve">• Auctioning revenue use: the revenues generated from the auctions should be used in</w:t>
      </w:r>
      <w:r>
        <w:t xml:space="preserve"> </w:t>
      </w:r>
      <w:r>
        <w:t xml:space="preserve">accordance with the Directive.</w:t>
      </w:r>
      <w:r>
        <w:t xml:space="preserve"> </w:t>
      </w:r>
      <w:r>
        <w:t xml:space="preserve">8.7.3.3</w:t>
      </w:r>
      <w:r>
        <w:t xml:space="preserve"> </w:t>
      </w:r>
      <w:r>
        <w:t xml:space="preserve">Inputs</w:t>
      </w:r>
      <w:r>
        <w:t xml:space="preserve"> </w:t>
      </w:r>
      <w:r>
        <w:t xml:space="preserve">The successful implementation of the auctioning system depends on several key inputs:</w:t>
      </w:r>
      <w:r>
        <w:br/>
      </w:r>
      <w:r>
        <w:t xml:space="preserve">• the issuance of allowances is crucial, as it determines the quantity of units to be</w:t>
      </w:r>
      <w:r>
        <w:t xml:space="preserve"> </w:t>
      </w:r>
      <w:r>
        <w:t xml:space="preserve">auctioned and provides a foundation for the entire process.</w:t>
      </w:r>
      <w:r>
        <w:br/>
      </w:r>
      <w:r>
        <w:t xml:space="preserve">• sufficient human and financial resources to procure the auction platform is essential for</w:t>
      </w:r>
      <w:r>
        <w:t xml:space="preserve"> </w:t>
      </w:r>
      <w:r>
        <w:t xml:space="preserve">conducting the auctions efficiently and effectively as well as the collaboration with the</w:t>
      </w:r>
      <w:r>
        <w:t xml:space="preserve"> </w:t>
      </w:r>
      <w:r>
        <w:t xml:space="preserve">national competent authorities.</w:t>
      </w:r>
      <w:r>
        <w:t xml:space="preserve"> </w:t>
      </w:r>
      <w:r>
        <w:t xml:space="preserve">• a reliable technology infrastructure, including a robust auction platform and clearing</w:t>
      </w:r>
      <w:r>
        <w:t xml:space="preserve"> </w:t>
      </w:r>
      <w:r>
        <w:t xml:space="preserve">settlement system, is also vital to ensure the smooth operation of the auctions.</w:t>
      </w:r>
      <w:r>
        <w:t xml:space="preserve"> </w:t>
      </w:r>
      <w:r>
        <w:t xml:space="preserve">• access to accurate and timely auctions data, as well as information, is necessary to</w:t>
      </w:r>
      <w:r>
        <w:t xml:space="preserve"> </w:t>
      </w:r>
      <w:r>
        <w:t xml:space="preserve">monitor the auction process and make informed decisions.</w:t>
      </w:r>
      <w:r>
        <w:t xml:space="preserve"> </w:t>
      </w:r>
      <w:r>
        <w:t xml:space="preserve">•</w:t>
      </w:r>
      <w:r>
        <w:t xml:space="preserve"> </w:t>
      </w:r>
      <w:r>
        <w:t xml:space="preserve">a well-defined regulatory framework is required to provide a clear and stable</w:t>
      </w:r>
      <w:r>
        <w:t xml:space="preserve"> </w:t>
      </w:r>
      <w:r>
        <w:t xml:space="preserve">environment for the auctioning system to operate, outlining the rules, guidelines, and</w:t>
      </w:r>
      <w:r>
        <w:t xml:space="preserve"> </w:t>
      </w:r>
      <w:r>
        <w:t xml:space="preserve">standards that govern the auctions and ensuring their integrity and transparency.</w:t>
      </w:r>
      <w:r>
        <w:t xml:space="preserve"> </w:t>
      </w:r>
      <w:r>
        <w:t xml:space="preserve">8.7.3.4</w:t>
      </w:r>
      <w:r>
        <w:t xml:space="preserve"> </w:t>
      </w:r>
      <w:r>
        <w:t xml:space="preserve">Actions</w:t>
      </w:r>
      <w:r>
        <w:br/>
      </w:r>
      <w:r>
        <w:t xml:space="preserve">A series of targeted actions have been taken to strengthen the auctioning system and to enhance</w:t>
      </w:r>
      <w:r>
        <w:t xml:space="preserve"> </w:t>
      </w:r>
      <w:r>
        <w:t xml:space="preserve">the efficiency and transparency:</w:t>
      </w:r>
      <w:r>
        <w:t xml:space="preserve"> </w:t>
      </w:r>
      <w:r>
        <w:t xml:space="preserve">• settings up a reliable auction platform and IT system to facilitate smooth transactions.</w:t>
      </w:r>
      <w:r>
        <w:t xml:space="preserve"> </w:t>
      </w:r>
      <w:r>
        <w:t xml:space="preserve">• developing and implementing a robust legal framework that outlines the auction</w:t>
      </w:r>
      <w:r>
        <w:t xml:space="preserve"> </w:t>
      </w:r>
      <w:r>
        <w:t xml:space="preserve">process, bidder eligibility and conducting auctions in strict conformity to predefined</w:t>
      </w:r>
      <w:r>
        <w:t xml:space="preserve"> </w:t>
      </w:r>
      <w:r>
        <w:t xml:space="preserve">rules and procedures.</w:t>
      </w:r>
      <w:r>
        <w:br/>
      </w:r>
      <w:r>
        <w:t xml:space="preserve">• ensuring access to auctions for all eligible participants and provide regular training to</w:t>
      </w:r>
      <w:r>
        <w:t xml:space="preserve"> </w:t>
      </w:r>
      <w:r>
        <w:t xml:space="preserve">the bidders.</w:t>
      </w:r>
    </w:p>
    <w:p>
      <w:pPr>
        <w:pStyle w:val="BodyText"/>
      </w:pPr>
      <w:r>
        <w:t xml:space="preserve">224</w:t>
      </w:r>
      <w:r>
        <w:t xml:space="preserve"> </w:t>
      </w:r>
      <w:r>
        <w:t xml:space="preserve">• the auction process is closely monitored and overseen to prevent any irregularities and</w:t>
      </w:r>
      <w:r>
        <w:t xml:space="preserve"> </w:t>
      </w:r>
      <w:r>
        <w:t xml:space="preserve">maintain the integrity of the system and the allowances have been classified as financial</w:t>
      </w:r>
      <w:r>
        <w:t xml:space="preserve"> </w:t>
      </w:r>
      <w:r>
        <w:t xml:space="preserve">instruments.</w:t>
      </w:r>
      <w:r>
        <w:br/>
      </w:r>
      <w:r>
        <w:t xml:space="preserve">• planning auctions in advance, including the publication of auction volumes and</w:t>
      </w:r>
      <w:r>
        <w:t xml:space="preserve"> </w:t>
      </w:r>
      <w:r>
        <w:t xml:space="preserve">calendars, provides clarity and predictability for participants.</w:t>
      </w:r>
      <w:r>
        <w:t xml:space="preserve"> </w:t>
      </w:r>
      <w:r>
        <w:t xml:space="preserve">• publishing detailed reports on auction outcomes and providing ongoing information</w:t>
      </w:r>
      <w:r>
        <w:t xml:space="preserve"> </w:t>
      </w:r>
      <w:r>
        <w:t xml:space="preserve">about the auction process.</w:t>
      </w:r>
      <w:r>
        <w:t xml:space="preserve"> </w:t>
      </w:r>
      <w:r>
        <w:t xml:space="preserve">8.7.3.5</w:t>
      </w:r>
      <w:r>
        <w:t xml:space="preserve"> </w:t>
      </w:r>
      <w:r>
        <w:t xml:space="preserve">Outputs</w:t>
      </w:r>
      <w:r>
        <w:t xml:space="preserve"> </w:t>
      </w:r>
      <w:r>
        <w:t xml:space="preserve">The implementation of these actions has yielded several important outputs that contribute to</w:t>
      </w:r>
      <w:r>
        <w:t xml:space="preserve"> </w:t>
      </w:r>
      <w:r>
        <w:t xml:space="preserve">the overall functioning of the auctioning system:</w:t>
      </w:r>
      <w:r>
        <w:br/>
      </w:r>
      <w:r>
        <w:t xml:space="preserve">• the auction platform has been successfully set up, and operates as intended, providing</w:t>
      </w:r>
      <w:r>
        <w:t xml:space="preserve"> </w:t>
      </w:r>
      <w:r>
        <w:t xml:space="preserve">a reliable and efficient environment for conducting auctions.</w:t>
      </w:r>
      <w:r>
        <w:t xml:space="preserve"> </w:t>
      </w:r>
      <w:r>
        <w:t xml:space="preserve">• all auctions have been conducted in accordance with the established rules and</w:t>
      </w:r>
      <w:r>
        <w:t xml:space="preserve"> </w:t>
      </w:r>
      <w:r>
        <w:t xml:space="preserve">regulations, ensuring fairness, transparency, and integrity throughout the process.</w:t>
      </w:r>
      <w:r>
        <w:t xml:space="preserve"> </w:t>
      </w:r>
      <w:r>
        <w:t xml:space="preserve">• the system has ensured that all eligible participants have equal and unhindered access</w:t>
      </w:r>
      <w:r>
        <w:t xml:space="preserve"> </w:t>
      </w:r>
      <w:r>
        <w:t xml:space="preserve">to the auctions.</w:t>
      </w:r>
      <w:r>
        <w:t xml:space="preserve"> </w:t>
      </w:r>
      <w:r>
        <w:t xml:space="preserve">• measures have been in place to prevent market abuse, ensuring the integrity of the</w:t>
      </w:r>
      <w:r>
        <w:t xml:space="preserve"> </w:t>
      </w:r>
      <w:r>
        <w:t xml:space="preserve">auction process and maintaining trust among participants.</w:t>
      </w:r>
      <w:r>
        <w:t xml:space="preserve"> </w:t>
      </w:r>
      <w:r>
        <w:t xml:space="preserve">• emission allowances have efficiently allocated to the successful bidders following each</w:t>
      </w:r>
      <w:r>
        <w:t xml:space="preserve"> </w:t>
      </w:r>
      <w:r>
        <w:t xml:space="preserve">auction.</w:t>
      </w:r>
      <w:r>
        <w:br/>
      </w:r>
      <w:r>
        <w:t xml:space="preserve">• decisions on auction calendars have been made and published well in advance,</w:t>
      </w:r>
      <w:r>
        <w:t xml:space="preserve"> </w:t>
      </w:r>
      <w:r>
        <w:t xml:space="preserve">providing clarity and predictability for all stakeholders.</w:t>
      </w:r>
      <w:r>
        <w:t xml:space="preserve"> </w:t>
      </w:r>
      <w:r>
        <w:t xml:space="preserve">• comprehensive monthly reports and detailed results of each auction have been</w:t>
      </w:r>
      <w:r>
        <w:t xml:space="preserve"> </w:t>
      </w:r>
      <w:r>
        <w:t xml:space="preserve">published, ensuring transparency and accountability.</w:t>
      </w:r>
      <w:r>
        <w:br/>
      </w:r>
      <w:r>
        <w:t xml:space="preserve">• Member States have received revenues generated from the auctions and utilise these</w:t>
      </w:r>
      <w:r>
        <w:t xml:space="preserve"> </w:t>
      </w:r>
      <w:r>
        <w:t xml:space="preserve">funds for initiatives aimed at mitigating the effects of climate change and adapting to</w:t>
      </w:r>
      <w:r>
        <w:t xml:space="preserve"> </w:t>
      </w:r>
      <w:r>
        <w:t xml:space="preserve">its impacts.</w:t>
      </w:r>
      <w:r>
        <w:t xml:space="preserve"> </w:t>
      </w:r>
      <w:r>
        <w:t xml:space="preserve">8.7.3.6</w:t>
      </w:r>
      <w:r>
        <w:t xml:space="preserve"> </w:t>
      </w:r>
      <w:r>
        <w:t xml:space="preserve">Intended results and impacts</w:t>
      </w:r>
      <w:r>
        <w:t xml:space="preserve"> </w:t>
      </w:r>
      <w:r>
        <w:t xml:space="preserve">The intended outcomes of the auction system are an efficient allocation of allowances that</w:t>
      </w:r>
      <w:r>
        <w:t xml:space="preserve"> </w:t>
      </w:r>
      <w:r>
        <w:t xml:space="preserve">provides a transparent and non-discriminatory process, ensuring that all participants have equal</w:t>
      </w:r>
      <w:r>
        <w:t xml:space="preserve"> </w:t>
      </w:r>
      <w:r>
        <w:t xml:space="preserve">access to allowances. The auctions system should continue to promote fairness. The auction</w:t>
      </w:r>
      <w:r>
        <w:t xml:space="preserve"> </w:t>
      </w:r>
      <w:r>
        <w:t xml:space="preserve">platform has operated under a set of harmonised rules, ensuring consistency and coherence</w:t>
      </w:r>
      <w:r>
        <w:t xml:space="preserve"> </w:t>
      </w:r>
      <w:r>
        <w:t xml:space="preserve">across all Member States. The auction system should ensure that the significant revenues</w:t>
      </w:r>
      <w:r>
        <w:t xml:space="preserve"> </w:t>
      </w:r>
      <w:r>
        <w:t xml:space="preserve">received by the Member States from the auctioning of allowance are used to support climate</w:t>
      </w:r>
      <w:r>
        <w:t xml:space="preserve"> </w:t>
      </w:r>
      <w:r>
        <w:t xml:space="preserve">change mitigation and adaptation efforts. The auction platform should operate smoothly and</w:t>
      </w:r>
      <w:r>
        <w:t xml:space="preserve"> </w:t>
      </w:r>
      <w:r>
        <w:t xml:space="preserve">without incidents, ensuring that the allocation of allowances is not disrupted, and that the</w:t>
      </w:r>
      <w:r>
        <w:t xml:space="preserve"> </w:t>
      </w:r>
      <w:r>
        <w:t xml:space="preserve">integrity of the system is maintained. It provides timely and publicly available information on</w:t>
      </w:r>
      <w:r>
        <w:t xml:space="preserve"> </w:t>
      </w:r>
      <w:r>
        <w:t xml:space="preserve">auction results, allowance prices, and other relevant data. This increases transparency,</w:t>
      </w:r>
      <w:r>
        <w:t xml:space="preserve"> </w:t>
      </w:r>
      <w:r>
        <w:t xml:space="preserve">facilitates market analysis, and enables stakeholders to make informed decisions.</w:t>
      </w:r>
      <w:r>
        <w:t xml:space="preserve"> </w:t>
      </w:r>
      <w:r>
        <w:t xml:space="preserve">8.7.3.7</w:t>
      </w:r>
      <w:r>
        <w:t xml:space="preserve"> </w:t>
      </w:r>
      <w:r>
        <w:t xml:space="preserve">Unintended results and impacts</w:t>
      </w:r>
      <w:r>
        <w:t xml:space="preserve"> </w:t>
      </w:r>
      <w:r>
        <w:t xml:space="preserve">The auction system, designed to promote efficient allocation allowances and reduce emissions,</w:t>
      </w:r>
      <w:r>
        <w:t xml:space="preserve"> </w:t>
      </w:r>
      <w:r>
        <w:t xml:space="preserve">can have several unintended consequences that affect it like the market, politics, and the</w:t>
      </w:r>
      <w:r>
        <w:t xml:space="preserve"> </w:t>
      </w:r>
      <w:r>
        <w:t xml:space="preserve">environment. Firstly, volatility uncertainty and speculation among bidders can lead to</w:t>
      </w:r>
      <w:r>
        <w:t xml:space="preserve"> </w:t>
      </w:r>
      <w:r>
        <w:t xml:space="preserve">overbidding or underbidding based on expectations of market conditions. Additionally,</w:t>
      </w:r>
      <w:r>
        <w:t xml:space="preserve"> </w:t>
      </w:r>
      <w:r>
        <w:t xml:space="preserve">information asymmetry, where bidders have varied levels of market knowledge, can create</w:t>
      </w:r>
    </w:p>
    <w:p>
      <w:pPr>
        <w:pStyle w:val="BodyText"/>
      </w:pPr>
      <w:r>
        <w:t xml:space="preserve">225</w:t>
      </w:r>
      <w:r>
        <w:t xml:space="preserve"> </w:t>
      </w:r>
      <w:r>
        <w:t xml:space="preserve">uneven competition and further contributing to volatility. Political instability can also emerge</w:t>
      </w:r>
      <w:r>
        <w:t xml:space="preserve"> </w:t>
      </w:r>
      <w:r>
        <w:t xml:space="preserve">while the implementation and management of the auction system require a robust regulatory</w:t>
      </w:r>
      <w:r>
        <w:t xml:space="preserve"> </w:t>
      </w:r>
      <w:r>
        <w:t xml:space="preserve">framework. Another unintended result can be the fluctuation in prices, making difficult for</w:t>
      </w:r>
      <w:r>
        <w:t xml:space="preserve"> </w:t>
      </w:r>
      <w:r>
        <w:t xml:space="preserve">market participants to plan investments. Significant price fluctuations can lead to windfall</w:t>
      </w:r>
      <w:r>
        <w:t xml:space="preserve"> </w:t>
      </w:r>
      <w:r>
        <w:t xml:space="preserve">profits for some participants. Besides, high prices can increase the production costs for</w:t>
      </w:r>
      <w:r>
        <w:t xml:space="preserve"> </w:t>
      </w:r>
      <w:r>
        <w:t xml:space="preserve">companies operating within the auction system, making them less competitive and lead to</w:t>
      </w:r>
      <w:r>
        <w:t xml:space="preserve"> </w:t>
      </w:r>
      <w:r>
        <w:t xml:space="preserve">carbon leakage.</w:t>
      </w:r>
      <w:r>
        <w:br/>
      </w:r>
      <w:r>
        <w:t xml:space="preserve">8.7.3.8</w:t>
      </w:r>
      <w:r>
        <w:t xml:space="preserve"> </w:t>
      </w:r>
      <w:r>
        <w:t xml:space="preserve">External factors</w:t>
      </w:r>
      <w:r>
        <w:t xml:space="preserve"> </w:t>
      </w:r>
      <w:r>
        <w:t xml:space="preserve">Various external factors over the past years, such as the economic crisis and subsequent</w:t>
      </w:r>
      <w:r>
        <w:t xml:space="preserve"> </w:t>
      </w:r>
      <w:r>
        <w:t xml:space="preserve">recovery, have impacted the demand for allowances, with lower economic activity leading to</w:t>
      </w:r>
      <w:r>
        <w:t xml:space="preserve"> </w:t>
      </w:r>
      <w:r>
        <w:t xml:space="preserve">reduced emissions and lower prices. Energy market trends, including fluctuations in gas and</w:t>
      </w:r>
      <w:r>
        <w:t xml:space="preserve"> </w:t>
      </w:r>
      <w:r>
        <w:t xml:space="preserve">fuel prices, affect the competitiveness and the demand for allowances. Additionally, weather</w:t>
      </w:r>
      <w:r>
        <w:t xml:space="preserve"> </w:t>
      </w:r>
      <w:r>
        <w:t xml:space="preserve">conditions, such as mild winters or hot summers, have influenced energy demand and,</w:t>
      </w:r>
      <w:r>
        <w:t xml:space="preserve"> </w:t>
      </w:r>
      <w:r>
        <w:t xml:space="preserve">consequently, emissions levels, affecting the auction prices. Geopolitical events, including the</w:t>
      </w:r>
      <w:r>
        <w:t xml:space="preserve"> </w:t>
      </w:r>
      <w:r>
        <w:t xml:space="preserve">COVID-19 pandemic, led to reduced economic activity and lower emissions.</w:t>
      </w:r>
      <w:r>
        <w:br/>
      </w:r>
      <w:r>
        <w:t xml:space="preserve">8.7.3.9</w:t>
      </w:r>
      <w:r>
        <w:t xml:space="preserve"> </w:t>
      </w:r>
      <w:r>
        <w:t xml:space="preserve">Data collection</w:t>
      </w:r>
      <w:r>
        <w:t xml:space="preserve"> </w:t>
      </w:r>
      <w:r>
        <w:t xml:space="preserve">The evaluation findings are based on desk research based on several reports, such as:</w:t>
      </w:r>
      <w:r>
        <w:br/>
      </w:r>
      <w:r>
        <w:t xml:space="preserve">• the reports prepared by the Commission on behalf of the participating Member States</w:t>
      </w:r>
      <w:r>
        <w:t xml:space="preserve"> </w:t>
      </w:r>
      <w:r>
        <w:t xml:space="preserve">pursuant to Article 10(4) of the ETS Directive.</w:t>
      </w:r>
      <w:r>
        <w:t xml:space="preserve"> </w:t>
      </w:r>
      <w:r>
        <w:t xml:space="preserve">• the ESMA report: ‘Report on Emission Allowances and associated derivatives’.</w:t>
      </w:r>
      <w:r>
        <w:br/>
      </w:r>
      <w:r>
        <w:t xml:space="preserve">• the Carbon Market Reports prepared by the Commission pursuant Articles 10(5) and</w:t>
      </w:r>
      <w:r>
        <w:t xml:space="preserve"> </w:t>
      </w:r>
      <w:r>
        <w:t xml:space="preserve">21(2) of the ETS Directive.</w:t>
      </w:r>
      <w:r>
        <w:t xml:space="preserve"> </w:t>
      </w:r>
      <w:r>
        <w:t xml:space="preserve">• the report by Europe Economics on the ‘Analysis of the functioning of the EU Carbon</w:t>
      </w:r>
      <w:r>
        <w:t xml:space="preserve"> </w:t>
      </w:r>
      <w:r>
        <w:t xml:space="preserve">Market and the recent market developments’.</w:t>
      </w:r>
      <w:r>
        <w:br/>
      </w:r>
      <w:r>
        <w:t xml:space="preserve">• the report by Europe Economics on ‘Participation in the EU ETS markets’.</w:t>
      </w:r>
      <w:r>
        <w:t xml:space="preserve"> </w:t>
      </w:r>
      <w:r>
        <w:t xml:space="preserve">• auction results and reports from the auction platform EEX.</w:t>
      </w:r>
      <w:r>
        <w:br/>
      </w:r>
      <w:r>
        <w:t xml:space="preserve">8.7.4 Evaluation of findings</w:t>
      </w:r>
      <w:r>
        <w:t xml:space="preserve"> </w:t>
      </w:r>
      <w:r>
        <w:t xml:space="preserve">8.7.4.1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effectiveness criterion evaluates how successfully the EU ETS auctioning system has</w:t>
      </w:r>
      <w:r>
        <w:t xml:space="preserve"> </w:t>
      </w:r>
      <w:r>
        <w:t xml:space="preserve">fulfilled its objectives of ensuring an open, transparent, harmonised and non-discriminatory</w:t>
      </w:r>
      <w:r>
        <w:t xml:space="preserve"> </w:t>
      </w:r>
      <w:r>
        <w:t xml:space="preserve">auctioning allocation of emission allowances within the EU ETS.</w:t>
      </w:r>
      <w:r>
        <w:t xml:space="preserve"> </w:t>
      </w:r>
      <w:r>
        <w:t xml:space="preserve">The criterion is evaluated based on the following evaluation question:</w:t>
      </w:r>
      <w:r>
        <w:br/>
      </w:r>
      <w:r>
        <w:t xml:space="preserve">•</w:t>
      </w:r>
      <w:r>
        <w:t xml:space="preserve"> </w:t>
      </w:r>
      <w:r>
        <w:t xml:space="preserve">EQ1: To what extent has the auctioning system achieved its general objective of ensuring</w:t>
      </w:r>
      <w:r>
        <w:t xml:space="preserve"> </w:t>
      </w:r>
      <w:r>
        <w:t xml:space="preserve">open, transparent, harmonised, and non-discriminatory allocation of emission</w:t>
      </w:r>
      <w:r>
        <w:t xml:space="preserve"> </w:t>
      </w:r>
      <w:r>
        <w:t xml:space="preserve">allowances?</w:t>
      </w:r>
      <w:r>
        <w:t xml:space="preserve"> </w:t>
      </w:r>
      <w:r>
        <w:t xml:space="preserve">Auctions have been conducted in an open and transparent manner.</w:t>
      </w:r>
      <w:r>
        <w:br/>
      </w:r>
      <w:r>
        <w:t xml:space="preserve">The rules and procedures governing the auctions, including timing, format, and participation</w:t>
      </w:r>
      <w:r>
        <w:t xml:space="preserve"> </w:t>
      </w:r>
      <w:r>
        <w:t xml:space="preserve">requirements, are clearly defined and made publicly available on the EEX and European</w:t>
      </w:r>
      <w:r>
        <w:t xml:space="preserve"> </w:t>
      </w:r>
      <w:r>
        <w:t xml:space="preserve">Commission websites. Entities willing to participate in auctions must comply with eligibility</w:t>
      </w:r>
    </w:p>
    <w:p>
      <w:pPr>
        <w:pStyle w:val="BodyText"/>
      </w:pPr>
      <w:r>
        <w:t xml:space="preserve">226</w:t>
      </w:r>
      <w:r>
        <w:t xml:space="preserve"> </w:t>
      </w:r>
      <w:r>
        <w:t xml:space="preserve">criteria309 which guarantee the integrity of the auction process and a fair and open access for</w:t>
      </w:r>
      <w:r>
        <w:t xml:space="preserve"> </w:t>
      </w:r>
      <w:r>
        <w:t xml:space="preserve">all auction participants310.</w:t>
      </w:r>
      <w:r>
        <w:br/>
      </w:r>
      <w:r>
        <w:t xml:space="preserve">The auction platform provides participants with transparency and predictability: auction</w:t>
      </w:r>
      <w:r>
        <w:t xml:space="preserve"> </w:t>
      </w:r>
      <w:r>
        <w:t xml:space="preserve">volumes and calendars are published in advance, allowing potential bidders to plan and prepare</w:t>
      </w:r>
      <w:r>
        <w:t xml:space="preserve"> </w:t>
      </w:r>
      <w:r>
        <w:t xml:space="preserve">for upcoming auctions. Following each auction, the results are publicly disclosed on the EEX</w:t>
      </w:r>
      <w:r>
        <w:t xml:space="preserve"> </w:t>
      </w:r>
      <w:r>
        <w:t xml:space="preserve">website, including the clearing price and volume of allowances sold, which ensures not only</w:t>
      </w:r>
      <w:r>
        <w:t xml:space="preserve"> </w:t>
      </w:r>
      <w:r>
        <w:t xml:space="preserve">transparency but also accountability within the system.</w:t>
      </w:r>
      <w:r>
        <w:br/>
      </w:r>
      <w:r>
        <w:t xml:space="preserve">The EU ETS provides a harmonised framework for auctioning allowances across all Member</w:t>
      </w:r>
      <w:r>
        <w:t xml:space="preserve"> </w:t>
      </w:r>
      <w:r>
        <w:t xml:space="preserve">States, ensuring consistency and coherence in the allocation of allowances. All Member States</w:t>
      </w:r>
      <w:r>
        <w:t xml:space="preserve"> </w:t>
      </w:r>
      <w:r>
        <w:t xml:space="preserve">used the common auction platform operated by EEX, either through joint action or as the opt-</w:t>
      </w:r>
      <w:r>
        <w:t xml:space="preserve"> </w:t>
      </w:r>
      <w:r>
        <w:t xml:space="preserve">out platform, with the same auctioning rules applied equally to all Member States and EFTA</w:t>
      </w:r>
      <w:r>
        <w:t xml:space="preserve"> </w:t>
      </w:r>
      <w:r>
        <w:t xml:space="preserve">countries. Moreover, the European Commission and national authorities coordinate and</w:t>
      </w:r>
      <w:r>
        <w:t xml:space="preserve"> </w:t>
      </w:r>
      <w:r>
        <w:t xml:space="preserve">oversee the auctioning process, ensuring that the system operates in a harmonised and effective</w:t>
      </w:r>
      <w:r>
        <w:t xml:space="preserve"> </w:t>
      </w:r>
      <w:r>
        <w:t xml:space="preserve">manner.</w:t>
      </w:r>
      <w:r>
        <w:br/>
      </w:r>
      <w:r>
        <w:t xml:space="preserve">The European Securities and Markets Authority (ESMA) has released a report311 on ‘Emission</w:t>
      </w:r>
      <w:r>
        <w:t xml:space="preserve"> </w:t>
      </w:r>
      <w:r>
        <w:t xml:space="preserve">allowances and associated derivatives’. The report provides evidence supporting the</w:t>
      </w:r>
      <w:r>
        <w:t xml:space="preserve"> </w:t>
      </w:r>
      <w:r>
        <w:t xml:space="preserve">conclusion that the auction market is functioning effectively, with the auctioning process</w:t>
      </w:r>
      <w:r>
        <w:t xml:space="preserve"> </w:t>
      </w:r>
      <w:r>
        <w:t xml:space="preserve">performing as expected. One of the drawbacks could be the concentration of a few large</w:t>
      </w:r>
      <w:r>
        <w:t xml:space="preserve"> </w:t>
      </w:r>
      <w:r>
        <w:t xml:space="preserve">participants dominating the primary markets, but the report highlighted that these same players</w:t>
      </w:r>
      <w:r>
        <w:t xml:space="preserve"> </w:t>
      </w:r>
      <w:r>
        <w:t xml:space="preserve">are also active in the secondary market. This fosters the distribution of allowances to a wider</w:t>
      </w:r>
      <w:r>
        <w:t xml:space="preserve"> </w:t>
      </w:r>
      <w:r>
        <w:t xml:space="preserve">range of market participants. Overall, ESMA’s findings suggested that the European carbon</w:t>
      </w:r>
      <w:r>
        <w:t xml:space="preserve"> </w:t>
      </w:r>
      <w:r>
        <w:t xml:space="preserve">market is operating normally, with no major abnormalities or fundamental issues detected.</w:t>
      </w:r>
      <w:r>
        <w:br/>
      </w:r>
      <w:r>
        <w:t xml:space="preserve">•</w:t>
      </w:r>
      <w:r>
        <w:t xml:space="preserve"> </w:t>
      </w:r>
      <w:r>
        <w:t xml:space="preserve">EQ2: Is the auction platform set up and functioning as intended, and are the auctions</w:t>
      </w:r>
      <w:r>
        <w:t xml:space="preserve"> </w:t>
      </w:r>
      <w:r>
        <w:t xml:space="preserve">conducted according to the rules and procedures</w:t>
      </w:r>
      <w:r>
        <w:t xml:space="preserve"> </w:t>
      </w:r>
      <w:r>
        <w:t xml:space="preserve">The auction platform is functioning as planned and the auctions are conducted according to the</w:t>
      </w:r>
      <w:r>
        <w:t xml:space="preserve"> </w:t>
      </w:r>
      <w:r>
        <w:t xml:space="preserve">rules and procedures.</w:t>
      </w:r>
      <w:r>
        <w:br/>
      </w:r>
      <w:r>
        <w:t xml:space="preserve">In 2016 European Energy Exchange (EEX), based in Leipzig, has been appointed as common</w:t>
      </w:r>
      <w:r>
        <w:t xml:space="preserve"> </w:t>
      </w:r>
      <w:r>
        <w:t xml:space="preserve">auction platform (the second common auction platform or CAP2) pursuant to Article 26(1) of</w:t>
      </w:r>
      <w:r>
        <w:t xml:space="preserve"> </w:t>
      </w:r>
      <w:r>
        <w:t xml:space="preserve">the Auctioning Regulation for 25 Member States participating in a joint procurement</w:t>
      </w:r>
    </w:p>
    <w:p>
      <w:pPr>
        <w:pStyle w:val="BodyText"/>
      </w:pPr>
      <w:r>
        <w:t xml:space="preserve">309 Articles 18 and 19 of Regulation 1031/2010 on the timing, administration and other aspects of auctioning of</w:t>
      </w:r>
      <w:r>
        <w:t xml:space="preserve"> </w:t>
      </w:r>
      <w:r>
        <w:t xml:space="preserve">greenhouse gas emission allowances (the Auctioning Regulation)</w:t>
      </w:r>
      <w:r>
        <w:t xml:space="preserve"> </w:t>
      </w:r>
      <w:r>
        <w:t xml:space="preserve">310 The following persons are eligible to apply for admission to bid directly in the auctions: operators with</w:t>
      </w:r>
      <w:r>
        <w:t xml:space="preserve"> </w:t>
      </w:r>
      <w:r>
        <w:t xml:space="preserve">compliance obligations (including other subsidiaries of the same group of undertakings as the operator with</w:t>
      </w:r>
      <w:r>
        <w:t xml:space="preserve"> </w:t>
      </w:r>
      <w:r>
        <w:t xml:space="preserve">compliance obligations), investment firms authorised under Directive 2014/65/EU, credit institutions</w:t>
      </w:r>
      <w:r>
        <w:t xml:space="preserve"> </w:t>
      </w:r>
      <w:r>
        <w:t xml:space="preserve">authorised under Directive 2013/36/EU, business groupings of compliance operators bidding on their own</w:t>
      </w:r>
      <w:r>
        <w:t xml:space="preserve"> </w:t>
      </w:r>
      <w:r>
        <w:t xml:space="preserve">account and acting as agent on behalf of their members, public bodies that control any compliance operator,</w:t>
      </w:r>
      <w:r>
        <w:t xml:space="preserve"> </w:t>
      </w:r>
      <w:r>
        <w:t xml:space="preserve">and persons covered by the “ancillary activity exemption” of MiFID II when the Member State where they</w:t>
      </w:r>
      <w:r>
        <w:t xml:space="preserve"> </w:t>
      </w:r>
      <w:r>
        <w:t xml:space="preserve">are established has enacted legislation enabling the “relevant competent national authority” in that Member</w:t>
      </w:r>
      <w:r>
        <w:t xml:space="preserve"> </w:t>
      </w:r>
      <w:r>
        <w:t xml:space="preserve">State to authorise them to bid on their own account or on behalf of clients of their main business.</w:t>
      </w:r>
      <w:r>
        <w:br/>
      </w:r>
      <w:r>
        <w:t xml:space="preserve">311 In its Communication on Energy Prices “Tackling rising energy prices: a toolbox for action and support”</w:t>
      </w:r>
      <w:r>
        <w:t xml:space="preserve"> </w:t>
      </w:r>
      <w:r>
        <w:t xml:space="preserve">published on 13 October 2021, the European Commission highlighted that questions have emerged around</w:t>
      </w:r>
      <w:r>
        <w:t xml:space="preserve"> </w:t>
      </w:r>
      <w:r>
        <w:t xml:space="preserve">the functioning of the European carbon market. To examine more closely patterns of trading behaviours and</w:t>
      </w:r>
      <w:r>
        <w:t xml:space="preserve"> </w:t>
      </w:r>
      <w:r>
        <w:t xml:space="preserve">the potential need for targeted actions, the Commission asked ESMA for a first preliminary assessment of</w:t>
      </w:r>
      <w:r>
        <w:t xml:space="preserve"> </w:t>
      </w:r>
      <w:r>
        <w:t xml:space="preserve">European carbon markets by 15 November 2021 and asked it to analyse, by early 2022, the trading of emission</w:t>
      </w:r>
      <w:r>
        <w:t xml:space="preserve"> </w:t>
      </w:r>
      <w:r>
        <w:t xml:space="preserve">allowances. In its report, ESMA has analysed the data regarding emission allowances gathered from different</w:t>
      </w:r>
      <w:r>
        <w:t xml:space="preserve"> </w:t>
      </w:r>
      <w:r>
        <w:t xml:space="preserve">sources, including EMIR reporting, MiFIR transaction reporting, MiFID II daily and weekly position reports,</w:t>
      </w:r>
      <w:r>
        <w:t xml:space="preserve"> </w:t>
      </w:r>
      <w:r>
        <w:t xml:space="preserve">auction data and data obtained from the EU Registry.</w:t>
      </w:r>
    </w:p>
    <w:p>
      <w:pPr>
        <w:pStyle w:val="BodyText"/>
      </w:pPr>
      <w:r>
        <w:t xml:space="preserve">227</w:t>
      </w:r>
      <w:r>
        <w:t xml:space="preserve"> </w:t>
      </w:r>
      <w:r>
        <w:t xml:space="preserve">procedure. Poland concluded an agreement with EEX to make use of the CAP to auction its</w:t>
      </w:r>
      <w:r>
        <w:t xml:space="preserve"> </w:t>
      </w:r>
      <w:r>
        <w:t xml:space="preserve">share of allowances in the absence of listing of its auction platform. EEX also auctions for</w:t>
      </w:r>
      <w:r>
        <w:t xml:space="preserve"> </w:t>
      </w:r>
      <w:r>
        <w:t xml:space="preserve">Germany as an</w:t>
      </w:r>
      <w:r>
        <w:t xml:space="preserve"> </w:t>
      </w:r>
      <w:r>
        <w:t xml:space="preserve">‘opt-out’</w:t>
      </w:r>
      <w:r>
        <w:t xml:space="preserve"> </w:t>
      </w:r>
      <w:r>
        <w:t xml:space="preserve">auction platform. Iceland, Liechtenstein and Norway have started to</w:t>
      </w:r>
      <w:r>
        <w:t xml:space="preserve"> </w:t>
      </w:r>
      <w:r>
        <w:t xml:space="preserve">auction allowances in June 2019, after the EEA Agreement was amended to allow them to</w:t>
      </w:r>
      <w:r>
        <w:t xml:space="preserve"> </w:t>
      </w:r>
      <w:r>
        <w:t xml:space="preserve">participate in the in the Joint Procurement Agreement for the common auction platform.</w:t>
      </w:r>
      <w:r>
        <w:br/>
      </w:r>
      <w:r>
        <w:t xml:space="preserve">In May 2020, the Commission launched a procurement procedure to appoint the third common</w:t>
      </w:r>
      <w:r>
        <w:t xml:space="preserve"> </w:t>
      </w:r>
      <w:r>
        <w:t xml:space="preserve">auction platform (CAP3). EEX was appointed as the common auction platform to conduct</w:t>
      </w:r>
      <w:r>
        <w:t xml:space="preserve"> </w:t>
      </w:r>
      <w:r>
        <w:t xml:space="preserve">auctions on behalf of 28 Member States312 as well as the auction platform for Poland and</w:t>
      </w:r>
      <w:r>
        <w:t xml:space="preserve"> </w:t>
      </w:r>
      <w:r>
        <w:t xml:space="preserve">Germany. The CAP 3 contract was signed in November 2020 and the first auctions under CAP3</w:t>
      </w:r>
      <w:r>
        <w:t xml:space="preserve"> </w:t>
      </w:r>
      <w:r>
        <w:t xml:space="preserve">started in February 2021. No auctions have been conducted in January 2021 due to the</w:t>
      </w:r>
      <w:r>
        <w:t xml:space="preserve"> </w:t>
      </w:r>
      <w:r>
        <w:t xml:space="preserve">transitional period between CAP2 and CAP3. The contract covers the first period of Phase IV</w:t>
      </w:r>
      <w:r>
        <w:t xml:space="preserve"> </w:t>
      </w:r>
      <w:r>
        <w:t xml:space="preserve">(2021-2025).</w:t>
      </w:r>
      <w:r>
        <w:br/>
      </w:r>
      <w:r>
        <w:t xml:space="preserve">The Leipzig-based exchange now runs the single-round, sealed-bid, uniform-price auctions of</w:t>
      </w:r>
      <w:r>
        <w:t xml:space="preserve"> </w:t>
      </w:r>
      <w:r>
        <w:t xml:space="preserve">allowances in the form of spot products, with auctions of general allowances occurring three</w:t>
      </w:r>
      <w:r>
        <w:t xml:space="preserve"> </w:t>
      </w:r>
      <w:r>
        <w:t xml:space="preserve">days per week for the CAP, once a week for Germany and every other week for Poland.</w:t>
      </w:r>
      <w:r>
        <w:t xml:space="preserve"> </w:t>
      </w:r>
      <w:r>
        <w:t xml:space="preserve">Auctions of aviation allowances occurring less frequently. The hand-over and transfer of</w:t>
      </w:r>
      <w:r>
        <w:t xml:space="preserve"> </w:t>
      </w:r>
      <w:r>
        <w:t xml:space="preserve">responsibilities from the CAP2 to CAP3 was executed smoothly with only a minimum delay</w:t>
      </w:r>
      <w:r>
        <w:t xml:space="preserve"> </w:t>
      </w:r>
      <w:r>
        <w:t xml:space="preserve">of a few weeks in the resumption of auctions in 2021 in order to put in place all the necessary</w:t>
      </w:r>
      <w:r>
        <w:t xml:space="preserve"> </w:t>
      </w:r>
      <w:r>
        <w:t xml:space="preserve">administrative and technical arrangements under the new contract, such as new auctioneer</w:t>
      </w:r>
      <w:r>
        <w:t xml:space="preserve"> </w:t>
      </w:r>
      <w:r>
        <w:t xml:space="preserve">agreements, developing a new reserve price methodology, etc.</w:t>
      </w:r>
      <w:r>
        <w:br/>
      </w:r>
      <w:r>
        <w:t xml:space="preserve">The conduct of the auctions requires the implementation of a collaborative process. The</w:t>
      </w:r>
      <w:r>
        <w:t xml:space="preserve"> </w:t>
      </w:r>
      <w:r>
        <w:t xml:space="preserve">calculation of the auction volumes and the preparation of auction calendars involve multiple</w:t>
      </w:r>
      <w:r>
        <w:t xml:space="preserve"> </w:t>
      </w:r>
      <w:r>
        <w:t xml:space="preserve">stakeholders, including the European Commission, the auction platform, and Member States</w:t>
      </w:r>
      <w:r>
        <w:t xml:space="preserve"> </w:t>
      </w:r>
      <w:r>
        <w:t xml:space="preserve">via the Joint Procurement Agreement. This process consists of several steps that ensure the</w:t>
      </w:r>
      <w:r>
        <w:t xml:space="preserve"> </w:t>
      </w:r>
      <w:r>
        <w:t xml:space="preserve">accurate computation of the auction volumes, considering all requirements and provisions of</w:t>
      </w:r>
      <w:r>
        <w:t xml:space="preserve"> </w:t>
      </w:r>
      <w:r>
        <w:t xml:space="preserve">the legislation313. The procedures put in place ensured that errors were avoided and that the</w:t>
      </w:r>
      <w:r>
        <w:t xml:space="preserve"> </w:t>
      </w:r>
      <w:r>
        <w:t xml:space="preserve">volumes to be auctioned were correctly calculated and decisions were adopted in a timely</w:t>
      </w:r>
      <w:r>
        <w:t xml:space="preserve"> </w:t>
      </w:r>
      <w:r>
        <w:t xml:space="preserve">manner. Although calendars were typically published on a regular schedule between 2018 and</w:t>
      </w:r>
      <w:r>
        <w:t xml:space="preserve"> </w:t>
      </w:r>
      <w:r>
        <w:t xml:space="preserve">2022, a small delay occurred during the transition period from CAP2 to CAP3.</w:t>
      </w:r>
      <w:r>
        <w:br/>
      </w:r>
      <w:r>
        <w:t xml:space="preserve">To illustrate the good functioning of the auctioning system, to date over 3000 auctions have</w:t>
      </w:r>
      <w:r>
        <w:t xml:space="preserve"> </w:t>
      </w:r>
      <w:r>
        <w:t xml:space="preserve">been held (for all auction platforms) and only 12 auctions have been cancelled, representing</w:t>
      </w:r>
      <w:r>
        <w:t xml:space="preserve"> </w:t>
      </w:r>
      <w:r>
        <w:t xml:space="preserve">less than 0.5% of the auctions. Cancellations of auctions are necessary in order to ensure the</w:t>
      </w:r>
      <w:r>
        <w:t xml:space="preserve"> </w:t>
      </w:r>
      <w:r>
        <w:t xml:space="preserve">integrity of the auctions, such as if the minimum set reserve price is not met, or if there are not</w:t>
      </w:r>
      <w:r>
        <w:t xml:space="preserve"> </w:t>
      </w:r>
      <w:r>
        <w:t xml:space="preserve">enough bids to cover the full amount auctions. Disruptions to the auction process due to</w:t>
      </w:r>
      <w:r>
        <w:t xml:space="preserve"> </w:t>
      </w:r>
      <w:r>
        <w:t xml:space="preserve">technical incidents or other issues can also lead to a cancellation.</w:t>
      </w:r>
      <w:r>
        <w:br/>
      </w:r>
      <w:r>
        <w:t xml:space="preserve">•</w:t>
      </w:r>
      <w:r>
        <w:t xml:space="preserve"> </w:t>
      </w:r>
      <w:r>
        <w:t xml:space="preserve">EQ3: Have the calculations of the auction volumes taken into account all the</w:t>
      </w:r>
      <w:r>
        <w:t xml:space="preserve"> </w:t>
      </w:r>
      <w:r>
        <w:t xml:space="preserve">requirements of the provisions?</w:t>
      </w:r>
    </w:p>
    <w:p>
      <w:pPr>
        <w:pStyle w:val="BodyText"/>
      </w:pPr>
      <w:r>
        <w:t xml:space="preserve">312 25 EU Member States, Iceland, Liechtenstein and Norway.</w:t>
      </w:r>
      <w:r>
        <w:t xml:space="preserve"> </w:t>
      </w:r>
      <w:r>
        <w:t xml:space="preserve">313 The calculation of auction volumes considers the intakes to, or releases from the MSR as well as Articles</w:t>
      </w:r>
      <w:r>
        <w:t xml:space="preserve"> </w:t>
      </w:r>
      <w:r>
        <w:t xml:space="preserve">10c,10d, 27 and 27a of the ETS Directive. Once the auction volumes are calculated, EEX is informed and</w:t>
      </w:r>
      <w:r>
        <w:t xml:space="preserve"> </w:t>
      </w:r>
      <w:r>
        <w:t xml:space="preserve">creates draft auction calendars and tables, which are then verified by the Commission to ensure compliance</w:t>
      </w:r>
      <w:r>
        <w:t xml:space="preserve"> </w:t>
      </w:r>
      <w:r>
        <w:t xml:space="preserve">with regulatory requirements. The draft auction calendars are approved by the Joint Procurement Steering</w:t>
      </w:r>
      <w:r>
        <w:t xml:space="preserve"> </w:t>
      </w:r>
      <w:r>
        <w:t xml:space="preserve">Committee (JPSC), after which the Commission adopts a decision on the auction volumes and calendars. On</w:t>
      </w:r>
      <w:r>
        <w:t xml:space="preserve"> </w:t>
      </w:r>
      <w:r>
        <w:t xml:space="preserve">average, two decisions are adopted within a year: one in December for the calendars of the following year,</w:t>
      </w:r>
      <w:r>
        <w:t xml:space="preserve"> </w:t>
      </w:r>
      <w:r>
        <w:t xml:space="preserve">and another in July, adjusting the calendar of the current year, considering the MSR and the volumes of the</w:t>
      </w:r>
      <w:r>
        <w:t xml:space="preserve"> </w:t>
      </w:r>
      <w:r>
        <w:t xml:space="preserve">following year.</w:t>
      </w:r>
    </w:p>
    <w:p>
      <w:pPr>
        <w:pStyle w:val="BodyText"/>
      </w:pPr>
      <w:r>
        <w:t xml:space="preserve">228</w:t>
      </w:r>
      <w:r>
        <w:t xml:space="preserve"> </w:t>
      </w:r>
      <w:r>
        <w:t xml:space="preserve">EEX has regularly published on its website the auction calendars in coordination with the</w:t>
      </w:r>
      <w:r>
        <w:t xml:space="preserve"> </w:t>
      </w:r>
      <w:r>
        <w:t xml:space="preserve">European Commission, the EU Member States and the EEA EFTA States auctioning on the</w:t>
      </w:r>
      <w:r>
        <w:t xml:space="preserve"> </w:t>
      </w:r>
      <w:r>
        <w:t xml:space="preserve">common auction platform as well as with the competent authorities of Germany and Poland</w:t>
      </w:r>
      <w:r>
        <w:t xml:space="preserve"> </w:t>
      </w:r>
      <w:r>
        <w:t xml:space="preserve">and the United Kingdom on behalf of Northern Ireland. The calendars reflect the planned</w:t>
      </w:r>
      <w:r>
        <w:t xml:space="preserve"> </w:t>
      </w:r>
      <w:r>
        <w:t xml:space="preserve">amounts of allowances to be sold at each auction and are published several weeks in advance.</w:t>
      </w:r>
      <w:r>
        <w:t xml:space="preserve"> </w:t>
      </w:r>
      <w:r>
        <w:t xml:space="preserve">Each year in July, the auction volumes are adjusted for the period from September to December</w:t>
      </w:r>
      <w:r>
        <w:t xml:space="preserve"> </w:t>
      </w:r>
      <w:r>
        <w:t xml:space="preserve">in accordance with the Auctioning Regulation due to the operations of the MSR. Auctions on</w:t>
      </w:r>
      <w:r>
        <w:t xml:space="preserve"> </w:t>
      </w:r>
      <w:r>
        <w:t xml:space="preserve">the common auction platform take place on Mondays, Tuesdays, and Thursdays. The auctions</w:t>
      </w:r>
      <w:r>
        <w:t xml:space="preserve"> </w:t>
      </w:r>
      <w:r>
        <w:t xml:space="preserve">on behalf of Germany were conducted by EEX on Fridays, while the auctions on behalf of</w:t>
      </w:r>
      <w:r>
        <w:t xml:space="preserve"> </w:t>
      </w:r>
      <w:r>
        <w:t xml:space="preserve">Poland were scheduled bi-weekly on Wednesdays. During the two-hour bidding windows, the</w:t>
      </w:r>
      <w:r>
        <w:t xml:space="preserve"> </w:t>
      </w:r>
      <w:r>
        <w:t xml:space="preserve">entities admitted participating can submit their bids. Winning bidders receive allowances</w:t>
      </w:r>
      <w:r>
        <w:t xml:space="preserve"> </w:t>
      </w:r>
      <w:r>
        <w:t xml:space="preserve">delivered in their accounts in the Union Registry314. The success of a bid depends on the price</w:t>
      </w:r>
      <w:r>
        <w:t xml:space="preserve"> </w:t>
      </w:r>
      <w:r>
        <w:t xml:space="preserve">and the number of allowances auctioned. Article 7 of the Auctioning Regulation specifies how</w:t>
      </w:r>
      <w:r>
        <w:t xml:space="preserve"> </w:t>
      </w:r>
      <w:r>
        <w:t xml:space="preserve">the auction clearing price is determined.</w:t>
      </w:r>
      <w:r>
        <w:br/>
      </w:r>
      <w:r>
        <w:t xml:space="preserve">The European Commission publishes detailed auction reports on a quarterly basis on its</w:t>
      </w:r>
      <w:r>
        <w:t xml:space="preserve"> </w:t>
      </w:r>
      <w:r>
        <w:t xml:space="preserve">website. The reports are prepared in collaboration with the participating Member States and</w:t>
      </w:r>
      <w:r>
        <w:t xml:space="preserve"> </w:t>
      </w:r>
      <w:r>
        <w:t xml:space="preserve">Poland, based on information provided by the common auction platform, in accordance with</w:t>
      </w:r>
      <w:r>
        <w:t xml:space="preserve"> </w:t>
      </w:r>
      <w:r>
        <w:t xml:space="preserve">Article 10(4) of the ETS Directive. Germany also publishes auction reports regularly based on</w:t>
      </w:r>
      <w:r>
        <w:t xml:space="preserve"> </w:t>
      </w:r>
      <w:r>
        <w:t xml:space="preserve">data from its opt-out platform. The auction results published in those reports show that the</w:t>
      </w:r>
      <w:r>
        <w:t xml:space="preserve"> </w:t>
      </w:r>
      <w:r>
        <w:t xml:space="preserve">auctioned volumes were indeed purchased by the winning bidders.</w:t>
      </w:r>
      <w:r>
        <w:br/>
      </w:r>
      <w:r>
        <w:t xml:space="preserve">The volumes were distributed evenly over the scheduled auctions, as specified in the</w:t>
      </w:r>
      <w:r>
        <w:t xml:space="preserve"> </w:t>
      </w:r>
      <w:r>
        <w:t xml:space="preserve">Auctioning Regulation.</w:t>
      </w:r>
      <w:r>
        <w:br/>
      </w:r>
      <w:r>
        <w:t xml:space="preserve">•</w:t>
      </w:r>
      <w:r>
        <w:t xml:space="preserve"> </w:t>
      </w:r>
      <w:r>
        <w:t xml:space="preserve">EQ4: Are the auction results published in a timely and accessible manner, and do they</w:t>
      </w:r>
      <w:r>
        <w:t xml:space="preserve"> </w:t>
      </w:r>
      <w:r>
        <w:t xml:space="preserve">provide sufficient information to participants and stakeholders?</w:t>
      </w:r>
      <w:r>
        <w:t xml:space="preserve"> </w:t>
      </w:r>
      <w:r>
        <w:t xml:space="preserve">The auction results have been published in a timely and accessible manner, and the participants</w:t>
      </w:r>
      <w:r>
        <w:t xml:space="preserve"> </w:t>
      </w:r>
      <w:r>
        <w:t xml:space="preserve">and stakeholders have been provided all the necessary information.</w:t>
      </w:r>
      <w:r>
        <w:br/>
      </w:r>
      <w:r>
        <w:t xml:space="preserve">In accordance with the transparency requirements set forth in the Article 61 of the Auctioning</w:t>
      </w:r>
      <w:r>
        <w:t xml:space="preserve"> </w:t>
      </w:r>
      <w:r>
        <w:t xml:space="preserve">Regulation the auction platform publishes detailed auction results no later than 15 minutes after</w:t>
      </w:r>
      <w:r>
        <w:t xml:space="preserve"> </w:t>
      </w:r>
      <w:r>
        <w:t xml:space="preserve">the close of the bidding window. Throughout the evaluation period, full compliance with the</w:t>
      </w:r>
      <w:r>
        <w:t xml:space="preserve"> </w:t>
      </w:r>
      <w:r>
        <w:t xml:space="preserve">specified requirements was maintained, and no deviations or discrepancies were observed.</w:t>
      </w:r>
      <w:r>
        <w:t xml:space="preserve"> </w:t>
      </w:r>
      <w:r>
        <w:t xml:space="preserve">Furthermore, the auction platform submitted and continues to submit a monthly report to the</w:t>
      </w:r>
      <w:r>
        <w:t xml:space="preserve"> </w:t>
      </w:r>
      <w:r>
        <w:t xml:space="preserve">Commission, by the fifteenth day of each calendar month, as stipulated in the CAP contract.</w:t>
      </w:r>
      <w:r>
        <w:t xml:space="preserve"> </w:t>
      </w:r>
      <w:r>
        <w:t xml:space="preserve">The report served as the basis for the publication of a quarterly report prepared by the</w:t>
      </w:r>
      <w:r>
        <w:t xml:space="preserve"> </w:t>
      </w:r>
      <w:r>
        <w:t xml:space="preserve">Commission on behalf of the Member States participating in the joint action and Poland in</w:t>
      </w:r>
      <w:r>
        <w:t xml:space="preserve"> </w:t>
      </w:r>
      <w:r>
        <w:t xml:space="preserve">accordance with Article 10(4) of the ETS Directive. The German auction platform also</w:t>
      </w:r>
      <w:r>
        <w:t xml:space="preserve"> </w:t>
      </w:r>
      <w:r>
        <w:t xml:space="preserve">publishes a quarterly report. The most recent auction report for CAP3 presents the results of</w:t>
      </w:r>
      <w:r>
        <w:t xml:space="preserve"> </w:t>
      </w:r>
      <w:r>
        <w:t xml:space="preserve">the second quarter of 2025. Although this can be considered as a timely publication, the date</w:t>
      </w:r>
      <w:r>
        <w:t xml:space="preserve"> </w:t>
      </w:r>
      <w:r>
        <w:t xml:space="preserve">of publication must be indicated on the website to properly monitor the timely publication of</w:t>
      </w:r>
      <w:r>
        <w:t xml:space="preserve"> </w:t>
      </w:r>
      <w:r>
        <w:t xml:space="preserve">the reports.</w:t>
      </w:r>
    </w:p>
    <w:p>
      <w:pPr>
        <w:pStyle w:val="BodyText"/>
      </w:pPr>
      <w:r>
        <w:t xml:space="preserve">314 From an operational perspective, two parallel processes are to be distinguished. Firstly, at the level of the</w:t>
      </w:r>
      <w:r>
        <w:t xml:space="preserve"> </w:t>
      </w:r>
      <w:r>
        <w:t xml:space="preserve">Union Registry, allowances are transferred from the Auction Account to the successful bidder’s account in</w:t>
      </w:r>
      <w:r>
        <w:t xml:space="preserve"> </w:t>
      </w:r>
      <w:r>
        <w:t xml:space="preserve">the Registry, via the Auction Collateral Delivery Account of ECC, the central counterparty. Secondly, at the</w:t>
      </w:r>
      <w:r>
        <w:t xml:space="preserve"> </w:t>
      </w:r>
      <w:r>
        <w:t xml:space="preserve">level of ECC, winning bidders pay the auction proceeds to the auctioneers of the Member States.</w:t>
      </w:r>
    </w:p>
    <w:p>
      <w:pPr>
        <w:pStyle w:val="BodyText"/>
      </w:pPr>
      <w:r>
        <w:t xml:space="preserve">229</w:t>
      </w:r>
      <w:r>
        <w:t xml:space="preserve"> </w:t>
      </w:r>
      <w:r>
        <w:t xml:space="preserve">•</w:t>
      </w:r>
      <w:r>
        <w:t xml:space="preserve"> </w:t>
      </w:r>
      <w:r>
        <w:t xml:space="preserve">EQ5: To what extent does the auctioning system ensure equitable access to allowances</w:t>
      </w:r>
      <w:r>
        <w:t xml:space="preserve"> </w:t>
      </w:r>
      <w:r>
        <w:t xml:space="preserve">for all eligible parties, including SMEs and smaller emitters?</w:t>
      </w:r>
      <w:r>
        <w:t xml:space="preserve"> </w:t>
      </w:r>
      <w:r>
        <w:t xml:space="preserve">The auctioning system has ensured an equitable access to allowances for all eligible parties,</w:t>
      </w:r>
      <w:r>
        <w:t xml:space="preserve"> </w:t>
      </w:r>
      <w:r>
        <w:t xml:space="preserve">including SMEs and smaller emitters.</w:t>
      </w:r>
      <w:r>
        <w:br/>
      </w:r>
      <w:r>
        <w:t xml:space="preserve">The European Union Allowance (EUA) auctions have a relatively small number of</w:t>
      </w:r>
      <w:r>
        <w:t xml:space="preserve"> </w:t>
      </w:r>
      <w:r>
        <w:t xml:space="preserve">participants; 117 bidders are registered with 48 unique entities participating in 2021, consisting</w:t>
      </w:r>
      <w:r>
        <w:t xml:space="preserve"> </w:t>
      </w:r>
      <w:r>
        <w:t xml:space="preserve">of 34 non-financials and 14 financials.</w:t>
      </w:r>
      <w:r>
        <w:br/>
      </w:r>
      <w:r>
        <w:t xml:space="preserve">The auction reports show the distribution of successful auction volume won between operators,</w:t>
      </w:r>
      <w:r>
        <w:t xml:space="preserve"> </w:t>
      </w:r>
      <w:r>
        <w:t xml:space="preserve">investment firms, and credit institutions. As displayed in figure below, operators won most of</w:t>
      </w:r>
      <w:r>
        <w:t xml:space="preserve"> </w:t>
      </w:r>
      <w:r>
        <w:t xml:space="preserve">the allowances (62% on average between 2015 and 2023). Investment firms and credit</w:t>
      </w:r>
      <w:r>
        <w:t xml:space="preserve"> </w:t>
      </w:r>
      <w:r>
        <w:t xml:space="preserve">institutions play an important role in the secondary market. They act as intermediaries and</w:t>
      </w:r>
      <w:r>
        <w:t xml:space="preserve"> </w:t>
      </w:r>
      <w:r>
        <w:t xml:space="preserve">market makers and facilitate the trading of emission allowances and allowance derivatives for</w:t>
      </w:r>
      <w:r>
        <w:t xml:space="preserve"> </w:t>
      </w:r>
      <w:r>
        <w:t xml:space="preserve">the compliance entities in the secondary market. As ESMA concluded in its report, while the</w:t>
      </w:r>
      <w:r>
        <w:t xml:space="preserve"> </w:t>
      </w:r>
      <w:r>
        <w:t xml:space="preserve">auction market is somewhat concentrated, the largest participants are also active in the</w:t>
      </w:r>
      <w:r>
        <w:t xml:space="preserve"> </w:t>
      </w:r>
      <w:r>
        <w:t xml:space="preserve">secondary market and ensure that the auctioned allowances are disseminated to other secondary</w:t>
      </w:r>
      <w:r>
        <w:t xml:space="preserve"> </w:t>
      </w:r>
      <w:r>
        <w:t xml:space="preserve">market participants.</w:t>
      </w:r>
      <w:r>
        <w:t xml:space="preserve"> </w:t>
      </w:r>
      <w:r>
        <w:t xml:space="preserve">Figure 40: General allowances - distribution of volume won per bidder category</w:t>
      </w:r>
      <w:r>
        <w:t xml:space="preserve"> </w:t>
      </w:r>
      <w:r>
        <w:t xml:space="preserve">Source: EEX auction report</w:t>
      </w:r>
      <w:r>
        <w:t xml:space="preserve"> </w:t>
      </w:r>
      <w:r>
        <w:t xml:space="preserve">Figure 41 below illustrates a relatively stable trend in the number of bidders per auction, with</w:t>
      </w:r>
      <w:r>
        <w:t xml:space="preserve"> </w:t>
      </w:r>
      <w:r>
        <w:t xml:space="preserve">a narrow fluctuation range between 18.3 bidders per auction in 2015 and a peak of 25.6 in 2018.</w:t>
      </w:r>
      <w:r>
        <w:t xml:space="preserve"> </w:t>
      </w:r>
      <w:r>
        <w:t xml:space="preserve">This peak can be attributed to the revision of the ETS, which introduced measures aimed at</w:t>
      </w:r>
      <w:r>
        <w:t xml:space="preserve"> </w:t>
      </w:r>
      <w:r>
        <w:t xml:space="preserve">stimulating participation in the carbon market. Over the 2015-2023 period, the average number</w:t>
      </w:r>
      <w:r>
        <w:t xml:space="preserve"> </w:t>
      </w:r>
      <w:r>
        <w:t xml:space="preserve">of bidders showed a small increase of 12.4% (from 18.3 to 20.6), indicating a gradual expansion</w:t>
      </w:r>
      <w:r>
        <w:t xml:space="preserve"> </w:t>
      </w:r>
      <w:r>
        <w:t xml:space="preserve">of market engagement. Notably, the number of successful bidders closely tracks the trend in</w:t>
      </w:r>
      <w:r>
        <w:t xml:space="preserve"> </w:t>
      </w:r>
      <w:r>
        <w:t xml:space="preserve">overall bidders, suggesting a consistent level of competitive participation in the auctions.</w:t>
      </w:r>
      <w:r>
        <w:t xml:space="preserve"> </w:t>
      </w:r>
      <w:r>
        <w:t xml:space="preserve">Furthermore, Figure 42 shows that subscription to ETS auctions have been stable over time</w:t>
      </w:r>
      <w:r>
        <w:t xml:space="preserve"> </w:t>
      </w:r>
      <w:r>
        <w:t xml:space="preserve">with a cover ratio, i.e. the volumes of bids submitted vs the volume of allowances auctioned</w:t>
      </w:r>
      <w:r>
        <w:t xml:space="preserve"> </w:t>
      </w:r>
      <w:r>
        <w:t xml:space="preserve">between 1.5-2. A cover ratio under 1 would result in the cancellation of the auction, while a</w:t>
      </w:r>
    </w:p>
    <w:p>
      <w:pPr>
        <w:pStyle w:val="BodyText"/>
      </w:pPr>
      <w:r>
        <w:t xml:space="preserve">230</w:t>
      </w:r>
      <w:r>
        <w:t xml:space="preserve"> </w:t>
      </w:r>
      <w:r>
        <w:t xml:space="preserve">cover ratio significantly above 2 would mean that auctions are oversubscribed and a significant</w:t>
      </w:r>
      <w:r>
        <w:t xml:space="preserve"> </w:t>
      </w:r>
      <w:r>
        <w:t xml:space="preserve">share of bidders would not be able to be successful in their bids. Therefore, a cover ratio of</w:t>
      </w:r>
      <w:r>
        <w:t xml:space="preserve"> </w:t>
      </w:r>
      <w:r>
        <w:t xml:space="preserve">around 1.5 shows the healthy balance between the demand and supply for allowances in the</w:t>
      </w:r>
      <w:r>
        <w:t xml:space="preserve"> </w:t>
      </w:r>
      <w:r>
        <w:t xml:space="preserve">ETS auctions.</w:t>
      </w:r>
      <w:r>
        <w:br/>
      </w:r>
      <w:r>
        <w:t xml:space="preserve">Figure 41: Evolution of number of bidders in ETS auctions (participating and successful)</w:t>
      </w:r>
      <w:r>
        <w:t xml:space="preserve"> </w:t>
      </w:r>
      <w:r>
        <w:t xml:space="preserve">Source: EEX data, own illustration</w:t>
      </w:r>
      <w:r>
        <w:br/>
      </w:r>
      <w:r>
        <w:t xml:space="preserve">Figure 42: Annual average cover ratio315 in EUA auctions held at EEX between 2015-2023</w:t>
      </w:r>
      <w:r>
        <w:t xml:space="preserve"> </w:t>
      </w:r>
      <w:r>
        <w:t xml:space="preserve">Source: EEX data, own illustration</w:t>
      </w:r>
      <w:r>
        <w:t xml:space="preserve"> </w:t>
      </w:r>
      <w:r>
        <w:t xml:space="preserve">The top 10 auction participants are significant players in the secondary market, holding a</w:t>
      </w:r>
      <w:r>
        <w:t xml:space="preserve"> </w:t>
      </w:r>
      <w:r>
        <w:t xml:space="preserve">substantial portion of allowance derivatives positions and acting as large net suppliers of</w:t>
      </w:r>
      <w:r>
        <w:t xml:space="preserve"> </w:t>
      </w:r>
      <w:r>
        <w:t xml:space="preserve">physical allowances to other market participants and compliance entities. Indeed, analyses</w:t>
      </w:r>
      <w:r>
        <w:t xml:space="preserve"> </w:t>
      </w:r>
      <w:r>
        <w:t xml:space="preserve">provided by ESMA, show that SMEs and small emitters prefer to cover their allowance needs</w:t>
      </w:r>
      <w:r>
        <w:t xml:space="preserve"> </w:t>
      </w:r>
      <w:r>
        <w:t xml:space="preserve">through intermediaries and to avoid the learning curve and the costs associated with</w:t>
      </w:r>
      <w:r>
        <w:t xml:space="preserve"> </w:t>
      </w:r>
      <w:r>
        <w:t xml:space="preserve">establishing their eligibility for auction participation and obtaining electronic-based access to</w:t>
      </w:r>
      <w:r>
        <w:t xml:space="preserve"> </w:t>
      </w:r>
      <w:r>
        <w:t xml:space="preserve">the auction.</w:t>
      </w:r>
    </w:p>
    <w:p>
      <w:pPr>
        <w:pStyle w:val="BodyText"/>
      </w:pPr>
      <w:r>
        <w:t xml:space="preserve">315 Cover ratio is the ratio between the total bid volume and the auction volume.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Average number of bidders</w:t>
      </w:r>
      <w:r>
        <w:t xml:space="preserve"> </w:t>
      </w:r>
      <w:r>
        <w:t xml:space="preserve">Average number of successful bidders</w:t>
      </w:r>
      <w:r>
        <w:t xml:space="preserve"> </w:t>
      </w:r>
      <w:r>
        <w:t xml:space="preserve">0</w:t>
      </w:r>
      <w:r>
        <w:t xml:space="preserve"> </w:t>
      </w:r>
      <w:r>
        <w:t xml:space="preserve">0,5</w:t>
      </w:r>
      <w:r>
        <w:t xml:space="preserve"> </w:t>
      </w:r>
      <w:r>
        <w:t xml:space="preserve">1</w:t>
      </w:r>
      <w:r>
        <w:t xml:space="preserve"> </w:t>
      </w:r>
      <w:r>
        <w:t xml:space="preserve">1,5</w:t>
      </w:r>
      <w:r>
        <w:t xml:space="preserve"> </w:t>
      </w:r>
      <w:r>
        <w:t xml:space="preserve">2</w:t>
      </w:r>
      <w:r>
        <w:t xml:space="preserve"> </w:t>
      </w:r>
      <w:r>
        <w:t xml:space="preserve">2,5</w:t>
      </w:r>
      <w:r>
        <w:t xml:space="preserve"> </w:t>
      </w:r>
      <w:r>
        <w:t xml:space="preserve">3</w:t>
      </w:r>
      <w:r>
        <w:t xml:space="preserve"> </w:t>
      </w:r>
      <w:r>
        <w:t xml:space="preserve">3,5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</w:p>
    <w:p>
      <w:pPr>
        <w:pStyle w:val="BodyText"/>
      </w:pPr>
      <w:r>
        <w:t xml:space="preserve">231</w:t>
      </w:r>
      <w:r>
        <w:t xml:space="preserve"> </w:t>
      </w:r>
      <w:r>
        <w:t xml:space="preserve">According to the report from Europe Economics, ‘Participation in the EU ETS markets’316 The</w:t>
      </w:r>
      <w:r>
        <w:t xml:space="preserve"> </w:t>
      </w:r>
      <w:r>
        <w:t xml:space="preserve">current system of acquiring allowances is functioning well, with firms not experiencing</w:t>
      </w:r>
      <w:r>
        <w:t xml:space="preserve"> </w:t>
      </w:r>
      <w:r>
        <w:t xml:space="preserve">significant barriers to participation or feeling exploited by other economic agents. As a result,</w:t>
      </w:r>
      <w:r>
        <w:t xml:space="preserve"> </w:t>
      </w:r>
      <w:r>
        <w:t xml:space="preserve">they rely heavily on financial institutions to acquire allowances. This dependence on financial</w:t>
      </w:r>
      <w:r>
        <w:t xml:space="preserve"> </w:t>
      </w:r>
      <w:r>
        <w:t xml:space="preserve">entities is particularly prevalent among SMEs, but it also applies to larger firms with limited</w:t>
      </w:r>
      <w:r>
        <w:t xml:space="preserve"> </w:t>
      </w:r>
      <w:r>
        <w:t xml:space="preserve">needs for allowances. The compliance entities reported that it is a convenient arrangement that</w:t>
      </w:r>
      <w:r>
        <w:t xml:space="preserve"> </w:t>
      </w:r>
      <w:r>
        <w:t xml:space="preserve">saves them from having to develop their own expertise. Any lack of direct participation in</w:t>
      </w:r>
      <w:r>
        <w:t xml:space="preserve"> </w:t>
      </w:r>
      <w:r>
        <w:t xml:space="preserve">auctions by SMEs and small emitters cannot be characterised as a failure on behalf of the</w:t>
      </w:r>
      <w:r>
        <w:t xml:space="preserve"> </w:t>
      </w:r>
      <w:r>
        <w:t xml:space="preserve">regulator to ensure fair auction access specifically to these entities.</w:t>
      </w:r>
      <w:r>
        <w:br/>
      </w:r>
      <w:r>
        <w:t xml:space="preserve">The evaluation on this point concerns the degree of effort made by the Commission and</w:t>
      </w:r>
      <w:r>
        <w:t xml:space="preserve"> </w:t>
      </w:r>
      <w:r>
        <w:t xml:space="preserve">auctioning platform to inform and involve smaller emitters. That degree of effort is high, with</w:t>
      </w:r>
      <w:r>
        <w:t xml:space="preserve"> </w:t>
      </w:r>
      <w:r>
        <w:t xml:space="preserve">the EEX offering since mid-2012 an “auction-only” (Figure 43) exchange membership</w:t>
      </w:r>
      <w:r>
        <w:t xml:space="preserve"> </w:t>
      </w:r>
      <w:r>
        <w:t xml:space="preserve">category that exempts participants from obligations applying to larger exchange members.</w:t>
      </w:r>
      <w:r>
        <w:t xml:space="preserve"> </w:t>
      </w:r>
      <w:r>
        <w:t xml:space="preserve">Auction reports for CAP2 and CAP3 auctions specify the number of such auction-only</w:t>
      </w:r>
      <w:r>
        <w:t xml:space="preserve"> </w:t>
      </w:r>
      <w:r>
        <w:t xml:space="preserve">participants: between 2016 and 2023 the average number of “auction-only bidders” per month</w:t>
      </w:r>
      <w:r>
        <w:t xml:space="preserve"> </w:t>
      </w:r>
      <w:r>
        <w:t xml:space="preserve">is four. Thus at least some (possibly) smaller firms have taken advantage of this option. EEX</w:t>
      </w:r>
      <w:r>
        <w:t xml:space="preserve"> </w:t>
      </w:r>
      <w:r>
        <w:t xml:space="preserve">also offered regular training sessions and conferences to encourage and support the</w:t>
      </w:r>
      <w:r>
        <w:t xml:space="preserve"> </w:t>
      </w:r>
      <w:r>
        <w:t xml:space="preserve">participation of SMEs in the primary market.</w:t>
      </w:r>
      <w:r>
        <w:t xml:space="preserve"> </w:t>
      </w:r>
      <w:r>
        <w:t xml:space="preserve">Figure 43: Auction only participants</w:t>
      </w:r>
      <w:r>
        <w:t xml:space="preserve"> </w:t>
      </w:r>
      <w:r>
        <w:t xml:space="preserve">Source: EEX monthly reports</w:t>
      </w:r>
      <w:r>
        <w:br/>
      </w:r>
      <w:r>
        <w:t xml:space="preserve">•</w:t>
      </w:r>
      <w:r>
        <w:t xml:space="preserve"> </w:t>
      </w:r>
      <w:r>
        <w:t xml:space="preserve">EQ6: Has the auctioning system prevented market manipulation and abusive practices,</w:t>
      </w:r>
      <w:r>
        <w:t xml:space="preserve"> </w:t>
      </w:r>
      <w:r>
        <w:t xml:space="preserve">ensuring the integrity of the EU ETS?</w:t>
      </w:r>
      <w:r>
        <w:t xml:space="preserve"> </w:t>
      </w:r>
      <w:r>
        <w:t xml:space="preserve">The auctioning system has prevented market manipulation and abusive practices and ensured</w:t>
      </w:r>
      <w:r>
        <w:t xml:space="preserve"> </w:t>
      </w:r>
      <w:r>
        <w:t xml:space="preserve">the integrity of the EU ETS.</w:t>
      </w:r>
      <w:r>
        <w:br/>
      </w:r>
      <w:r>
        <w:t xml:space="preserve">Since 2018, the MiFID II Directive has classified allowances as financial instruments. By</w:t>
      </w:r>
      <w:r>
        <w:t xml:space="preserve"> </w:t>
      </w:r>
      <w:r>
        <w:t xml:space="preserve">requiring trading venues to report transactions to their national competent authority, MiFID II</w:t>
      </w:r>
      <w:r>
        <w:t xml:space="preserve"> </w:t>
      </w:r>
      <w:r>
        <w:t xml:space="preserve">has contributed to the integrity of the EU ETS. MiFID II also requires trading venues to</w:t>
      </w:r>
      <w:r>
        <w:t xml:space="preserve"> </w:t>
      </w:r>
      <w:r>
        <w:t xml:space="preserve">establish arrangements, systems, and procedures to detect and report suspicious orders and</w:t>
      </w:r>
      <w:r>
        <w:t xml:space="preserve"> </w:t>
      </w:r>
      <w:r>
        <w:t xml:space="preserve">transactions. As financial instruments, the allowances fall within the scope of the Market Abuse</w:t>
      </w:r>
      <w:r>
        <w:t xml:space="preserve"> </w:t>
      </w:r>
      <w:r>
        <w:t xml:space="preserve">Regime (MAR). MAR aims to promote market integrity by prohibiting insider dealing,</w:t>
      </w:r>
      <w:r>
        <w:t xml:space="preserve"> </w:t>
      </w:r>
      <w:r>
        <w:t xml:space="preserve">unlawful disclosure of inside information, and market manipulation. To achieve this, MAR</w:t>
      </w:r>
      <w:r>
        <w:t xml:space="preserve"> </w:t>
      </w:r>
      <w:r>
        <w:t xml:space="preserve">provides rules for issuers, intermediaries, and trading venues to follow, as well as powers for</w:t>
      </w:r>
    </w:p>
    <w:p>
      <w:pPr>
        <w:pStyle w:val="BodyText"/>
      </w:pPr>
      <w:r>
        <w:t xml:space="preserve">316 https://climate.ec.europa.eu/document/download/6496c9a4-a4b3-4259-8908-</w:t>
      </w:r>
      <w:r>
        <w:t xml:space="preserve"> </w:t>
      </w:r>
      <w:r>
        <w:t xml:space="preserve">466f8356aa31_en?filename=policy_ets_integrity_report_participation_en.pdf&amp;prefLang=fi</w:t>
      </w:r>
    </w:p>
    <w:p>
      <w:pPr>
        <w:pStyle w:val="BodyText"/>
      </w:pPr>
      <w:r>
        <w:t xml:space="preserve">232</w:t>
      </w:r>
      <w:r>
        <w:t xml:space="preserve"> </w:t>
      </w:r>
      <w:r>
        <w:t xml:space="preserve">competent authorities (NCAs) to detect and prosecute breaches. EEX also provides a</w:t>
      </w:r>
      <w:r>
        <w:t xml:space="preserve"> </w:t>
      </w:r>
      <w:r>
        <w:t xml:space="preserve">framework for market oversight shared between the management board and the market</w:t>
      </w:r>
      <w:r>
        <w:t xml:space="preserve"> </w:t>
      </w:r>
      <w:r>
        <w:t xml:space="preserve">surveillance office of the exchange platform. The market surveillance office is an independent</w:t>
      </w:r>
      <w:r>
        <w:t xml:space="preserve"> </w:t>
      </w:r>
      <w:r>
        <w:t xml:space="preserve">pillar of the public exchange and by law a public authority. It must collect and analyse all</w:t>
      </w:r>
      <w:r>
        <w:t xml:space="preserve"> </w:t>
      </w:r>
      <w:r>
        <w:t xml:space="preserve">trading, reporting and clearing data daily. The auction reports provided by EEX to the European</w:t>
      </w:r>
      <w:r>
        <w:t xml:space="preserve"> </w:t>
      </w:r>
      <w:r>
        <w:t xml:space="preserve">Commission include data on bidding behaviour, market trends, and other relevant information.</w:t>
      </w:r>
      <w:r>
        <w:t xml:space="preserve"> </w:t>
      </w:r>
      <w:r>
        <w:t xml:space="preserve">Since the introduction of MAR, EEX has not detected any suspicious activity or market</w:t>
      </w:r>
      <w:r>
        <w:t xml:space="preserve"> </w:t>
      </w:r>
      <w:r>
        <w:t xml:space="preserve">manipulation in the auctions (primary market) or in allowance derivatives (secondary market).</w:t>
      </w:r>
      <w:r>
        <w:t xml:space="preserve"> </w:t>
      </w:r>
      <w:r>
        <w:t xml:space="preserve">MAR, combined with the market oversight activities of EEX and the reporting requirements</w:t>
      </w:r>
      <w:r>
        <w:t xml:space="preserve"> </w:t>
      </w:r>
      <w:r>
        <w:t xml:space="preserve">under the Auction Regulation, provides a robust framework to prevent any wrongdoing.</w:t>
      </w:r>
      <w:r>
        <w:t xml:space="preserve"> </w:t>
      </w:r>
      <w:r>
        <w:t xml:space="preserve">8.7.4.2</w:t>
      </w:r>
      <w:r>
        <w:t xml:space="preserve"> </w:t>
      </w:r>
      <w:r>
        <w:t xml:space="preserve">Efficiency</w:t>
      </w:r>
      <w:r>
        <w:br/>
      </w:r>
      <w:r>
        <w:t xml:space="preserve">The efficiency criterion is meant to assess costs associated with auctioning and whether they</w:t>
      </w:r>
      <w:r>
        <w:t xml:space="preserve"> </w:t>
      </w:r>
      <w:r>
        <w:t xml:space="preserve">have been justified, given the cost-saving effects auctioning has achieved. Since the alternative</w:t>
      </w:r>
      <w:r>
        <w:t xml:space="preserve"> </w:t>
      </w:r>
      <w:r>
        <w:t xml:space="preserve">to auctioning is free allocation, the efficiency criterion in this case asks in what ways auctioning</w:t>
      </w:r>
      <w:r>
        <w:t xml:space="preserve"> </w:t>
      </w:r>
      <w:r>
        <w:t xml:space="preserve">has been more cost-effective than free allocation and to what extent inefficiencies have been</w:t>
      </w:r>
      <w:r>
        <w:t xml:space="preserve"> </w:t>
      </w:r>
      <w:r>
        <w:t xml:space="preserve">observed.</w:t>
      </w:r>
      <w:r>
        <w:br/>
      </w:r>
      <w:r>
        <w:t xml:space="preserve">The efficiency of the EU ETS auctioning system is assessed through the following evaluation</w:t>
      </w:r>
      <w:r>
        <w:t xml:space="preserve"> </w:t>
      </w:r>
      <w:r>
        <w:t xml:space="preserve">questions:</w:t>
      </w:r>
      <w:r>
        <w:t xml:space="preserve"> </w:t>
      </w:r>
      <w:r>
        <w:t xml:space="preserve">•</w:t>
      </w:r>
      <w:r>
        <w:t xml:space="preserve"> </w:t>
      </w:r>
      <w:r>
        <w:t xml:space="preserve">EQ8: In what ways has auctioning been more cost-effective than free allocation?</w:t>
      </w:r>
      <w:r>
        <w:br/>
      </w:r>
      <w:r>
        <w:t xml:space="preserve">Overall, the goal of the efficiency criterion is to determine whether auctioning has been a</w:t>
      </w:r>
      <w:r>
        <w:t xml:space="preserve"> </w:t>
      </w:r>
      <w:r>
        <w:t xml:space="preserve">successful and effective way to allocate resources, and to identify areas for improvement in the</w:t>
      </w:r>
      <w:r>
        <w:t xml:space="preserve"> </w:t>
      </w:r>
      <w:r>
        <w:t xml:space="preserve">future.</w:t>
      </w:r>
      <w:r>
        <w:br/>
      </w:r>
      <w:r>
        <w:t xml:space="preserve">Literature review and analyses provide some evidence. Auctioning is considered the most</w:t>
      </w:r>
      <w:r>
        <w:t xml:space="preserve"> </w:t>
      </w:r>
      <w:r>
        <w:t xml:space="preserve">efficient way for allocating allowances, as it provides a market-based approach to allocation</w:t>
      </w:r>
      <w:r>
        <w:t xml:space="preserve"> </w:t>
      </w:r>
      <w:r>
        <w:t xml:space="preserve">and allows for a more efficient distribution. According to the study ‘Emissions trading with</w:t>
      </w:r>
      <w:r>
        <w:t xml:space="preserve"> </w:t>
      </w:r>
      <w:r>
        <w:t xml:space="preserve">transaction costs’ by Marc Baudry, Anouk Faure, and Simon Quemin317, auctioning can help</w:t>
      </w:r>
      <w:r>
        <w:t xml:space="preserve"> </w:t>
      </w:r>
      <w:r>
        <w:t xml:space="preserve">to reduce the risk of over-allocation and windfall profit and ensure that allowances are allocated</w:t>
      </w:r>
      <w:r>
        <w:t xml:space="preserve"> </w:t>
      </w:r>
      <w:r>
        <w:t xml:space="preserve">to those who value them the most. Additionally, auctioning can generate revenues for</w:t>
      </w:r>
      <w:r>
        <w:t xml:space="preserve"> </w:t>
      </w:r>
      <w:r>
        <w:t xml:space="preserve">governments, which can be used to support climate change mitigation and adaptation efforts.</w:t>
      </w:r>
      <w:r>
        <w:t xml:space="preserve"> </w:t>
      </w:r>
      <w:r>
        <w:t xml:space="preserve">As noted by authors such as Gbenga Adamolekun in ‘Carbon price and firm greenhouse gas</w:t>
      </w:r>
      <w:r>
        <w:t xml:space="preserve"> </w:t>
      </w:r>
      <w:r>
        <w:t xml:space="preserve">emissions318’, auctioning can lead to a greater reduction in greenhouse gas emissions compared</w:t>
      </w:r>
      <w:r>
        <w:t xml:space="preserve"> </w:t>
      </w:r>
      <w:r>
        <w:t xml:space="preserve">to free allocation.</w:t>
      </w:r>
      <w:r>
        <w:br/>
      </w:r>
      <w:r>
        <w:t xml:space="preserve">The use of auctioning as an allocation method has been shown to be effective in reducing</w:t>
      </w:r>
      <w:r>
        <w:t xml:space="preserve"> </w:t>
      </w:r>
      <w:r>
        <w:t xml:space="preserve">emissions and increasing investment in abatement measures. Authors such as Frank Maarten</w:t>
      </w:r>
      <w:r>
        <w:t xml:space="preserve"> </w:t>
      </w:r>
      <w:r>
        <w:t xml:space="preserve">and Jan Venmans in ‘The effect of allocation above emissions and price uncertainty on</w:t>
      </w:r>
      <w:r>
        <w:t xml:space="preserve"> </w:t>
      </w:r>
      <w:r>
        <w:t xml:space="preserve">abatement investments under the EU ETS319’ suggest that auctioning can provide a stronger</w:t>
      </w:r>
      <w:r>
        <w:t xml:space="preserve"> </w:t>
      </w:r>
      <w:r>
        <w:t xml:space="preserve">incentive for companies to invest in abatement measures and reduce barriers to investment.</w:t>
      </w:r>
      <w:r>
        <w:t xml:space="preserve"> </w:t>
      </w:r>
      <w:r>
        <w:t xml:space="preserve">Furthermore, auctioning can help to reduce market manipulation and increase transparency,</w:t>
      </w:r>
    </w:p>
    <w:p>
      <w:pPr>
        <w:pStyle w:val="BodyText"/>
      </w:pPr>
      <w:r>
        <w:t xml:space="preserve">317 Marc Baudry, Anouk Faure, Simon Quemin, Emissions trading with transaction costs, Journal of</w:t>
      </w:r>
      <w:r>
        <w:t xml:space="preserve"> </w:t>
      </w:r>
      <w:r>
        <w:t xml:space="preserve">Environmental Economics and Management, Volume 108, 2021, 102468, ISSN 0095-0696,</w:t>
      </w:r>
      <w:r>
        <w:t xml:space="preserve"> </w:t>
      </w:r>
      <w:r>
        <w:t xml:space="preserve">https://doi.org/10.1016/j.jeem.2021.102468.</w:t>
      </w:r>
      <w:r>
        <w:t xml:space="preserve"> </w:t>
      </w:r>
      <w:r>
        <w:t xml:space="preserve">318 Gbenga Adamolekun, Carbon price and firm greenhouse gas emissions, Journal of Environmental</w:t>
      </w:r>
      <w:r>
        <w:t xml:space="preserve"> </w:t>
      </w:r>
      <w:r>
        <w:t xml:space="preserve">Management, Volume 349, 2024, 119496, ISSN 0301-4797, https://doi.org/10.1016/j.jenvman.2023.119496.</w:t>
      </w:r>
      <w:r>
        <w:t xml:space="preserve"> </w:t>
      </w:r>
      <w:r>
        <w:t xml:space="preserve">319 Frank Maarten Jan Venmans, The effect of allocation above emissions and price uncertainty on abatement</w:t>
      </w:r>
      <w:r>
        <w:t xml:space="preserve"> </w:t>
      </w:r>
      <w:r>
        <w:t xml:space="preserve">investments under the EU ETS, Journal of Cleaner Production, https://doi.org/10.1016/j.jclepro.2016.02.108.</w:t>
      </w:r>
    </w:p>
    <w:p>
      <w:pPr>
        <w:pStyle w:val="BodyText"/>
      </w:pPr>
      <w:r>
        <w:t xml:space="preserve">233</w:t>
      </w:r>
      <w:r>
        <w:t xml:space="preserve"> </w:t>
      </w:r>
      <w:r>
        <w:t xml:space="preserve">which are essential for a well-functioning emissions trading scheme. As noted by Jan Abrell,</w:t>
      </w:r>
      <w:r>
        <w:t xml:space="preserve"> </w:t>
      </w:r>
      <w:r>
        <w:t xml:space="preserve">Johanna Cludius, Sascha Lehmann, Joachim Schleich, and Regina Betz in ‘Corporate</w:t>
      </w:r>
      <w:r>
        <w:t xml:space="preserve"> </w:t>
      </w:r>
      <w:r>
        <w:t xml:space="preserve">Emissions-Trading Behaviour During the First Decade of the EU ETS320’, auctioning can</w:t>
      </w:r>
      <w:r>
        <w:t xml:space="preserve"> </w:t>
      </w:r>
      <w:r>
        <w:t xml:space="preserve">increase companies’ ability and willingness to actively participate in emissions trading, thus</w:t>
      </w:r>
      <w:r>
        <w:t xml:space="preserve"> </w:t>
      </w:r>
      <w:r>
        <w:t xml:space="preserve">increasing efficiency.</w:t>
      </w:r>
      <w:r>
        <w:br/>
      </w:r>
      <w:r>
        <w:t xml:space="preserve">In practice, the administrative time and resource involved in setting benchmarks and</w:t>
      </w:r>
      <w:r>
        <w:t xml:space="preserve"> </w:t>
      </w:r>
      <w:r>
        <w:t xml:space="preserve">determining free allocation amounts by assessing National Implementing Measures (NIMs) is</w:t>
      </w:r>
      <w:r>
        <w:t xml:space="preserve"> </w:t>
      </w:r>
      <w:r>
        <w:t xml:space="preserve">eliminated to the extent that auctioning is used. It is challenging to precisely measure the cost</w:t>
      </w:r>
      <w:r>
        <w:t xml:space="preserve"> </w:t>
      </w:r>
      <w:r>
        <w:t xml:space="preserve">savings of auctions in the EU ETS, as auctions are not the only method of allocation. Instead,</w:t>
      </w:r>
      <w:r>
        <w:t xml:space="preserve"> </w:t>
      </w:r>
      <w:r>
        <w:t xml:space="preserve">they are compared to a scenario where free allocation is the sole method. Auctioning is the</w:t>
      </w:r>
      <w:r>
        <w:t xml:space="preserve"> </w:t>
      </w:r>
      <w:r>
        <w:t xml:space="preserve">default method, but free allocation still occurs, particularly outside the power sector.</w:t>
      </w:r>
      <w:r>
        <w:t xml:space="preserve"> </w:t>
      </w:r>
      <w:r>
        <w:t xml:space="preserve">Auctioning requires additional administrative and financial resources, including selecting the</w:t>
      </w:r>
      <w:r>
        <w:t xml:space="preserve"> </w:t>
      </w:r>
      <w:r>
        <w:t xml:space="preserve">auction platform, overseeing the auction process and managing associated procedures and</w:t>
      </w:r>
      <w:r>
        <w:t xml:space="preserve"> </w:t>
      </w:r>
      <w:r>
        <w:t xml:space="preserve">reports. However, the cost savings from auctioning are due to increase, as the percentage of the</w:t>
      </w:r>
      <w:r>
        <w:t xml:space="preserve"> </w:t>
      </w:r>
      <w:r>
        <w:t xml:space="preserve">total allowances freely allocated declines.</w:t>
      </w:r>
      <w:r>
        <w:t xml:space="preserve"> </w:t>
      </w:r>
      <w:r>
        <w:t xml:space="preserve">In contrast to the above-described costs to regulators, costs to auction participants are higher</w:t>
      </w:r>
      <w:r>
        <w:t xml:space="preserve"> </w:t>
      </w:r>
      <w:r>
        <w:t xml:space="preserve">than under free allocation (leaving aside the costs for baseline data collection and verification).</w:t>
      </w:r>
      <w:r>
        <w:t xml:space="preserve"> </w:t>
      </w:r>
      <w:r>
        <w:t xml:space="preserve">Buying allowances rather than getting them for free is of course more expensive. One must</w:t>
      </w:r>
      <w:r>
        <w:t xml:space="preserve"> </w:t>
      </w:r>
      <w:r>
        <w:t xml:space="preserve">also add the cost of participating in the auctions and trading on the auction platform. Entities</w:t>
      </w:r>
      <w:r>
        <w:t xml:space="preserve"> </w:t>
      </w:r>
      <w:r>
        <w:t xml:space="preserve">wishing to participate in the auctions must pay a registration fee to the auction platform.</w:t>
      </w:r>
      <w:r>
        <w:t xml:space="preserve"> </w:t>
      </w:r>
      <w:r>
        <w:t xml:space="preserve">Besides, fees321 per lot of allowances won in auctions are equivalent to those on the secondary</w:t>
      </w:r>
      <w:r>
        <w:t xml:space="preserve"> </w:t>
      </w:r>
      <w:r>
        <w:t xml:space="preserve">market (currently 2 EUR per lot of 500 allowances). Power sector players regularly trade</w:t>
      </w:r>
      <w:r>
        <w:t xml:space="preserve"> </w:t>
      </w:r>
      <w:r>
        <w:t xml:space="preserve">electricity products in addition to being active on the secondary market for emissions</w:t>
      </w:r>
      <w:r>
        <w:t xml:space="preserve"> </w:t>
      </w:r>
      <w:r>
        <w:t xml:space="preserve">allowances. They are therefore very likely to have paid the requisite fees already. However, for</w:t>
      </w:r>
      <w:r>
        <w:t xml:space="preserve"> </w:t>
      </w:r>
      <w:r>
        <w:t xml:space="preserve">SMEs those fees may constitute an effective barrier to participate in auctions. They may find</w:t>
      </w:r>
      <w:r>
        <w:t xml:space="preserve"> </w:t>
      </w:r>
      <w:r>
        <w:t xml:space="preserve">it more economical to access the auctions via intermediaries or to obtain allowances in the</w:t>
      </w:r>
      <w:r>
        <w:t xml:space="preserve"> </w:t>
      </w:r>
      <w:r>
        <w:t xml:space="preserve">secondary market.</w:t>
      </w:r>
      <w:r>
        <w:t xml:space="preserve"> </w:t>
      </w:r>
      <w:r>
        <w:t xml:space="preserve">•</w:t>
      </w:r>
      <w:r>
        <w:t xml:space="preserve"> </w:t>
      </w:r>
      <w:r>
        <w:t xml:space="preserve">EQ9: Have there been significant structural premiums or discounts on auction prices,</w:t>
      </w:r>
      <w:r>
        <w:t xml:space="preserve"> </w:t>
      </w:r>
      <w:r>
        <w:t xml:space="preserve">compared to secondary market prices?</w:t>
      </w:r>
      <w:r>
        <w:t xml:space="preserve"> </w:t>
      </w:r>
      <w:r>
        <w:t xml:space="preserve">There have not been any significant structural premiums on auction prices compared to the</w:t>
      </w:r>
      <w:r>
        <w:t xml:space="preserve"> </w:t>
      </w:r>
      <w:r>
        <w:t xml:space="preserve">secondary market.</w:t>
      </w:r>
      <w:r>
        <w:br/>
      </w:r>
      <w:r>
        <w:t xml:space="preserve">Each auction report for each month from 2020 to 2022 state that ‘the auction clearing price was</w:t>
      </w:r>
      <w:r>
        <w:t xml:space="preserve"> </w:t>
      </w:r>
      <w:r>
        <w:t xml:space="preserve">in line with the price signal in the secondary market’. The CAP reports compare the auction</w:t>
      </w:r>
      <w:r>
        <w:t xml:space="preserve"> </w:t>
      </w:r>
      <w:r>
        <w:t xml:space="preserve">clearing prices with the secondary market price for spot emission allowances. The differences</w:t>
      </w:r>
    </w:p>
    <w:p>
      <w:pPr>
        <w:pStyle w:val="BodyText"/>
      </w:pPr>
      <w:r>
        <w:t xml:space="preserve">320 Sascha Lehmann, Joachim Schleich, “Does increasing auctioning in the EU ETS increase companies’ search</w:t>
      </w:r>
      <w:r>
        <w:t xml:space="preserve"> </w:t>
      </w:r>
      <w:r>
        <w:t xml:space="preserve">efforts for favourable trading options?”, Journal of Environmental Management, Volume 387, 2025, 125830,</w:t>
      </w:r>
      <w:r>
        <w:t xml:space="preserve"> </w:t>
      </w:r>
      <w:r>
        <w:t xml:space="preserve">ISSN 0301-4797, https://doi.org/10.1016/j.jenvman.2025.125830.</w:t>
      </w:r>
      <w:r>
        <w:t xml:space="preserve"> </w:t>
      </w:r>
      <w:r>
        <w:t xml:space="preserve">321 The EEX market participants have five options to participate in auctions, with four options offering direct</w:t>
      </w:r>
      <w:r>
        <w:t xml:space="preserve"> </w:t>
      </w:r>
      <w:r>
        <w:t xml:space="preserve">access and one option providing indirect access via intermediaries. The fees for direct access vary depending</w:t>
      </w:r>
      <w:r>
        <w:t xml:space="preserve"> </w:t>
      </w:r>
      <w:r>
        <w:t xml:space="preserve">on the membership model, with new trading participants not being charged annual fees for the first 12 months.</w:t>
      </w:r>
      <w:r>
        <w:t xml:space="preserve"> </w:t>
      </w:r>
      <w:r>
        <w:t xml:space="preserve">The yearly costs range from EUR 0 for auction-only membership to EUR 37,000 for trading all products on</w:t>
      </w:r>
      <w:r>
        <w:t xml:space="preserve"> </w:t>
      </w:r>
      <w:r>
        <w:t xml:space="preserve">all EEX markets. Additionally, a maximum fee of EUR 1,000 per year may apply for the Clearing House</w:t>
      </w:r>
      <w:r>
        <w:t xml:space="preserve"> </w:t>
      </w:r>
      <w:r>
        <w:t xml:space="preserve">ECC, but only if a participant trades very little or nothing. In contrast, the terms and conditions for indirect</w:t>
      </w:r>
      <w:r>
        <w:t xml:space="preserve"> </w:t>
      </w:r>
      <w:r>
        <w:t xml:space="preserve">access need to be agreed upon with the intermediary, and the fees are not explicitly stated. Regardless of the</w:t>
      </w:r>
      <w:r>
        <w:t xml:space="preserve"> </w:t>
      </w:r>
      <w:r>
        <w:t xml:space="preserve">option chosen, companies must meet the eligibility criteria in accordance with Article 18 of the Auctioning</w:t>
      </w:r>
      <w:r>
        <w:t xml:space="preserve"> </w:t>
      </w:r>
      <w:r>
        <w:t xml:space="preserve">Regulation and fulfil specific requirements, such as having a contract with a clearing member and liable</w:t>
      </w:r>
      <w:r>
        <w:t xml:space="preserve"> </w:t>
      </w:r>
      <w:r>
        <w:t xml:space="preserve">equity of EUR 50,000, depending on the membership option.</w:t>
      </w:r>
    </w:p>
    <w:p>
      <w:pPr>
        <w:pStyle w:val="BodyText"/>
      </w:pPr>
      <w:r>
        <w:t xml:space="preserve">234</w:t>
      </w:r>
      <w:r>
        <w:t xml:space="preserve"> </w:t>
      </w:r>
      <w:r>
        <w:t xml:space="preserve">were small, ranging from EUR 0.05 to 0.63, with most values between EUR 0.10 and 0.40. The</w:t>
      </w:r>
      <w:r>
        <w:t xml:space="preserve"> </w:t>
      </w:r>
      <w:r>
        <w:t xml:space="preserve">German annual auction reports even include tables illustrating the relationship of EUA spot</w:t>
      </w:r>
      <w:r>
        <w:t xml:space="preserve"> </w:t>
      </w:r>
      <w:r>
        <w:t xml:space="preserve">auction clearing prices to secondary market prices over time, as illustrated in the table below.</w:t>
      </w:r>
      <w:r>
        <w:t xml:space="preserve"> </w:t>
      </w:r>
      <w:r>
        <w:t xml:space="preserve">In 2022, the maximum deviation was EUR 0,62 (in April).</w:t>
      </w:r>
      <w:r>
        <w:br/>
      </w:r>
      <w:r>
        <w:t xml:space="preserve">Figure 44: EUA-Auctions and deviations from secondary market prices in 2022 (Germany)</w:t>
      </w:r>
      <w:r>
        <w:t xml:space="preserve"> </w:t>
      </w:r>
      <w:r>
        <w:t xml:space="preserve">Source: German Emissions Trading Authority (DEHSt) - German Auctioning of Emission Allowances report</w:t>
      </w:r>
      <w:r>
        <w:t xml:space="preserve"> </w:t>
      </w:r>
      <w:r>
        <w:t xml:space="preserve">•</w:t>
      </w:r>
      <w:r>
        <w:t xml:space="preserve"> </w:t>
      </w:r>
      <w:r>
        <w:t xml:space="preserve">EQ10: To what extent has the auctions system demonstrated agility in responding to</w:t>
      </w:r>
      <w:r>
        <w:t xml:space="preserve"> </w:t>
      </w:r>
      <w:r>
        <w:t xml:space="preserve">changing requirements and generating revenue?</w:t>
      </w:r>
      <w:r>
        <w:t xml:space="preserve"> </w:t>
      </w:r>
      <w:r>
        <w:t xml:space="preserve">The auctions system has demonstrated significant agility in responding to changing</w:t>
      </w:r>
      <w:r>
        <w:t xml:space="preserve"> </w:t>
      </w:r>
      <w:r>
        <w:t xml:space="preserve">requirements and generating revenue to reduce greenhouse gas emissions.</w:t>
      </w:r>
      <w:r>
        <w:br/>
      </w:r>
      <w:r>
        <w:t xml:space="preserve">Since 2015, several changes have been made to align the auctioning of allowances with the EU</w:t>
      </w:r>
      <w:r>
        <w:t xml:space="preserve"> </w:t>
      </w:r>
      <w:r>
        <w:t xml:space="preserve">ETS rules, including the establishment of a market stability reserve, the introduction of new</w:t>
      </w:r>
      <w:r>
        <w:t xml:space="preserve"> </w:t>
      </w:r>
      <w:r>
        <w:t xml:space="preserve">funds such as the Modernisation Fund and the Innovation Fund, and the adaptation of</w:t>
      </w:r>
      <w:r>
        <w:t xml:space="preserve"> </w:t>
      </w:r>
      <w:r>
        <w:t xml:space="preserve">auctioning rules to support climate change mitigation and adaptation efforts.</w:t>
      </w:r>
      <w:r>
        <w:br/>
      </w:r>
      <w:r>
        <w:t xml:space="preserve">The system has also been modified to increase the share of allowances to be auctioned, with</w:t>
      </w:r>
      <w:r>
        <w:t xml:space="preserve"> </w:t>
      </w:r>
      <w:r>
        <w:t xml:space="preserve">57% of allowances to be auctioned from 2021 onwards, and to allocate 2% of the total quantity</w:t>
      </w:r>
      <w:r>
        <w:t xml:space="preserve"> </w:t>
      </w:r>
      <w:r>
        <w:t xml:space="preserve">of allowances to the Modernisation Fund. Furthermore, the system has been adapted to provide</w:t>
      </w:r>
      <w:r>
        <w:t xml:space="preserve"> </w:t>
      </w:r>
      <w:r>
        <w:t xml:space="preserve">a 3% buffer for free allocations, ensuring that the auctioning share is respected while also</w:t>
      </w:r>
      <w:r>
        <w:t xml:space="preserve"> </w:t>
      </w:r>
      <w:r>
        <w:t xml:space="preserve">allowing for flexibility in the allocation of allowances. The operation of the MSR has</w:t>
      </w:r>
      <w:r>
        <w:t xml:space="preserve"> </w:t>
      </w:r>
      <w:r>
        <w:t xml:space="preserve">contributed to a significant increase in the carbon price, making low-carbon investments more</w:t>
      </w:r>
      <w:r>
        <w:t xml:space="preserve"> </w:t>
      </w:r>
      <w:r>
        <w:t xml:space="preserve">attractive and leading to a reduction in greenhouse gas emissions.</w:t>
      </w:r>
      <w:r>
        <w:br/>
      </w:r>
      <w:r>
        <w:t xml:space="preserve">Additionally, the increased carbon price has also generated higher revenues for Member States,</w:t>
      </w:r>
      <w:r>
        <w:t xml:space="preserve"> </w:t>
      </w:r>
      <w:r>
        <w:t xml:space="preserve">which can be used to support climate change mitigation and adaptation efforts. The EU ETS</w:t>
      </w:r>
      <w:r>
        <w:t xml:space="preserve"> </w:t>
      </w:r>
      <w:r>
        <w:t xml:space="preserve">has undergone significant developments in recent years, particularly in relation to the</w:t>
      </w:r>
      <w:r>
        <w:t xml:space="preserve"> </w:t>
      </w:r>
      <w:r>
        <w:t xml:space="preserve">auctioning of allowances, demonstrating its ability to respond to new policy objectives and</w:t>
      </w:r>
      <w:r>
        <w:t xml:space="preserve"> </w:t>
      </w:r>
      <w:r>
        <w:t xml:space="preserve">financial requirements. A notable example of this agility is the ability to generate revenue for</w:t>
      </w:r>
    </w:p>
    <w:p>
      <w:pPr>
        <w:pStyle w:val="BodyText"/>
      </w:pPr>
      <w:r>
        <w:t xml:space="preserve">235</w:t>
      </w:r>
      <w:r>
        <w:t xml:space="preserve"> </w:t>
      </w:r>
      <w:r>
        <w:t xml:space="preserve">specific purposes, such as improving energy efficiency and modernising energy systems, and</w:t>
      </w:r>
      <w:r>
        <w:t xml:space="preserve"> </w:t>
      </w:r>
      <w:r>
        <w:t xml:space="preserve">to support key initiatives like the REPowerEU Regulation. The ability to swiftly redirect and</w:t>
      </w:r>
      <w:r>
        <w:t xml:space="preserve"> </w:t>
      </w:r>
      <w:r>
        <w:t xml:space="preserve">allocate funds through the auctioning mechanism underscores the flexibility and</w:t>
      </w:r>
      <w:r>
        <w:t xml:space="preserve"> </w:t>
      </w:r>
      <w:r>
        <w:t xml:space="preserve">responsiveness of the EU ETS, allowing it to play a pivotal role in supporting the EU’s broader</w:t>
      </w:r>
      <w:r>
        <w:t xml:space="preserve"> </w:t>
      </w:r>
      <w:r>
        <w:t xml:space="preserve">climate and energy policy goals.</w:t>
      </w:r>
      <w:r>
        <w:t xml:space="preserve"> </w:t>
      </w:r>
      <w:r>
        <w:t xml:space="preserve">8.7.5 Conclusion</w:t>
      </w:r>
      <w:r>
        <w:br/>
      </w:r>
      <w:r>
        <w:t xml:space="preserve">The evaluation of the auctioning process reveals a largely successful system that has achieved</w:t>
      </w:r>
      <w:r>
        <w:t xml:space="preserve"> </w:t>
      </w:r>
      <w:r>
        <w:t xml:space="preserve">its objectives of ensuring open, transparent, harmonised, and non-discriminatory allocation of</w:t>
      </w:r>
      <w:r>
        <w:t xml:space="preserve"> </w:t>
      </w:r>
      <w:r>
        <w:t xml:space="preserve">emission allowances. The auctioning system has provided a consistent and fair approach to</w:t>
      </w:r>
      <w:r>
        <w:t xml:space="preserve"> </w:t>
      </w:r>
      <w:r>
        <w:t xml:space="preserve">allocating allowances across the EU Member States, with auctions conducted in an open and</w:t>
      </w:r>
      <w:r>
        <w:t xml:space="preserve"> </w:t>
      </w:r>
      <w:r>
        <w:t xml:space="preserve">transparent manner, and auction results published in a timely and accessible manner, providing</w:t>
      </w:r>
      <w:r>
        <w:t xml:space="preserve"> </w:t>
      </w:r>
      <w:r>
        <w:t xml:space="preserve">sufficient information to participants and stakeholders. The system has also ensured equitable</w:t>
      </w:r>
      <w:r>
        <w:t xml:space="preserve"> </w:t>
      </w:r>
      <w:r>
        <w:t xml:space="preserve">access to allowances for all eligible parties, including SMEs and smaller emitters, although</w:t>
      </w:r>
      <w:r>
        <w:t xml:space="preserve"> </w:t>
      </w:r>
      <w:r>
        <w:t xml:space="preserve">some challenges remain, such as the concentration of auction participants and limited direct</w:t>
      </w:r>
      <w:r>
        <w:t xml:space="preserve"> </w:t>
      </w:r>
      <w:r>
        <w:t xml:space="preserve">participation of SMEs.</w:t>
      </w:r>
      <w:r>
        <w:t xml:space="preserve"> </w:t>
      </w:r>
      <w:r>
        <w:t xml:space="preserve">Notably, the auctioning system has resulted in the allocation of planned amounts of allowances,</w:t>
      </w:r>
      <w:r>
        <w:t xml:space="preserve"> </w:t>
      </w:r>
      <w:r>
        <w:t xml:space="preserve">with over 5 billion allowances auctioned between 2015 and 2023, generating more than 169</w:t>
      </w:r>
      <w:r>
        <w:t xml:space="preserve"> </w:t>
      </w:r>
      <w:r>
        <w:t xml:space="preserve">billion EUR in revenue. The system has prevented market manipulation and abusive practices,</w:t>
      </w:r>
      <w:r>
        <w:t xml:space="preserve"> </w:t>
      </w:r>
      <w:r>
        <w:t xml:space="preserve">ensuring the integrity of the EU ETS. Furthermore, the auctioning system has been efficient in</w:t>
      </w:r>
      <w:r>
        <w:t xml:space="preserve"> </w:t>
      </w:r>
      <w:r>
        <w:t xml:space="preserve">allocating allowances reducing the risk of over-allocation and windfall profits, and generating</w:t>
      </w:r>
      <w:r>
        <w:t xml:space="preserve"> </w:t>
      </w:r>
      <w:r>
        <w:t xml:space="preserve">revenues for Member States, which can be used to support climate change mitigation and</w:t>
      </w:r>
      <w:r>
        <w:t xml:space="preserve"> </w:t>
      </w:r>
      <w:r>
        <w:t xml:space="preserve">adaptation efforts.</w:t>
      </w:r>
      <w:r>
        <w:br/>
      </w:r>
      <w:r>
        <w:t xml:space="preserve">To further enhance transparency, several minor improvements could be implemented.</w:t>
      </w:r>
      <w:r>
        <w:t xml:space="preserve"> </w:t>
      </w:r>
      <w:r>
        <w:t xml:space="preserve">Providing a detailed publication information for reports would be beneficial. Additionally,</w:t>
      </w:r>
      <w:r>
        <w:t xml:space="preserve"> </w:t>
      </w:r>
      <w:r>
        <w:t xml:space="preserve">harmonising the reports from the Common Auction Platform and the German auction platform</w:t>
      </w:r>
      <w:r>
        <w:t xml:space="preserve"> </w:t>
      </w:r>
      <w:r>
        <w:t xml:space="preserve">would promote consistency and facilitate comparison. Furthermore, expanding the data</w:t>
      </w:r>
      <w:r>
        <w:t xml:space="preserve"> </w:t>
      </w:r>
      <w:r>
        <w:t xml:space="preserve">presented to offer more insights into the participation of SMEs and small emitters in the</w:t>
      </w:r>
      <w:r>
        <w:t xml:space="preserve"> </w:t>
      </w:r>
      <w:r>
        <w:t xml:space="preserve">primary market would be valuable, even though the current evaluation indicates that these</w:t>
      </w:r>
      <w:r>
        <w:t xml:space="preserve"> </w:t>
      </w:r>
      <w:r>
        <w:t xml:space="preserve">entities are satisfied with the system and are procuring their allowances on the secondary</w:t>
      </w:r>
      <w:r>
        <w:t xml:space="preserve"> </w:t>
      </w:r>
      <w:r>
        <w:t xml:space="preserve">market.</w:t>
      </w:r>
      <w:r>
        <w:br/>
      </w:r>
      <w:r>
        <w:t xml:space="preserve">Overall, the evaluation concludes that the auctioning system has been a success in achieving</w:t>
      </w:r>
      <w:r>
        <w:t xml:space="preserve"> </w:t>
      </w:r>
      <w:r>
        <w:t xml:space="preserve">its objectives, and its continued use is likely to play a crucial role in the EU’s efforts to reduce</w:t>
      </w:r>
      <w:r>
        <w:t xml:space="preserve"> </w:t>
      </w:r>
      <w:r>
        <w:t xml:space="preserve">greenhouse gas emissions and transition to a low-carbon economy.</w:t>
      </w:r>
    </w:p>
    <w:p>
      <w:pPr>
        <w:pStyle w:val="BodyText"/>
      </w:pPr>
      <w:r>
        <w:t xml:space="preserve">236</w:t>
      </w:r>
    </w:p>
    <w:bookmarkStart w:id="9" w:name="section"/>
    <w:p>
      <w:pPr>
        <w:pStyle w:val="Heading1"/>
      </w:pPr>
    </w:p>
    <w:p>
      <w:pPr>
        <w:pStyle w:val="FirstParagraph"/>
      </w:pPr>
      <w:r>
        <w:t xml:space="preserve">9</w:t>
      </w:r>
      <w:r>
        <w:t xml:space="preserve"> </w:t>
      </w:r>
      <w:r>
        <w:t xml:space="preserve">APPENDIX IV. OVERVIEW OF BENEFITS AND COSTS</w:t>
      </w:r>
      <w:r>
        <w:br/>
      </w:r>
      <w:r>
        <w:t xml:space="preserve">Table 1: Overview of costs and benefits identified in the evaluation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Quantitative</w:t>
      </w:r>
      <w:r>
        <w:br/>
      </w:r>
      <w:r>
        <w:t xml:space="preserve">Comment</w:t>
      </w:r>
      <w:r>
        <w:t xml:space="preserve"> </w:t>
      </w:r>
      <w:r>
        <w:t xml:space="preserve">Compliance costs to directly regulated entities</w:t>
      </w:r>
      <w:r>
        <w:t xml:space="preserve"> </w:t>
      </w:r>
      <w:r>
        <w:t xml:space="preserve">Direct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</w:t>
      </w:r>
    </w:p>
    <w:p>
      <w:pPr>
        <w:pStyle w:val="BodyText"/>
      </w:pPr>
      <w:r>
        <w:t xml:space="preserve">Recurrent</w:t>
      </w:r>
      <w:r>
        <w:t xml:space="preserve"> </w:t>
      </w:r>
      <w:r>
        <w:t xml:space="preserve">Partly</w:t>
      </w:r>
      <w:r>
        <w:t xml:space="preserve"> </w:t>
      </w:r>
      <w:r>
        <w:t xml:space="preserve">quantified/mostly</w:t>
      </w:r>
      <w:r>
        <w:t xml:space="preserve"> </w:t>
      </w:r>
      <w:r>
        <w:t xml:space="preserve">qualitative</w:t>
      </w:r>
      <w:r>
        <w:t xml:space="preserve"> </w:t>
      </w:r>
      <w:r>
        <w:t xml:space="preserve">7. The value of allocation used for compliance that were not provided for free</w:t>
      </w:r>
      <w:r>
        <w:t xml:space="preserve"> </w:t>
      </w:r>
      <w:r>
        <w:t xml:space="preserve">between 2018 and 2024 was estimated in Section 4.1.1.2.2 at approximately 238</w:t>
      </w:r>
      <w:r>
        <w:t xml:space="preserve"> </w:t>
      </w:r>
      <w:r>
        <w:t xml:space="preserve">billion EUR.</w:t>
      </w:r>
      <w:r>
        <w:t xml:space="preserve"> </w:t>
      </w:r>
      <w:r>
        <w:t xml:space="preserve">8. More exposure to carbon cost in Phase IV of the EU ETS due to higher prices and</w:t>
      </w:r>
      <w:r>
        <w:t xml:space="preserve"> </w:t>
      </w:r>
      <w:r>
        <w:t xml:space="preserve">less free allocation. In Section 8.3.4.1, a quantitative analysis was undertaken to</w:t>
      </w:r>
      <w:r>
        <w:t xml:space="preserve"> </w:t>
      </w:r>
      <w:r>
        <w:t xml:space="preserve">compare the volume of free allowances provided to industry in Phase III and IV for a</w:t>
      </w:r>
      <w:r>
        <w:t xml:space="preserve"> </w:t>
      </w:r>
      <w:r>
        <w:t xml:space="preserve">selection of the most energy intensive product benchmarks. The outcome of this</w:t>
      </w:r>
      <w:r>
        <w:t xml:space="preserve"> </w:t>
      </w:r>
      <w:r>
        <w:t xml:space="preserve">exercise was that the volume of free allowances has declined due to reforms to free</w:t>
      </w:r>
      <w:r>
        <w:t xml:space="preserve"> </w:t>
      </w:r>
      <w:r>
        <w:t xml:space="preserve">allocation at the start of Phase IV but it is likely that the greater exposure to the carbon</w:t>
      </w:r>
      <w:r>
        <w:t xml:space="preserve"> </w:t>
      </w:r>
      <w:r>
        <w:t xml:space="preserve">cost was at least partially offset by the fact that free allocation in Phase III was set</w:t>
      </w:r>
      <w:r>
        <w:t xml:space="preserve"> </w:t>
      </w:r>
      <w:r>
        <w:t xml:space="preserve">based on ex-ante activity level that was higher than what actually over the 2013-20</w:t>
      </w:r>
      <w:r>
        <w:t xml:space="preserve"> </w:t>
      </w:r>
      <w:r>
        <w:t xml:space="preserve">time period.</w:t>
      </w:r>
      <w:r>
        <w:t xml:space="preserve"> </w:t>
      </w:r>
      <w:r>
        <w:t xml:space="preserve">9. The carbon cost per tonne of output was subsequently estimated in Section 8.3.4.1</w:t>
      </w:r>
      <w:r>
        <w:t xml:space="preserve"> </w:t>
      </w:r>
      <w:r>
        <w:t xml:space="preserve">for a selection of energy intensive product benchmarks. These estimated carbon costs</w:t>
      </w:r>
      <w:r>
        <w:t xml:space="preserve"> </w:t>
      </w:r>
      <w:r>
        <w:t xml:space="preserve">ranged from 1 to 32 EUR/t or CWT. Industrial stakeholders estimated higher carbon</w:t>
      </w:r>
      <w:r>
        <w:t xml:space="preserve"> </w:t>
      </w:r>
      <w:r>
        <w:t xml:space="preserve">costs (often citing higher specific emissions than the 2016/17 average values</w:t>
      </w:r>
    </w:p>
    <w:p>
      <w:pPr>
        <w:pStyle w:val="BodyText"/>
      </w:pPr>
      <w:r>
        <w:t xml:space="preserve">237</w:t>
      </w:r>
      <w:r>
        <w:t xml:space="preserve"> </w:t>
      </w:r>
      <w:r>
        <w:t xml:space="preserve">previously published by the Commission or assuming higher carbon prices) and these</w:t>
      </w:r>
      <w:r>
        <w:t xml:space="preserve"> </w:t>
      </w:r>
      <w:r>
        <w:t xml:space="preserve">costs were then translated into a share of the overall product price.</w:t>
      </w:r>
      <w:r>
        <w:br/>
      </w:r>
      <w:r>
        <w:t xml:space="preserve">There was a consensus amongst industrial stakeholders that the carbon cost could not</w:t>
      </w:r>
      <w:r>
        <w:t xml:space="preserve"> </w:t>
      </w:r>
      <w:r>
        <w:t xml:space="preserve">be passed through without impacting their competitiveness. Academic literature on</w:t>
      </w:r>
      <w:r>
        <w:t xml:space="preserve"> </w:t>
      </w:r>
      <w:r>
        <w:t xml:space="preserve">evidence on cost pass through is limited but it does suggest that it may be more possible</w:t>
      </w:r>
      <w:r>
        <w:t xml:space="preserve"> </w:t>
      </w:r>
      <w:r>
        <w:t xml:space="preserve">than implied by industrial stakeholders (refer to Section 8.3.4.2).</w:t>
      </w:r>
    </w:p>
    <w:p>
      <w:pPr>
        <w:pStyle w:val="BodyText"/>
      </w:pPr>
      <w:r>
        <w:t xml:space="preserve">Table 1 continued.: Overview of costs and benefits identified in the evaluation</w:t>
      </w:r>
    </w:p>
    <w:p>
      <w:pPr>
        <w:pStyle w:val="BodyText"/>
      </w:pPr>
      <w:r>
        <w:t xml:space="preserve">Public administration</w:t>
      </w:r>
      <w:r>
        <w:t xml:space="preserve"> </w:t>
      </w:r>
      <w:r>
        <w:t xml:space="preserve">Quantitative</w:t>
      </w:r>
      <w:r>
        <w:br/>
      </w:r>
      <w:r>
        <w:t xml:space="preserve">Comment</w:t>
      </w:r>
      <w:r>
        <w:t xml:space="preserve"> </w:t>
      </w:r>
      <w:r>
        <w:t xml:space="preserve">Administrative and enforcement costs</w:t>
      </w:r>
      <w:r>
        <w:t xml:space="preserve"> </w:t>
      </w:r>
      <w:r>
        <w:t xml:space="preserve">Enforcement costs</w:t>
      </w:r>
      <w:r>
        <w:br/>
      </w:r>
      <w:r>
        <w:t xml:space="preserve">Recurrent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Costs linked to monitoring, reporting, verification, allocation and auctioning</w:t>
      </w:r>
    </w:p>
    <w:p>
      <w:pPr>
        <w:pStyle w:val="BodyText"/>
      </w:pPr>
      <w:r>
        <w:t xml:space="preserve">Table 1 continued: Overview of costs and benefits identified in the evaluation</w:t>
      </w:r>
    </w:p>
    <w:p>
      <w:pPr>
        <w:pStyle w:val="BodyText"/>
      </w:pPr>
      <w:r>
        <w:t xml:space="preserve">Businesses (regulated entities)</w:t>
      </w:r>
      <w:r>
        <w:t xml:space="preserve"> </w:t>
      </w:r>
      <w:r>
        <w:t xml:space="preserve">Quantitative</w:t>
      </w:r>
      <w:r>
        <w:br/>
      </w:r>
      <w:r>
        <w:t xml:space="preserve">Comment</w:t>
      </w:r>
    </w:p>
    <w:p>
      <w:pPr>
        <w:pStyle w:val="BodyText"/>
      </w:pPr>
      <w:r>
        <w:t xml:space="preserve">238</w:t>
      </w:r>
      <w:r>
        <w:t xml:space="preserve"> </w:t>
      </w:r>
      <w:r>
        <w:t xml:space="preserve">Provision of free allowances to lower compliance costs</w:t>
      </w:r>
      <w:r>
        <w:t xml:space="preserve"> </w:t>
      </w:r>
      <w:r>
        <w:t xml:space="preserve">Direct benefit</w:t>
      </w:r>
      <w:r>
        <w:br/>
      </w:r>
      <w:r>
        <w:t xml:space="preserve">Recurrent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The value of the free allocation provided between 2018 and 2024 was estimated in</w:t>
      </w:r>
      <w:r>
        <w:t xml:space="preserve"> </w:t>
      </w:r>
      <w:r>
        <w:t xml:space="preserve">Section 4.1.1.2.2 at approximately 195 billion EUR.</w:t>
      </w:r>
      <w:r>
        <w:t xml:space="preserve"> </w:t>
      </w:r>
      <w:r>
        <w:t xml:space="preserve">Provision of compensation for indirect costs</w:t>
      </w:r>
      <w:r>
        <w:t xml:space="preserve"> </w:t>
      </w:r>
      <w:r>
        <w:t xml:space="preserve">Direct benefit</w:t>
      </w:r>
      <w:r>
        <w:br/>
      </w:r>
      <w:r>
        <w:t xml:space="preserve">Recurrent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Section 8.3.4.1 outlines that total ICC payments has risen over time, from EUR 0.5bn</w:t>
      </w:r>
      <w:r>
        <w:t xml:space="preserve"> </w:t>
      </w:r>
      <w:r>
        <w:t xml:space="preserve">for costs incurred in 2017, to EUR 1.8bn for costs incurred in 2019, EUR 2.3 bn in</w:t>
      </w:r>
      <w:r>
        <w:t xml:space="preserve"> </w:t>
      </w:r>
      <w:r>
        <w:t xml:space="preserve">2020, EUR 3.1 bn in 2022 and EUR 5.5 bn in 2023.</w:t>
      </w:r>
      <w:r>
        <w:t xml:space="preserve"> </w:t>
      </w:r>
      <w:r>
        <w:t xml:space="preserve">Reduced regulatory uncertainty</w:t>
      </w:r>
      <w:r>
        <w:t xml:space="preserve"> </w:t>
      </w:r>
      <w:r>
        <w:t xml:space="preserve">Direct benefit</w:t>
      </w:r>
      <w:r>
        <w:br/>
      </w:r>
      <w:r>
        <w:t xml:space="preserve">Recurrent</w:t>
      </w:r>
      <w:r>
        <w:t xml:space="preserve"> </w:t>
      </w:r>
      <w:r>
        <w:t xml:space="preserve">Qualitative</w:t>
      </w:r>
      <w:r>
        <w:t xml:space="preserve"> </w:t>
      </w:r>
      <w:r>
        <w:t xml:space="preserve">Predictable carbon pricing framework supports investment planning</w:t>
      </w:r>
      <w:r>
        <w:t xml:space="preserve"> </w:t>
      </w:r>
      <w:r>
        <w:t xml:space="preserve">Cost savings from simplification</w:t>
      </w:r>
      <w:r>
        <w:t xml:space="preserve"> </w:t>
      </w:r>
      <w:r>
        <w:t xml:space="preserve">Direct benefit</w:t>
      </w:r>
      <w:r>
        <w:br/>
      </w:r>
      <w:r>
        <w:t xml:space="preserve">One-off</w:t>
      </w:r>
      <w:r>
        <w:t xml:space="preserve"> </w:t>
      </w:r>
      <w:r>
        <w:t xml:space="preserve">&amp;</w:t>
      </w:r>
      <w:r>
        <w:t xml:space="preserve"> </w:t>
      </w:r>
      <w:r>
        <w:t xml:space="preserve">Recurrent</w:t>
      </w:r>
      <w:r>
        <w:t xml:space="preserve"> </w:t>
      </w:r>
      <w:r>
        <w:t xml:space="preserve">Partly quantified</w:t>
      </w:r>
      <w:r>
        <w:t xml:space="preserve"> </w:t>
      </w:r>
      <w:r>
        <w:t xml:space="preserve">Exclusion of small emitters; targeted free allocation; simplified procedures.</w:t>
      </w:r>
      <w:r>
        <w:t xml:space="preserve"> </w:t>
      </w:r>
      <w:r>
        <w:t xml:space="preserve">SMEs: Simplified requirements and exclusions reduce burden for smaller emitters.</w:t>
      </w:r>
      <w:r>
        <w:t xml:space="preserve"> </w:t>
      </w:r>
      <w:r>
        <w:t xml:space="preserve">Installations with low emissions may submit simplified monitoring plans under 2018</w:t>
      </w:r>
      <w:r>
        <w:t xml:space="preserve"> </w:t>
      </w:r>
      <w:r>
        <w:t xml:space="preserve">Monitoring and Reporting Regulation.</w:t>
      </w:r>
      <w:r>
        <w:br/>
      </w:r>
      <w:r>
        <w:t xml:space="preserve">Exemption of very small installations from ETS surrendering obligation (ETS</w:t>
      </w:r>
      <w:r>
        <w:t xml:space="preserve"> </w:t>
      </w:r>
      <w:r>
        <w:t xml:space="preserve">Directive Art 27a, introduced in 2018)</w:t>
      </w:r>
      <w:r>
        <w:br/>
      </w:r>
      <w:r>
        <w:t xml:space="preserve">See Section 4.1.1.2.3</w:t>
      </w:r>
      <w:r>
        <w:t xml:space="preserve"> </w:t>
      </w:r>
      <w:r>
        <w:t xml:space="preserve">Energy and carbon efficiency improvements</w:t>
      </w:r>
    </w:p>
    <w:p>
      <w:pPr>
        <w:pStyle w:val="BodyText"/>
      </w:pPr>
      <w:r>
        <w:t xml:space="preserve">239</w:t>
      </w:r>
      <w:r>
        <w:t xml:space="preserve"> </w:t>
      </w:r>
      <w:r>
        <w:t xml:space="preserve">Indirect benefit</w:t>
      </w:r>
      <w:r>
        <w:br/>
      </w:r>
      <w:r>
        <w:t xml:space="preserve">Recurrent</w:t>
      </w:r>
      <w:r>
        <w:t xml:space="preserve"> </w:t>
      </w:r>
      <w:r>
        <w:t xml:space="preserve">Partly quantified</w:t>
      </w:r>
      <w:r>
        <w:t xml:space="preserve"> </w:t>
      </w:r>
      <w:r>
        <w:t xml:space="preserve">Econometric literature cited in the evaluation demonstrates improvements in industrial</w:t>
      </w:r>
      <w:r>
        <w:t xml:space="preserve"> </w:t>
      </w:r>
      <w:r>
        <w:t xml:space="preserve">carbon efficiency e.g. evidence of stronger effect in sectors that lost carbon leakage</w:t>
      </w:r>
      <w:r>
        <w:t xml:space="preserve"> </w:t>
      </w:r>
      <w:r>
        <w:t xml:space="preserve">status in Phase IV of ETS (from 2021). e.g. 0.5 tCO2e emission reduction per</w:t>
      </w:r>
      <w:r>
        <w:t xml:space="preserve"> </w:t>
      </w:r>
      <w:r>
        <w:t xml:space="preserve">additional allowance purchased (rather than allocated for free), and up to 10%</w:t>
      </w:r>
      <w:r>
        <w:t xml:space="preserve"> </w:t>
      </w:r>
      <w:r>
        <w:t xml:space="preserve">increase in patents in ETS-covered sectors. See Section 4.1.1.1 &amp; 4.1.1.3.</w:t>
      </w:r>
    </w:p>
    <w:p>
      <w:pPr>
        <w:pStyle w:val="BodyText"/>
      </w:pPr>
      <w:r>
        <w:t xml:space="preserve">However, the specific effect of 2018 intervention is difficult to disentangle from earlier</w:t>
      </w:r>
      <w:r>
        <w:t xml:space="preserve"> </w:t>
      </w:r>
      <w:r>
        <w:t xml:space="preserve">and later developments.</w:t>
      </w:r>
    </w:p>
    <w:p>
      <w:pPr>
        <w:pStyle w:val="BodyText"/>
      </w:pPr>
      <w:r>
        <w:t xml:space="preserve">Table 1 continued: Overview of costs and benefits identified in the evaluation</w:t>
      </w:r>
    </w:p>
    <w:p>
      <w:pPr>
        <w:pStyle w:val="BodyText"/>
      </w:pPr>
      <w:r>
        <w:t xml:space="preserve">Businesses / citizens</w:t>
      </w:r>
      <w:r>
        <w:t xml:space="preserve"> </w:t>
      </w:r>
      <w:r>
        <w:t xml:space="preserve">Quantitative</w:t>
      </w:r>
      <w:r>
        <w:br/>
      </w:r>
      <w:r>
        <w:t xml:space="preserve">Comment</w:t>
      </w:r>
      <w:r>
        <w:t xml:space="preserve"> </w:t>
      </w:r>
      <w:r>
        <w:t xml:space="preserve">Stabilised carbon market</w:t>
      </w:r>
      <w:r>
        <w:t xml:space="preserve"> </w:t>
      </w:r>
      <w:r>
        <w:t xml:space="preserve">Direct benefit</w:t>
      </w:r>
      <w:r>
        <w:br/>
      </w:r>
      <w:r>
        <w:t xml:space="preserve">Recurrent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Benefit: the intervention removed the historic surplus of allowances, and increased</w:t>
      </w:r>
      <w:r>
        <w:t xml:space="preserve"> </w:t>
      </w:r>
      <w:r>
        <w:t xml:space="preserve">market stability and confidence.</w:t>
      </w:r>
      <w:r>
        <w:t xml:space="preserve"> </w:t>
      </w:r>
      <w:r>
        <w:t xml:space="preserve">EUA prices responded in 2019. Price behaviour since 2020 is consistent with market</w:t>
      </w:r>
      <w:r>
        <w:t xml:space="preserve"> </w:t>
      </w:r>
      <w:r>
        <w:t xml:space="preserve">fundamentals as confirmed in ESMA reports and has been influenced by events</w:t>
      </w:r>
      <w:r>
        <w:t xml:space="preserve"> </w:t>
      </w:r>
      <w:r>
        <w:t xml:space="preserve">(COVID-19, Russia invasion of Ukraine) and subsequent policy interventions (Fit for</w:t>
      </w:r>
      <w:r>
        <w:t xml:space="preserve"> </w:t>
      </w:r>
      <w:r>
        <w:t xml:space="preserve">55). See Section 4.1.2.1.</w:t>
      </w:r>
      <w:r>
        <w:t xml:space="preserve"> </w:t>
      </w:r>
      <w:r>
        <w:t xml:space="preserve">Carbon prices permanently above &lt;EUR 10 level seen in 2013-2017, up to EUR 25 in</w:t>
      </w:r>
      <w:r>
        <w:t xml:space="preserve"> </w:t>
      </w:r>
      <w:r>
        <w:t xml:space="preserve">2019. See Section 4.1.2.1.4.</w:t>
      </w:r>
    </w:p>
    <w:p>
      <w:pPr>
        <w:pStyle w:val="BodyText"/>
      </w:pPr>
      <w:r>
        <w:t xml:space="preserve">240</w:t>
      </w:r>
      <w:r>
        <w:t xml:space="preserve"> </w:t>
      </w:r>
      <w:r>
        <w:t xml:space="preserve">Annual TNAC communication increases availability of ETS data to market</w:t>
      </w:r>
      <w:r>
        <w:t xml:space="preserve"> </w:t>
      </w:r>
      <w:r>
        <w:t xml:space="preserve">participants and stakeholders. See Section 4.1.2.2.3</w:t>
      </w:r>
      <w:r>
        <w:t xml:space="preserve"> </w:t>
      </w:r>
      <w:r>
        <w:t xml:space="preserve">Costs of understanding Market Stability Reserve</w:t>
      </w:r>
      <w:r>
        <w:t xml:space="preserve"> </w:t>
      </w:r>
      <w:r>
        <w:t xml:space="preserve">Cost</w:t>
      </w:r>
      <w:r>
        <w:t xml:space="preserve"> </w:t>
      </w:r>
      <w:r>
        <w:t xml:space="preserve">One-off</w:t>
      </w:r>
      <w:r>
        <w:t xml:space="preserve"> </w:t>
      </w:r>
      <w:r>
        <w:t xml:space="preserve">&amp;</w:t>
      </w:r>
      <w:r>
        <w:t xml:space="preserve"> </w:t>
      </w:r>
      <w:r>
        <w:t xml:space="preserve">recurrent</w:t>
      </w:r>
      <w:r>
        <w:t xml:space="preserve"> </w:t>
      </w:r>
      <w:r>
        <w:t xml:space="preserve">Qualitative</w:t>
      </w:r>
      <w:r>
        <w:t xml:space="preserve"> </w:t>
      </w:r>
      <w:r>
        <w:t xml:space="preserve">Uncertainty of auction volumes and complexity of price formation reported by some</w:t>
      </w:r>
      <w:r>
        <w:t xml:space="preserve"> </w:t>
      </w:r>
      <w:r>
        <w:t xml:space="preserve">stakeholders, partially addressed by introduction of upper buffer in Fit for 55 ETS</w:t>
      </w:r>
      <w:r>
        <w:t xml:space="preserve"> </w:t>
      </w:r>
      <w:r>
        <w:t xml:space="preserve">reform. See 4.1.2.2.2 &amp; 4.1.2.3.4.</w:t>
      </w:r>
    </w:p>
    <w:p>
      <w:pPr>
        <w:pStyle w:val="BodyText"/>
      </w:pPr>
      <w:r>
        <w:t xml:space="preserve">Table 1 continued: Overview of costs and benefits identified in the evaluation</w:t>
      </w:r>
    </w:p>
    <w:p>
      <w:pPr>
        <w:pStyle w:val="BodyText"/>
      </w:pPr>
      <w:r>
        <w:t xml:space="preserve">Citizens / Public administration</w:t>
      </w:r>
      <w:r>
        <w:t xml:space="preserve"> </w:t>
      </w:r>
      <w:r>
        <w:t xml:space="preserve">Quantitative</w:t>
      </w:r>
      <w:r>
        <w:br/>
      </w:r>
      <w:r>
        <w:t xml:space="preserve">Comment</w:t>
      </w:r>
      <w:r>
        <w:t xml:space="preserve"> </w:t>
      </w:r>
      <w:r>
        <w:t xml:space="preserve">Revenue from auctioning of allowances</w:t>
      </w:r>
      <w:r>
        <w:t xml:space="preserve"> </w:t>
      </w:r>
      <w:r>
        <w:t xml:space="preserve">Direct benefit</w:t>
      </w:r>
      <w:r>
        <w:br/>
      </w:r>
      <w:r>
        <w:t xml:space="preserve">Recurrent</w:t>
      </w:r>
      <w:r>
        <w:t xml:space="preserve"> </w:t>
      </w:r>
      <w:r>
        <w:t xml:space="preserve">Quantified</w:t>
      </w:r>
      <w:r>
        <w:t xml:space="preserve"> </w:t>
      </w:r>
      <w:r>
        <w:t xml:space="preserve">More targeted free allocation allows for increased auction revenues.</w:t>
      </w:r>
      <w:r>
        <w:t xml:space="preserve"> </w:t>
      </w:r>
      <w:r>
        <w:t xml:space="preserve">Auctioning revenue between 2018 and 2024 estimated in Section 4.1.1.2.2 at around</w:t>
      </w:r>
      <w:r>
        <w:t xml:space="preserve"> </w:t>
      </w:r>
      <w:r>
        <w:t xml:space="preserve">EUR 196 billion based upon EEX data. A large share of this revenue was distributed</w:t>
      </w:r>
      <w:r>
        <w:t xml:space="preserve"> </w:t>
      </w:r>
      <w:r>
        <w:t xml:space="preserve">to public administrations. Part of this revenue was also distributed to the Innovation</w:t>
      </w:r>
      <w:r>
        <w:t xml:space="preserve"> </w:t>
      </w:r>
      <w:r>
        <w:t xml:space="preserve">Fund and Modernisation Fund to support investments in low carbon technologies</w:t>
      </w:r>
      <w:r>
        <w:t xml:space="preserve"> </w:t>
      </w:r>
      <w:r>
        <w:t xml:space="preserve">across industry.</w:t>
      </w:r>
      <w:r>
        <w:t xml:space="preserve"> </w:t>
      </w:r>
      <w:r>
        <w:t xml:space="preserve">Reduced administration related to provision of free allocation</w:t>
      </w:r>
    </w:p>
    <w:p>
      <w:pPr>
        <w:pStyle w:val="BodyText"/>
      </w:pPr>
      <w:r>
        <w:t xml:space="preserve">241</w:t>
      </w:r>
      <w:r>
        <w:t xml:space="preserve"> </w:t>
      </w:r>
      <w:r>
        <w:t xml:space="preserve">Direct benefit</w:t>
      </w:r>
      <w:r>
        <w:br/>
      </w:r>
      <w:r>
        <w:t xml:space="preserve">Recurrent</w:t>
      </w:r>
      <w:r>
        <w:t xml:space="preserve"> </w:t>
      </w:r>
      <w:r>
        <w:t xml:space="preserve">Not quantified in monetary</w:t>
      </w:r>
      <w:r>
        <w:t xml:space="preserve"> </w:t>
      </w:r>
      <w:r>
        <w:t xml:space="preserve">terms</w:t>
      </w:r>
      <w:r>
        <w:t xml:space="preserve"> </w:t>
      </w:r>
      <w:r>
        <w:t xml:space="preserve">It was assessed in Section 8.3.4.1 that the adoption of a single based indicator reduced</w:t>
      </w:r>
      <w:r>
        <w:t xml:space="preserve"> </w:t>
      </w:r>
      <w:r>
        <w:t xml:space="preserve">the number of sectors at the NACE 4-digit level covered on the 2021-30 carbon</w:t>
      </w:r>
      <w:r>
        <w:t xml:space="preserve"> </w:t>
      </w:r>
      <w:r>
        <w:t xml:space="preserve">leakage list declined by around 65% compared to the 2015-20 carbon leakage list.</w:t>
      </w:r>
      <w:r>
        <w:t xml:space="preserve"> </w:t>
      </w:r>
      <w:r>
        <w:t xml:space="preserve">Stable costs related to monitoring, reporting, verification and accreditation</w:t>
      </w:r>
      <w:r>
        <w:t xml:space="preserve"> </w:t>
      </w:r>
      <w:r>
        <w:t xml:space="preserve">Direct benefit</w:t>
      </w:r>
      <w:r>
        <w:br/>
      </w:r>
      <w:r>
        <w:t xml:space="preserve">Recurrent</w:t>
      </w:r>
      <w:r>
        <w:t xml:space="preserve"> </w:t>
      </w:r>
      <w:r>
        <w:t xml:space="preserve">Partially quantified</w:t>
      </w:r>
      <w:r>
        <w:t xml:space="preserve"> </w:t>
      </w:r>
      <w:r>
        <w:t xml:space="preserve">Stable MRVA costs to operators between ETS phase III and phase IV. With efficiency</w:t>
      </w:r>
      <w:r>
        <w:t xml:space="preserve"> </w:t>
      </w:r>
      <w:r>
        <w:t xml:space="preserve">improvements (e.g. standard tools) largely offsetting increased requirements. See</w:t>
      </w:r>
      <w:r>
        <w:t xml:space="preserve"> </w:t>
      </w:r>
      <w:r>
        <w:t xml:space="preserve">Section 4.1.1.2.3.</w:t>
      </w:r>
      <w:r>
        <w:t xml:space="preserve"> </w:t>
      </w:r>
      <w:r>
        <w:t xml:space="preserve">Standard cost model estimate of MRVA cost is 0.2-0.9 EUR/tCO2 for stationary</w:t>
      </w:r>
      <w:r>
        <w:t xml:space="preserve"> </w:t>
      </w:r>
      <w:r>
        <w:t xml:space="preserve">installations and 0.2-04 EUR/tCO2 for aviation operators</w:t>
      </w:r>
      <w:r>
        <w:t xml:space="preserve"> </w:t>
      </w:r>
      <w:r>
        <w:t xml:space="preserve">More efficient use of free allocation</w:t>
      </w:r>
      <w:r>
        <w:t xml:space="preserve"> </w:t>
      </w:r>
      <w:r>
        <w:t xml:space="preserve">Direct benefit</w:t>
      </w:r>
      <w:r>
        <w:br/>
      </w:r>
      <w:r>
        <w:t xml:space="preserve">Recurrent</w:t>
      </w:r>
      <w:r>
        <w:t xml:space="preserve"> </w:t>
      </w:r>
      <w:r>
        <w:t xml:space="preserve">Partially quantified</w:t>
      </w:r>
      <w:r>
        <w:t xml:space="preserve"> </w:t>
      </w:r>
      <w:r>
        <w:t xml:space="preserve">Reduction in windfall profits due to reformed free allocation framework. See Section</w:t>
      </w:r>
      <w:r>
        <w:t xml:space="preserve"> </w:t>
      </w:r>
      <w:r>
        <w:t xml:space="preserve">4.1.1.2.2. Windfall profits from free allocation cost pass-through estimated at EUR</w:t>
      </w:r>
      <w:r>
        <w:t xml:space="preserve"> </w:t>
      </w:r>
      <w:r>
        <w:t xml:space="preserve">26-46 billion (2008-2019) in the literature but industrial stakeholders in contrast</w:t>
      </w:r>
      <w:r>
        <w:t xml:space="preserve"> </w:t>
      </w:r>
      <w:r>
        <w:t xml:space="preserve">suggested their ability to pass through cost was very limited.</w:t>
      </w:r>
      <w:r>
        <w:t xml:space="preserve"> </w:t>
      </w:r>
      <w:r>
        <w:t xml:space="preserve">Evidence suggests that the 2018 reform did not result yet in carbon leakage. See</w:t>
      </w:r>
      <w:r>
        <w:t xml:space="preserve"> </w:t>
      </w:r>
      <w:r>
        <w:t xml:space="preserve">Section 4.1.1.1.3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Table 1 continued: Overview of costs and benefits identified in the evaluation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Quantitative</w:t>
      </w:r>
      <w:r>
        <w:br/>
      </w:r>
      <w:r>
        <w:t xml:space="preserve">Comment</w:t>
      </w:r>
      <w:r>
        <w:t xml:space="preserve"> </w:t>
      </w:r>
      <w:r>
        <w:t xml:space="preserve">Environmental benefit of greenhouse gas emissions reduction</w:t>
      </w:r>
      <w:r>
        <w:t xml:space="preserve"> </w:t>
      </w:r>
      <w:r>
        <w:t xml:space="preserve">Direct and indirect</w:t>
      </w:r>
      <w:r>
        <w:t xml:space="preserve"> </w:t>
      </w:r>
      <w:r>
        <w:t xml:space="preserve">benefit</w:t>
      </w:r>
      <w:r>
        <w:t xml:space="preserve"> </w:t>
      </w:r>
      <w:r>
        <w:t xml:space="preserve">Recurrent</w:t>
      </w:r>
      <w:r>
        <w:t xml:space="preserve"> </w:t>
      </w:r>
      <w:r>
        <w:t xml:space="preserve">Not quantified in monetary</w:t>
      </w:r>
      <w:r>
        <w:t xml:space="preserve"> </w:t>
      </w:r>
      <w:r>
        <w:t xml:space="preserve">terms</w:t>
      </w:r>
      <w:r>
        <w:t xml:space="preserve"> </w:t>
      </w:r>
      <w:r>
        <w:t xml:space="preserve">Direct emissions reduction benefit from steeper linear reduction factor.</w:t>
      </w:r>
      <w:r>
        <w:br/>
      </w:r>
      <w:r>
        <w:t xml:space="preserve">Indirect benefits related to decarbonisation include air quality improvement,</w:t>
      </w:r>
      <w:r>
        <w:t xml:space="preserve"> </w:t>
      </w:r>
      <w:r>
        <w:t xml:space="preserve">Increased energy efficiency and reduced fossil fuel dependency.</w:t>
      </w:r>
      <w:r>
        <w:t xml:space="preserve"> </w:t>
      </w:r>
      <w:r>
        <w:t xml:space="preserve">Reduced administration related to provision of free allocation</w:t>
      </w:r>
      <w:r>
        <w:t xml:space="preserve"> </w:t>
      </w:r>
      <w:r>
        <w:t xml:space="preserve">Direct benefit</w:t>
      </w:r>
      <w:r>
        <w:br/>
      </w:r>
      <w:r>
        <w:t xml:space="preserve">Recurrent</w:t>
      </w:r>
      <w:r>
        <w:t xml:space="preserve"> </w:t>
      </w:r>
      <w:r>
        <w:t xml:space="preserve">Qualitative judgement</w:t>
      </w:r>
      <w:r>
        <w:t xml:space="preserve"> </w:t>
      </w:r>
      <w:r>
        <w:t xml:space="preserve">Evidence suggests benefits outweigh costs, though not all impacts can be monetised</w:t>
      </w:r>
    </w:p>
    <w:p>
      <w:pPr>
        <w:pStyle w:val="BodyText"/>
      </w:pPr>
      <w:r>
        <w:t xml:space="preserve">243</w:t>
      </w:r>
      <w:r>
        <w:t xml:space="preserve"> </w:t>
      </w:r>
      <w:r>
        <w:t xml:space="preserve">TABLE 2: Simplification and burden reduction (savings already achieved)</w:t>
      </w:r>
      <w:r>
        <w:br/>
      </w:r>
      <w:r>
        <w:t xml:space="preserve">Report any simplification, burden reduction and cost savings achieved already by the intervention evaluated, including the points of comparison/ where</w:t>
      </w:r>
      <w:r>
        <w:t xml:space="preserve"> </w:t>
      </w:r>
      <w:r>
        <w:t xml:space="preserve">available (e.g. REFIT savings predicted in the IA or other sources).</w:t>
      </w:r>
    </w:p>
    <w:p>
      <w:pPr>
        <w:pStyle w:val="BodyText"/>
      </w:pPr>
      <w:r>
        <w:t xml:space="preserve">Citizens/Consumers/Workers 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[Other…] _ specify</w:t>
      </w:r>
      <w:r>
        <w:t xml:space="preserve"> </w:t>
      </w:r>
      <w:r>
        <w:t xml:space="preserve">Quantitative</w:t>
      </w:r>
      <w:r>
        <w:br/>
      </w:r>
      <w:r>
        <w:t xml:space="preserve">Comment Quantitative 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br/>
      </w:r>
      <w:r>
        <w:t xml:space="preserve">Quantitative Comment</w:t>
      </w:r>
      <w:r>
        <w:t xml:space="preserve"> </w:t>
      </w:r>
      <w:r>
        <w:t xml:space="preserve">Direct compliance cost savings (for example adjustment cost savings, administrative cost savings, savings from regulatory charges)</w:t>
      </w:r>
    </w:p>
    <w:p>
      <w:pPr>
        <w:pStyle w:val="BodyText"/>
      </w:pPr>
      <w:r>
        <w:t xml:space="preserve">One-off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Exclusion of very small</w:t>
      </w:r>
      <w:r>
        <w:t xml:space="preserve"> </w:t>
      </w:r>
      <w:r>
        <w:t xml:space="preserve">emitters (below 2,500</w:t>
      </w:r>
      <w:r>
        <w:t xml:space="preserve"> </w:t>
      </w:r>
      <w:r>
        <w:t xml:space="preserve">tCO2e per y ear).</w:t>
      </w:r>
    </w:p>
    <w:p>
      <w:pPr>
        <w:pStyle w:val="BodyText"/>
      </w:pPr>
      <w:r>
        <w:t xml:space="preserve">Enforcement cost savings (for example cost savings associated with activities linked to the implementation of an initiative such as monitoring, inspections,</w:t>
      </w:r>
      <w:r>
        <w:t xml:space="preserve"> </w:t>
      </w:r>
      <w:r>
        <w:t xml:space="preserve">and adjudication/litigation)</w:t>
      </w:r>
      <w:r>
        <w:t xml:space="preserve"> </w:t>
      </w:r>
      <w:r>
        <w:t xml:space="preserve">One-off</w:t>
      </w:r>
    </w:p>
    <w:p>
      <w:pPr>
        <w:pStyle w:val="BodyText"/>
      </w:pPr>
      <w:r>
        <w:t xml:space="preserve">Not quantified</w:t>
      </w:r>
      <w:r>
        <w:t xml:space="preserve"> </w:t>
      </w:r>
      <w:r>
        <w:t xml:space="preserve">Targeted free</w:t>
      </w:r>
      <w:r>
        <w:t xml:space="preserve"> </w:t>
      </w:r>
      <w:r>
        <w:t xml:space="preserve">allocation reduces the</w:t>
      </w:r>
      <w:r>
        <w:t xml:space="preserve"> </w:t>
      </w:r>
      <w:r>
        <w:t xml:space="preserve">number of sub-sectors</w:t>
      </w:r>
      <w:r>
        <w:t xml:space="preserve"> </w:t>
      </w:r>
      <w:r>
        <w:t xml:space="preserve">covered.</w:t>
      </w:r>
    </w:p>
    <w:p>
      <w:pPr>
        <w:pStyle w:val="BodyText"/>
      </w:pPr>
      <w:r>
        <w:t xml:space="preserve">Recurrent</w:t>
      </w:r>
    </w:p>
    <w:p>
      <w:pPr>
        <w:pStyle w:val="BodyText"/>
      </w:pPr>
      <w:r>
        <w:t xml:space="preserve">MRVA simplifications</w:t>
      </w:r>
      <w:r>
        <w:t xml:space="preserve"> </w:t>
      </w:r>
      <w:r>
        <w:t xml:space="preserve">achieved through</w:t>
      </w:r>
      <w:r>
        <w:t xml:space="preserve"> </w:t>
      </w:r>
      <w:r>
        <w:t xml:space="preserve">amendments to</w:t>
      </w:r>
      <w:r>
        <w:t xml:space="preserve"> </w:t>
      </w:r>
      <w:r>
        <w:t xml:space="preserve">Monitor and Reporting</w:t>
      </w:r>
      <w:r>
        <w:t xml:space="preserve"> </w:t>
      </w:r>
      <w:r>
        <w:t xml:space="preserve">Regulation. See</w:t>
      </w:r>
      <w:r>
        <w:t xml:space="preserve"> </w:t>
      </w:r>
      <w:r>
        <w:t xml:space="preserve">Section 5.2 &amp; 10.4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322 This assessment is without prejudice to a possible future Impact Assessment.</w:t>
      </w:r>
      <w:r>
        <w:t xml:space="preserve"> </w:t>
      </w:r>
      <w:r>
        <w:t xml:space="preserve">PART II: II Potential simplification and burden reduction (savings)</w:t>
      </w:r>
      <w:r>
        <w:t xml:space="preserve"> </w:t>
      </w:r>
      <w:r>
        <w:t xml:space="preserve">Identify further potential simplification and savings that could be achieved with a view to make the initiative more effective and efficient without prejudice</w:t>
      </w:r>
      <w:r>
        <w:t xml:space="preserve"> </w:t>
      </w:r>
      <w:r>
        <w:t xml:space="preserve">to its policy objectives322.</w:t>
      </w:r>
    </w:p>
    <w:p>
      <w:pPr>
        <w:pStyle w:val="BodyText"/>
      </w:pPr>
      <w:r>
        <w:t xml:space="preserve">Citizens/Consumers/Workers 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[Other…] _ specify</w:t>
      </w:r>
      <w:r>
        <w:t xml:space="preserve"> </w:t>
      </w:r>
      <w:r>
        <w:t xml:space="preserve">Quantitative</w:t>
      </w:r>
      <w:r>
        <w:br/>
      </w:r>
      <w:r>
        <w:t xml:space="preserve">Comment Quantitative 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br/>
      </w:r>
      <w:r>
        <w:t xml:space="preserve">Quantitative Comment</w:t>
      </w:r>
      <w:r>
        <w:t xml:space="preserve"> </w:t>
      </w:r>
      <w:r>
        <w:t xml:space="preserve">Reforming conditionality for free allocation</w:t>
      </w:r>
      <w:r>
        <w:t xml:space="preserve"> </w:t>
      </w:r>
      <w:r>
        <w:t xml:space="preserve">One-off</w:t>
      </w:r>
    </w:p>
    <w:p>
      <w:pPr>
        <w:pStyle w:val="BodyText"/>
      </w:pPr>
      <w:r>
        <w:t xml:space="preserve">Up to 0.02</w:t>
      </w:r>
      <w:r>
        <w:t xml:space="preserve"> </w:t>
      </w:r>
      <w:r>
        <w:t xml:space="preserve">EUR/ton of</w:t>
      </w:r>
      <w:r>
        <w:t xml:space="preserve"> </w:t>
      </w:r>
      <w:r>
        <w:t xml:space="preserve">CO2-eq.</w:t>
      </w:r>
      <w:r>
        <w:t xml:space="preserve"> </w:t>
      </w:r>
      <w:r>
        <w:t xml:space="preserve">could be</w:t>
      </w:r>
      <w:r>
        <w:t xml:space="preserve"> </w:t>
      </w:r>
      <w:r>
        <w:t xml:space="preserve">saved if</w:t>
      </w:r>
      <w:r>
        <w:t xml:space="preserve"> </w:t>
      </w:r>
      <w:r>
        <w:t xml:space="preserve">conditionality</w:t>
      </w:r>
      <w:r>
        <w:t xml:space="preserve"> </w:t>
      </w:r>
      <w:r>
        <w:t xml:space="preserve">rules were</w:t>
      </w:r>
      <w:r>
        <w:t xml:space="preserve"> </w:t>
      </w:r>
      <w:r>
        <w:t xml:space="preserve">not applied.</w:t>
      </w:r>
      <w:r>
        <w:t xml:space="preserve"> </w:t>
      </w:r>
      <w:r>
        <w:t xml:space="preserve">See Annex</w:t>
      </w:r>
      <w:r>
        <w:t xml:space="preserve"> </w:t>
      </w:r>
      <w:r>
        <w:t xml:space="preserve">12, Section</w:t>
      </w:r>
      <w:r>
        <w:t xml:space="preserve"> </w:t>
      </w:r>
      <w:r>
        <w:t xml:space="preserve">1.4.1.2 of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Although free</w:t>
      </w:r>
      <w:r>
        <w:t xml:space="preserve"> </w:t>
      </w:r>
      <w:r>
        <w:t xml:space="preserve">allocation implies a</w:t>
      </w:r>
      <w:r>
        <w:t xml:space="preserve"> </w:t>
      </w:r>
      <w:r>
        <w:t xml:space="preserve">cost burden, this has to</w:t>
      </w:r>
      <w:r>
        <w:t xml:space="preserve"> </w:t>
      </w:r>
      <w:r>
        <w:t xml:space="preserve">be weighed against its</w:t>
      </w:r>
      <w:r>
        <w:t xml:space="preserve"> </w:t>
      </w:r>
      <w:r>
        <w:t xml:space="preserve">potential benefit as a</w:t>
      </w:r>
      <w:r>
        <w:t xml:space="preserve"> </w:t>
      </w:r>
      <w:r>
        <w:t xml:space="preserve">means of encouraging</w:t>
      </w:r>
      <w:r>
        <w:t xml:space="preserve"> </w:t>
      </w:r>
      <w:r>
        <w:t xml:space="preserve">decarbonisation</w:t>
      </w:r>
      <w:r>
        <w:t xml:space="preserve"> </w:t>
      </w:r>
      <w:r>
        <w:t xml:space="preserve">investment and</w:t>
      </w:r>
      <w:r>
        <w:t xml:space="preserve"> </w:t>
      </w:r>
      <w:r>
        <w:t xml:space="preserve">allocating increasingly</w:t>
      </w:r>
      <w:r>
        <w:t xml:space="preserve"> </w:t>
      </w:r>
      <w:r>
        <w:t xml:space="preserve">scarce free allowances</w:t>
      </w:r>
      <w:r>
        <w:t xml:space="preserve"> </w:t>
      </w:r>
      <w:r>
        <w:t xml:space="preserve">as the emissions cap</w:t>
      </w:r>
      <w:r>
        <w:t xml:space="preserve"> </w:t>
      </w:r>
      <w:r>
        <w:t xml:space="preserve">declines.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Further targeting of the</w:t>
      </w:r>
      <w:r>
        <w:t xml:space="preserve"> </w:t>
      </w:r>
      <w:r>
        <w:t xml:space="preserve">carbon leakage list to</w:t>
      </w:r>
      <w:r>
        <w:t xml:space="preserve"> </w:t>
      </w:r>
      <w:r>
        <w:t xml:space="preserve">simplify burden on 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Commission. See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preferred policy option</w:t>
      </w:r>
      <w:r>
        <w:t xml:space="preserve"> </w:t>
      </w:r>
      <w:r>
        <w:t xml:space="preserve">for addressing carbon</w:t>
      </w:r>
      <w:r>
        <w:t xml:space="preserve"> </w:t>
      </w:r>
      <w:r>
        <w:t xml:space="preserve">leakage.</w:t>
      </w:r>
    </w:p>
    <w:p>
      <w:pPr>
        <w:pStyle w:val="BodyText"/>
      </w:pPr>
      <w:r>
        <w:t xml:space="preserve">Simplification of the MSR</w:t>
      </w:r>
    </w:p>
    <w:p>
      <w:pPr>
        <w:pStyle w:val="BodyText"/>
      </w:pPr>
      <w:r>
        <w:t xml:space="preserve">245</w:t>
      </w:r>
      <w:r>
        <w:t xml:space="preserve"> </w:t>
      </w:r>
      <w:r>
        <w:t xml:space="preserve">One-off / recurring</w:t>
      </w:r>
    </w:p>
    <w:p>
      <w:pPr>
        <w:pStyle w:val="BodyText"/>
      </w:pPr>
      <w:r>
        <w:t xml:space="preserve">While</w:t>
      </w:r>
      <w:r>
        <w:t xml:space="preserve"> </w:t>
      </w:r>
      <w:r>
        <w:t xml:space="preserve">simplification of the</w:t>
      </w:r>
      <w:r>
        <w:t xml:space="preserve"> </w:t>
      </w:r>
      <w:r>
        <w:t xml:space="preserve">MSR appears to</w:t>
      </w:r>
      <w:r>
        <w:t xml:space="preserve"> </w:t>
      </w:r>
      <w:r>
        <w:t xml:space="preserve">have advantages</w:t>
      </w:r>
      <w:r>
        <w:t xml:space="preserve"> </w:t>
      </w:r>
      <w:r>
        <w:t xml:space="preserve">(e.g. transparency),</w:t>
      </w:r>
      <w:r>
        <w:t xml:space="preserve"> </w:t>
      </w:r>
      <w:r>
        <w:t xml:space="preserve">a simpler MSR</w:t>
      </w:r>
      <w:r>
        <w:t xml:space="preserve"> </w:t>
      </w:r>
      <w:r>
        <w:t xml:space="preserve">would not</w:t>
      </w:r>
      <w:r>
        <w:t xml:space="preserve"> </w:t>
      </w:r>
      <w:r>
        <w:t xml:space="preserve">necessarily deliver a</w:t>
      </w:r>
      <w:r>
        <w:t xml:space="preserve"> </w:t>
      </w:r>
      <w:r>
        <w:t xml:space="preserve">more stable carbon</w:t>
      </w:r>
      <w:r>
        <w:t xml:space="preserve"> </w:t>
      </w:r>
      <w:r>
        <w:t xml:space="preserve">market.</w:t>
      </w:r>
    </w:p>
    <w:p>
      <w:pPr>
        <w:pStyle w:val="BodyText"/>
      </w:pPr>
      <w:r>
        <w:t xml:space="preserve">246</w:t>
      </w:r>
    </w:p>
    <w:p>
      <w:pPr>
        <w:pStyle w:val="BodyText"/>
      </w:pPr>
      <w:r>
        <w:t xml:space="preserve">10 APPENDIX V. STAKEHOLDER CONSULTATION</w:t>
      </w:r>
      <w:r>
        <w:t xml:space="preserve"> </w:t>
      </w:r>
      <w:r>
        <w:t xml:space="preserve">See Annex 2 on Stakeholder Consultation</w:t>
      </w:r>
    </w:p>
    <w:p>
      <w:pPr>
        <w:pStyle w:val="BodyText"/>
      </w:pPr>
      <w:r>
        <w:t xml:space="preserve">247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2026-07-31T16:48:51Z</dcterms:created>
  <dcterms:modified xsi:type="dcterms:W3CDTF">2026-07-31T16:48:51Z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