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16.3.2026</w:t>
      </w:r>
      <w:r>
        <w:br/>
      </w:r>
      <w:r>
        <w:t xml:space="preserve">SWD(2026) 89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</w:p>
    <w:p>
      <w:pPr>
        <w:pStyle w:val="BodyText"/>
      </w:pPr>
      <w:r>
        <w:t xml:space="preserve">Commission Regulation (EU) declaring certain categories of aid in the rail, inland</w:t>
      </w:r>
      <w:r>
        <w:t xml:space="preserve"> </w:t>
      </w:r>
      <w:r>
        <w:t xml:space="preserve">waterways and multimodal transport sector compatible with the internal market in</w:t>
      </w:r>
      <w:r>
        <w:t xml:space="preserve"> </w:t>
      </w:r>
      <w:r>
        <w:t xml:space="preserve">application of Articles 93, 107 and 108 of the Treaty on the Functioning of the European</w:t>
      </w:r>
      <w:r>
        <w:t xml:space="preserve"> </w:t>
      </w:r>
      <w:r>
        <w:t xml:space="preserve">Union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Communication from the Commission - Guidelines on State aid for land and multimodal</w:t>
      </w:r>
      <w:r>
        <w:t xml:space="preserve"> </w:t>
      </w:r>
      <w:r>
        <w:t xml:space="preserve">transport</w:t>
      </w:r>
      <w:r>
        <w:t xml:space="preserve"> </w:t>
      </w:r>
      <w:r>
        <w:t xml:space="preserve">{C(2026) 1645 final} - {C(2026) 1646 final} - {SEC(2026) 78 final} - {SWD(2026) 90 final}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1</w:t>
      </w:r>
      <w:r>
        <w:t xml:space="preserve"> </w:t>
      </w:r>
      <w:r>
        <w:t xml:space="preserve">1.1. State aid control policy in the field of sustainable land transport ………………… 1</w:t>
      </w:r>
      <w:r>
        <w:t xml:space="preserve"> </w:t>
      </w:r>
      <w:r>
        <w:t xml:space="preserve">1.2. Relationship with other EU initiatives …………………………………………………….. 3</w:t>
      </w:r>
      <w:r>
        <w:t xml:space="preserve"> </w:t>
      </w:r>
      <w:r>
        <w:t xml:space="preserve">1.3. Fitness Check ………………………………………………………………………………………. 8</w:t>
      </w:r>
      <w:r>
        <w:t xml:space="preserve"> </w:t>
      </w:r>
      <w:r>
        <w:t xml:space="preserve">1.4. Sustainable development goals ………………………………………………………………. 9</w:t>
      </w:r>
      <w:r>
        <w:t xml:space="preserve"> </w:t>
      </w:r>
      <w:r>
        <w:t xml:space="preserve">1.5. The future of European Competitiveness …………………………………………………. 9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 10</w:t>
      </w:r>
      <w:r>
        <w:t xml:space="preserve"> </w:t>
      </w:r>
      <w:r>
        <w:t xml:space="preserve">2.1. What is the problem? ………………………………………………………………………….. 10</w:t>
      </w:r>
      <w:r>
        <w:t xml:space="preserve"> </w:t>
      </w:r>
      <w:r>
        <w:t xml:space="preserve">2.2. Why is it a problem? …………………………………………………………………………… 15</w:t>
      </w:r>
      <w:r>
        <w:t xml:space="preserve"> </w:t>
      </w:r>
      <w:r>
        <w:t xml:space="preserve">2.3. What are the problem drivers? ……………………………………………………………… 17</w:t>
      </w:r>
      <w:r>
        <w:t xml:space="preserve"> </w:t>
      </w:r>
      <w:r>
        <w:t xml:space="preserve">2.4. How likely is the problem to persist? …………………………………………………….. 24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25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26</w:t>
      </w:r>
      <w:r>
        <w:t xml:space="preserve"> </w:t>
      </w:r>
      <w:r>
        <w:t xml:space="preserve">4.1. General objective ……………………………………………………………………………….. 26</w:t>
      </w:r>
      <w:r>
        <w:t xml:space="preserve"> </w:t>
      </w:r>
      <w:r>
        <w:t xml:space="preserve">4.2. Specific objectives ……………………………………………………………………………… 26</w:t>
      </w:r>
      <w:r>
        <w:t xml:space="preserve"> </w:t>
      </w:r>
      <w:r>
        <w:t xml:space="preserve">4.3. Intervention logic ……………………………………………………………………………….. 26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27</w:t>
      </w:r>
      <w:r>
        <w:t xml:space="preserve"> </w:t>
      </w:r>
      <w:r>
        <w:t xml:space="preserve">5.1. Policy options and the intervention logic ……………………………………………….. 27</w:t>
      </w:r>
      <w:r>
        <w:t xml:space="preserve"> </w:t>
      </w:r>
      <w:r>
        <w:t xml:space="preserve">5.2. What is the baseline in relation to which options are assessed? ………………… 28</w:t>
      </w:r>
      <w:r>
        <w:t xml:space="preserve"> </w:t>
      </w:r>
      <w:r>
        <w:t xml:space="preserve">5.3. Policy options: scope of the revised Guidelines and TBER (A) ………………… 30</w:t>
      </w:r>
      <w:r>
        <w:t xml:space="preserve"> </w:t>
      </w:r>
      <w:r>
        <w:t xml:space="preserve">5.4. Policy options: compatibility conditions for operating and interoperability</w:t>
      </w:r>
      <w:r>
        <w:t xml:space="preserve"> </w:t>
      </w:r>
      <w:r>
        <w:t xml:space="preserve">aid (B) ………………………………………………………………………………………………. 31</w:t>
      </w:r>
      <w:r>
        <w:t xml:space="preserve"> </w:t>
      </w:r>
      <w:r>
        <w:t xml:space="preserve">5.5. Policy options: compatibility conditions for aid for the acquisition of</w:t>
      </w:r>
      <w:r>
        <w:t xml:space="preserve"> </w:t>
      </w:r>
      <w:r>
        <w:t xml:space="preserve">vehicles (C) ……………………………………………………………………………………….. 35</w:t>
      </w:r>
      <w:r>
        <w:t xml:space="preserve"> </w:t>
      </w:r>
      <w:r>
        <w:t xml:space="preserve">5.6. Options discarded at an early stage ……………………………………………………….. 36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38</w:t>
      </w:r>
      <w:r>
        <w:t xml:space="preserve"> </w:t>
      </w:r>
      <w:r>
        <w:t xml:space="preserve">6.1. Methodology ……………………………………………………………………………………… 38</w:t>
      </w:r>
      <w:r>
        <w:t xml:space="preserve"> </w:t>
      </w:r>
      <w:r>
        <w:t xml:space="preserve">6.2. Option Bundle A - scope of the revised Guidelines and TBER …………………. 43</w:t>
      </w:r>
      <w:r>
        <w:t xml:space="preserve"> </w:t>
      </w:r>
      <w:r>
        <w:t xml:space="preserve">6.3. Option Bundle B – operating and interoperability aid ……………………………… 48</w:t>
      </w:r>
      <w:r>
        <w:t xml:space="preserve"> </w:t>
      </w:r>
      <w:r>
        <w:t xml:space="preserve">6.4. Option Bundle C – aid for the acquisition of vehicles ……………………………… 55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58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63</w:t>
      </w:r>
      <w:r>
        <w:t xml:space="preserve"> </w:t>
      </w:r>
      <w:r>
        <w:t xml:space="preserve">8.1. Identification of the preferred policy option …………………………………………… 63</w:t>
      </w:r>
      <w:r>
        <w:t xml:space="preserve"> </w:t>
      </w:r>
      <w:r>
        <w:t xml:space="preserve">8.2. REFIT (simplification and improved efficiency) …………………………………….. 65</w:t>
      </w:r>
      <w:r>
        <w:t xml:space="preserve"> </w:t>
      </w:r>
      <w:r>
        <w:t xml:space="preserve">8.3. Application of the ‘one in, one out’ approach ………………………………………… 65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65</w:t>
      </w:r>
      <w:r>
        <w:t xml:space="preserve"> </w:t>
      </w:r>
      <w:r>
        <w:t xml:space="preserve">9.1. The mandatory control system for State aid measures …………………………….. 65</w:t>
      </w:r>
    </w:p>
    <w:p>
      <w:pPr>
        <w:pStyle w:val="BodyText"/>
      </w:pPr>
      <w:r>
        <w:t xml:space="preserve">II</w:t>
      </w:r>
      <w:r>
        <w:t xml:space="preserve"> </w:t>
      </w:r>
      <w:r>
        <w:t xml:space="preserve">9.2. Measuring the success of the initiative against its objectives ……………………. 66</w:t>
      </w:r>
      <w:r>
        <w:t xml:space="preserve"> </w:t>
      </w:r>
      <w:r>
        <w:t xml:space="preserve">ANNEX 1: PROCEDURAL INFORMATION …………………………………………………………………………………. 1</w:t>
      </w:r>
      <w:r>
        <w:t xml:space="preserve"> </w:t>
      </w:r>
      <w:r>
        <w:t xml:space="preserve">ANNEX 2: STAKEHOLDER CONSULTATION (SYNOPSIS REPORT) ………………………………………….. 6</w:t>
      </w:r>
      <w:r>
        <w:t xml:space="preserve"> </w:t>
      </w:r>
      <w:r>
        <w:t xml:space="preserve">ANNEX 3: WHO IS AFFECTED AND HOW? ……………………………………………………………………………… 27</w:t>
      </w:r>
      <w:r>
        <w:t xml:space="preserve"> </w:t>
      </w:r>
      <w:r>
        <w:t xml:space="preserve">ANNEX 4: ANALYTICAL METHODS ……………………………………………………………………………………….. 33</w:t>
      </w:r>
      <w:r>
        <w:t xml:space="preserve"> </w:t>
      </w:r>
      <w:r>
        <w:t xml:space="preserve">ANNEX 5: COMPETITIVENESS CHECK …………………………………………………………………………………… 34</w:t>
      </w:r>
      <w:r>
        <w:t xml:space="preserve"> </w:t>
      </w:r>
      <w:r>
        <w:t xml:space="preserve">ANNEX 6: SME CHECK ……………………………………………………………………………………………………………. 38</w:t>
      </w:r>
      <w:r>
        <w:t xml:space="preserve"> </w:t>
      </w:r>
      <w:r>
        <w:t xml:space="preserve">ANNEX 7: OVERVIEW OF CASE PRACTICE 2008 - 2024 ………………………………………………………….. 43</w:t>
      </w:r>
      <w:r>
        <w:t xml:space="preserve"> </w:t>
      </w:r>
      <w:r>
        <w:t xml:space="preserve">ANNEX 8: QUANTIFICATION OF ADMINISTRATIVE BURDEN AND RELATED COST</w:t>
      </w:r>
      <w:r>
        <w:t xml:space="preserve"> </w:t>
      </w:r>
      <w:r>
        <w:t xml:space="preserve">REDUCTIONS ………………………………………………………………………………………………………………….. 47</w:t>
      </w:r>
      <w:r>
        <w:t xml:space="preserve"> </w:t>
      </w:r>
      <w:r>
        <w:t xml:space="preserve">ANNEX 9: RELEVANT PROVISIONS OF THE TFEU …………………………………………………………………. 55</w:t>
      </w:r>
      <w:r>
        <w:t xml:space="preserve"> </w:t>
      </w:r>
      <w:r>
        <w:t xml:space="preserve">ANNEX 10: SUMMARY OF THE PROVISIONS OF THE RGL …………………………………………………….. 58</w:t>
      </w:r>
      <w:r>
        <w:t xml:space="preserve"> </w:t>
      </w:r>
      <w:r>
        <w:t xml:space="preserve">ANNEX</w:t>
      </w:r>
      <w:r>
        <w:t xml:space="preserve"> </w:t>
      </w:r>
      <w:r>
        <w:t xml:space="preserve">11:</w:t>
      </w:r>
      <w:r>
        <w:t xml:space="preserve"> </w:t>
      </w:r>
      <w:r>
        <w:t xml:space="preserve">DATA</w:t>
      </w:r>
      <w:r>
        <w:t xml:space="preserve"> </w:t>
      </w:r>
      <w:r>
        <w:t xml:space="preserve">AND</w:t>
      </w:r>
      <w:r>
        <w:t xml:space="preserve"> </w:t>
      </w:r>
      <w:r>
        <w:t xml:space="preserve">METHODOLOGY</w:t>
      </w:r>
      <w:r>
        <w:t xml:space="preserve"> </w:t>
      </w:r>
      <w:r>
        <w:t xml:space="preserve">USED</w:t>
      </w:r>
      <w:r>
        <w:t xml:space="preserve"> </w:t>
      </w:r>
      <w:r>
        <w:t xml:space="preserve">FOR</w:t>
      </w:r>
      <w:r>
        <w:t xml:space="preserve"> </w:t>
      </w:r>
      <w:r>
        <w:t xml:space="preserve">DISAGGREGATING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ENVIRONMENTAL IMPACTS ………………………………………………………………………………………….. 60</w:t>
      </w:r>
      <w:r>
        <w:t xml:space="preserve"> </w:t>
      </w:r>
      <w:r>
        <w:t xml:space="preserve">ANNEX 12: MONITORING AND EVALUATION ……………………………………………………………………….. 61</w:t>
      </w:r>
    </w:p>
    <w:p>
      <w:pPr>
        <w:pStyle w:val="BodyText"/>
      </w:pPr>
      <w:r>
        <w:t xml:space="preserve">III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CfE</w:t>
      </w:r>
      <w:r>
        <w:t xml:space="preserve"> </w:t>
      </w:r>
      <w:r>
        <w:t xml:space="preserve">Call for Evidence</w:t>
      </w:r>
      <w:r>
        <w:t xml:space="preserve"> </w:t>
      </w:r>
      <w:r>
        <w:t xml:space="preserve">CEEAG</w:t>
      </w:r>
      <w:r>
        <w:t xml:space="preserve"> </w:t>
      </w:r>
      <w:r>
        <w:t xml:space="preserve">Climate Energy and Environmental Aid Guidelines</w:t>
      </w:r>
      <w:r>
        <w:t xml:space="preserve"> </w:t>
      </w:r>
      <w:r>
        <w:t xml:space="preserve">CISAF</w:t>
      </w:r>
      <w:r>
        <w:t xml:space="preserve"> </w:t>
      </w:r>
      <w:r>
        <w:t xml:space="preserve">Framework for State aid measures to support the Clean</w:t>
      </w:r>
      <w:r>
        <w:t xml:space="preserve"> </w:t>
      </w:r>
      <w:r>
        <w:t xml:space="preserve">Industrial Deal</w:t>
      </w:r>
      <w:r>
        <w:t xml:space="preserve"> </w:t>
      </w:r>
      <w:r>
        <w:t xml:space="preserve">DAC</w:t>
      </w:r>
      <w:r>
        <w:t xml:space="preserve"> </w:t>
      </w:r>
      <w:r>
        <w:t xml:space="preserve">Digital Automatic Coupling</w:t>
      </w:r>
      <w:r>
        <w:t xml:space="preserve"> </w:t>
      </w:r>
      <w:r>
        <w:t xml:space="preserve">ERTMS</w:t>
      </w:r>
      <w:r>
        <w:t xml:space="preserve"> </w:t>
      </w:r>
      <w:r>
        <w:t xml:space="preserve">European Rail Traffic Management System</w:t>
      </w:r>
      <w:r>
        <w:t xml:space="preserve"> </w:t>
      </w:r>
      <w:r>
        <w:t xml:space="preserve">ETS2</w:t>
      </w:r>
      <w:r>
        <w:t xml:space="preserve"> </w:t>
      </w:r>
      <w:r>
        <w:t xml:space="preserve">Emission Trading System 2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GBER</w:t>
      </w:r>
      <w:r>
        <w:t xml:space="preserve"> </w:t>
      </w:r>
      <w:r>
        <w:t xml:space="preserve">General Block Exemption Regulation</w:t>
      </w:r>
      <w:r>
        <w:t xml:space="preserve"> </w:t>
      </w:r>
      <w:r>
        <w:t xml:space="preserve">GHG</w:t>
      </w:r>
      <w:r>
        <w:t xml:space="preserve"> </w:t>
      </w:r>
      <w:r>
        <w:t xml:space="preserve">Greenhouse gas</w:t>
      </w:r>
      <w:r>
        <w:t xml:space="preserve"> </w:t>
      </w:r>
      <w:r>
        <w:t xml:space="preserve">GLs</w:t>
      </w:r>
      <w:r>
        <w:t xml:space="preserve"> </w:t>
      </w:r>
      <w:r>
        <w:t xml:space="preserve">Guidelines</w:t>
      </w:r>
      <w:r>
        <w:t xml:space="preserve"> </w:t>
      </w:r>
      <w:r>
        <w:t xml:space="preserve">Hz</w:t>
      </w:r>
      <w:r>
        <w:t xml:space="preserve"> </w:t>
      </w:r>
      <w:r>
        <w:t xml:space="preserve">hertz</w:t>
      </w:r>
      <w:r>
        <w:t xml:space="preserve"> </w:t>
      </w:r>
      <w:r>
        <w:t xml:space="preserve">IIA</w:t>
      </w:r>
      <w:r>
        <w:t xml:space="preserve"> </w:t>
      </w:r>
      <w:r>
        <w:t xml:space="preserve">Inception Impact Assessment</w:t>
      </w:r>
      <w:r>
        <w:t xml:space="preserve"> </w:t>
      </w:r>
      <w:r>
        <w:t xml:space="preserve">ISSG</w:t>
      </w:r>
      <w:r>
        <w:t xml:space="preserve"> </w:t>
      </w:r>
      <w:r>
        <w:t xml:space="preserve">Interservice Steering Group</w:t>
      </w:r>
      <w:r>
        <w:t xml:space="preserve"> </w:t>
      </w:r>
      <w:r>
        <w:t xml:space="preserve">IWW</w:t>
      </w:r>
      <w:r>
        <w:t xml:space="preserve"> </w:t>
      </w:r>
      <w:r>
        <w:t xml:space="preserve">Inland Waterways</w:t>
      </w:r>
      <w:r>
        <w:t xml:space="preserve"> </w:t>
      </w:r>
      <w:r>
        <w:t xml:space="preserve">kV</w:t>
      </w:r>
      <w:r>
        <w:t xml:space="preserve"> </w:t>
      </w:r>
      <w:r>
        <w:t xml:space="preserve">kilovolt</w:t>
      </w:r>
      <w:r>
        <w:t xml:space="preserve"> </w:t>
      </w:r>
      <w:r>
        <w:t xml:space="preserve">NGO</w:t>
      </w:r>
      <w:r>
        <w:t xml:space="preserve"> </w:t>
      </w:r>
      <w:r>
        <w:t xml:space="preserve">Non-governmental organisation</w:t>
      </w:r>
      <w:r>
        <w:t xml:space="preserve"> </w:t>
      </w:r>
      <w:r>
        <w:t xml:space="preserve">PSO</w:t>
      </w:r>
      <w:r>
        <w:t xml:space="preserve"> </w:t>
      </w:r>
      <w:r>
        <w:t xml:space="preserve">Public Service Obligation</w:t>
      </w:r>
      <w:r>
        <w:t xml:space="preserve"> </w:t>
      </w:r>
      <w:r>
        <w:t xml:space="preserve">R&amp;R Guidelines</w:t>
      </w:r>
      <w:r>
        <w:t xml:space="preserve"> </w:t>
      </w:r>
      <w:r>
        <w:t xml:space="preserve">Rescue and Restructuring Guidelines</w:t>
      </w:r>
      <w:r>
        <w:t xml:space="preserve"> </w:t>
      </w:r>
      <w:r>
        <w:t xml:space="preserve">RGL</w:t>
      </w:r>
      <w:r>
        <w:t xml:space="preserve"> </w:t>
      </w:r>
      <w:r>
        <w:t xml:space="preserve">2008 Community guidelines on State aid for railway</w:t>
      </w:r>
      <w:r>
        <w:t xml:space="preserve"> </w:t>
      </w:r>
      <w:r>
        <w:t xml:space="preserve">undertakings</w:t>
      </w:r>
      <w:r>
        <w:t xml:space="preserve"> </w:t>
      </w:r>
      <w:r>
        <w:t xml:space="preserve">RSB</w:t>
      </w:r>
      <w:r>
        <w:t xml:space="preserve"> </w:t>
      </w:r>
      <w:r>
        <w:t xml:space="preserve">Regulatory Scrutiny Board</w:t>
      </w:r>
      <w:r>
        <w:t xml:space="preserve"> </w:t>
      </w:r>
      <w:r>
        <w:t xml:space="preserve">SAM</w:t>
      </w:r>
      <w:r>
        <w:t xml:space="preserve"> </w:t>
      </w:r>
      <w:r>
        <w:t xml:space="preserve">State Aid Modernisation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</w:t>
      </w:r>
      <w:r>
        <w:t xml:space="preserve"> </w:t>
      </w:r>
      <w:r>
        <w:t xml:space="preserve">SGEI</w:t>
      </w:r>
      <w:r>
        <w:t xml:space="preserve"> </w:t>
      </w:r>
      <w:r>
        <w:t xml:space="preserve">Services of general economic interest</w:t>
      </w:r>
      <w:r>
        <w:t xml:space="preserve"> </w:t>
      </w:r>
      <w:r>
        <w:t xml:space="preserve">SLT</w:t>
      </w:r>
      <w:r>
        <w:t xml:space="preserve"> </w:t>
      </w:r>
      <w:r>
        <w:t xml:space="preserve">Sustainable land transport</w:t>
      </w:r>
      <w:r>
        <w:t xml:space="preserve"> </w:t>
      </w:r>
      <w:r>
        <w:t xml:space="preserve">SME</w:t>
      </w:r>
      <w:r>
        <w:t xml:space="preserve"> </w:t>
      </w:r>
      <w:r>
        <w:t xml:space="preserve">Small and medium-sized enterprise</w:t>
      </w:r>
      <w:r>
        <w:t xml:space="preserve"> </w:t>
      </w:r>
      <w:r>
        <w:t xml:space="preserve">SMC</w:t>
      </w:r>
      <w:r>
        <w:t xml:space="preserve"> </w:t>
      </w:r>
      <w:r>
        <w:t xml:space="preserve">Small mid-cap</w:t>
      </w:r>
    </w:p>
    <w:p>
      <w:pPr>
        <w:pStyle w:val="BodyText"/>
      </w:pPr>
      <w:r>
        <w:t xml:space="preserve">IV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SSMS</w:t>
      </w:r>
      <w:r>
        <w:t xml:space="preserve"> </w:t>
      </w:r>
      <w:r>
        <w:t xml:space="preserve">Sustainable and Smart Mobility Strategy</w:t>
      </w:r>
      <w:r>
        <w:t xml:space="preserve"> </w:t>
      </w:r>
      <w:r>
        <w:t xml:space="preserve">SWL</w:t>
      </w:r>
      <w:r>
        <w:t xml:space="preserve"> </w:t>
      </w:r>
      <w:r>
        <w:t xml:space="preserve">Single Wagon Load</w:t>
      </w:r>
      <w:r>
        <w:t xml:space="preserve"> </w:t>
      </w:r>
      <w:r>
        <w:t xml:space="preserve">TBER</w:t>
      </w:r>
      <w:r>
        <w:t xml:space="preserve"> </w:t>
      </w:r>
      <w:r>
        <w:t xml:space="preserve">Transport Block Exemption Regulation</w:t>
      </w:r>
      <w:r>
        <w:t xml:space="preserve"> </w:t>
      </w:r>
      <w:r>
        <w:t xml:space="preserve">TEN-T</w:t>
      </w:r>
      <w:r>
        <w:t xml:space="preserve"> </w:t>
      </w:r>
      <w:r>
        <w:t xml:space="preserve">Trans-European Transport Network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1.1.</w:t>
      </w:r>
      <w:r>
        <w:t xml:space="preserve"> </w:t>
      </w:r>
      <w:r>
        <w:t xml:space="preserve">State aid control policy in the field of sustainable land transport</w:t>
      </w:r>
      <w:r>
        <w:t xml:space="preserve"> </w:t>
      </w:r>
      <w:r>
        <w:t xml:space="preserve">Competition is a major driver of growth. It incentivises enterprises to enter markets and to</w:t>
      </w:r>
      <w:r>
        <w:t xml:space="preserve"> </w:t>
      </w:r>
      <w:r>
        <w:t xml:space="preserve">innovate, improving their productivity and competitiveness.</w:t>
      </w:r>
      <w:r>
        <w:t xml:space="preserve"> </w:t>
      </w:r>
      <w:r>
        <w:t xml:space="preserve">State aid control is part of European Union (‘EU’) rules on competition laid down in the Treaty</w:t>
      </w:r>
      <w:r>
        <w:t xml:space="preserve"> </w:t>
      </w:r>
      <w:r>
        <w:t xml:space="preserve">on the Functioning of the European Union (‘TFEU’ or the ‘Treaty’). The basic rationale of State</w:t>
      </w:r>
      <w:r>
        <w:t xml:space="preserve"> </w:t>
      </w:r>
      <w:r>
        <w:t xml:space="preserve">aid control is to avoid undue market distortions and subsidy races when aid is granted, to</w:t>
      </w:r>
      <w:r>
        <w:t xml:space="preserve"> </w:t>
      </w:r>
      <w:r>
        <w:t xml:space="preserve">safeguard the internal market and to create a competitive landscape with a level playing field1.</w:t>
      </w:r>
      <w:r>
        <w:br/>
      </w:r>
      <w:r>
        <w:t xml:space="preserve">According to Article 107(1) TFEU, State aid is support given by a Member State with State</w:t>
      </w:r>
      <w:r>
        <w:t xml:space="preserve"> </w:t>
      </w:r>
      <w:r>
        <w:t xml:space="preserve">resources that provides an undertaking or a group of undertakings with an advantage over</w:t>
      </w:r>
      <w:r>
        <w:t xml:space="preserve"> </w:t>
      </w:r>
      <w:r>
        <w:t xml:space="preserve">competitors2. State aid can be granted in a variety of ways, most notably through subsidies or</w:t>
      </w:r>
      <w:r>
        <w:t xml:space="preserve"> </w:t>
      </w:r>
      <w:r>
        <w:t xml:space="preserve">financial instruments (loans, guarantees, etc.) granted on terms not available on the market.</w:t>
      </w:r>
      <w:r>
        <w:br/>
      </w:r>
      <w:r>
        <w:t xml:space="preserve">While Article 107(1) TFEU lays down a general prohibition of State aid granted by Member</w:t>
      </w:r>
      <w:r>
        <w:t xml:space="preserve"> </w:t>
      </w:r>
      <w:r>
        <w:t xml:space="preserve">States to undertakings, other Treaty provisions allow for exceptions. In accordance with Article</w:t>
      </w:r>
      <w:r>
        <w:t xml:space="preserve"> </w:t>
      </w:r>
      <w:r>
        <w:t xml:space="preserve">93 TFEU, aid that meets the needs of the coordination of transport shall be compatible with the</w:t>
      </w:r>
      <w:r>
        <w:t xml:space="preserve"> </w:t>
      </w:r>
      <w:r>
        <w:t xml:space="preserve">internal market3. This includes aid that leads to a modal shift from transport modes such as road</w:t>
      </w:r>
      <w:r>
        <w:t xml:space="preserve"> </w:t>
      </w:r>
      <w:r>
        <w:t xml:space="preserve">to more sustainable ones involving lower external costs (costs to society which are not borne</w:t>
      </w:r>
      <w:r>
        <w:t xml:space="preserve"> </w:t>
      </w:r>
      <w:r>
        <w:t xml:space="preserve">by the transport mode). Sustainable land transport (‘SLT’) encompasses rail and inland</w:t>
      </w:r>
      <w:r>
        <w:t xml:space="preserve"> </w:t>
      </w:r>
      <w:r>
        <w:t xml:space="preserve">waterways (‘IWW’) transport, as well as multimodal transport4 where at least one of the</w:t>
      </w:r>
      <w:r>
        <w:t xml:space="preserve"> </w:t>
      </w:r>
      <w:r>
        <w:t xml:space="preserve">transport modes is rail or IWW, or where land transport is combined with short-sea shipping.</w:t>
      </w:r>
      <w:r>
        <w:br/>
      </w:r>
      <w:r>
        <w:t xml:space="preserve">State aid control is meant to ensure that any detriment arising from distortions of competition</w:t>
      </w:r>
      <w:r>
        <w:t xml:space="preserve"> </w:t>
      </w:r>
      <w:r>
        <w:t xml:space="preserve">by State aid is justified by the public purpose pursued. In accordance with Articles 107 and 108</w:t>
      </w:r>
      <w:r>
        <w:t xml:space="preserve"> </w:t>
      </w:r>
      <w:r>
        <w:t xml:space="preserve">TFEU, the assessment of the compatibility of State aid measures is the exclusive competence</w:t>
      </w:r>
      <w:r>
        <w:t xml:space="preserve"> </w:t>
      </w:r>
      <w:r>
        <w:t xml:space="preserve">of the Commission. The Commission defines the conditions under which State aid may be</w:t>
      </w:r>
      <w:r>
        <w:t xml:space="preserve"> </w:t>
      </w:r>
      <w:r>
        <w:t xml:space="preserve">considered compatible with the internal market by adopting horizontal and sectoral guidelines,</w:t>
      </w:r>
      <w:r>
        <w:t xml:space="preserve"> </w:t>
      </w:r>
      <w:r>
        <w:t xml:space="preserve">which set out the approach that it will take when assessing the compatibility of State aid</w:t>
      </w:r>
      <w:r>
        <w:t xml:space="preserve"> </w:t>
      </w:r>
      <w:r>
        <w:t xml:space="preserve">measures notified by Member States. The Commission regularly revises such guidelines to</w:t>
      </w:r>
      <w:r>
        <w:t xml:space="preserve"> </w:t>
      </w:r>
      <w:r>
        <w:t xml:space="preserve">adapt them to technological, economic, legal and policy-related developments. In the field of</w:t>
      </w:r>
      <w:r>
        <w:t xml:space="preserve"> </w:t>
      </w:r>
      <w:r>
        <w:t xml:space="preserve">SLT, the relevant guidelines are the 2008 Community guidelines on State aid for railway</w:t>
      </w:r>
      <w:r>
        <w:t xml:space="preserve"> </w:t>
      </w:r>
      <w:r>
        <w:t xml:space="preserve">undertakings (‘RGL’)5.</w:t>
      </w:r>
      <w:r>
        <w:br/>
      </w:r>
      <w:r>
        <w:t xml:space="preserve">The Commission has the possibility to exempt from notification measures for which it has</w:t>
      </w:r>
      <w:r>
        <w:t xml:space="preserve"> </w:t>
      </w:r>
      <w:r>
        <w:t xml:space="preserve">developed enough positive enforcement practice, or which pose fewer challenges to the internal</w:t>
      </w:r>
    </w:p>
    <w:p>
      <w:pPr>
        <w:pStyle w:val="FirstParagraph"/>
      </w:pPr>
      <w:r>
        <w:t xml:space="preserve">1 I.e. giving all market participants an equal chance to succeed without external interventions affecting the players’</w:t>
      </w:r>
      <w:r>
        <w:t xml:space="preserve"> </w:t>
      </w:r>
      <w:r>
        <w:t xml:space="preserve">ability to compete fairly.</w:t>
      </w:r>
      <w:r>
        <w:t xml:space="preserve"> </w:t>
      </w:r>
      <w:r>
        <w:t xml:space="preserve">2 Commission Notice on the notion of State aid as referred to in Article 107(1) of the Treaty on the Functioning of</w:t>
      </w:r>
      <w:r>
        <w:t xml:space="preserve"> </w:t>
      </w:r>
      <w:r>
        <w:t xml:space="preserve">the European Union, OJ C 262, 19.7.2016.</w:t>
      </w:r>
      <w:r>
        <w:t xml:space="preserve"> </w:t>
      </w:r>
      <w:r>
        <w:t xml:space="preserve">3 Article 93 TFEU applies only to land transport, i.e. it excludes aviation and maritime transport.</w:t>
      </w:r>
      <w:r>
        <w:br/>
      </w:r>
      <w:r>
        <w:t xml:space="preserve">4 Multimodal transport encompasses all transport involving several transport modes, both for passengers and</w:t>
      </w:r>
      <w:r>
        <w:t xml:space="preserve"> </w:t>
      </w:r>
      <w:r>
        <w:t xml:space="preserve">freight. It often involves a first/last mile by road with a main leg operated by rail, IWW or short-sea shipping.</w:t>
      </w:r>
      <w:r>
        <w:t xml:space="preserve"> </w:t>
      </w:r>
      <w:r>
        <w:t xml:space="preserve">Intermodal transport is a subset of multimodal transport and encompasses all freight transport without a change in</w:t>
      </w:r>
      <w:r>
        <w:t xml:space="preserve"> </w:t>
      </w:r>
      <w:r>
        <w:t xml:space="preserve">loading units, i.e. where the actual freight remains within the same loading unit throughout the transport operation.</w:t>
      </w:r>
      <w:r>
        <w:t xml:space="preserve"> </w:t>
      </w:r>
      <w:r>
        <w:t xml:space="preserve">5 Communication from the Commission, Community guidelines on State aid for railway undertakings, OJ C 184,</w:t>
      </w:r>
      <w:r>
        <w:t xml:space="preserve"> </w:t>
      </w:r>
      <w:r>
        <w:t xml:space="preserve">22.7.2008.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market, subject to compliance with rules defined ex ante6. The Commission exempts measures</w:t>
      </w:r>
      <w:r>
        <w:t xml:space="preserve"> </w:t>
      </w:r>
      <w:r>
        <w:t xml:space="preserve">from notification notably through Commission Regulation (EU) No 651/2014 of 17 June 2014</w:t>
      </w:r>
      <w:r>
        <w:t xml:space="preserve"> </w:t>
      </w:r>
      <w:r>
        <w:t xml:space="preserve">declaring certain categories of aid compatible with the internal market in application of Articles</w:t>
      </w:r>
      <w:r>
        <w:t xml:space="preserve"> </w:t>
      </w:r>
      <w:r>
        <w:t xml:space="preserve">107 and 108 of the Treaty (the General Block Exemption Regulation or ‘GBER’)7. The GBER</w:t>
      </w:r>
      <w:r>
        <w:t xml:space="preserve"> </w:t>
      </w:r>
      <w:r>
        <w:t xml:space="preserve">is however based only on Articles 107 and 108 TFEU; measures related to SLT are therefore</w:t>
      </w:r>
      <w:r>
        <w:t xml:space="preserve"> </w:t>
      </w:r>
      <w:r>
        <w:t xml:space="preserve">only very rarely exempted from the notification obligation today.</w:t>
      </w:r>
      <w:r>
        <w:br/>
      </w:r>
      <w:r>
        <w:t xml:space="preserve">In the years from 2008 until 2024, 258 State aid decisions were adopted pertaining to SLT. The</w:t>
      </w:r>
      <w:r>
        <w:t xml:space="preserve"> </w:t>
      </w:r>
      <w:r>
        <w:t xml:space="preserve">number of decisions has increased steadily from around 10 in 2008 to a peak of 34 in 2022</w:t>
      </w:r>
      <w:r>
        <w:t xml:space="preserve"> </w:t>
      </w:r>
      <w:r>
        <w:t xml:space="preserve">(peak year of decisions, possibly related to the COVID-19 pandemic). In the years 2021, 2023</w:t>
      </w:r>
      <w:r>
        <w:t xml:space="preserve"> </w:t>
      </w:r>
      <w:r>
        <w:t xml:space="preserve">and 2024, the number of adopted State aid decisions on SLT was steady at 25-26. While the</w:t>
      </w:r>
      <w:r>
        <w:t xml:space="preserve"> </w:t>
      </w:r>
      <w:r>
        <w:t xml:space="preserve">number of decisions concerning SLT has doubled since 2008, the growth in approved State aid</w:t>
      </w:r>
      <w:r>
        <w:t xml:space="preserve"> </w:t>
      </w:r>
      <w:r>
        <w:t xml:space="preserve">amounts was significantly greater still, increasing more than 10-fold between 2009, the first full</w:t>
      </w:r>
      <w:r>
        <w:t xml:space="preserve"> </w:t>
      </w:r>
      <w:r>
        <w:t xml:space="preserve">year of application of the RGL (EUR 455 million) and 2024 (EUR 4.7 billion).</w:t>
      </w:r>
      <w:r>
        <w:br/>
      </w:r>
      <w:r>
        <w:t xml:space="preserve">The most relevant aid categories are operating aid to cover the external cost difference or</w:t>
      </w:r>
      <w:r>
        <w:t xml:space="preserve"> </w:t>
      </w:r>
      <w:r>
        <w:t xml:space="preserve">infrastructure costs (130 State aid decisions and 70% of State aid amounts approved between</w:t>
      </w:r>
      <w:r>
        <w:t xml:space="preserve"> </w:t>
      </w:r>
      <w:r>
        <w:t xml:space="preserve">2008 and 2024), investment aid for interoperability and modernisation (42 State aid decisions</w:t>
      </w:r>
      <w:r>
        <w:t xml:space="preserve"> </w:t>
      </w:r>
      <w:r>
        <w:t xml:space="preserve">and 9.5% of State aid amounts approved between 2008 and 2024) and State aid for</w:t>
      </w:r>
      <w:r>
        <w:t xml:space="preserve"> </w:t>
      </w:r>
      <w:r>
        <w:t xml:space="preserve">infrastructure in the form of facilities and private sidings (48 State aid decisions and 12.8% of</w:t>
      </w:r>
      <w:r>
        <w:t xml:space="preserve"> </w:t>
      </w:r>
      <w:r>
        <w:t xml:space="preserve">State aid amounts approved between 2008 and 2024). Aid for the acquisition of vehicles (16</w:t>
      </w:r>
      <w:r>
        <w:t xml:space="preserve"> </w:t>
      </w:r>
      <w:r>
        <w:t xml:space="preserve">decisions and 3.34% of State aid amounts approved between 2008 and 2024) and start-up aid</w:t>
      </w:r>
      <w:r>
        <w:t xml:space="preserve"> </w:t>
      </w:r>
      <w:r>
        <w:t xml:space="preserve">(5 decisions and 0.3% of State aid amounts approved between 2008 and 2024) were less</w:t>
      </w:r>
      <w:r>
        <w:t xml:space="preserve"> </w:t>
      </w:r>
      <w:r>
        <w:t xml:space="preserve">frequent. The main grantors of State aid to SLT are Germany, France, Poland, Italy and Austria.</w:t>
      </w:r>
      <w:r>
        <w:br/>
      </w:r>
      <w:r>
        <w:t xml:space="preserve">As is to be expected with sectoral rules covering only a sub-sector of the transport sector, the</w:t>
      </w:r>
      <w:r>
        <w:t xml:space="preserve"> </w:t>
      </w:r>
      <w:r>
        <w:t xml:space="preserve">aid granted to SLT constitutes a small part of the overall State aid measures and spending, also</w:t>
      </w:r>
      <w:r>
        <w:t xml:space="preserve"> </w:t>
      </w:r>
      <w:r>
        <w:t xml:space="preserve">as horizontal rules exist, under which much more significant State aid spending occurs. The</w:t>
      </w:r>
      <w:r>
        <w:t xml:space="preserve"> </w:t>
      </w:r>
      <w:r>
        <w:t xml:space="preserve">latest version of the State aid Scoreboard dating from 2024 and containing data up to 20238</w:t>
      </w:r>
      <w:r>
        <w:t xml:space="preserve"> </w:t>
      </w:r>
      <w:r>
        <w:t xml:space="preserve">reports 3 222 new measures9 and EUR 186.8 billion overall State aid spending in 2023. The 26</w:t>
      </w:r>
      <w:r>
        <w:t xml:space="preserve"> </w:t>
      </w:r>
      <w:r>
        <w:t xml:space="preserve">measures and EUR 4.9 billion of State aid approved10 in SLT in 2023 therefore account for less</w:t>
      </w:r>
      <w:r>
        <w:t xml:space="preserve"> </w:t>
      </w:r>
      <w:r>
        <w:t xml:space="preserve">than 1% of new measures and for around 2.6% of overall State aid spending on new measures</w:t>
      </w:r>
      <w:r>
        <w:t xml:space="preserve"> </w:t>
      </w:r>
      <w:r>
        <w:t xml:space="preserve">in 2023. There were 597 State aid decisions adopted in 2023 overall (most measures are block</w:t>
      </w:r>
      <w:r>
        <w:t xml:space="preserve"> </w:t>
      </w:r>
      <w:r>
        <w:t xml:space="preserve">exempted and do not require a State aid decision for approval)11. Discounting block-exempted</w:t>
      </w:r>
      <w:r>
        <w:t xml:space="preserve"> </w:t>
      </w:r>
      <w:r>
        <w:t xml:space="preserve">and crisis measures (pertaining to Russia’s war of aggression against Ukraine and the COVID-</w:t>
      </w:r>
      <w:r>
        <w:t xml:space="preserve"> </w:t>
      </w:r>
      <w:r>
        <w:t xml:space="preserve">19 pandemic), 211 State aid decisions were adopted overall in 2023. The 26 measures approved</w:t>
      </w:r>
      <w:r>
        <w:t xml:space="preserve"> </w:t>
      </w:r>
      <w:r>
        <w:t xml:space="preserve">related to SLT in 2023 then account for 12.3% of measures in that year.</w:t>
      </w:r>
    </w:p>
    <w:p>
      <w:pPr>
        <w:pStyle w:val="BodyText"/>
      </w:pPr>
      <w:r>
        <w:t xml:space="preserve">6 Further information on the relevant provisions of the TFEU can be found in Annex 9.</w:t>
      </w:r>
      <w:r>
        <w:t xml:space="preserve"> </w:t>
      </w:r>
      <w:r>
        <w:t xml:space="preserve">7 Commission Regulation (EU) No 651/2014 of 17 June 2014 declaring certain categories of aid compatible with</w:t>
      </w:r>
      <w:r>
        <w:t xml:space="preserve"> </w:t>
      </w:r>
      <w:r>
        <w:t xml:space="preserve">the internal market in application of Articles 107 and 108 of the Treaty, OJ L 187, 26.6.2014.</w:t>
      </w:r>
      <w:r>
        <w:t xml:space="preserve"> </w:t>
      </w:r>
      <w:r>
        <w:t xml:space="preserve">8https://competition-policy.ec.europa.eu/document/download/68225c70-5570-4e10-b983-</w:t>
      </w:r>
      <w:r>
        <w:t xml:space="preserve"> </w:t>
      </w:r>
      <w:r>
        <w:t xml:space="preserve">53efde939d7f_en?filename=state_aid_scoreboard_note_2024.pdf.</w:t>
      </w:r>
      <w:r>
        <w:br/>
      </w:r>
      <w:r>
        <w:t xml:space="preserve">9 New measures are defined in the State aid Scoreboard as measures under which the Member States started</w:t>
      </w:r>
      <w:r>
        <w:t xml:space="preserve"> </w:t>
      </w:r>
      <w:r>
        <w:t xml:space="preserve">spending State aid. They are not fully equivalent to the number of block exempted measures put into place in that</w:t>
      </w:r>
      <w:r>
        <w:t xml:space="preserve"> </w:t>
      </w:r>
      <w:r>
        <w:t xml:space="preserve">year and measures approved in that year, but can serve as an approximation.</w:t>
      </w:r>
      <w:r>
        <w:t xml:space="preserve"> </w:t>
      </w:r>
      <w:r>
        <w:t xml:space="preserve">10 The amount of State aid approved is used as an approximation of the amount of State aid spent, as there is</w:t>
      </w:r>
      <w:r>
        <w:t xml:space="preserve"> </w:t>
      </w:r>
      <w:r>
        <w:t xml:space="preserve">currently no reporting of State aid spending in the SLT sector, as set out in Section 1.3.</w:t>
      </w:r>
      <w:r>
        <w:t xml:space="preserve"> </w:t>
      </w:r>
      <w:r>
        <w:t xml:space="preserve">11 https://competition-cases.ec.europa.eu/search?caseInstrument=SA&amp;caseLastDecisionDate=from-2023-01-01-</w:t>
      </w:r>
      <w:r>
        <w:t xml:space="preserve"> </w:t>
      </w:r>
      <w:r>
        <w:t xml:space="preserve">to-2023-12-31&amp;sortField=caseLastDecisionDate&amp;sortOrder=DESC.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This Impact Assessment Report concerns both the revision of the RGL into the envisaged</w:t>
      </w:r>
      <w:r>
        <w:t xml:space="preserve"> </w:t>
      </w:r>
      <w:r>
        <w:t xml:space="preserve">revised guidelines (‘the revised GLs’) and the envisaged parallel adoption of a new Block</w:t>
      </w:r>
      <w:r>
        <w:t xml:space="preserve"> </w:t>
      </w:r>
      <w:r>
        <w:t xml:space="preserve">Exemption Regulation in the area of land Transport (‘TBER’)12.</w:t>
      </w:r>
      <w:r>
        <w:br/>
      </w:r>
      <w:r>
        <w:t xml:space="preserve">1.2.</w:t>
      </w:r>
      <w:r>
        <w:t xml:space="preserve"> </w:t>
      </w:r>
      <w:r>
        <w:t xml:space="preserve">Relationship with other EU initiatives</w:t>
      </w:r>
      <w:r>
        <w:t xml:space="preserve"> </w:t>
      </w:r>
      <w:r>
        <w:t xml:space="preserve">General context: the European Green Deal</w:t>
      </w:r>
      <w:r>
        <w:t xml:space="preserve"> </w:t>
      </w:r>
      <w:r>
        <w:t xml:space="preserve">The European Climate Law establishes that the EU needs to reduce its greenhouse gas (‘GHG’)</w:t>
      </w:r>
      <w:r>
        <w:t xml:space="preserve"> </w:t>
      </w:r>
      <w:r>
        <w:t xml:space="preserve">net emissions by 55% by 2030 as compared to 1990 levels and achieve climate neutrality by</w:t>
      </w:r>
      <w:r>
        <w:t xml:space="preserve"> </w:t>
      </w:r>
      <w:r>
        <w:t xml:space="preserve">205013. This goal cannot be reached without a fundamental transformation of European</w:t>
      </w:r>
      <w:r>
        <w:t xml:space="preserve"> </w:t>
      </w:r>
      <w:r>
        <w:t xml:space="preserve">transport, which accounts for 25% of all the EU’s GHG emissions. Therefore, the objective was</w:t>
      </w:r>
      <w:r>
        <w:t xml:space="preserve"> </w:t>
      </w:r>
      <w:r>
        <w:t xml:space="preserve">set to (i) achieve a 90% reduction in transport GHG emissions by 2050 through the promotion</w:t>
      </w:r>
      <w:r>
        <w:t xml:space="preserve"> </w:t>
      </w:r>
      <w:r>
        <w:t xml:space="preserve">of multimodal transport and less polluting transport modes and (ii) shift 75% of inland freight</w:t>
      </w:r>
      <w:r>
        <w:t xml:space="preserve"> </w:t>
      </w:r>
      <w:r>
        <w:t xml:space="preserve">carried today by road to rail and IWW14.</w:t>
      </w:r>
      <w:r>
        <w:t xml:space="preserve"> </w:t>
      </w:r>
      <w:r>
        <w:t xml:space="preserve">Other initiatives under the Sustainable and Smart Mobility Strategy</w:t>
      </w:r>
      <w:r>
        <w:t xml:space="preserve"> </w:t>
      </w:r>
      <w:r>
        <w:t xml:space="preserve">The Commission Communication of 9 December 2020 on a Sustainable and Smart Mobility</w:t>
      </w:r>
      <w:r>
        <w:t xml:space="preserve"> </w:t>
      </w:r>
      <w:r>
        <w:t xml:space="preserve">Strategy – putting European transport on track for the future (‘SSMS’)15 further operationalised</w:t>
      </w:r>
      <w:r>
        <w:t xml:space="preserve"> </w:t>
      </w:r>
      <w:r>
        <w:t xml:space="preserve">these objectives. Milestones of the SSMS include the following:</w:t>
      </w:r>
      <w:r>
        <w:t xml:space="preserve"> </w:t>
      </w:r>
      <w:r>
        <w:t xml:space="preserve">• rail freight traffic should double by 2050,</w:t>
      </w:r>
      <w:r>
        <w:t xml:space="preserve"> </w:t>
      </w:r>
      <w:r>
        <w:t xml:space="preserve">• IWW and short-sea shipping transport should increase by 50% by 2050, and</w:t>
      </w:r>
      <w:r>
        <w:t xml:space="preserve"> </w:t>
      </w:r>
      <w:r>
        <w:t xml:space="preserve">• high-speed passenger rail traffic should double by 2030 and triple by 2050.</w:t>
      </w:r>
      <w:r>
        <w:br/>
      </w:r>
      <w:r>
        <w:t xml:space="preserve">The uptake of SLT also depends on available infrastructure capacity, innovation and</w:t>
      </w:r>
      <w:r>
        <w:t xml:space="preserve"> </w:t>
      </w:r>
      <w:r>
        <w:t xml:space="preserve">digitalisation. One of the key objectives the SSMS advocates for is the completion of the</w:t>
      </w:r>
      <w:r>
        <w:t xml:space="preserve"> </w:t>
      </w:r>
      <w:r>
        <w:t xml:space="preserve">comprehensive trans-European transport (‘TEN-T’) network16, fully equipped with the</w:t>
      </w:r>
      <w:r>
        <w:t xml:space="preserve"> </w:t>
      </w:r>
      <w:r>
        <w:t xml:space="preserve">European Rail Traffic Management System (‘ERTMS’) by 2050. The SSMS also aims to</w:t>
      </w:r>
      <w:r>
        <w:t xml:space="preserve"> </w:t>
      </w:r>
      <w:r>
        <w:t xml:space="preserve">internalise the external costs of transport at the latest by 205017.</w:t>
      </w:r>
      <w:r>
        <w:br/>
      </w:r>
      <w:r>
        <w:t xml:space="preserve">The revised GLs and new TBER will need to be consistent with other EU initiatives flowing</w:t>
      </w:r>
      <w:r>
        <w:t xml:space="preserve"> </w:t>
      </w:r>
      <w:r>
        <w:t xml:space="preserve">from the SSMS, notably (i) Regulation (EU) 2024/1679 of 13 June 2024 on Union guidelines</w:t>
      </w:r>
      <w:r>
        <w:t xml:space="preserve"> </w:t>
      </w:r>
      <w:r>
        <w:t xml:space="preserve">for the development of the trans-European transport network (amended TEN-T Regulation)18;</w:t>
      </w:r>
      <w:r>
        <w:t xml:space="preserve"> </w:t>
      </w:r>
      <w:r>
        <w:t xml:space="preserve">(ii) the Communication from the Commission of 24 June 2021 on NAIADES III: Boosting</w:t>
      </w:r>
    </w:p>
    <w:p>
      <w:pPr>
        <w:pStyle w:val="BodyText"/>
      </w:pPr>
      <w:r>
        <w:t xml:space="preserve">12 An Enabling Regulation to this effect has been adopted: Council Regulation (EU) 2022/2586 of 19 December</w:t>
      </w:r>
      <w:r>
        <w:t xml:space="preserve"> </w:t>
      </w:r>
      <w:r>
        <w:t xml:space="preserve">2022, on the application of Articles 93, 107 and 108 of the Treaty on the Functioning of the European Union to</w:t>
      </w:r>
      <w:r>
        <w:t xml:space="preserve"> </w:t>
      </w:r>
      <w:r>
        <w:t xml:space="preserve">certain categories of State aid in the rail, IWW and multimodal transport sector, OJ L 338, 30.12.2022.</w:t>
      </w:r>
      <w:r>
        <w:t xml:space="preserve"> </w:t>
      </w:r>
      <w:r>
        <w:t xml:space="preserve">13 Regulation (EU) 2021/1119 of the European Parliament and of the Council, of 30 June 2021, establishing the</w:t>
      </w:r>
      <w:r>
        <w:t xml:space="preserve"> </w:t>
      </w:r>
      <w:r>
        <w:t xml:space="preserve">framework for achieving climate neutrality and amending Regulations (EC) No 401/2009 and (EU) 2018/1999,</w:t>
      </w:r>
      <w:r>
        <w:t xml:space="preserve"> </w:t>
      </w:r>
      <w:r>
        <w:t xml:space="preserve">OJ L 243, 9.7.2021.</w:t>
      </w:r>
      <w:r>
        <w:t xml:space="preserve"> </w:t>
      </w:r>
      <w:r>
        <w:t xml:space="preserve">14 Communication from the Commission, The European Green Deal, of 11 December 2019, COM(2019) 640 final.</w:t>
      </w:r>
      <w:r>
        <w:t xml:space="preserve"> </w:t>
      </w:r>
      <w:r>
        <w:t xml:space="preserve">15 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Regions, Sustainable and Smart Mobility Strategy – putting European</w:t>
      </w:r>
      <w:r>
        <w:t xml:space="preserve"> </w:t>
      </w:r>
      <w:r>
        <w:t xml:space="preserve">transport on track for the future, of 9 December 2020, COM(2020) 789 final.</w:t>
      </w:r>
      <w:r>
        <w:t xml:space="preserve"> </w:t>
      </w:r>
      <w:r>
        <w:t xml:space="preserve">16 The TEN-T policy network comprises railways, IWW, short-sea shipping routes and roads linking urban nodes,</w:t>
      </w:r>
      <w:r>
        <w:t xml:space="preserve"> </w:t>
      </w:r>
      <w:r>
        <w:t xml:space="preserve">maritime and inland ports, airports and terminals. The EU’s TEN-T policy is a key instrument for the development</w:t>
      </w:r>
      <w:r>
        <w:t xml:space="preserve"> </w:t>
      </w:r>
      <w:r>
        <w:t xml:space="preserve">of coherent, efficient, multimodal and high-quality transport infrastructure across the EU.</w:t>
      </w:r>
      <w:r>
        <w:br/>
      </w:r>
      <w:r>
        <w:t xml:space="preserve">17 The internalisation of external costs refers to the adoption of policy measures that ensure that the ‘polluter pays’.</w:t>
      </w:r>
      <w:r>
        <w:t xml:space="preserve"> </w:t>
      </w:r>
      <w:r>
        <w:t xml:space="preserve">The SSMS targets measures such as emissions trading, infrastructure charges and vehicle taxes.</w:t>
      </w:r>
      <w:r>
        <w:br/>
      </w:r>
      <w:r>
        <w:t xml:space="preserve">18 Regulation (EU) 2024/1679 of the European Parliament and of the Council of 13 June 2024 on Union guidelines</w:t>
      </w:r>
      <w:r>
        <w:t xml:space="preserve"> </w:t>
      </w:r>
      <w:r>
        <w:t xml:space="preserve">for the development of the trans-European transport network, amending Regulations (EU) 2021/1153 and (EU)</w:t>
      </w:r>
      <w:r>
        <w:t xml:space="preserve"> </w:t>
      </w:r>
      <w:r>
        <w:t xml:space="preserve">No 913/2010 and repealing Regulation (EU) No 1315/2013, OJ L, 2024/1679, 28.6.2024.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future-proof European IWW transport19; (iii) the Communication from the Commission of 5</w:t>
      </w:r>
      <w:r>
        <w:t xml:space="preserve"> </w:t>
      </w:r>
      <w:r>
        <w:t xml:space="preserve">November 2025 on Connecting Europe through High-Speed Rail (‘High-Speed Rail Plan’)20;</w:t>
      </w:r>
      <w:r>
        <w:t xml:space="preserve"> </w:t>
      </w:r>
      <w:r>
        <w:t xml:space="preserve">and (iv) potential future rules prescribing the internalisation of external costs.</w:t>
      </w:r>
      <w:r>
        <w:t xml:space="preserve"> </w:t>
      </w:r>
      <w:r>
        <w:t xml:space="preserve">This initiative is complementary to the EU’s TEN-T policy, which is a key instrument for</w:t>
      </w:r>
      <w:r>
        <w:t xml:space="preserve"> </w:t>
      </w:r>
      <w:r>
        <w:t xml:space="preserve">planning and developing a coherent, efficient, multimodal, and high-quality transport</w:t>
      </w:r>
      <w:r>
        <w:t xml:space="preserve"> </w:t>
      </w:r>
      <w:r>
        <w:t xml:space="preserve">infrastructure across the EU. By codifying the rules applicable to investment aid to facilities,</w:t>
      </w:r>
      <w:r>
        <w:t xml:space="preserve"> </w:t>
      </w:r>
      <w:r>
        <w:t xml:space="preserve">the present initiative facilitates the granting of aid and allows Member States to promote the</w:t>
      </w:r>
      <w:r>
        <w:t xml:space="preserve"> </w:t>
      </w:r>
      <w:r>
        <w:t xml:space="preserve">development of facilities, in particular along the TEN-T corridors. By increasing support</w:t>
      </w:r>
      <w:r>
        <w:t xml:space="preserve"> </w:t>
      </w:r>
      <w:r>
        <w:t xml:space="preserve">possibilities for interoperability investments, the present initiative also promotes the</w:t>
      </w:r>
      <w:r>
        <w:t xml:space="preserve"> </w:t>
      </w:r>
      <w:r>
        <w:t xml:space="preserve">development of an interoperable European transport network.</w:t>
      </w:r>
      <w:r>
        <w:br/>
      </w:r>
      <w:r>
        <w:t xml:space="preserve">Another example of such complementarity concerns the IWW sector, which will in the future</w:t>
      </w:r>
      <w:r>
        <w:t xml:space="preserve"> </w:t>
      </w:r>
      <w:r>
        <w:t xml:space="preserve">benefit from codified rules making clearer and more transparent the conditions under which</w:t>
      </w:r>
      <w:r>
        <w:t xml:space="preserve"> </w:t>
      </w:r>
      <w:r>
        <w:t xml:space="preserve">Member States can finance it, in line with the NAIADES III programme aiming to boost future-</w:t>
      </w:r>
      <w:r>
        <w:t xml:space="preserve"> </w:t>
      </w:r>
      <w:r>
        <w:t xml:space="preserve">proof IWW in the EU. By facilitating modernisation and interoperability aid which enhances</w:t>
      </w:r>
      <w:r>
        <w:t xml:space="preserve"> </w:t>
      </w:r>
      <w:r>
        <w:t xml:space="preserve">the efficiency and safety of rail operations, this initiative also supports the High-Speed Rail</w:t>
      </w:r>
      <w:r>
        <w:t xml:space="preserve"> </w:t>
      </w:r>
      <w:r>
        <w:t xml:space="preserve">Plan unveiled by the Commission in November 2025, which builds on the TEN-T and aims to</w:t>
      </w:r>
      <w:r>
        <w:t xml:space="preserve"> </w:t>
      </w:r>
      <w:r>
        <w:t xml:space="preserve">accelerate the development of high-speed rail across the EU, offering passengers significantly</w:t>
      </w:r>
      <w:r>
        <w:t xml:space="preserve"> </w:t>
      </w:r>
      <w:r>
        <w:t xml:space="preserve">reduced travel times. Key actions include removing cross-border bottlenecks, a dedicated EU</w:t>
      </w:r>
      <w:r>
        <w:t xml:space="preserve"> </w:t>
      </w:r>
      <w:r>
        <w:t xml:space="preserve">financing strategy, legislation supporting the development of a second-hand market for rolling</w:t>
      </w:r>
      <w:r>
        <w:t xml:space="preserve"> </w:t>
      </w:r>
      <w:r>
        <w:t xml:space="preserve">stock, cross-border rail ticketing, simplified train driver certification and a 2026 European</w:t>
      </w:r>
      <w:r>
        <w:t xml:space="preserve"> </w:t>
      </w:r>
      <w:r>
        <w:t xml:space="preserve">ERTMS Deployment Plan for interoperability21.</w:t>
      </w:r>
      <w:r>
        <w:t xml:space="preserve"> </w:t>
      </w:r>
      <w:r>
        <w:t xml:space="preserve">In addition, while the full internalisation of external costs is a long-term project up to 2050,</w:t>
      </w:r>
      <w:r>
        <w:t xml:space="preserve"> </w:t>
      </w:r>
      <w:r>
        <w:t xml:space="preserve">revised and new State aid rules are needed already now, as State aid to promote SLT has a</w:t>
      </w:r>
      <w:r>
        <w:t xml:space="preserve"> </w:t>
      </w:r>
      <w:r>
        <w:t xml:space="preserve">decisive role to play in terms of achieving the modal shift objectives in the short and medium</w:t>
      </w:r>
      <w:r>
        <w:t xml:space="preserve"> </w:t>
      </w:r>
      <w:r>
        <w:t xml:space="preserve">term. As regards in particular the Emission Trading System 2 (‘ETS2’)22, which also covers</w:t>
      </w:r>
      <w:r>
        <w:t xml:space="preserve"> </w:t>
      </w:r>
      <w:r>
        <w:t xml:space="preserve">emissions trading for fuel suppliers in the road sector as of 2027, with a possibility to delay the</w:t>
      </w:r>
      <w:r>
        <w:t xml:space="preserve"> </w:t>
      </w:r>
      <w:r>
        <w:t xml:space="preserve">entry into force of the system to 2028 which has recently been agreed by the Council23 and the</w:t>
      </w:r>
      <w:r>
        <w:t xml:space="preserve"> </w:t>
      </w:r>
      <w:r>
        <w:t xml:space="preserve">European Parliament24, it will partially address the issue of external climate costs of road</w:t>
      </w:r>
      <w:r>
        <w:t xml:space="preserve"> </w:t>
      </w:r>
      <w:r>
        <w:t xml:space="preserve">transport, but not that of other external cost categories. According to the Commission</w:t>
      </w:r>
      <w:r>
        <w:t xml:space="preserve"> </w:t>
      </w:r>
      <w:r>
        <w:t xml:space="preserve">Handbook25, external costs relating to climate only account for 10-12% of the overall external</w:t>
      </w:r>
      <w:r>
        <w:t xml:space="preserve"> </w:t>
      </w:r>
      <w:r>
        <w:t xml:space="preserve">cost difference between rail and road passenger transport and for 3-16.5% of the external cost</w:t>
      </w:r>
      <w:r>
        <w:t xml:space="preserve"> </w:t>
      </w:r>
      <w:r>
        <w:t xml:space="preserve">difference between rail or IWW and road freight transport. Accident, congestion, air pollution</w:t>
      </w:r>
      <w:r>
        <w:t xml:space="preserve"> </w:t>
      </w:r>
      <w:r>
        <w:t xml:space="preserve">and noise costs are all more important in terms of the external cost difference. The present</w:t>
      </w:r>
      <w:r>
        <w:t xml:space="preserve"> </w:t>
      </w:r>
      <w:r>
        <w:t xml:space="preserve">initiative is thus also complementary to the ETS2 as it will serve as an enabling framework,</w:t>
      </w:r>
    </w:p>
    <w:p>
      <w:pPr>
        <w:pStyle w:val="BodyText"/>
      </w:pPr>
      <w:r>
        <w:t xml:space="preserve">19 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Regions, of 24 June 2021, NAIADES III: Boosting future-proof</w:t>
      </w:r>
      <w:r>
        <w:t xml:space="preserve"> </w:t>
      </w:r>
      <w:r>
        <w:t xml:space="preserve">European IWW transport, COM(2021) 324 final.</w:t>
      </w:r>
      <w:r>
        <w:t xml:space="preserve"> </w:t>
      </w:r>
      <w:r>
        <w:t xml:space="preserve">20 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Regions, of 5 November 2025, Connecting Europe through High-</w:t>
      </w:r>
      <w:r>
        <w:t xml:space="preserve"> </w:t>
      </w:r>
      <w:r>
        <w:t xml:space="preserve">Speed Rail, COM/2025/903 final.</w:t>
      </w:r>
      <w:r>
        <w:br/>
      </w:r>
      <w:r>
        <w:t xml:space="preserve">21 https://transport.ec.europa.eu/transport-modes/rail/high-speed-rail-plan_en.</w:t>
      </w:r>
      <w:r>
        <w:br/>
      </w:r>
      <w:r>
        <w:t xml:space="preserve">22 https://climate.ec.europa.eu/eu-action/carbon-markets/ets2-buildings-road-transport-and-additional-sectors_en.</w:t>
      </w:r>
      <w:r>
        <w:br/>
      </w:r>
      <w:r>
        <w:t xml:space="preserve">23 Council of the EU, Press release, 5 November 2025, “2040 climate target: Council agrees its position on a 90%</w:t>
      </w:r>
      <w:r>
        <w:t xml:space="preserve"> </w:t>
      </w:r>
      <w:r>
        <w:t xml:space="preserve">emissions reduction”: https://www.consilium.europa.eu/en/press/press-releases/2025/11/05/2040-climate-target-</w:t>
      </w:r>
      <w:r>
        <w:t xml:space="preserve"> </w:t>
      </w:r>
      <w:r>
        <w:t xml:space="preserve">council-agrees-its-position-on-a-90-emissions-reduction/.</w:t>
      </w:r>
      <w:r>
        <w:br/>
      </w:r>
      <w:r>
        <w:t xml:space="preserve">24 European Parliament, Press Release, 10 November 2025, “EU 2040 climate target: MEPs seek 90% emissions</w:t>
      </w:r>
      <w:r>
        <w:t xml:space="preserve"> </w:t>
      </w:r>
      <w:r>
        <w:t xml:space="preserve">reduction”:</w:t>
      </w:r>
      <w:r>
        <w:t xml:space="preserve"> </w:t>
      </w:r>
      <w:r>
        <w:t xml:space="preserve">https://www.europarl.europa.eu/news/en/press-room/20251110IPR31332/eu-2040-climate-target-</w:t>
      </w:r>
      <w:r>
        <w:t xml:space="preserve"> </w:t>
      </w:r>
      <w:r>
        <w:t xml:space="preserve">meps-seek-90-emissions-reduction.</w:t>
      </w:r>
      <w:r>
        <w:br/>
      </w:r>
      <w:r>
        <w:t xml:space="preserve">25 https://op.europa.eu/en/publication-detail/-/publication/696d402f-a45a-11e9-9d01-01aa75ed71a1.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laying down possibilities for Member States to support SLT as an alternative to road transport.</w:t>
      </w:r>
      <w:r>
        <w:t xml:space="preserve"> </w:t>
      </w:r>
      <w:r>
        <w:t xml:space="preserve">In addition, such State support allows Member States to alleviate the increasing costs of road</w:t>
      </w:r>
      <w:r>
        <w:t xml:space="preserve"> </w:t>
      </w:r>
      <w:r>
        <w:t xml:space="preserve">transport for businesses and households by promoting more affordable SLT alternatives,</w:t>
      </w:r>
      <w:r>
        <w:t xml:space="preserve"> </w:t>
      </w:r>
      <w:r>
        <w:t xml:space="preserve">thereby incentivising the modal shift.</w:t>
      </w:r>
      <w:r>
        <w:t xml:space="preserve"> </w:t>
      </w:r>
      <w:r>
        <w:t xml:space="preserve">The Fourth railway package of 2016</w:t>
      </w:r>
      <w:r>
        <w:br/>
      </w:r>
      <w:r>
        <w:t xml:space="preserve">The Fourth railway package is a set of six legislative texts designed to complete the single</w:t>
      </w:r>
      <w:r>
        <w:t xml:space="preserve"> </w:t>
      </w:r>
      <w:r>
        <w:t xml:space="preserve">market for rail services (‘Single European Railway Area’)26. Its overarching goal is to make the</w:t>
      </w:r>
      <w:r>
        <w:t xml:space="preserve"> </w:t>
      </w:r>
      <w:r>
        <w:t xml:space="preserve">rail sector more competitive. It comprises a market pillar and a technical pillar.</w:t>
      </w:r>
      <w:r>
        <w:br/>
      </w:r>
      <w:r>
        <w:t xml:space="preserve">The market pillar establishes the general right for railway undertakings established in one</w:t>
      </w:r>
      <w:r>
        <w:t xml:space="preserve"> </w:t>
      </w:r>
      <w:r>
        <w:t xml:space="preserve">Member State to operate all types of passenger services everywhere in the EU and introduces</w:t>
      </w:r>
      <w:r>
        <w:t xml:space="preserve"> </w:t>
      </w:r>
      <w:r>
        <w:t xml:space="preserve">the principle of mandatory tendering for public service contracts in rail.</w:t>
      </w:r>
      <w:r>
        <w:t xml:space="preserve"> </w:t>
      </w:r>
      <w:r>
        <w:t xml:space="preserve">There are two types of rail passenger services in the EU: commercial “open access” services</w:t>
      </w:r>
      <w:r>
        <w:t xml:space="preserve"> </w:t>
      </w:r>
      <w:r>
        <w:t xml:space="preserve">and services under public service contracts. The latter stem from the fact that many passenger</w:t>
      </w:r>
      <w:r>
        <w:t xml:space="preserve"> </w:t>
      </w:r>
      <w:r>
        <w:t xml:space="preserve">lines are not served by the market at terms that Member States consider appropriate (e.g. outside</w:t>
      </w:r>
      <w:r>
        <w:t xml:space="preserve"> </w:t>
      </w:r>
      <w:r>
        <w:t xml:space="preserve">rush hours) and/or are not profitable even when an efficient operator undertakes to provide the</w:t>
      </w:r>
      <w:r>
        <w:t xml:space="preserve"> </w:t>
      </w:r>
      <w:r>
        <w:t xml:space="preserve">service. Member States are allowed to lay down public service obligations (‘PSOs’) for such</w:t>
      </w:r>
      <w:r>
        <w:t xml:space="preserve"> </w:t>
      </w:r>
      <w:r>
        <w:t xml:space="preserve">routes, thereby compensating operators for running loss-generating services. PSOs for rail</w:t>
      </w:r>
      <w:r>
        <w:t xml:space="preserve"> </w:t>
      </w:r>
      <w:r>
        <w:t xml:space="preserve">passenger services are regulated and PSO compensation is block exempted by Regulation (EC)</w:t>
      </w:r>
      <w:r>
        <w:t xml:space="preserve"> </w:t>
      </w:r>
      <w:r>
        <w:t xml:space="preserve">1370/2007 of 23 October 2007 on public passenger transport services by rail and by road</w:t>
      </w:r>
      <w:r>
        <w:t xml:space="preserve"> </w:t>
      </w:r>
      <w:r>
        <w:t xml:space="preserve">(‘Regulation 1370/2007’)27. In 2022, 58.7% of the total passenger kilometres in the EU27 were</w:t>
      </w:r>
      <w:r>
        <w:t xml:space="preserve"> </w:t>
      </w:r>
      <w:r>
        <w:t xml:space="preserve">operated under public service contracts28. In 2021, Member States granted EUR 27 billion in</w:t>
      </w:r>
      <w:r>
        <w:t xml:space="preserve"> </w:t>
      </w:r>
      <w:r>
        <w:t xml:space="preserve">State aid under Regulation 1370/200729.</w:t>
      </w:r>
      <w:r>
        <w:br/>
      </w:r>
      <w:r>
        <w:t xml:space="preserve">The Fourth railway package liberalised rail services in the passenger segment (the freight</w:t>
      </w:r>
      <w:r>
        <w:t xml:space="preserve"> </w:t>
      </w:r>
      <w:r>
        <w:t xml:space="preserve">segment had already been fully liberalised since 200730). It mandated the end of the legal</w:t>
      </w:r>
      <w:r>
        <w:t xml:space="preserve"> </w:t>
      </w:r>
      <w:r>
        <w:t xml:space="preserve">monopoly on the passenger market on 1 January 2019 for “open access” services31 and created</w:t>
      </w:r>
      <w:r>
        <w:t xml:space="preserve"> </w:t>
      </w:r>
      <w:r>
        <w:t xml:space="preserve">an obligation to tender public service contracts by 3 December 2019, with a transitional period</w:t>
      </w:r>
      <w:r>
        <w:t xml:space="preserve"> </w:t>
      </w:r>
      <w:r>
        <w:t xml:space="preserve">until 24 December 2023, until which date public contracts of at most a ten-year duration could</w:t>
      </w:r>
      <w:r>
        <w:t xml:space="preserve"> </w:t>
      </w:r>
      <w:r>
        <w:t xml:space="preserve">still be awarded directly32.</w:t>
      </w:r>
    </w:p>
    <w:p>
      <w:pPr>
        <w:pStyle w:val="BodyText"/>
      </w:pPr>
      <w:r>
        <w:t xml:space="preserve">26 https://transport.ec.europa.eu/transport-modes/rail/railway-packages/fourth-railway-package-2016_en.</w:t>
      </w:r>
      <w:r>
        <w:br/>
      </w:r>
      <w:r>
        <w:t xml:space="preserve">27 Regulation (EC) 1370/2007 of the European Parliament and of the Council of 23 October 2007 on public</w:t>
      </w:r>
      <w:r>
        <w:t xml:space="preserve"> </w:t>
      </w:r>
      <w:r>
        <w:t xml:space="preserve">passenger transport services by rail and by road and repealing Council Regulations (EEC) Nos 1191/69 and</w:t>
      </w:r>
      <w:r>
        <w:t xml:space="preserve"> </w:t>
      </w:r>
      <w:r>
        <w:t xml:space="preserve">1107/70, OJ L 315, 3.12.2007.</w:t>
      </w:r>
      <w:r>
        <w:t xml:space="preserve"> </w:t>
      </w:r>
      <w:r>
        <w:t xml:space="preserve">28 Ninth monitoring report on the development of the rail market under Article 15(4) of Directive 2012/34/EU of</w:t>
      </w:r>
      <w:r>
        <w:t xml:space="preserve"> </w:t>
      </w:r>
      <w:r>
        <w:t xml:space="preserve">the European Parliament and of the Council, COM(2025) 439 final.</w:t>
      </w:r>
      <w:r>
        <w:br/>
      </w:r>
      <w:r>
        <w:t xml:space="preserve">29 State aid Scoreboard: Scoreboard State Aid data - European Commission. The category “PSOs and pensions”</w:t>
      </w:r>
      <w:r>
        <w:t xml:space="preserve"> </w:t>
      </w:r>
      <w:r>
        <w:t xml:space="preserve">consists of PSO spending only.</w:t>
      </w:r>
      <w:r>
        <w:br/>
      </w:r>
      <w:r>
        <w:t xml:space="preserve">30 Directive 2004/51/EC of the European Parliament and of the Council of 29 April 2004 amending Council</w:t>
      </w:r>
      <w:r>
        <w:t xml:space="preserve"> </w:t>
      </w:r>
      <w:r>
        <w:t xml:space="preserve">Directive 91/440/EEC on the development of the Community’s railways (OJ L 164, 30.4.2004) established a right</w:t>
      </w:r>
      <w:r>
        <w:t xml:space="preserve"> </w:t>
      </w:r>
      <w:r>
        <w:t xml:space="preserve">of access for railway undertakings in relation to all types of freight services (national and international) from 1</w:t>
      </w:r>
      <w:r>
        <w:t xml:space="preserve"> </w:t>
      </w:r>
      <w:r>
        <w:t xml:space="preserve">January 2007.</w:t>
      </w:r>
      <w:r>
        <w:t xml:space="preserve"> </w:t>
      </w:r>
      <w:r>
        <w:t xml:space="preserve">31 Article 3 of Directive (EU) 2016/2370 of the European Parliament and of the Council of 14 December 2016</w:t>
      </w:r>
      <w:r>
        <w:t xml:space="preserve"> </w:t>
      </w:r>
      <w:r>
        <w:t xml:space="preserve">amending Directive 2012/34/EU as regards the opening of the market for domestic passenger transport services</w:t>
      </w:r>
      <w:r>
        <w:t xml:space="preserve"> </w:t>
      </w:r>
      <w:r>
        <w:t xml:space="preserve">by rail and the governance of the railway infrastructure, OJ L 352, 23.12.2016.</w:t>
      </w:r>
      <w:r>
        <w:br/>
      </w:r>
      <w:r>
        <w:t xml:space="preserve">32 Article 1(9) of Regulation (EU) 2016/2338 of the European Parliament and of the Council of 14 December 2016</w:t>
      </w:r>
      <w:r>
        <w:t xml:space="preserve"> </w:t>
      </w:r>
      <w:r>
        <w:t xml:space="preserve">amending Regulation (EC) No 1370/2007 concerning the opening of the market for domestic passenger transport</w:t>
      </w:r>
      <w:r>
        <w:t xml:space="preserve"> </w:t>
      </w:r>
      <w:r>
        <w:t xml:space="preserve">services by rail, OJ L 354, 23.12.2016.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The technical pillar of the fourth railway package was designed to boost the competitiveness of</w:t>
      </w:r>
      <w:r>
        <w:t xml:space="preserve"> </w:t>
      </w:r>
      <w:r>
        <w:t xml:space="preserve">the railway sector e.g. by reducing administrative burdens. Among others, it aims to:</w:t>
      </w:r>
      <w:r>
        <w:t xml:space="preserve"> </w:t>
      </w:r>
      <w:r>
        <w:t xml:space="preserve">• harmonise a large number of national rules; and</w:t>
      </w:r>
      <w:r>
        <w:t xml:space="preserve"> </w:t>
      </w:r>
      <w:r>
        <w:t xml:space="preserve">• create a</w:t>
      </w:r>
      <w:r>
        <w:t xml:space="preserve"> </w:t>
      </w:r>
      <w:r>
        <w:t xml:space="preserve">“one stop shop”</w:t>
      </w:r>
      <w:r>
        <w:t xml:space="preserve"> </w:t>
      </w:r>
      <w:r>
        <w:t xml:space="preserve">in the case of operations beyond one single Member State, by</w:t>
      </w:r>
      <w:r>
        <w:t xml:space="preserve"> </w:t>
      </w:r>
      <w:r>
        <w:t xml:space="preserve">enabling the European Railways Agency to issue vehicle authorisations valid</w:t>
      </w:r>
      <w:r>
        <w:t xml:space="preserve"> </w:t>
      </w:r>
      <w:r>
        <w:t xml:space="preserve">throughout the EU.</w:t>
      </w:r>
      <w:r>
        <w:br/>
      </w:r>
      <w:r>
        <w:t xml:space="preserve">In 2022, in the EU27 new entrants33 had a market share of 49.6% on average in the rail freight</w:t>
      </w:r>
      <w:r>
        <w:t xml:space="preserve"> </w:t>
      </w:r>
      <w:r>
        <w:t xml:space="preserve">market (up 10.7 percentage points from 2018), compared to a market share of 12.6% in the</w:t>
      </w:r>
      <w:r>
        <w:t xml:space="preserve"> </w:t>
      </w:r>
      <w:r>
        <w:t xml:space="preserve">“open access” rail passenger market (up from 6.0% in 2020) and 21% in the PSO rail passenger</w:t>
      </w:r>
      <w:r>
        <w:t xml:space="preserve"> </w:t>
      </w:r>
      <w:r>
        <w:t xml:space="preserve">sector (up from 18.5% in 2020)34.</w:t>
      </w:r>
      <w:r>
        <w:br/>
      </w:r>
      <w:r>
        <w:t xml:space="preserve">The obligatory tendering of public service contracts in the rail passenger transport sector as of</w:t>
      </w:r>
      <w:r>
        <w:t xml:space="preserve"> </w:t>
      </w:r>
      <w:r>
        <w:t xml:space="preserve">2024, the effects of which will unfold over the next years, when the last directly-awarded</w:t>
      </w:r>
      <w:r>
        <w:t xml:space="preserve"> </w:t>
      </w:r>
      <w:r>
        <w:t xml:space="preserve">contracts will run out, will allow all railway undertakings to bid for public service contracts,</w:t>
      </w:r>
      <w:r>
        <w:t xml:space="preserve"> </w:t>
      </w:r>
      <w:r>
        <w:t xml:space="preserve">attaining scale and bringing additional efficiency to these contracts. This regulatory</w:t>
      </w:r>
      <w:r>
        <w:t xml:space="preserve"> </w:t>
      </w:r>
      <w:r>
        <w:t xml:space="preserve">development, as well as the liberalisation overall, will increase competition within the rail</w:t>
      </w:r>
      <w:r>
        <w:t xml:space="preserve"> </w:t>
      </w:r>
      <w:r>
        <w:t xml:space="preserve">sector as part of SLT and therefore also boost its cost-effectiveness and competitiveness. This</w:t>
      </w:r>
      <w:r>
        <w:t xml:space="preserve"> </w:t>
      </w:r>
      <w:r>
        <w:t xml:space="preserve">initiative is therefore complementary to these developments.</w:t>
      </w:r>
      <w:r>
        <w:t xml:space="preserve"> </w:t>
      </w:r>
      <w:r>
        <w:t xml:space="preserve">The impact of the COVID-19 pandemic on the data for the railway sector</w:t>
      </w:r>
      <w:r>
        <w:t xml:space="preserve"> </w:t>
      </w:r>
      <w:r>
        <w:t xml:space="preserve">Revenues from passenger rail operations decreased by an estimated 41% in 2020 and 36% in</w:t>
      </w:r>
      <w:r>
        <w:t xml:space="preserve"> </w:t>
      </w:r>
      <w:r>
        <w:t xml:space="preserve">2021, while those of rail freight decreased by an estimated 12% in 2020 and 10% in 2021.</w:t>
      </w:r>
      <w:r>
        <w:t xml:space="preserve"> </w:t>
      </w:r>
      <w:r>
        <w:t xml:space="preserve">Overall, the revenue loss for the railway sector is estimated at about EUR 50 billion for the two</w:t>
      </w:r>
      <w:r>
        <w:t xml:space="preserve"> </w:t>
      </w:r>
      <w:r>
        <w:t xml:space="preserve">years35. This was partially offset by State aid in the form of damage compensation payments.</w:t>
      </w:r>
      <w:r>
        <w:t xml:space="preserve"> </w:t>
      </w:r>
      <w:r>
        <w:t xml:space="preserve">Data for 2020 and 2021 therefore have to be assessed with particular caution and often have to</w:t>
      </w:r>
      <w:r>
        <w:t xml:space="preserve"> </w:t>
      </w:r>
      <w:r>
        <w:t xml:space="preserve">be considered as outliers. This Impact Assessment Report will use data from 2022 to 2024,</w:t>
      </w:r>
      <w:r>
        <w:t xml:space="preserve"> </w:t>
      </w:r>
      <w:r>
        <w:t xml:space="preserve">where available, or, where not and there is a risk of skewed data, from 2019 as the last full year</w:t>
      </w:r>
      <w:r>
        <w:t xml:space="preserve"> </w:t>
      </w:r>
      <w:r>
        <w:t xml:space="preserve">before the COVID-19 pandemic.</w:t>
      </w:r>
      <w:r>
        <w:br/>
      </w:r>
      <w:r>
        <w:t xml:space="preserve">Other State aid rules</w:t>
      </w:r>
      <w:r>
        <w:t xml:space="preserve"> </w:t>
      </w:r>
      <w:r>
        <w:t xml:space="preserve">Important tools to support the Green Deal in the area of State aid are the Guidelines on State</w:t>
      </w:r>
      <w:r>
        <w:t xml:space="preserve"> </w:t>
      </w:r>
      <w:r>
        <w:t xml:space="preserve">aid for climate, environmental protection and energy 2022 (‘CEEAG’)36, the GBER and the</w:t>
      </w:r>
      <w:r>
        <w:t xml:space="preserve"> </w:t>
      </w:r>
      <w:r>
        <w:t xml:space="preserve">Framework for State aid measures to support the Clean Industrial Deal (‘CISAF’37). These tools</w:t>
      </w:r>
      <w:r>
        <w:t xml:space="preserve"> </w:t>
      </w:r>
      <w:r>
        <w:t xml:space="preserve">include compatibility criteria for aid measures related to the reduction of GHG emissions or air</w:t>
      </w:r>
      <w:r>
        <w:t xml:space="preserve"> </w:t>
      </w:r>
      <w:r>
        <w:t xml:space="preserve">pollution. The CEEAG and the GBER include specific rules for aid measures for the acquisition</w:t>
      </w:r>
      <w:r>
        <w:t xml:space="preserve"> </w:t>
      </w:r>
      <w:r>
        <w:t xml:space="preserve">and leasing of clean vehicles (including those used for rail and IWW). These tools complement</w:t>
      </w:r>
      <w:r>
        <w:t xml:space="preserve"> </w:t>
      </w:r>
      <w:r>
        <w:t xml:space="preserve">the present initiative, as the CEEAG stipulate that in case there are specific provisions applying</w:t>
      </w:r>
      <w:r>
        <w:t xml:space="preserve"> </w:t>
      </w:r>
      <w:r>
        <w:t xml:space="preserve">to the very same measure in sector specific State aid guidelines, the latter prevail.</w:t>
      </w:r>
    </w:p>
    <w:p>
      <w:pPr>
        <w:pStyle w:val="BodyText"/>
      </w:pPr>
      <w:r>
        <w:t xml:space="preserve">33 New entrants are railway undertakings that were set up after the liberalisation of the rail sector, i.e. they are all</w:t>
      </w:r>
      <w:r>
        <w:t xml:space="preserve"> </w:t>
      </w:r>
      <w:r>
        <w:t xml:space="preserve">railway undertakings that are not incumbents.</w:t>
      </w:r>
      <w:r>
        <w:br/>
      </w:r>
      <w:r>
        <w:t xml:space="preserve">34 See footnote 28. This document refers to new entrants as “competitors”.</w:t>
      </w:r>
      <w:r>
        <w:br/>
      </w:r>
      <w:r>
        <w:t xml:space="preserve">35 UIRR, “COVID Impact Tracker: rail freight lost 4 billion in 2021”: https://www.uirr.com/web-news/covid-</w:t>
      </w:r>
      <w:r>
        <w:t xml:space="preserve"> </w:t>
      </w:r>
      <w:r>
        <w:t xml:space="preserve">impact-tracker-rail-freight-lost-4-billion-2021.</w:t>
      </w:r>
      <w:r>
        <w:br/>
      </w:r>
      <w:r>
        <w:t xml:space="preserve">36 Communication from the Commission, Guidelines on State aid for climate, environmental protection and energy</w:t>
      </w:r>
      <w:r>
        <w:t xml:space="preserve"> </w:t>
      </w:r>
      <w:r>
        <w:t xml:space="preserve">2022, OJ C 80, 18.2.2022.</w:t>
      </w:r>
      <w:r>
        <w:t xml:space="preserve"> </w:t>
      </w:r>
      <w:r>
        <w:t xml:space="preserve">37</w:t>
      </w:r>
      <w:r>
        <w:t xml:space="preserve"> </w:t>
      </w:r>
      <w:r>
        <w:t xml:space="preserve">https://competition-policy.ec.europa.eu/about/contribution-clean-just-and-competitive-transition/clean-</w:t>
      </w:r>
      <w:r>
        <w:t xml:space="preserve"> </w:t>
      </w:r>
      <w:r>
        <w:t xml:space="preserve">industrial-deal-state-aid-framework-cisaf_en.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In any event, none of these instruments directly address the issues of the transport sector. The</w:t>
      </w:r>
      <w:r>
        <w:t xml:space="preserve"> </w:t>
      </w:r>
      <w:r>
        <w:t xml:space="preserve">objective of State aid covered by the present initiative is to achieve modal shift, which serves</w:t>
      </w:r>
      <w:r>
        <w:t xml:space="preserve"> </w:t>
      </w:r>
      <w:r>
        <w:t xml:space="preserve">the purpose of limiting all externalities, including e.g. congestion and accidents, which are also</w:t>
      </w:r>
      <w:r>
        <w:t xml:space="preserve"> </w:t>
      </w:r>
      <w:r>
        <w:t xml:space="preserve">lower in SLT. These additional externalities justify additional support. Also, the SLT sector</w:t>
      </w:r>
      <w:r>
        <w:t xml:space="preserve"> </w:t>
      </w:r>
      <w:r>
        <w:t xml:space="preserve">consists of a complex network of relationships between facilities and transport operators and</w:t>
      </w:r>
      <w:r>
        <w:t xml:space="preserve"> </w:t>
      </w:r>
      <w:r>
        <w:t xml:space="preserve">between different transport modes. A more targeted design of aid measures is therefore</w:t>
      </w:r>
      <w:r>
        <w:t xml:space="preserve"> </w:t>
      </w:r>
      <w:r>
        <w:t xml:space="preserve">necessary to efficiently achieve the modal shift objective.</w:t>
      </w:r>
      <w:r>
        <w:br/>
      </w:r>
      <w:r>
        <w:t xml:space="preserve">EU Funding - The Recovery and Resilience and the Connecting Europe Facilities, Cohesion</w:t>
      </w:r>
      <w:r>
        <w:t xml:space="preserve"> </w:t>
      </w:r>
      <w:r>
        <w:t xml:space="preserve">policy funds</w:t>
      </w:r>
      <w:r>
        <w:t xml:space="preserve"> </w:t>
      </w:r>
      <w:r>
        <w:t xml:space="preserve">The Recovery and Resilience Facility38 mobilised EUR 650 billion to help Member States</w:t>
      </w:r>
      <w:r>
        <w:t xml:space="preserve"> </w:t>
      </w:r>
      <w:r>
        <w:t xml:space="preserve">repair the damage caused by the COVID-19 pandemic. It also contributes significantly to the</w:t>
      </w:r>
      <w:r>
        <w:t xml:space="preserve"> </w:t>
      </w:r>
      <w:r>
        <w:t xml:space="preserve">objectives of the SSMS through the mobilisation of a total of EUR 87 billion to support</w:t>
      </w:r>
      <w:r>
        <w:t xml:space="preserve"> </w:t>
      </w:r>
      <w:r>
        <w:t xml:space="preserve">sustainable mobility.</w:t>
      </w:r>
      <w:r>
        <w:t xml:space="preserve"> </w:t>
      </w:r>
      <w:r>
        <w:t xml:space="preserve">The Connecting Europe Facility for Transport aims to support investments in transport</w:t>
      </w:r>
      <w:r>
        <w:t xml:space="preserve"> </w:t>
      </w:r>
      <w:r>
        <w:t xml:space="preserve">infrastructure on the TEN-T. In the years 2021-2027, it makes available EUR 25.8 billion to</w:t>
      </w:r>
      <w:r>
        <w:t xml:space="preserve"> </w:t>
      </w:r>
      <w:r>
        <w:t xml:space="preserve">support transport infrastructure projects39.</w:t>
      </w:r>
      <w:r>
        <w:br/>
      </w:r>
      <w:r>
        <w:t xml:space="preserve">Cohesion policy funds (European Regional Development Fund, Cohesion Fund, Just Transition</w:t>
      </w:r>
      <w:r>
        <w:t xml:space="preserve"> </w:t>
      </w:r>
      <w:r>
        <w:t xml:space="preserve">Fund, Interreg) provide EUR 59.5 billion in co-financing in the years 2021-2027 for</w:t>
      </w:r>
      <w:r>
        <w:t xml:space="preserve"> </w:t>
      </w:r>
      <w:r>
        <w:t xml:space="preserve">investments that mitigate territorial disparities in transport infrastructure and that facilitate the</w:t>
      </w:r>
      <w:r>
        <w:t xml:space="preserve"> </w:t>
      </w:r>
      <w:r>
        <w:t xml:space="preserve">green and digital transitions in the transport sector. For example, Member States have allocated</w:t>
      </w:r>
      <w:r>
        <w:t xml:space="preserve"> </w:t>
      </w:r>
      <w:r>
        <w:t xml:space="preserve">EUR 14.1 billion to clean urban transport infrastructure and rolling stock, EUR 12 billion to</w:t>
      </w:r>
      <w:r>
        <w:t xml:space="preserve"> </w:t>
      </w:r>
      <w:r>
        <w:t xml:space="preserve">TEN-T rail (incl. 0.5 billion for ERTMS), and EUR 2.7 billion to rail rolling stock40. Funds for</w:t>
      </w:r>
      <w:r>
        <w:t xml:space="preserve"> </w:t>
      </w:r>
      <w:r>
        <w:t xml:space="preserve">mobility investments are also available under the InvestEU programme41.</w:t>
      </w:r>
      <w:r>
        <w:t xml:space="preserve"> </w:t>
      </w:r>
      <w:r>
        <w:t xml:space="preserve">The EU Industrial Maritime Strategy</w:t>
      </w:r>
      <w:r>
        <w:t xml:space="preserve"> </w:t>
      </w:r>
      <w:r>
        <w:t xml:space="preserve">The European Commission has started preparations for an EU Industrial Maritime Strategy that</w:t>
      </w:r>
      <w:r>
        <w:t xml:space="preserve"> </w:t>
      </w:r>
      <w:r>
        <w:t xml:space="preserve">aims to improve the competitiveness of the EU’s waterborne transport sectors (including IWW).</w:t>
      </w:r>
      <w:r>
        <w:t xml:space="preserve"> </w:t>
      </w:r>
      <w:r>
        <w:t xml:space="preserve">The Strategy also aims to tackle difficult access to finance for ship buyers, including SMEs and</w:t>
      </w:r>
      <w:r>
        <w:t xml:space="preserve"> </w:t>
      </w:r>
      <w:r>
        <w:t xml:space="preserve">mid-cap businesses specifically42. In view of the provisional information in the CfE and taking</w:t>
      </w:r>
      <w:r>
        <w:t xml:space="preserve"> </w:t>
      </w:r>
      <w:r>
        <w:t xml:space="preserve">account of the non-legislative nature of this initiative, it appears that the strategy is likely to be</w:t>
      </w:r>
      <w:r>
        <w:t xml:space="preserve"> </w:t>
      </w:r>
      <w:r>
        <w:t xml:space="preserve">coherent with and complementary to the present initiative.</w:t>
      </w:r>
    </w:p>
    <w:p>
      <w:pPr>
        <w:pStyle w:val="BodyText"/>
      </w:pPr>
      <w:r>
        <w:t xml:space="preserve">38 https://commission.europa.eu/business-economy-euro/economic-recovery/recovery-and-resilience-facility_en.</w:t>
      </w:r>
      <w:r>
        <w:br/>
      </w:r>
      <w:r>
        <w:t xml:space="preserve">39 https://cinea.ec.europa.eu/programmes/connecting-europe-facility/transport-infrastructure_en.</w:t>
      </w:r>
      <w:r>
        <w:br/>
      </w:r>
      <w:r>
        <w:t xml:space="preserve">40 https://ec.europa.eu/regional_policy/funding/cohesion-fund_en.</w:t>
      </w:r>
      <w:r>
        <w:br/>
      </w:r>
      <w:r>
        <w:t xml:space="preserve">41</w:t>
      </w:r>
      <w:r>
        <w:t xml:space="preserve"> </w:t>
      </w:r>
      <w:r>
        <w:t xml:space="preserve">https://investeu.europa.eu/investeu-programme/investeu-fund/investeu-indicators_en#implementation-per-</w:t>
      </w:r>
      <w:r>
        <w:t xml:space="preserve"> </w:t>
      </w:r>
      <w:r>
        <w:t xml:space="preserve">policy-window.</w:t>
      </w:r>
      <w:r>
        <w:br/>
      </w:r>
      <w:r>
        <w:t xml:space="preserve">42 CfE of the initiative: https://ec.europa.eu/info/law/better-regulation/have-your-say/initiatives/14745-EU-</w:t>
      </w:r>
      <w:r>
        <w:t xml:space="preserve"> </w:t>
      </w:r>
      <w:r>
        <w:t xml:space="preserve">industrial-maritime-strategy_en.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1.3.</w:t>
      </w:r>
      <w:r>
        <w:t xml:space="preserve"> </w:t>
      </w:r>
      <w:r>
        <w:t xml:space="preserve">Fitness Check</w:t>
      </w:r>
      <w:r>
        <w:t xml:space="preserve"> </w:t>
      </w:r>
      <w:r>
        <w:t xml:space="preserve">The RGL were evaluated as part of the 2020 Fitness Check43 of the 2012 State aid</w:t>
      </w:r>
      <w:r>
        <w:t xml:space="preserve"> </w:t>
      </w:r>
      <w:r>
        <w:t xml:space="preserve">modernisation (‘SAM’) package44 (the ‘Fitness Check’).</w:t>
      </w:r>
      <w:r>
        <w:t xml:space="preserve"> </w:t>
      </w:r>
      <w:r>
        <w:t xml:space="preserve">The Fitness Check contained findings specifically on the excessively narrow scope of the RGL</w:t>
      </w:r>
      <w:r>
        <w:t xml:space="preserve"> </w:t>
      </w:r>
      <w:r>
        <w:t xml:space="preserve">limited to operating aid and aid for investments in interoperability. The Fitness Check also set</w:t>
      </w:r>
      <w:r>
        <w:t xml:space="preserve"> </w:t>
      </w:r>
      <w:r>
        <w:t xml:space="preserve">out achievements in terms of modal shift resulting from operating aid schemes, as well as</w:t>
      </w:r>
      <w:r>
        <w:t xml:space="preserve"> </w:t>
      </w:r>
      <w:r>
        <w:t xml:space="preserve">problems in applying State aid rules to facilities as a category not covered by the RGL. In more</w:t>
      </w:r>
      <w:r>
        <w:t xml:space="preserve"> </w:t>
      </w:r>
      <w:r>
        <w:t xml:space="preserve">detail:</w:t>
      </w:r>
      <w:r>
        <w:t xml:space="preserve"> </w:t>
      </w:r>
      <w:r>
        <w:t xml:space="preserve">Section 6 of the RGL on aid for the coordination of transport, which covers (i) operating aid for</w:t>
      </w:r>
      <w:r>
        <w:t xml:space="preserve"> </w:t>
      </w:r>
      <w:r>
        <w:t xml:space="preserve">external costs reduction, (ii) operating aid for infrastructure use, and (iii) investment aid for</w:t>
      </w:r>
      <w:r>
        <w:t xml:space="preserve"> </w:t>
      </w:r>
      <w:r>
        <w:t xml:space="preserve">interoperability, is the part of the RGL that was the most used. No issues were identified during</w:t>
      </w:r>
      <w:r>
        <w:t xml:space="preserve"> </w:t>
      </w:r>
      <w:r>
        <w:t xml:space="preserve">the annual sample-based monitoring exercises45, which verified compliance with Commission</w:t>
      </w:r>
      <w:r>
        <w:t xml:space="preserve"> </w:t>
      </w:r>
      <w:r>
        <w:t xml:space="preserve">decisions approving aid under the RGL. The Fitness Check found that the scope of section 6 of</w:t>
      </w:r>
      <w:r>
        <w:t xml:space="preserve"> </w:t>
      </w:r>
      <w:r>
        <w:t xml:space="preserve">the RGL has proved in many cases too narrow, as it only refers to railway undertakings. As a</w:t>
      </w:r>
      <w:r>
        <w:t xml:space="preserve"> </w:t>
      </w:r>
      <w:r>
        <w:t xml:space="preserve">result, the rules laid down in section 6 have been applied by analogy (directly under Article 93</w:t>
      </w:r>
      <w:r>
        <w:t xml:space="preserve"> </w:t>
      </w:r>
      <w:r>
        <w:t xml:space="preserve">TFEU) to beneficiaries on the ‘demand side’, such as logistics companies, and to other sectors,</w:t>
      </w:r>
      <w:r>
        <w:t xml:space="preserve"> </w:t>
      </w:r>
      <w:r>
        <w:t xml:space="preserve">such as IWW and multimodal transport. Moreover, assessments for example as regards facilities</w:t>
      </w:r>
      <w:r>
        <w:t xml:space="preserve"> </w:t>
      </w:r>
      <w:r>
        <w:t xml:space="preserve">have been carried out directly under Article 93 TFEU, which generally increased the duration</w:t>
      </w:r>
      <w:r>
        <w:t xml:space="preserve"> </w:t>
      </w:r>
      <w:r>
        <w:t xml:space="preserve">of such cases and added an additional burden, and created some inconsistencies between</w:t>
      </w:r>
      <w:r>
        <w:t xml:space="preserve"> </w:t>
      </w:r>
      <w:r>
        <w:t xml:space="preserve">decisions, as will be further detailed below.</w:t>
      </w:r>
      <w:r>
        <w:br/>
      </w:r>
      <w:r>
        <w:t xml:space="preserve">Besides section 6, Member States have used the RGL to a very limited extent and some sections</w:t>
      </w:r>
      <w:r>
        <w:t xml:space="preserve"> </w:t>
      </w:r>
      <w:r>
        <w:t xml:space="preserve">have expired in the meantime. An overview of the sections and the compatibility conditions of</w:t>
      </w:r>
      <w:r>
        <w:t xml:space="preserve"> </w:t>
      </w:r>
      <w:r>
        <w:t xml:space="preserve">section 6 of the RGLs is provided in Annex 10.</w:t>
      </w:r>
      <w:r>
        <w:t xml:space="preserve"> </w:t>
      </w:r>
      <w:r>
        <w:t xml:space="preserve">In addition, as the RGL were not part of the SAM launched in 2012, they do not implement</w:t>
      </w:r>
      <w:r>
        <w:t xml:space="preserve"> </w:t>
      </w:r>
      <w:r>
        <w:t xml:space="preserve">systematically and explicitly the applicable common assessment principles46. The SAM</w:t>
      </w:r>
      <w:r>
        <w:t xml:space="preserve"> </w:t>
      </w:r>
      <w:r>
        <w:t xml:space="preserve">imposed the publication of all aid awards above EUR 500 000 on national or regional websites.</w:t>
      </w:r>
      <w:r>
        <w:t xml:space="preserve"> </w:t>
      </w:r>
      <w:r>
        <w:t xml:space="preserve">The absence of this obligation in the RGL helps explain why there is little data available on</w:t>
      </w:r>
      <w:r>
        <w:t xml:space="preserve"> </w:t>
      </w:r>
      <w:r>
        <w:t xml:space="preserve">State aid measures in the SLT sector. In any case, the Fitness Check concluded that “(t)he</w:t>
      </w:r>
      <w:r>
        <w:t xml:space="preserve"> </w:t>
      </w:r>
      <w:r>
        <w:t xml:space="preserve">Railway Guidelines (…) should be adapted to SAM.” The revised GL will therefore have to be</w:t>
      </w:r>
      <w:r>
        <w:t xml:space="preserve"> </w:t>
      </w:r>
      <w:r>
        <w:t xml:space="preserve">aligned with the general principles of SAM, which apply across the board to the entire corpus</w:t>
      </w:r>
    </w:p>
    <w:p>
      <w:pPr>
        <w:pStyle w:val="BodyText"/>
      </w:pPr>
      <w:r>
        <w:t xml:space="preserve">43 Staff Working Document, Fitness Check of the 2012 State aid modernisation package, railways guidelines and</w:t>
      </w:r>
      <w:r>
        <w:t xml:space="preserve"> </w:t>
      </w:r>
      <w:r>
        <w:t xml:space="preserve">short-term</w:t>
      </w:r>
      <w:r>
        <w:t xml:space="preserve"> </w:t>
      </w:r>
      <w:r>
        <w:t xml:space="preserve">export</w:t>
      </w:r>
      <w:r>
        <w:t xml:space="preserve"> </w:t>
      </w:r>
      <w:r>
        <w:t xml:space="preserve">credit</w:t>
      </w:r>
      <w:r>
        <w:t xml:space="preserve"> </w:t>
      </w:r>
      <w:r>
        <w:t xml:space="preserve">insurance,</w:t>
      </w:r>
      <w:r>
        <w:t xml:space="preserve"> </w:t>
      </w:r>
      <w:r>
        <w:t xml:space="preserve">SWD(2020)</w:t>
      </w:r>
      <w:r>
        <w:t xml:space="preserve"> </w:t>
      </w:r>
      <w:r>
        <w:t xml:space="preserve">258</w:t>
      </w:r>
      <w:r>
        <w:t xml:space="preserve"> </w:t>
      </w:r>
      <w:r>
        <w:t xml:space="preserve">final: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content/en/TXT/?uri=CELEX:52020SC0258.</w:t>
      </w:r>
      <w:r>
        <w:t xml:space="preserve"> </w:t>
      </w:r>
      <w:r>
        <w:t xml:space="preserve">44 SAM was a reform of EU State aid policy launched in 2012. The objectives of SAM were threefold: (1) to foster</w:t>
      </w:r>
      <w:r>
        <w:t xml:space="preserve"> </w:t>
      </w:r>
      <w:r>
        <w:t xml:space="preserve">sustainable, smart and inclusive growth in a competitive internal market by means of so-called ‘good aid’ (aid that</w:t>
      </w:r>
      <w:r>
        <w:t xml:space="preserve"> </w:t>
      </w:r>
      <w:r>
        <w:t xml:space="preserve">is well-designed, targeted at identified market failures and objectives of common interest, and the least distortive);</w:t>
      </w:r>
      <w:r>
        <w:t xml:space="preserve"> </w:t>
      </w:r>
      <w:r>
        <w:t xml:space="preserve">(2) to focus the Commission’s ex ante scrutiny on cases with the biggest impact on the internal market; and (3) to</w:t>
      </w:r>
      <w:r>
        <w:t xml:space="preserve"> </w:t>
      </w:r>
      <w:r>
        <w:t xml:space="preserve">streamline the rules and provide for faster decisions.</w:t>
      </w:r>
      <w:r>
        <w:t xml:space="preserve"> </w:t>
      </w:r>
      <w:r>
        <w:t xml:space="preserve">45 In line with Article 108 (1) TFEU and Articles 21 (1), 26 (1) and 27 of Council Regulation (EU) 2015/1589 of</w:t>
      </w:r>
      <w:r>
        <w:t xml:space="preserve"> </w:t>
      </w:r>
      <w:r>
        <w:t xml:space="preserve">13 July 2015 laying down detailed rules for the application of Article 108 of the TFEU, OJ L 248, 24.9.2015 (‘the</w:t>
      </w:r>
      <w:r>
        <w:t xml:space="preserve"> </w:t>
      </w:r>
      <w:r>
        <w:t xml:space="preserve">Procedural Regulation’).</w:t>
      </w:r>
      <w:r>
        <w:t xml:space="preserve"> </w:t>
      </w:r>
      <w:r>
        <w:t xml:space="preserve">46 https://competition-policy.ec.europa.eu/state-aid/legislation/modernisation_en. The common assessment</w:t>
      </w:r>
      <w:r>
        <w:t xml:space="preserve"> </w:t>
      </w:r>
      <w:r>
        <w:t xml:space="preserve">principles that would apply under Article 93 comprise the need for State intervention, appropriateness,</w:t>
      </w:r>
      <w:r>
        <w:t xml:space="preserve"> </w:t>
      </w:r>
      <w:r>
        <w:t xml:space="preserve">proportionality and transparency of the aid, incentive effect, avoidance of undue negative effects on competition</w:t>
      </w:r>
      <w:r>
        <w:t xml:space="preserve"> </w:t>
      </w:r>
      <w:r>
        <w:t xml:space="preserve">and trade between Member States, and cumulation. In specific cases, schemes may also be made subject to ex post</w:t>
      </w:r>
      <w:r>
        <w:t xml:space="preserve"> </w:t>
      </w:r>
      <w:r>
        <w:t xml:space="preserve">evaluation and be subject to monitoring.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of State aid legislation. Such an alignment would therefore not be a real option and will</w:t>
      </w:r>
      <w:r>
        <w:t xml:space="preserve"> </w:t>
      </w:r>
      <w:r>
        <w:t xml:space="preserve">therefore not be further assessed as an option in this Impact Assessment Report.</w:t>
      </w:r>
      <w:r>
        <w:t xml:space="preserve"> </w:t>
      </w:r>
      <w:r>
        <w:t xml:space="preserve">Overall, the Fitness Check concluded that the RGL, dating from 2008, were not fit for purpose</w:t>
      </w:r>
      <w:r>
        <w:t xml:space="preserve"> </w:t>
      </w:r>
      <w:r>
        <w:t xml:space="preserve">and needed a full-fledged review to align them with market and regulatory developments, while</w:t>
      </w:r>
      <w:r>
        <w:t xml:space="preserve"> </w:t>
      </w:r>
      <w:r>
        <w:t xml:space="preserve">providing additional incentives to encourage a significant modal shift.</w:t>
      </w:r>
      <w:r>
        <w:br/>
      </w:r>
      <w:r>
        <w:t xml:space="preserve">1.4.</w:t>
      </w:r>
      <w:r>
        <w:t xml:space="preserve"> </w:t>
      </w:r>
      <w:r>
        <w:t xml:space="preserve">Sustainable development goals</w:t>
      </w:r>
      <w:r>
        <w:br/>
      </w:r>
      <w:r>
        <w:t xml:space="preserve">This initiative contributes to the following sustainable development goals (‘SDGs’)47: SDG 7</w:t>
      </w:r>
      <w:r>
        <w:t xml:space="preserve"> </w:t>
      </w:r>
      <w:r>
        <w:t xml:space="preserve">(affordable and clean energy), SDG 13 (Take urgent action to combat climate change and its</w:t>
      </w:r>
      <w:r>
        <w:t xml:space="preserve"> </w:t>
      </w:r>
      <w:r>
        <w:t xml:space="preserve">impacts), as it targets the promotion of more climate friendly transport modes, SDG 9 (Build</w:t>
      </w:r>
      <w:r>
        <w:t xml:space="preserve"> </w:t>
      </w:r>
      <w:r>
        <w:t xml:space="preserve">resilient infrastructure, promote inclusive and sustainable industrialisation and foster</w:t>
      </w:r>
      <w:r>
        <w:t xml:space="preserve"> </w:t>
      </w:r>
      <w:r>
        <w:t xml:space="preserve">innovation), as it promotes the development of infrastructure for clean modes of transport and</w:t>
      </w:r>
      <w:r>
        <w:t xml:space="preserve"> </w:t>
      </w:r>
      <w:r>
        <w:t xml:space="preserve">the utilisation of innovative technologies in the relevant transport sectors, SDG 11 (Make cities</w:t>
      </w:r>
      <w:r>
        <w:t xml:space="preserve"> </w:t>
      </w:r>
      <w:r>
        <w:t xml:space="preserve">and human settlements inclusive, safe, resilient and sustainable), as it includes sustainable</w:t>
      </w:r>
      <w:r>
        <w:t xml:space="preserve"> </w:t>
      </w:r>
      <w:r>
        <w:t xml:space="preserve">transport in particular in cities, and SDG 12 (Ensure sustainable consumption and production</w:t>
      </w:r>
      <w:r>
        <w:t xml:space="preserve"> </w:t>
      </w:r>
      <w:r>
        <w:t xml:space="preserve">patterns), as SLT has superior energy efficiency than road transport.</w:t>
      </w:r>
      <w:r>
        <w:br/>
      </w:r>
      <w:r>
        <w:t xml:space="preserve">1.5.</w:t>
      </w:r>
      <w:r>
        <w:t xml:space="preserve"> </w:t>
      </w:r>
      <w:r>
        <w:t xml:space="preserve">The future of European Competitiveness</w:t>
      </w:r>
      <w:r>
        <w:br/>
      </w:r>
      <w:r>
        <w:t xml:space="preserve">The challenges of the railway sector were mentioned in the 2024 report by Enrico Letta, which</w:t>
      </w:r>
      <w:r>
        <w:t xml:space="preserve"> </w:t>
      </w:r>
      <w:r>
        <w:t xml:space="preserve">acknowledged that ‘the Single European Railway Area has not yet fully materialised. Rail market</w:t>
      </w:r>
      <w:r>
        <w:t xml:space="preserve"> </w:t>
      </w:r>
      <w:r>
        <w:t xml:space="preserve">opening […] has been hampered by the fragmentation of markets and infrastructure, the persistence</w:t>
      </w:r>
      <w:r>
        <w:t xml:space="preserve"> </w:t>
      </w:r>
      <w:r>
        <w:t xml:space="preserve">of legal and de facto monopolies, as well as formidable technical barriers’, while stressing that ‘the</w:t>
      </w:r>
      <w:r>
        <w:t xml:space="preserve"> </w:t>
      </w:r>
      <w:r>
        <w:t xml:space="preserve">strategic development of the transport sector is indispensable for the EU’s ambitious agenda to</w:t>
      </w:r>
      <w:r>
        <w:t xml:space="preserve"> </w:t>
      </w:r>
      <w:r>
        <w:t xml:space="preserve">transition towards a green economy’48.</w:t>
      </w:r>
      <w:r>
        <w:t xml:space="preserve"> </w:t>
      </w:r>
      <w:r>
        <w:t xml:space="preserve">In addition, the report on the future of European competitiveness (‘the Draghi report’)49</w:t>
      </w:r>
      <w:r>
        <w:t xml:space="preserve"> </w:t>
      </w:r>
      <w:r>
        <w:t xml:space="preserve">observes that the EU transport sector contributes 5% of the EU’s GDP and jobs, with a further</w:t>
      </w:r>
      <w:r>
        <w:t xml:space="preserve"> </w:t>
      </w:r>
      <w:r>
        <w:t xml:space="preserve">four jobs in other sectors of the economy linked to every job in the transport sector. At 12%,</w:t>
      </w:r>
      <w:r>
        <w:t xml:space="preserve"> </w:t>
      </w:r>
      <w:r>
        <w:t xml:space="preserve">transport is the third highest category of household expenditure in the EU, after housing and</w:t>
      </w:r>
      <w:r>
        <w:t xml:space="preserve"> </w:t>
      </w:r>
      <w:r>
        <w:t xml:space="preserve">food.</w:t>
      </w:r>
      <w:r>
        <w:br/>
      </w:r>
      <w:r>
        <w:t xml:space="preserve">The Draghi report also finds that the transport sector accounts for one quarter of GHG emissions</w:t>
      </w:r>
      <w:r>
        <w:t xml:space="preserve"> </w:t>
      </w:r>
      <w:r>
        <w:t xml:space="preserve">in the EU and that transport stands out as the only big sector where emissions have increased</w:t>
      </w:r>
      <w:r>
        <w:t xml:space="preserve"> </w:t>
      </w:r>
      <w:r>
        <w:t xml:space="preserve">since 1990 (see Figure 1), with heavy-goods transport on road being costly to decarbonise and</w:t>
      </w:r>
      <w:r>
        <w:t xml:space="preserve"> </w:t>
      </w:r>
      <w:r>
        <w:t xml:space="preserve">its emissions therefore particularly hard to abate.</w:t>
      </w:r>
    </w:p>
    <w:p>
      <w:pPr>
        <w:pStyle w:val="BodyText"/>
      </w:pPr>
      <w:r>
        <w:t xml:space="preserve">47 https://commission.europa.eu/strategy-and-policy/sustainable-development-goals_en.</w:t>
      </w:r>
      <w:r>
        <w:br/>
      </w:r>
      <w:r>
        <w:t xml:space="preserve">48 Enrico Letta, Much more than a market, “Speed, security, solidarity – empowering the Single Market to deliver</w:t>
      </w:r>
      <w:r>
        <w:t xml:space="preserve"> </w:t>
      </w:r>
      <w:r>
        <w:t xml:space="preserve">a</w:t>
      </w:r>
      <w:r>
        <w:t xml:space="preserve"> </w:t>
      </w:r>
      <w:r>
        <w:t xml:space="preserve">sustainable</w:t>
      </w:r>
      <w:r>
        <w:t xml:space="preserve"> </w:t>
      </w:r>
      <w:r>
        <w:t xml:space="preserve">future</w:t>
      </w:r>
      <w:r>
        <w:t xml:space="preserve"> </w:t>
      </w:r>
      <w:r>
        <w:t xml:space="preserve">and</w:t>
      </w:r>
      <w:r>
        <w:t xml:space="preserve"> </w:t>
      </w:r>
      <w:r>
        <w:t xml:space="preserve">prosperity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EU</w:t>
      </w:r>
      <w:r>
        <w:t xml:space="preserve"> </w:t>
      </w:r>
      <w:r>
        <w:t xml:space="preserve">Citizens”,</w:t>
      </w:r>
      <w:r>
        <w:t xml:space="preserve"> </w:t>
      </w:r>
      <w:r>
        <w:t xml:space="preserve">April</w:t>
      </w:r>
      <w:r>
        <w:t xml:space="preserve"> </w:t>
      </w:r>
      <w:r>
        <w:t xml:space="preserve">2024,</w:t>
      </w:r>
      <w:r>
        <w:t xml:space="preserve"> </w:t>
      </w:r>
      <w:r>
        <w:t xml:space="preserve">page</w:t>
      </w:r>
      <w:r>
        <w:t xml:space="preserve"> </w:t>
      </w:r>
      <w:r>
        <w:t xml:space="preserve">84:</w:t>
      </w:r>
      <w:r>
        <w:t xml:space="preserve"> </w:t>
      </w:r>
      <w:r>
        <w:t xml:space="preserve">https://www.consilium.europa.eu/media/ny3j24sm/much-more-than-a-market-report-by-enrico-letta.pdf.</w:t>
      </w:r>
      <w:r>
        <w:t xml:space="preserve"> </w:t>
      </w:r>
      <w:r>
        <w:t xml:space="preserve">49 The future of European competitiveness – In-depth analysis and recommendations, 9 September 2024,</w:t>
      </w:r>
      <w:r>
        <w:t xml:space="preserve"> </w:t>
      </w:r>
      <w:r>
        <w:t xml:space="preserve">https://commission.europa.eu/topics/strengthening-european-competitiveness/eu-competitiveness-looking-</w:t>
      </w:r>
      <w:r>
        <w:t xml:space="preserve"> </w:t>
      </w:r>
      <w:r>
        <w:t xml:space="preserve">ahead_en.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Figure 1: Evolution of GHG emissions by sector in the EU, index 1990 = 1</w:t>
      </w:r>
    </w:p>
    <w:p>
      <w:pPr>
        <w:pStyle w:val="BodyText"/>
      </w:pPr>
      <w:r>
        <w:t xml:space="preserve">Source: the Draghi report, 2024.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The problems and their drivers set out in this Section are substantiated by evidence from the</w:t>
      </w:r>
      <w:r>
        <w:t xml:space="preserve"> </w:t>
      </w:r>
      <w:r>
        <w:t xml:space="preserve">Fitness Check, a study50, an Inception Impact Assessment (‘IIA’)51, a public consultation52, a</w:t>
      </w:r>
      <w:r>
        <w:t xml:space="preserve"> </w:t>
      </w:r>
      <w:r>
        <w:t xml:space="preserve">targeted consultation53, a CfE about the TBER specifically54, and the Commission’s case</w:t>
      </w:r>
      <w:r>
        <w:t xml:space="preserve"> </w:t>
      </w:r>
      <w:r>
        <w:t xml:space="preserve">practice in applying the RGL and Article 93 TFEU directly. Further information on these</w:t>
      </w:r>
      <w:r>
        <w:t xml:space="preserve"> </w:t>
      </w:r>
      <w:r>
        <w:t xml:space="preserve">sources of evidence is provided in Annexes 1, 2, 6, and 8.</w:t>
      </w:r>
      <w:r>
        <w:t xml:space="preserve"> </w:t>
      </w:r>
      <w:r>
        <w:t xml:space="preserve">2.1.</w:t>
      </w:r>
      <w:r>
        <w:t xml:space="preserve"> </w:t>
      </w:r>
      <w:r>
        <w:t xml:space="preserve">What is the problem?</w:t>
      </w:r>
      <w:r>
        <w:t xml:space="preserve"> </w:t>
      </w:r>
      <w:r>
        <w:t xml:space="preserve">The problem is that the modal share of SLT is too low. As further detailed below, over the past</w:t>
      </w:r>
      <w:r>
        <w:t xml:space="preserve"> </w:t>
      </w:r>
      <w:r>
        <w:t xml:space="preserve">years, the modal shares of rail and IWW transport have either stagnated or declined slightly, in</w:t>
      </w:r>
      <w:r>
        <w:t xml:space="preserve"> </w:t>
      </w:r>
      <w:r>
        <w:t xml:space="preserve">favour of a further increase in the already dominant modal share of road transport (see Figure</w:t>
      </w:r>
      <w:r>
        <w:t xml:space="preserve"> </w:t>
      </w:r>
      <w:r>
        <w:t xml:space="preserve">2).</w:t>
      </w:r>
    </w:p>
    <w:p>
      <w:pPr>
        <w:pStyle w:val="BodyText"/>
      </w:pPr>
      <w:r>
        <w:t xml:space="preserve">50 Impact assessment support study for the review of the Community guidelines on State aid for railway</w:t>
      </w:r>
      <w:r>
        <w:t xml:space="preserve"> </w:t>
      </w:r>
      <w:r>
        <w:t xml:space="preserve">undertakings, https://competition-policy.ec.europa.eu/document/36a36ea6-3143-4fe8-8ead-c4e7fc424fc2_en (the</w:t>
      </w:r>
      <w:r>
        <w:t xml:space="preserve"> </w:t>
      </w:r>
      <w:r>
        <w:t xml:space="preserve">‘study’).</w:t>
      </w:r>
      <w:r>
        <w:br/>
      </w:r>
      <w:r>
        <w:t xml:space="preserve">51</w:t>
      </w:r>
      <w:r>
        <w:t xml:space="preserve"> </w:t>
      </w:r>
      <w:r>
        <w:t xml:space="preserve">https://ec.europa.eu/info/law/better-regulation/have-your-say/initiatives/13154-Rail-transport-revision-of-</w:t>
      </w:r>
      <w:r>
        <w:t xml:space="preserve"> </w:t>
      </w:r>
      <w:r>
        <w:t xml:space="preserve">State-aid-guidelines_en.</w:t>
      </w:r>
      <w:r>
        <w:br/>
      </w:r>
      <w:r>
        <w:t xml:space="preserve">52</w:t>
      </w:r>
      <w:r>
        <w:t xml:space="preserve"> </w:t>
      </w:r>
      <w:r>
        <w:t xml:space="preserve">https://ec.europa.eu/info/law/better-regulation/have-your-say/initiatives/13154-Rail-transport-revision-of-</w:t>
      </w:r>
      <w:r>
        <w:t xml:space="preserve"> </w:t>
      </w:r>
      <w:r>
        <w:t xml:space="preserve">State-aid-guidelines/public-consultation_en.</w:t>
      </w:r>
      <w:r>
        <w:t xml:space="preserve"> </w:t>
      </w:r>
      <w:r>
        <w:t xml:space="preserve">53 https://competition-policy.ec.europa.eu/public-consultations/2024-lmtg-and-tber_en.</w:t>
      </w:r>
      <w:r>
        <w:br/>
      </w:r>
      <w:r>
        <w:t xml:space="preserve">54</w:t>
      </w:r>
      <w:r>
        <w:t xml:space="preserve"> </w:t>
      </w:r>
      <w:r>
        <w:t xml:space="preserve">https://ec.europa.eu/info/law/better-regulation/have-your-say/initiatives/14184-Block-exemption-regulation-</w:t>
      </w:r>
      <w:r>
        <w:t xml:space="preserve"> </w:t>
      </w:r>
      <w:r>
        <w:t xml:space="preserve">on-the-application-of-Articles-93-and-108-of-the-Treaty-to-State-aid-for-the-land-transport-sector_en.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Figure 2: Modal share in EU land transport by mode</w:t>
      </w:r>
      <w:r>
        <w:t xml:space="preserve"> </w:t>
      </w:r>
      <w:r>
        <w:t xml:space="preserve">Freight transport</w:t>
      </w:r>
    </w:p>
    <w:p>
      <w:pPr>
        <w:pStyle w:val="BodyText"/>
      </w:pPr>
      <w:r>
        <w:t xml:space="preserve">Passenger transport</w:t>
      </w:r>
    </w:p>
    <w:p>
      <w:pPr>
        <w:pStyle w:val="BodyText"/>
      </w:pPr>
      <w:r>
        <w:t xml:space="preserve">Source: the Draghi report, 2024, data updated using the 2025 Statistical Pocketbook55.</w:t>
      </w:r>
      <w:r>
        <w:br/>
      </w:r>
      <w:r>
        <w:t xml:space="preserve">To reach the ambitious objectives of the Green Deal, as further detailed in the SSMS, the modal</w:t>
      </w:r>
      <w:r>
        <w:t xml:space="preserve"> </w:t>
      </w:r>
      <w:r>
        <w:t xml:space="preserve">share of SLT will have to increase significantly. Member States will need to implement a broad</w:t>
      </w:r>
      <w:r>
        <w:t xml:space="preserve"> </w:t>
      </w:r>
      <w:r>
        <w:t xml:space="preserve">range of measures, including providing public financing to promote SLT, which in many cases</w:t>
      </w:r>
      <w:r>
        <w:t xml:space="preserve"> </w:t>
      </w:r>
      <w:r>
        <w:t xml:space="preserve">constitutes State aid and therefore requires the Commission’s approval or coverage under a</w:t>
      </w:r>
      <w:r>
        <w:t xml:space="preserve"> </w:t>
      </w:r>
      <w:r>
        <w:t xml:space="preserve">block exemption.</w:t>
      </w:r>
      <w:r>
        <w:br/>
      </w:r>
      <w:r>
        <w:t xml:space="preserve">The problem of the low modal share of SLT is reflected in the following sub-problems: (i) SLT</w:t>
      </w:r>
      <w:r>
        <w:t xml:space="preserve"> </w:t>
      </w:r>
      <w:r>
        <w:t xml:space="preserve">operations are not cost-competitive, (ii) the roll out of interoperability technologies is slow, (iii)</w:t>
      </w:r>
      <w:r>
        <w:t xml:space="preserve"> </w:t>
      </w:r>
      <w:r>
        <w:t xml:space="preserve">vehicle fleets are old and ageing and (iv) there is insufficient access to facilities &amp; private</w:t>
      </w:r>
      <w:r>
        <w:t xml:space="preserve"> </w:t>
      </w:r>
      <w:r>
        <w:t xml:space="preserve">sidings.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Statistical</w:t>
      </w:r>
      <w:r>
        <w:t xml:space="preserve"> </w:t>
      </w:r>
      <w:r>
        <w:t xml:space="preserve">pocketbook</w:t>
      </w:r>
      <w:r>
        <w:t xml:space="preserve"> </w:t>
      </w:r>
      <w:r>
        <w:t xml:space="preserve">2025,</w:t>
      </w:r>
      <w:r>
        <w:t xml:space="preserve"> </w:t>
      </w:r>
      <w:r>
        <w:t xml:space="preserve">EU</w:t>
      </w:r>
      <w:r>
        <w:t xml:space="preserve"> </w:t>
      </w:r>
      <w:r>
        <w:t xml:space="preserve">Transport</w:t>
      </w:r>
      <w:r>
        <w:t xml:space="preserve"> </w:t>
      </w:r>
      <w:r>
        <w:t xml:space="preserve">in</w:t>
      </w:r>
      <w:r>
        <w:t xml:space="preserve"> </w:t>
      </w:r>
      <w:r>
        <w:t xml:space="preserve">figures:</w:t>
      </w:r>
      <w:r>
        <w:t xml:space="preserve"> </w:t>
      </w:r>
      <w:r>
        <w:t xml:space="preserve">https://transport.ec.europa.eu/facts-funding/studies-data/eu-transport-figures-statistical-pocketbook/statistical-</w:t>
      </w:r>
      <w:r>
        <w:t xml:space="preserve"> </w:t>
      </w:r>
      <w:r>
        <w:t xml:space="preserve">pocketbook-2025_en.</w:t>
      </w:r>
      <w:r>
        <w:br/>
      </w:r>
      <w:r>
        <w:t xml:space="preserve">+ 4 p.p.</w:t>
      </w:r>
      <w:r>
        <w:t xml:space="preserve"> </w:t>
      </w:r>
      <w:r>
        <w:t xml:space="preserve">+ 1 p.p.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2.1.1. Sustainable land transport operations are not cost-competitive</w:t>
      </w:r>
      <w:r>
        <w:br/>
      </w:r>
      <w:r>
        <w:t xml:space="preserve">The study concluded that for most Member States analysed, operations in the rail freight sector</w:t>
      </w:r>
      <w:r>
        <w:t xml:space="preserve"> </w:t>
      </w:r>
      <w:r>
        <w:t xml:space="preserve">were overall loss-making56. As explained in the study57, the cost of rail freight transport is</w:t>
      </w:r>
      <w:r>
        <w:t xml:space="preserve"> </w:t>
      </w:r>
      <w:r>
        <w:t xml:space="preserve">influenced by multiple factors that impact its profitability and competitiveness. Key factors</w:t>
      </w:r>
      <w:r>
        <w:t xml:space="preserve"> </w:t>
      </w:r>
      <w:r>
        <w:t xml:space="preserve">include the train type and travel distance.</w:t>
      </w:r>
      <w:r>
        <w:t xml:space="preserve"> </w:t>
      </w:r>
      <w:r>
        <w:t xml:space="preserve">The travel distance is a key factor of competitiveness, since SLT operations typically include</w:t>
      </w:r>
      <w:r>
        <w:t xml:space="preserve"> </w:t>
      </w:r>
      <w:r>
        <w:t xml:space="preserve">fixed transhipment costs. In the case of longer operations, these fixed costs can be spread out</w:t>
      </w:r>
      <w:r>
        <w:t xml:space="preserve"> </w:t>
      </w:r>
      <w:r>
        <w:t xml:space="preserve">more. According to a study on transhipment technologies in intermodal transport, the cost of a</w:t>
      </w:r>
      <w:r>
        <w:t xml:space="preserve"> </w:t>
      </w:r>
      <w:r>
        <w:t xml:space="preserve">multimodal SLT operation is lower than road transport as of distances of 1000 km or greater58.</w:t>
      </w:r>
      <w:r>
        <w:t xml:space="preserve"> </w:t>
      </w:r>
      <w:r>
        <w:t xml:space="preserve">If the external costs of transport were fully internalised for both SLT and road transport, SLT</w:t>
      </w:r>
      <w:r>
        <w:t xml:space="preserve"> </w:t>
      </w:r>
      <w:r>
        <w:t xml:space="preserve">would become cheaper as of distances of 600 km. Moreover, according to data from Eurostat59,</w:t>
      </w:r>
      <w:r>
        <w:t xml:space="preserve"> </w:t>
      </w:r>
      <w:r>
        <w:t xml:space="preserve">in 2023 85.3% of the total tonne-kilometres in road freight operations in the EU came from</w:t>
      </w:r>
      <w:r>
        <w:t xml:space="preserve"> </w:t>
      </w:r>
      <w:r>
        <w:t xml:space="preserve">operations which were less than 1000 km long. SLT being cheaper than road transport as of</w:t>
      </w:r>
      <w:r>
        <w:t xml:space="preserve"> </w:t>
      </w:r>
      <w:r>
        <w:t xml:space="preserve">600 km, instead of 1000 km, could therefore generate a very significant modal shift.</w:t>
      </w:r>
      <w:r>
        <w:br/>
      </w:r>
      <w:r>
        <w:t xml:space="preserve">Among the train types, a notable finding of the study is that single wagon load (‘SWL’) services</w:t>
      </w:r>
      <w:r>
        <w:t xml:space="preserve"> </w:t>
      </w:r>
      <w:r>
        <w:t xml:space="preserve">are structurally loss-making and have costs per tonne-kilometre that are more than twice as high</w:t>
      </w:r>
      <w:r>
        <w:t xml:space="preserve"> </w:t>
      </w:r>
      <w:r>
        <w:t xml:space="preserve">as those for block trains. Definitions of SWL vary, but the general understanding is that they</w:t>
      </w:r>
      <w:r>
        <w:t xml:space="preserve"> </w:t>
      </w:r>
      <w:r>
        <w:t xml:space="preserve">are rail shipments where the freight carried does not allow the filling of a full train from the</w:t>
      </w:r>
      <w:r>
        <w:t xml:space="preserve"> </w:t>
      </w:r>
      <w:r>
        <w:t xml:space="preserve">origin to the destination (which are called block train operations). According to the study, the</w:t>
      </w:r>
      <w:r>
        <w:t xml:space="preserve"> </w:t>
      </w:r>
      <w:r>
        <w:t xml:space="preserve">average train length in Europe is 28 wagons, with costs per tonne-kilometre decreasing by an</w:t>
      </w:r>
      <w:r>
        <w:t xml:space="preserve"> </w:t>
      </w:r>
      <w:r>
        <w:t xml:space="preserve">estimated 2% per wagon added (the efficiency gains are higher the shorter the train is, i.e. </w:t>
      </w:r>
      <w:r>
        <w:t xml:space="preserve"> </w:t>
      </w:r>
      <w:r>
        <w:t xml:space="preserve">adding wagons to shorter trains reduces costs per tonne-kilometre to a higher extent; for SWL</w:t>
      </w:r>
      <w:r>
        <w:t xml:space="preserve"> </w:t>
      </w:r>
      <w:r>
        <w:t xml:space="preserve">operations, adding a wagon decreases costs per tonne-kilometre by 12% on average). Due to</w:t>
      </w:r>
      <w:r>
        <w:t xml:space="preserve"> </w:t>
      </w:r>
      <w:r>
        <w:t xml:space="preserve">their low profitability, railway undertakings have been downsizing SWL services significantly.</w:t>
      </w:r>
      <w:r>
        <w:br/>
      </w:r>
      <w:r>
        <w:t xml:space="preserve">2.1.2. Slow roll-out of key interoperability technologies</w:t>
      </w:r>
      <w:r>
        <w:br/>
      </w:r>
      <w:r>
        <w:t xml:space="preserve">Transport undertakings face acute difficulties in offering their services across borders within</w:t>
      </w:r>
      <w:r>
        <w:t xml:space="preserve"> </w:t>
      </w:r>
      <w:r>
        <w:t xml:space="preserve">the EU. In the rail sector in particular, transport operators need almost as many control systems</w:t>
      </w:r>
      <w:r>
        <w:t xml:space="preserve"> </w:t>
      </w:r>
      <w:r>
        <w:t xml:space="preserve">on board as the number of Member States they cross, given that there are 20 existing national</w:t>
      </w:r>
      <w:r>
        <w:t xml:space="preserve"> </w:t>
      </w:r>
      <w:r>
        <w:t xml:space="preserve">rail systems. At the same time, 50% of rail freight tonne kilometres cross at least one border in</w:t>
      </w:r>
      <w:r>
        <w:t xml:space="preserve"> </w:t>
      </w:r>
      <w:r>
        <w:t xml:space="preserve">the EU60. This is also an obstacle to high-speed rail connections, for example in the form of</w:t>
      </w:r>
      <w:r>
        <w:t xml:space="preserve"> </w:t>
      </w:r>
      <w:r>
        <w:t xml:space="preserve">night-trains. According to the study, crossing a border increases the costs of a freight operation</w:t>
      </w:r>
      <w:r>
        <w:t xml:space="preserve"> </w:t>
      </w:r>
      <w:r>
        <w:t xml:space="preserve">by 15-20%. To promote the interoperability of trains within the EU, a system of standards for</w:t>
      </w:r>
    </w:p>
    <w:p>
      <w:pPr>
        <w:pStyle w:val="BodyText"/>
      </w:pPr>
      <w:r>
        <w:t xml:space="preserve">56 Austria, Germany, Romania, Slovakia, Sweden. In Czechia, Lithuania and Spain rail freight operations at least</w:t>
      </w:r>
      <w:r>
        <w:t xml:space="preserve"> </w:t>
      </w:r>
      <w:r>
        <w:t xml:space="preserve">break even.</w:t>
      </w:r>
      <w:r>
        <w:br/>
      </w:r>
      <w:r>
        <w:t xml:space="preserve">57 Chapter 4 of the study.</w:t>
      </w:r>
      <w:r>
        <w:br/>
      </w:r>
      <w:r>
        <w:t xml:space="preserve">58 European Commission, Comparative evaluation of transhipment technologies for intermodal transport and their</w:t>
      </w:r>
      <w:r>
        <w:t xml:space="preserve"> </w:t>
      </w:r>
      <w:r>
        <w:t xml:space="preserve">cost,</w:t>
      </w:r>
      <w:r>
        <w:t xml:space="preserve"> </w:t>
      </w:r>
      <w:r>
        <w:t xml:space="preserve">2022:</w:t>
      </w:r>
      <w:r>
        <w:t xml:space="preserve"> </w:t>
      </w:r>
      <w:r>
        <w:t xml:space="preserve">https://transport.ec.europa.eu/news-events/news/study-analyses-transhipment-options-more-</w:t>
      </w:r>
      <w:r>
        <w:t xml:space="preserve"> </w:t>
      </w:r>
      <w:r>
        <w:t xml:space="preserve">competitive-intermodal-transport-and-terminal-capacity-ten-2022-05-05_en.</w:t>
      </w:r>
      <w:r>
        <w:br/>
      </w:r>
      <w:r>
        <w:t xml:space="preserve">59</w:t>
      </w:r>
      <w:r>
        <w:t xml:space="preserve"> </w:t>
      </w:r>
      <w:r>
        <w:t xml:space="preserve">Indicator</w:t>
      </w:r>
      <w:r>
        <w:t xml:space="preserve"> </w:t>
      </w:r>
      <w:r>
        <w:t xml:space="preserve">road_go_ta_dctg:</w:t>
      </w:r>
      <w:r>
        <w:t xml:space="preserve"> </w:t>
      </w:r>
      <w:r>
        <w:t xml:space="preserve">https://ec.europa.eu/eurostat/databrowser/view/road_go_ta_dctg/default/table?lang=en.</w:t>
      </w:r>
      <w:r>
        <w:t xml:space="preserve"> </w:t>
      </w:r>
      <w:r>
        <w:t xml:space="preserve">60 European Union Agency for Railways, Report “Cross-border rail transport potential”, 12 December 2022:</w:t>
      </w:r>
      <w:r>
        <w:t xml:space="preserve"> </w:t>
      </w:r>
      <w:r>
        <w:t xml:space="preserve">https://www.era.europa.eu/system/files/2022-12/20225455_PDFA2A_TR0522377ENA_002.pdf. For passengers,</w:t>
      </w:r>
      <w:r>
        <w:t xml:space="preserve"> </w:t>
      </w:r>
      <w:r>
        <w:t xml:space="preserve">the figure is 6-7% of all passenger kilometres.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the management and interoperation of signalling for railways was developed: ERTMS. The</w:t>
      </w:r>
      <w:r>
        <w:t xml:space="preserve"> </w:t>
      </w:r>
      <w:r>
        <w:t xml:space="preserve">deployment of ERTMS should reduce cost61 and improve safety and capacity62.</w:t>
      </w:r>
      <w:r>
        <w:br/>
      </w:r>
      <w:r>
        <w:t xml:space="preserve">However, deployment has been slow so far: at the end of 2023, only about 15% of tracks on the</w:t>
      </w:r>
      <w:r>
        <w:t xml:space="preserve"> </w:t>
      </w:r>
      <w:r>
        <w:t xml:space="preserve">core network corridors63 were compatible with ETCS, the signalling and control component of</w:t>
      </w:r>
      <w:r>
        <w:t xml:space="preserve"> </w:t>
      </w:r>
      <w:r>
        <w:t xml:space="preserve">ERTMS64. Outside of the core network corridors, the proportion was well below 10%65. At the</w:t>
      </w:r>
      <w:r>
        <w:t xml:space="preserve"> </w:t>
      </w:r>
      <w:r>
        <w:t xml:space="preserve">end of 2020, an estimated 17% of vehicles were equipped with ETCS. Between 2015 and 2019,</w:t>
      </w:r>
      <w:r>
        <w:t xml:space="preserve"> </w:t>
      </w:r>
      <w:r>
        <w:t xml:space="preserve">it is estimated that 54% of new vehicles were put on the market without being ETCS-</w:t>
      </w:r>
      <w:r>
        <w:t xml:space="preserve"> </w:t>
      </w:r>
      <w:r>
        <w:t xml:space="preserve">compatible66.</w:t>
      </w:r>
      <w:r>
        <w:br/>
      </w:r>
      <w:r>
        <w:t xml:space="preserve">The EU railway industry has been equally slow to adopt other productivity-enhancing</w:t>
      </w:r>
      <w:r>
        <w:t xml:space="preserve"> </w:t>
      </w:r>
      <w:r>
        <w:t xml:space="preserve">technologies such as digital automatic coupling (‘DAC’), a technology that automates the</w:t>
      </w:r>
      <w:r>
        <w:t xml:space="preserve"> </w:t>
      </w:r>
      <w:r>
        <w:t xml:space="preserve">process of coupling and de-coupling wagons. The benefits of an EU-wide rollout of DAC have</w:t>
      </w:r>
      <w:r>
        <w:t xml:space="preserve"> </w:t>
      </w:r>
      <w:r>
        <w:t xml:space="preserve">been estimated at EUR 760 million per year67.</w:t>
      </w:r>
      <w:r>
        <w:t xml:space="preserve"> </w:t>
      </w:r>
      <w:r>
        <w:t xml:space="preserve">The Draghi report notes that urgent investment is needed to roll out technologies projected to</w:t>
      </w:r>
      <w:r>
        <w:t xml:space="preserve"> </w:t>
      </w:r>
      <w:r>
        <w:t xml:space="preserve">boost rail capacity, such as ERTMS and DAC.</w:t>
      </w:r>
      <w:r>
        <w:br/>
      </w:r>
      <w:r>
        <w:t xml:space="preserve">2.1.3. Vehicle fleets are old and ageing</w:t>
      </w:r>
      <w:r>
        <w:br/>
      </w:r>
      <w:r>
        <w:t xml:space="preserve">According to data available in 2019 and analysed in the study68, more than 50% of the freight</w:t>
      </w:r>
      <w:r>
        <w:t xml:space="preserve"> </w:t>
      </w:r>
      <w:r>
        <w:t xml:space="preserve">wagon fleet in Europe was older than 30 years, with approximately 10% being older than 50</w:t>
      </w:r>
      <w:r>
        <w:t xml:space="preserve"> </w:t>
      </w:r>
      <w:r>
        <w:t xml:space="preserve">years. The average age of rolling stock used for passenger transport is even higher69.</w:t>
      </w:r>
      <w:r>
        <w:t xml:space="preserve"> </w:t>
      </w:r>
      <w:r>
        <w:t xml:space="preserve">Meanwhile, various experts estimate that freight wagons have a maximum useful life of 40 to</w:t>
      </w:r>
      <w:r>
        <w:t xml:space="preserve"> </w:t>
      </w:r>
      <w:r>
        <w:t xml:space="preserve">50 years and passenger rolling stock of 30 to 40 years. On the basis of national vehicle registers,</w:t>
      </w:r>
      <w:r>
        <w:t xml:space="preserve"> </w:t>
      </w:r>
      <w:r>
        <w:t xml:space="preserve">the study has found that 38% of freight wagons, 44% of passenger rolling stock, and 22% of</w:t>
      </w:r>
      <w:r>
        <w:t xml:space="preserve"> </w:t>
      </w:r>
      <w:r>
        <w:t xml:space="preserve">tractive rolling stock in the EU are older than their maximum useful life and, based on renewal</w:t>
      </w:r>
      <w:r>
        <w:t xml:space="preserve"> </w:t>
      </w:r>
      <w:r>
        <w:t xml:space="preserve">rates, these figures are expected to increase over the next decade. Incumbents’ fleets are</w:t>
      </w:r>
      <w:r>
        <w:t xml:space="preserve"> </w:t>
      </w:r>
      <w:r>
        <w:t xml:space="preserve">significantly younger than those of new entrants on average70.</w:t>
      </w:r>
    </w:p>
    <w:p>
      <w:pPr>
        <w:pStyle w:val="BodyText"/>
      </w:pPr>
      <w:r>
        <w:t xml:space="preserve">61 ERTMS would provide large savings for infrastructure managers, since they can eliminate equipment such as</w:t>
      </w:r>
      <w:r>
        <w:t xml:space="preserve"> </w:t>
      </w:r>
      <w:r>
        <w:t xml:space="preserve">trackside signalling, track circuits and axle counters. Still, the triggered reduction of track-access charges would</w:t>
      </w:r>
      <w:r>
        <w:t xml:space="preserve"> </w:t>
      </w:r>
      <w:r>
        <w:t xml:space="preserve">be marginal at best for railway undertakings.</w:t>
      </w:r>
      <w:r>
        <w:t xml:space="preserve"> </w:t>
      </w:r>
      <w:r>
        <w:t xml:space="preserve">62 ERTMS can increase capacity on existing infrastructure by up to 40% by reducing headway between trains,</w:t>
      </w:r>
      <w:r>
        <w:t xml:space="preserve"> </w:t>
      </w:r>
      <w:r>
        <w:t xml:space="preserve">according to UNISIG, an international consortium of 9 companies contributing to the ERTMS specifications.</w:t>
      </w:r>
      <w:r>
        <w:br/>
      </w:r>
      <w:r>
        <w:t xml:space="preserve">63 Core network corridors cover the most important long-distance flows in the core network, which consists of</w:t>
      </w:r>
      <w:r>
        <w:t xml:space="preserve"> </w:t>
      </w:r>
      <w:r>
        <w:t xml:space="preserve">those parts of the network which are of the highest strategic importance.</w:t>
      </w:r>
      <w:r>
        <w:t xml:space="preserve"> </w:t>
      </w:r>
      <w:r>
        <w:t xml:space="preserve">64 Besides ETCS, the key components of ERTMS are the system used to communicate between trains and traffic</w:t>
      </w:r>
      <w:r>
        <w:t xml:space="preserve"> </w:t>
      </w:r>
      <w:r>
        <w:t xml:space="preserve">control centres (GSM-R or FRMCS, a system designed specifically for railways and meant to replace GSM-R)</w:t>
      </w:r>
      <w:r>
        <w:t xml:space="preserve"> </w:t>
      </w:r>
      <w:r>
        <w:t xml:space="preserve">and automatic train operations (ATO).</w:t>
      </w:r>
      <w:r>
        <w:br/>
      </w:r>
      <w:r>
        <w:t xml:space="preserve">65</w:t>
      </w:r>
      <w:r>
        <w:t xml:space="preserve"> </w:t>
      </w:r>
      <w:r>
        <w:t xml:space="preserve">European</w:t>
      </w:r>
      <w:r>
        <w:t xml:space="preserve"> </w:t>
      </w:r>
      <w:r>
        <w:t xml:space="preserve">Union</w:t>
      </w:r>
      <w:r>
        <w:t xml:space="preserve"> </w:t>
      </w:r>
      <w:r>
        <w:t xml:space="preserve">Agency</w:t>
      </w:r>
      <w:r>
        <w:t xml:space="preserve"> </w:t>
      </w:r>
      <w:r>
        <w:t xml:space="preserve">for</w:t>
      </w:r>
      <w:r>
        <w:t xml:space="preserve"> </w:t>
      </w:r>
      <w:r>
        <w:t xml:space="preserve">Railways,</w:t>
      </w:r>
      <w:r>
        <w:t xml:space="preserve"> </w:t>
      </w:r>
      <w:r>
        <w:t xml:space="preserve">Rail</w:t>
      </w:r>
      <w:r>
        <w:t xml:space="preserve"> </w:t>
      </w:r>
      <w:r>
        <w:t xml:space="preserve">environmental</w:t>
      </w:r>
      <w:r>
        <w:t xml:space="preserve"> </w:t>
      </w:r>
      <w:r>
        <w:t xml:space="preserve">report,</w:t>
      </w:r>
      <w:r>
        <w:t xml:space="preserve"> </w:t>
      </w:r>
      <w:r>
        <w:t xml:space="preserve">2</w:t>
      </w:r>
      <w:r>
        <w:t xml:space="preserve"> </w:t>
      </w:r>
      <w:r>
        <w:t xml:space="preserve">July</w:t>
      </w:r>
      <w:r>
        <w:t xml:space="preserve"> </w:t>
      </w:r>
      <w:r>
        <w:t xml:space="preserve">2024:</w:t>
      </w:r>
      <w:r>
        <w:t xml:space="preserve"> </w:t>
      </w:r>
      <w:r>
        <w:t xml:space="preserve">https://www.era.europa.eu/content/2024-rail-environmental-report.</w:t>
      </w:r>
      <w:r>
        <w:br/>
      </w:r>
      <w:r>
        <w:t xml:space="preserve">66</w:t>
      </w:r>
      <w:r>
        <w:t xml:space="preserve"> </w:t>
      </w:r>
      <w:r>
        <w:t xml:space="preserve">ERTMS,</w:t>
      </w:r>
      <w:r>
        <w:t xml:space="preserve"> </w:t>
      </w:r>
      <w:r>
        <w:t xml:space="preserve">Second</w:t>
      </w:r>
      <w:r>
        <w:t xml:space="preserve"> </w:t>
      </w:r>
      <w:r>
        <w:t xml:space="preserve">Work</w:t>
      </w:r>
      <w:r>
        <w:t xml:space="preserve"> </w:t>
      </w:r>
      <w:r>
        <w:t xml:space="preserve">Plan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Coordinator,</w:t>
      </w:r>
      <w:r>
        <w:t xml:space="preserve"> </w:t>
      </w:r>
      <w:r>
        <w:t xml:space="preserve">July</w:t>
      </w:r>
      <w:r>
        <w:t xml:space="preserve"> </w:t>
      </w:r>
      <w:r>
        <w:t xml:space="preserve">2022,</w:t>
      </w:r>
      <w:r>
        <w:t xml:space="preserve"> </w:t>
      </w:r>
      <w:r>
        <w:t xml:space="preserve">https://transport.ec.europa.eu/system/files/2023-09/ERTMS_work_plan-second_edition.pdf.</w:t>
      </w:r>
      <w:r>
        <w:br/>
      </w:r>
      <w:r>
        <w:t xml:space="preserve">67 According to HWH transport, a German consultancy, as cited in the study.</w:t>
      </w:r>
      <w:r>
        <w:br/>
      </w:r>
      <w:r>
        <w:t xml:space="preserve">68 Pages 54 and 55.</w:t>
      </w:r>
      <w:r>
        <w:t xml:space="preserve"> </w:t>
      </w:r>
      <w:r>
        <w:t xml:space="preserve">69 On the basis of an analysis of 5 countries: Germany, Italy, Poland, Slovakia and Spain, which account for around</w:t>
      </w:r>
      <w:r>
        <w:t xml:space="preserve"> </w:t>
      </w:r>
      <w:r>
        <w:t xml:space="preserve">45% of EU rolling stock.</w:t>
      </w:r>
      <w:r>
        <w:t xml:space="preserve"> </w:t>
      </w:r>
      <w:r>
        <w:t xml:space="preserve">70 In 2010, the average age of freight wagons was 37 years for incumbents and 36 years for new entrants, while</w:t>
      </w:r>
      <w:r>
        <w:t xml:space="preserve"> </w:t>
      </w:r>
      <w:r>
        <w:t xml:space="preserve">new entrants’ fleets were on average 30 years and 7 years older for passenger rolling stock and tractive rolling</w:t>
      </w:r>
      <w:r>
        <w:t xml:space="preserve"> </w:t>
      </w:r>
      <w:r>
        <w:t xml:space="preserve">stock respectively.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Similarly, as regards IWW transport, the fleet is relatively old, with the majority of vessels built</w:t>
      </w:r>
      <w:r>
        <w:t xml:space="preserve"> </w:t>
      </w:r>
      <w:r>
        <w:t xml:space="preserve">before 2000, and ill-equipped to deal with the planned transition to zero-emission mobility71.</w:t>
      </w:r>
      <w:r>
        <w:t xml:space="preserve"> </w:t>
      </w:r>
      <w:r>
        <w:t xml:space="preserve">For example, based on an international fleet database (IVR), about half of the active vessels in</w:t>
      </w:r>
      <w:r>
        <w:t xml:space="preserve"> </w:t>
      </w:r>
      <w:r>
        <w:t xml:space="preserve">Belgium, Germany and the Netherlands were built more than 50 years ago. In France, these</w:t>
      </w:r>
      <w:r>
        <w:t xml:space="preserve"> </w:t>
      </w:r>
      <w:r>
        <w:t xml:space="preserve">vessels represent approximately 80% of the total fleet. There are still some vessels (19% of the</w:t>
      </w:r>
      <w:r>
        <w:t xml:space="preserve"> </w:t>
      </w:r>
      <w:r>
        <w:t xml:space="preserve">European fleet) which were built before 1940, particularly in the Netherlands and in Germany72.</w:t>
      </w:r>
      <w:r>
        <w:t xml:space="preserve"> </w:t>
      </w:r>
      <w:r>
        <w:t xml:space="preserve">In addition, most operators are small and medium-sized enterprises (‘SMEs’)73. In Germany, in</w:t>
      </w:r>
      <w:r>
        <w:t xml:space="preserve"> </w:t>
      </w:r>
      <w:r>
        <w:t xml:space="preserve">2017 the proportion of IWW undertakings that employed up to nine persons amounted to 82%74.</w:t>
      </w:r>
      <w:r>
        <w:br/>
      </w:r>
      <w:r>
        <w:t xml:space="preserve">2.1.4. Insufficient access to facilities and private sidings</w:t>
      </w:r>
      <w:r>
        <w:t xml:space="preserve"> </w:t>
      </w:r>
      <w:r>
        <w:t xml:space="preserve">As regards SLT, the relevant facilities consist of (i) facilities used for unimodal railway</w:t>
      </w:r>
      <w:r>
        <w:t xml:space="preserve"> </w:t>
      </w:r>
      <w:r>
        <w:t xml:space="preserve">operations (e.g. maintenance facilities for trains or storage facilities), (ii) transhipment facilities</w:t>
      </w:r>
      <w:r>
        <w:t xml:space="preserve"> </w:t>
      </w:r>
      <w:r>
        <w:t xml:space="preserve">(in particular sustainable multimodal terminals)75 involving rail and/or IWW and (iii) private</w:t>
      </w:r>
      <w:r>
        <w:t xml:space="preserve"> </w:t>
      </w:r>
      <w:r>
        <w:t xml:space="preserve">sidings, i.e. rail tracks that connect industrial sites directly to the general rail network. This</w:t>
      </w:r>
      <w:r>
        <w:t xml:space="preserve"> </w:t>
      </w:r>
      <w:r>
        <w:t xml:space="preserve">initiative does not cover the general rail network (tracks), as investments there typically do not</w:t>
      </w:r>
      <w:r>
        <w:t xml:space="preserve"> </w:t>
      </w:r>
      <w:r>
        <w:t xml:space="preserve">constitute State aid76.</w:t>
      </w:r>
      <w:r>
        <w:br/>
      </w:r>
      <w:r>
        <w:t xml:space="preserve">The study finds evidence of a suboptimal number of essential (unimodal) rail service facilities</w:t>
      </w:r>
      <w:r>
        <w:t xml:space="preserve"> </w:t>
      </w:r>
      <w:r>
        <w:t xml:space="preserve">in certain Member States, as well as a lack of multimodal terminals and insufficient capacity of</w:t>
      </w:r>
      <w:r>
        <w:t xml:space="preserve"> </w:t>
      </w:r>
      <w:r>
        <w:t xml:space="preserve">existing terminals. Moreover, the International Union of Railways suggests that a lack of open-</w:t>
      </w:r>
      <w:r>
        <w:t xml:space="preserve"> </w:t>
      </w:r>
      <w:r>
        <w:t xml:space="preserve">access terminals and lack of terminal capacity are significant bottlenecks77. The SSMS draws</w:t>
      </w:r>
      <w:r>
        <w:t xml:space="preserve"> </w:t>
      </w:r>
      <w:r>
        <w:t xml:space="preserve">specific attention to the pronounced scarcity of transhipment facilities, and of multimodal</w:t>
      </w:r>
      <w:r>
        <w:t xml:space="preserve"> </w:t>
      </w:r>
      <w:r>
        <w:t xml:space="preserve">terminals in particular, in certain parts of Europe, concluding that tackling those insufficiencies</w:t>
      </w:r>
      <w:r>
        <w:t xml:space="preserve"> </w:t>
      </w:r>
      <w:r>
        <w:t xml:space="preserve">should be given the highest priority.</w:t>
      </w:r>
      <w:r>
        <w:t xml:space="preserve"> </w:t>
      </w:r>
      <w:r>
        <w:t xml:space="preserve">The study78 also finds that the number of private sidings has been declining across Europe. For</w:t>
      </w:r>
      <w:r>
        <w:t xml:space="preserve"> </w:t>
      </w:r>
      <w:r>
        <w:t xml:space="preserve">instance, in Germany, the number of sidings declined from about 13 000 in 1993 to 1 300 in</w:t>
      </w:r>
      <w:r>
        <w:t xml:space="preserve"> </w:t>
      </w:r>
      <w:r>
        <w:t xml:space="preserve">2013, while in Austria it declined from 840 in 2010 to 521 in 2020. The study indicates that at</w:t>
      </w:r>
      <w:r>
        <w:t xml:space="preserve"> </w:t>
      </w:r>
      <w:r>
        <w:t xml:space="preserve">least part of the journey of most rail freight transport operations in Europe is spent on private</w:t>
      </w:r>
      <w:r>
        <w:t xml:space="preserve"> </w:t>
      </w:r>
      <w:r>
        <w:t xml:space="preserve">sidings. This includes for example almost 85% of transport volumes in Germany, and around</w:t>
      </w:r>
      <w:r>
        <w:t xml:space="preserve"> </w:t>
      </w:r>
      <w:r>
        <w:t xml:space="preserve">60% in Austria. In most cases private sidings rely on railway undertakings offering SWL</w:t>
      </w:r>
      <w:r>
        <w:t xml:space="preserve"> </w:t>
      </w:r>
      <w:r>
        <w:t xml:space="preserve">services, which are typically loss-making. If freight cannot be moved directly to loading points</w:t>
      </w:r>
      <w:r>
        <w:t xml:space="preserve"> </w:t>
      </w:r>
      <w:r>
        <w:t xml:space="preserve">(such as industrial sites or warehouses), the transport operation will necessarily require a road</w:t>
      </w:r>
    </w:p>
    <w:p>
      <w:pPr>
        <w:pStyle w:val="BodyText"/>
      </w:pPr>
      <w:r>
        <w:t xml:space="preserve">71 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Regions, NAIADES III, COM(2021) 324 final.</w:t>
      </w:r>
      <w:r>
        <w:t xml:space="preserve"> </w:t>
      </w:r>
      <w:r>
        <w:t xml:space="preserve">72 Central Commission for the Navigation of the Rhine, Market Report 2014-2019: https://inland-navigation-</w:t>
      </w:r>
      <w:r>
        <w:t xml:space="preserve"> </w:t>
      </w:r>
      <w:r>
        <w:t xml:space="preserve">market.org/wp-content/uploads/2021/04/Market-report-2014-2019_Web_BD.pdf.</w:t>
      </w:r>
      <w:r>
        <w:br/>
      </w:r>
      <w:r>
        <w:t xml:space="preserve">73 European Parliament resolution of 14 September 2021 towards future-proof inland waterway transport in Europe</w:t>
      </w:r>
      <w:r>
        <w:t xml:space="preserve"> </w:t>
      </w:r>
      <w:r>
        <w:t xml:space="preserve">(2021/2015(INI)),</w:t>
      </w:r>
      <w:r>
        <w:t xml:space="preserve"> </w:t>
      </w:r>
      <w:r>
        <w:t xml:space="preserve">OJ</w:t>
      </w:r>
      <w:r>
        <w:t xml:space="preserve"> </w:t>
      </w:r>
      <w:r>
        <w:t xml:space="preserve">C</w:t>
      </w:r>
      <w:r>
        <w:t xml:space="preserve"> </w:t>
      </w:r>
      <w:r>
        <w:t xml:space="preserve">117,</w:t>
      </w:r>
      <w:r>
        <w:t xml:space="preserve"> </w:t>
      </w:r>
      <w:r>
        <w:t xml:space="preserve">11.3.2022,</w:t>
      </w:r>
      <w:r>
        <w:t xml:space="preserve"> </w:t>
      </w:r>
      <w:r>
        <w:t xml:space="preserve">pp. </w:t>
      </w:r>
      <w:r>
        <w:t xml:space="preserve"> </w:t>
      </w:r>
      <w:r>
        <w:t xml:space="preserve">7–17: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content/EN/TXT/?uri=CELEX%3A52021IP0367&amp;qid=1764149188191.</w:t>
      </w:r>
      <w:r>
        <w:br/>
      </w:r>
      <w:r>
        <w:t xml:space="preserve">74 See footnote 72.</w:t>
      </w:r>
      <w:r>
        <w:t xml:space="preserve"> </w:t>
      </w:r>
      <w:r>
        <w:t xml:space="preserve">75 Terminals where goods are moved from one mode of transport to another or between rail systems of different</w:t>
      </w:r>
      <w:r>
        <w:t xml:space="preserve"> </w:t>
      </w:r>
      <w:r>
        <w:t xml:space="preserve">width (gauge).</w:t>
      </w:r>
      <w:r>
        <w:t xml:space="preserve"> </w:t>
      </w:r>
      <w:r>
        <w:t xml:space="preserve">76 See footnote 2.</w:t>
      </w:r>
      <w:r>
        <w:t xml:space="preserve"> </w:t>
      </w:r>
      <w:r>
        <w:t xml:space="preserve">77 https://uic.org/IMG/pdf/uic_uirr_report_2024-2.pdf.</w:t>
      </w:r>
      <w:r>
        <w:br/>
      </w:r>
      <w:r>
        <w:t xml:space="preserve">78 Pages 79 and 80.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leg and an additional transhipment. Transhipment adds at least 10% to the cost of a typical</w:t>
      </w:r>
      <w:r>
        <w:t xml:space="preserve"> </w:t>
      </w:r>
      <w:r>
        <w:t xml:space="preserve">multimodal transport operation79, while the road leg generates additional external costs.</w:t>
      </w:r>
      <w:r>
        <w:t xml:space="preserve"> </w:t>
      </w:r>
      <w:r>
        <w:t xml:space="preserve">2.2.</w:t>
      </w:r>
      <w:r>
        <w:t xml:space="preserve"> </w:t>
      </w:r>
      <w:r>
        <w:t xml:space="preserve">Why is it a problem?</w:t>
      </w:r>
      <w:r>
        <w:t xml:space="preserve"> </w:t>
      </w:r>
      <w:r>
        <w:t xml:space="preserve">Road freight transport emits more than four and five times as much CO2 per tonne-km than</w:t>
      </w:r>
      <w:r>
        <w:t xml:space="preserve"> </w:t>
      </w:r>
      <w:r>
        <w:t xml:space="preserve">IWW and rail freight transport, respectively (see Figure 3).</w:t>
      </w:r>
      <w:r>
        <w:t xml:space="preserve"> </w:t>
      </w:r>
      <w:r>
        <w:t xml:space="preserve">Figure 3: CO2 emissions by mode of freight transport (2018)</w:t>
      </w:r>
    </w:p>
    <w:p>
      <w:pPr>
        <w:pStyle w:val="BodyText"/>
      </w:pPr>
      <w:r>
        <w:t xml:space="preserve">Source: European Court of Auditors Special report80.</w:t>
      </w:r>
      <w:r>
        <w:t xml:space="preserve"> </w:t>
      </w:r>
      <w:r>
        <w:t xml:space="preserve">As regards passenger transport, the advantages of rail (and ferry) in terms of GHG emissions</w:t>
      </w:r>
      <w:r>
        <w:t xml:space="preserve"> </w:t>
      </w:r>
      <w:r>
        <w:t xml:space="preserve">are of similar magnitude (see Figure 4). The direct GHG emissions of electric trains are zero.</w:t>
      </w:r>
    </w:p>
    <w:p>
      <w:pPr>
        <w:pStyle w:val="BodyText"/>
      </w:pPr>
      <w:r>
        <w:t xml:space="preserve">79 Commission Staff Working Document Impact Assessment Report Proposal for a Directive of the European</w:t>
      </w:r>
      <w:r>
        <w:t xml:space="preserve"> </w:t>
      </w:r>
      <w:r>
        <w:t xml:space="preserve">Parliament and the European Council amending Council Directive 92/106/EC as regards a support framework for</w:t>
      </w:r>
      <w:r>
        <w:t xml:space="preserve"> </w:t>
      </w:r>
      <w:r>
        <w:t xml:space="preserve">intermodal transport of goods and Regulation (EU) 2020/1056 of the European Parliament and the Council as</w:t>
      </w:r>
      <w:r>
        <w:t xml:space="preserve"> </w:t>
      </w:r>
      <w:r>
        <w:t xml:space="preserve">regards calculation of external costs savings and generation of aggregated data, SWD(2023) 351 final: https://eur-</w:t>
      </w:r>
      <w:r>
        <w:t xml:space="preserve"> </w:t>
      </w:r>
      <w:r>
        <w:t xml:space="preserve">lex.europa.eu/legal-content/EN/TXT/?uri=celex:52023SC0351.</w:t>
      </w:r>
      <w:r>
        <w:t xml:space="preserve"> </w:t>
      </w:r>
      <w:r>
        <w:t xml:space="preserve">80 European Court of Auditors Special Report: Intermodal freight transport, EU still far from getting freight off the</w:t>
      </w:r>
      <w:r>
        <w:t xml:space="preserve"> </w:t>
      </w:r>
      <w:r>
        <w:t xml:space="preserve">road, https://www.eca.europa.eu/Lists/ECADocuments/SR-2023-08/SR-2023-08_EN.pdf. This source has been</w:t>
      </w:r>
      <w:r>
        <w:t xml:space="preserve"> </w:t>
      </w:r>
      <w:r>
        <w:t xml:space="preserve">used based on data from 2018, as it contains data on road, rail and IWW (which is particularly difficult to find).</w:t>
      </w:r>
      <w:r>
        <w:t xml:space="preserve"> </w:t>
      </w:r>
      <w:r>
        <w:t xml:space="preserve">DG MOVE’s Statistical pocketbook has more recent data on GHG emissions and tonne- and passenger-kilometres</w:t>
      </w:r>
      <w:r>
        <w:t xml:space="preserve"> </w:t>
      </w:r>
      <w:r>
        <w:t xml:space="preserve">for rail and road from 1990-2020. This data shows that the GHG emissions per passenger-kilometre between road</w:t>
      </w:r>
      <w:r>
        <w:t xml:space="preserve"> </w:t>
      </w:r>
      <w:r>
        <w:t xml:space="preserve">and rail transport have grown further apart, https://transport.ec.europa.eu/facts-funding/studies-data/eu-transport-</w:t>
      </w:r>
      <w:r>
        <w:t xml:space="preserve"> </w:t>
      </w:r>
      <w:r>
        <w:t xml:space="preserve">figures-statistical-pocketbook/statistical-pocketbook-2022_en.</w:t>
      </w:r>
      <w:r>
        <w:br/>
      </w:r>
      <w:r>
        <w:t xml:space="preserve">Maritime</w:t>
      </w:r>
      <w:r>
        <w:t xml:space="preserve"> </w:t>
      </w:r>
      <w:r>
        <w:t xml:space="preserve">Rail</w:t>
      </w:r>
      <w:r>
        <w:t xml:space="preserve"> </w:t>
      </w:r>
      <w:r>
        <w:t xml:space="preserve">Inland waterway</w:t>
      </w:r>
      <w:r>
        <w:t xml:space="preserve"> </w:t>
      </w:r>
      <w:r>
        <w:t xml:space="preserve">Road</w:t>
      </w:r>
      <w:r>
        <w:t xml:space="preserve"> </w:t>
      </w:r>
      <w:r>
        <w:t xml:space="preserve">137</w:t>
      </w:r>
      <w:r>
        <w:t xml:space="preserve"> </w:t>
      </w:r>
      <w:r>
        <w:t xml:space="preserve">Road</w:t>
      </w:r>
      <w:r>
        <w:t xml:space="preserve"> </w:t>
      </w:r>
      <w:r>
        <w:t xml:space="preserve">33</w:t>
      </w:r>
      <w:r>
        <w:t xml:space="preserve"> </w:t>
      </w:r>
      <w:r>
        <w:t xml:space="preserve">Inland waterways</w:t>
      </w:r>
      <w:r>
        <w:t xml:space="preserve"> </w:t>
      </w:r>
      <w:r>
        <w:t xml:space="preserve">24</w:t>
      </w:r>
      <w:r>
        <w:t xml:space="preserve"> </w:t>
      </w:r>
      <w:r>
        <w:t xml:space="preserve">Rail</w:t>
      </w:r>
      <w:r>
        <w:t xml:space="preserve"> </w:t>
      </w:r>
      <w:r>
        <w:t xml:space="preserve">7</w:t>
      </w:r>
      <w:r>
        <w:t xml:space="preserve"> </w:t>
      </w:r>
      <w:r>
        <w:t xml:space="preserve">Maritime</w:t>
      </w:r>
      <w:r>
        <w:t xml:space="preserve"> </w:t>
      </w:r>
      <w:r>
        <w:t xml:space="preserve">Freight</w:t>
      </w:r>
      <w:r>
        <w:t xml:space="preserve"> </w:t>
      </w:r>
      <w:r>
        <w:t xml:space="preserve">transport</w:t>
      </w:r>
      <w:r>
        <w:t xml:space="preserve"> </w:t>
      </w:r>
      <w:r>
        <w:t xml:space="preserve">(gCO2per tonne-km)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Figure 4: GHG emissions of passenger transport</w:t>
      </w:r>
    </w:p>
    <w:p>
      <w:pPr>
        <w:pStyle w:val="BodyText"/>
      </w:pPr>
      <w:r>
        <w:t xml:space="preserve">Source: State of play of Internalisation in the European Transport Sector (‘the Commission Handbook’), European</w:t>
      </w:r>
      <w:r>
        <w:t xml:space="preserve"> </w:t>
      </w:r>
      <w:r>
        <w:t xml:space="preserve">Commission, July 2019.</w:t>
      </w:r>
      <w:r>
        <w:br/>
      </w:r>
      <w:r>
        <w:t xml:space="preserve">Two important reasons for the comparatively high GHG emissions of road transport and</w:t>
      </w:r>
      <w:r>
        <w:t xml:space="preserve"> </w:t>
      </w:r>
      <w:r>
        <w:t xml:space="preserve">aviation are the high energy use (compared to both rail and IWW)81 and the high degree of</w:t>
      </w:r>
      <w:r>
        <w:t xml:space="preserve"> </w:t>
      </w:r>
      <w:r>
        <w:t xml:space="preserve">fossil fuel use in propulsion. As of 2022, 82% of train-km operated in the EU used electricity</w:t>
      </w:r>
      <w:r>
        <w:t xml:space="preserve"> </w:t>
      </w:r>
      <w:r>
        <w:t xml:space="preserve">as its source of energy and 52% of energy in rail transport was obtained from renewable</w:t>
      </w:r>
      <w:r>
        <w:t xml:space="preserve"> </w:t>
      </w:r>
      <w:r>
        <w:t xml:space="preserve">sources82.</w:t>
      </w:r>
      <w:r>
        <w:t xml:space="preserve"> </w:t>
      </w:r>
      <w:r>
        <w:t xml:space="preserve">Other external costs in the transport sector include air pollution, noise pollution, accidents, and</w:t>
      </w:r>
      <w:r>
        <w:t xml:space="preserve"> </w:t>
      </w:r>
      <w:r>
        <w:t xml:space="preserve">congestion. For both passenger and freight transport, SLT modes involve significantly lower</w:t>
      </w:r>
      <w:r>
        <w:t xml:space="preserve"> </w:t>
      </w:r>
      <w:r>
        <w:t xml:space="preserve">external costs than road transport (see Table 1 and Table 2). Data on external costs by transport</w:t>
      </w:r>
      <w:r>
        <w:t xml:space="preserve"> </w:t>
      </w:r>
      <w:r>
        <w:t xml:space="preserve">mode and Member State have been compiled and published by the European Commission, most</w:t>
      </w:r>
      <w:r>
        <w:t xml:space="preserve"> </w:t>
      </w:r>
      <w:r>
        <w:t xml:space="preserve">recently in 2019 in the Commission Handbook83.</w:t>
      </w:r>
    </w:p>
    <w:p>
      <w:pPr>
        <w:pStyle w:val="BodyText"/>
      </w:pPr>
      <w:r>
        <w:t xml:space="preserve">81 In rail, for example, rolling friction losses of steel-to-steel contacts are 85%-95% lower than those of truck tyres</w:t>
      </w:r>
      <w:r>
        <w:t xml:space="preserve"> </w:t>
      </w:r>
      <w:r>
        <w:t xml:space="preserve">on road (The Future of Rail - Opportunities for energy and the environment, International Energy Agency, 2019:</w:t>
      </w:r>
      <w:r>
        <w:t xml:space="preserve"> </w:t>
      </w:r>
      <w:r>
        <w:t xml:space="preserve">https://iea.blob.core.windows.net/assets/fb7dc9e4-d5ff-4a22-ac07-ef3ca73ac680/The_Future_of_Rail.pdf).</w:t>
      </w:r>
      <w:r>
        <w:t xml:space="preserve"> </w:t>
      </w:r>
      <w:r>
        <w:t xml:space="preserve">82https://wikis.ec.europa.eu/display/primeinfrastructure/Prime+Infrastructure+Homepage?preview=/44167372/1</w:t>
      </w:r>
      <w:r>
        <w:t xml:space="preserve"> </w:t>
      </w:r>
      <w:r>
        <w:t xml:space="preserve">36316178/PRIME_External%20Report_2022%20data_Final.pdf.</w:t>
      </w:r>
      <w:r>
        <w:br/>
      </w:r>
      <w:r>
        <w:t xml:space="preserve">83 https://op.europa.eu/en/publication-detail/-/publication/696d402f-a45a-11e9-9d01-01aa75ed71a1See footnote</w:t>
      </w:r>
      <w:r>
        <w:t xml:space="preserve"> </w:t>
      </w:r>
      <w:r>
        <w:t xml:space="preserve">25.</w:t>
      </w:r>
      <w:r>
        <w:t xml:space="preserve"> </w:t>
      </w:r>
      <w:r>
        <w:t xml:space="preserve">Annexes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https://transport.ec.europa.eu/document/download/a9dd34f0-f37b-400b-9078-</w:t>
      </w:r>
      <w:r>
        <w:t xml:space="preserve"> </w:t>
      </w:r>
      <w:r>
        <w:t xml:space="preserve">50c86c07c6d2_en. Even though the base data of this 2019 publication refers to 2016, it should be noted that there</w:t>
      </w:r>
      <w:r>
        <w:t xml:space="preserve"> </w:t>
      </w:r>
      <w:r>
        <w:t xml:space="preserve">exists no alternative to this data source, and it is used in all the Commission’s decisional practice. A revision is</w:t>
      </w:r>
      <w:r>
        <w:t xml:space="preserve"> </w:t>
      </w:r>
      <w:r>
        <w:t xml:space="preserve">currently ongoing.</w:t>
      </w:r>
      <w:r>
        <w:t xml:space="preserve"> </w:t>
      </w:r>
      <w:r>
        <w:t xml:space="preserve">0,00</w:t>
      </w:r>
      <w:r>
        <w:t xml:space="preserve"> </w:t>
      </w:r>
      <w:r>
        <w:t xml:space="preserve">0,50</w:t>
      </w:r>
      <w:r>
        <w:t xml:space="preserve"> </w:t>
      </w:r>
      <w:r>
        <w:t xml:space="preserve">1,00</w:t>
      </w:r>
      <w:r>
        <w:t xml:space="preserve"> </w:t>
      </w:r>
      <w:r>
        <w:t xml:space="preserve">1,50</w:t>
      </w:r>
      <w:r>
        <w:t xml:space="preserve"> </w:t>
      </w:r>
      <w:r>
        <w:t xml:space="preserve">2,00</w:t>
      </w:r>
      <w:r>
        <w:t xml:space="preserve"> </w:t>
      </w:r>
      <w:r>
        <w:t xml:space="preserve">2,50</w:t>
      </w:r>
      <w:r>
        <w:t xml:space="preserve"> </w:t>
      </w:r>
      <w:r>
        <w:t xml:space="preserve">3,00</w:t>
      </w:r>
      <w:r>
        <w:t xml:space="preserve"> </w:t>
      </w:r>
      <w:r>
        <w:t xml:space="preserve">Short-haul flight</w:t>
      </w:r>
      <w:r>
        <w:t xml:space="preserve"> </w:t>
      </w:r>
      <w:r>
        <w:t xml:space="preserve">Medium-haul flight</w:t>
      </w:r>
      <w:r>
        <w:t xml:space="preserve"> </w:t>
      </w:r>
      <w:r>
        <w:t xml:space="preserve">Medium car (petrol)</w:t>
      </w:r>
      <w:r>
        <w:t xml:space="preserve"> </w:t>
      </w:r>
      <w:r>
        <w:t xml:space="preserve">Medium car (diesel)</w:t>
      </w:r>
      <w:r>
        <w:t xml:space="preserve"> </w:t>
      </w:r>
      <w:r>
        <w:t xml:space="preserve">Motorcycle (medium)</w:t>
      </w:r>
      <w:r>
        <w:t xml:space="preserve"> </w:t>
      </w:r>
      <w:r>
        <w:t xml:space="preserve">Bus</w:t>
      </w:r>
      <w:r>
        <w:t xml:space="preserve"> </w:t>
      </w:r>
      <w:r>
        <w:t xml:space="preserve">Diesel train</w:t>
      </w:r>
      <w:r>
        <w:t xml:space="preserve"> </w:t>
      </w:r>
      <w:r>
        <w:t xml:space="preserve">GHG emission costs in EUR-cents per passenger kilometer</w:t>
      </w:r>
      <w:r>
        <w:t xml:space="preserve"> </w:t>
      </w:r>
      <w:r>
        <w:t xml:space="preserve">GHG emission costs in EUR-cents per passenger kilometer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Table 1: External cost of transport per mode, EUR-cent per passenger-kilometre, EU-28.</w:t>
      </w:r>
      <w:r>
        <w:t xml:space="preserve"> </w:t>
      </w:r>
      <w:r>
        <w:t xml:space="preserve">2016</w:t>
      </w:r>
      <w:r>
        <w:t xml:space="preserve"> </w:t>
      </w:r>
      <w:r>
        <w:t xml:space="preserve">Rail (electric)</w:t>
      </w:r>
      <w:r>
        <w:t xml:space="preserve"> </w:t>
      </w:r>
      <w:r>
        <w:t xml:space="preserve">Rail (diesel)</w:t>
      </w:r>
      <w:r>
        <w:t xml:space="preserve"> </w:t>
      </w:r>
      <w:r>
        <w:t xml:space="preserve">Road</w:t>
      </w:r>
      <w:r>
        <w:t xml:space="preserve"> </w:t>
      </w:r>
      <w:r>
        <w:t xml:space="preserve">(passenger car)</w:t>
      </w:r>
      <w:r>
        <w:t xml:space="preserve"> </w:t>
      </w:r>
      <w:r>
        <w:t xml:space="preserve">Aviation</w:t>
      </w:r>
      <w:r>
        <w:t xml:space="preserve"> </w:t>
      </w:r>
      <w:r>
        <w:t xml:space="preserve">(short</w:t>
      </w:r>
      <w:r>
        <w:t xml:space="preserve"> </w:t>
      </w:r>
      <w:r>
        <w:t xml:space="preserve">haul)</w:t>
      </w:r>
      <w:r>
        <w:t xml:space="preserve"> </w:t>
      </w:r>
      <w:r>
        <w:t xml:space="preserve">Accident</w:t>
      </w:r>
      <w:r>
        <w:t xml:space="preserve"> </w:t>
      </w:r>
      <w:r>
        <w:t xml:space="preserve">0.47</w:t>
      </w:r>
      <w:r>
        <w:t xml:space="preserve"> </w:t>
      </w:r>
      <w:r>
        <w:t xml:space="preserve">0.47</w:t>
      </w:r>
      <w:r>
        <w:t xml:space="preserve"> </w:t>
      </w:r>
      <w:r>
        <w:t xml:space="preserve">4.5</w:t>
      </w:r>
      <w:r>
        <w:t xml:space="preserve"> </w:t>
      </w:r>
      <w:r>
        <w:t xml:space="preserve">0.041</w:t>
      </w:r>
      <w:r>
        <w:t xml:space="preserve"> </w:t>
      </w:r>
      <w:r>
        <w:t xml:space="preserve">Air Pollution</w:t>
      </w:r>
      <w:r>
        <w:t xml:space="preserve"> </w:t>
      </w:r>
      <w:r>
        <w:t xml:space="preserve">0.01</w:t>
      </w:r>
      <w:r>
        <w:t xml:space="preserve"> </w:t>
      </w:r>
      <w:r>
        <w:t xml:space="preserve">0.8</w:t>
      </w:r>
      <w:r>
        <w:t xml:space="preserve"> </w:t>
      </w:r>
      <w:r>
        <w:t xml:space="preserve">0.71</w:t>
      </w:r>
      <w:r>
        <w:t xml:space="preserve"> </w:t>
      </w:r>
      <w:r>
        <w:t xml:space="preserve">0.30</w:t>
      </w:r>
      <w:r>
        <w:t xml:space="preserve"> </w:t>
      </w:r>
      <w:r>
        <w:t xml:space="preserve">Climate Change</w:t>
      </w:r>
      <w:r>
        <w:t xml:space="preserve"> </w:t>
      </w:r>
      <w:r>
        <w:t xml:space="preserve">-</w:t>
      </w:r>
      <w:r>
        <w:t xml:space="preserve"> </w:t>
      </w:r>
      <w:r>
        <w:t xml:space="preserve">0.342</w:t>
      </w:r>
      <w:r>
        <w:t xml:space="preserve"> </w:t>
      </w:r>
      <w:r>
        <w:t xml:space="preserve">1.177</w:t>
      </w:r>
      <w:r>
        <w:t xml:space="preserve"> </w:t>
      </w:r>
      <w:r>
        <w:t xml:space="preserve">2.39</w:t>
      </w:r>
      <w:r>
        <w:t xml:space="preserve"> </w:t>
      </w:r>
      <w:r>
        <w:t xml:space="preserve">Noise</w:t>
      </w:r>
      <w:r>
        <w:t xml:space="preserve"> </w:t>
      </w:r>
      <w:r>
        <w:t xml:space="preserve">0.8</w:t>
      </w:r>
      <w:r>
        <w:t xml:space="preserve"> </w:t>
      </w:r>
      <w:r>
        <w:t xml:space="preserve">1.38</w:t>
      </w:r>
      <w:r>
        <w:t xml:space="preserve"> </w:t>
      </w:r>
      <w:r>
        <w:t xml:space="preserve">0.6</w:t>
      </w:r>
      <w:r>
        <w:t xml:space="preserve"> </w:t>
      </w:r>
      <w:r>
        <w:t xml:space="preserve">0.46</w:t>
      </w:r>
      <w:r>
        <w:t xml:space="preserve"> </w:t>
      </w:r>
      <w:r>
        <w:t xml:space="preserve">Congestion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4.86</w:t>
      </w:r>
      <w:r>
        <w:t xml:space="preserve"> </w:t>
      </w:r>
      <w:r>
        <w:t xml:space="preserve">-</w:t>
      </w:r>
      <w:r>
        <w:t xml:space="preserve"> </w:t>
      </w:r>
      <w:r>
        <w:t xml:space="preserve">Well-to-Tank84</w:t>
      </w:r>
      <w:r>
        <w:t xml:space="preserve"> </w:t>
      </w:r>
      <w:r>
        <w:t xml:space="preserve">0.8</w:t>
      </w:r>
      <w:r>
        <w:t xml:space="preserve"> </w:t>
      </w:r>
      <w:r>
        <w:t xml:space="preserve">0.11</w:t>
      </w:r>
      <w:r>
        <w:t xml:space="preserve"> </w:t>
      </w:r>
      <w:r>
        <w:t xml:space="preserve">0.38</w:t>
      </w:r>
      <w:r>
        <w:t xml:space="preserve"> </w:t>
      </w:r>
      <w:r>
        <w:t xml:space="preserve">1.06</w:t>
      </w:r>
      <w:r>
        <w:t xml:space="preserve"> </w:t>
      </w:r>
      <w:r>
        <w:t xml:space="preserve">Habitat</w:t>
      </w:r>
      <w:r>
        <w:t xml:space="preserve"> </w:t>
      </w:r>
      <w:r>
        <w:t xml:space="preserve">0.57</w:t>
      </w:r>
      <w:r>
        <w:t xml:space="preserve"> </w:t>
      </w:r>
      <w:r>
        <w:t xml:space="preserve">0.84</w:t>
      </w:r>
      <w:r>
        <w:t xml:space="preserve"> </w:t>
      </w:r>
      <w:r>
        <w:t xml:space="preserve">0.55</w:t>
      </w:r>
      <w:r>
        <w:t xml:space="preserve"> </w:t>
      </w:r>
      <w:r>
        <w:t xml:space="preserve">0.027</w:t>
      </w:r>
      <w:r>
        <w:t xml:space="preserve"> </w:t>
      </w:r>
      <w:r>
        <w:t xml:space="preserve">Total</w:t>
      </w:r>
      <w:r>
        <w:t xml:space="preserve"> </w:t>
      </w:r>
      <w:r>
        <w:t xml:space="preserve">2.65</w:t>
      </w:r>
      <w:r>
        <w:t xml:space="preserve"> </w:t>
      </w:r>
      <w:r>
        <w:t xml:space="preserve">3.942</w:t>
      </w:r>
      <w:r>
        <w:t xml:space="preserve"> </w:t>
      </w:r>
      <w:r>
        <w:t xml:space="preserve">12.78</w:t>
      </w:r>
      <w:r>
        <w:t xml:space="preserve"> </w:t>
      </w:r>
      <w:r>
        <w:t xml:space="preserve">4.278</w:t>
      </w:r>
      <w:r>
        <w:t xml:space="preserve"> </w:t>
      </w:r>
      <w:r>
        <w:t xml:space="preserve">Source: State of play of Internalisation in the European Transport Sector, European Commission, July 2019.</w:t>
      </w:r>
      <w:r>
        <w:t xml:space="preserve"> </w:t>
      </w:r>
      <w:r>
        <w:t xml:space="preserve">Table 2: External cost of transport per mode, EUR-cent per ton-kilometre (freight), EU-28.</w:t>
      </w:r>
      <w:r>
        <w:t xml:space="preserve"> </w:t>
      </w:r>
      <w:r>
        <w:t xml:space="preserve">2016</w:t>
      </w:r>
      <w:r>
        <w:t xml:space="preserve"> </w:t>
      </w:r>
      <w:r>
        <w:t xml:space="preserve">Rail (electric)</w:t>
      </w:r>
      <w:r>
        <w:t xml:space="preserve"> </w:t>
      </w:r>
      <w:r>
        <w:t xml:space="preserve">Rail (diesel)</w:t>
      </w:r>
      <w:r>
        <w:t xml:space="preserve"> </w:t>
      </w:r>
      <w:r>
        <w:t xml:space="preserve">IWW</w:t>
      </w:r>
      <w:r>
        <w:t xml:space="preserve"> </w:t>
      </w:r>
      <w:r>
        <w:t xml:space="preserve">Road</w:t>
      </w:r>
      <w:r>
        <w:t xml:space="preserve"> </w:t>
      </w:r>
      <w:r>
        <w:t xml:space="preserve">(Heavy</w:t>
      </w:r>
      <w:r>
        <w:t xml:space="preserve"> </w:t>
      </w:r>
      <w:r>
        <w:t xml:space="preserve">Goods Vehicle)</w:t>
      </w:r>
      <w:r>
        <w:t xml:space="preserve"> </w:t>
      </w:r>
      <w:r>
        <w:t xml:space="preserve">Accident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0.1</w:t>
      </w:r>
      <w:r>
        <w:t xml:space="preserve"> </w:t>
      </w:r>
      <w:r>
        <w:t xml:space="preserve">1.3</w:t>
      </w:r>
      <w:r>
        <w:t xml:space="preserve"> </w:t>
      </w:r>
      <w:r>
        <w:t xml:space="preserve">Air Pollution</w:t>
      </w:r>
      <w:r>
        <w:t xml:space="preserve"> </w:t>
      </w:r>
      <w:r>
        <w:t xml:space="preserve">0.004</w:t>
      </w:r>
      <w:r>
        <w:t xml:space="preserve"> </w:t>
      </w:r>
      <w:r>
        <w:t xml:space="preserve">0.68</w:t>
      </w:r>
      <w:r>
        <w:t xml:space="preserve"> </w:t>
      </w:r>
      <w:r>
        <w:t xml:space="preserve">1.294</w:t>
      </w:r>
      <w:r>
        <w:t xml:space="preserve"> </w:t>
      </w:r>
      <w:r>
        <w:t xml:space="preserve">0.76</w:t>
      </w:r>
      <w:r>
        <w:t xml:space="preserve"> </w:t>
      </w:r>
      <w:r>
        <w:t xml:space="preserve">Climate Change</w:t>
      </w:r>
      <w:r>
        <w:t xml:space="preserve"> </w:t>
      </w:r>
      <w:r>
        <w:t xml:space="preserve">-</w:t>
      </w:r>
      <w:r>
        <w:t xml:space="preserve"> </w:t>
      </w:r>
      <w:r>
        <w:t xml:space="preserve">0.25</w:t>
      </w:r>
      <w:r>
        <w:t xml:space="preserve"> </w:t>
      </w:r>
      <w:r>
        <w:t xml:space="preserve">0.265</w:t>
      </w:r>
      <w:r>
        <w:t xml:space="preserve"> </w:t>
      </w:r>
      <w:r>
        <w:t xml:space="preserve">0.525</w:t>
      </w:r>
      <w:r>
        <w:t xml:space="preserve"> </w:t>
      </w:r>
      <w:r>
        <w:t xml:space="preserve">Noise</w:t>
      </w:r>
      <w:r>
        <w:t xml:space="preserve"> </w:t>
      </w:r>
      <w:r>
        <w:t xml:space="preserve">0.65</w:t>
      </w:r>
      <w:r>
        <w:t xml:space="preserve"> </w:t>
      </w:r>
      <w:r>
        <w:t xml:space="preserve">0.45</w:t>
      </w:r>
      <w:r>
        <w:t xml:space="preserve"> </w:t>
      </w:r>
      <w:r>
        <w:t xml:space="preserve">-</w:t>
      </w:r>
      <w:r>
        <w:t xml:space="preserve"> </w:t>
      </w:r>
      <w:r>
        <w:t xml:space="preserve">0.4-1.2</w:t>
      </w:r>
      <w:r>
        <w:t xml:space="preserve"> </w:t>
      </w:r>
      <w:r>
        <w:t xml:space="preserve">Congestion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0.93</w:t>
      </w:r>
      <w:r>
        <w:t xml:space="preserve"> </w:t>
      </w:r>
      <w:r>
        <w:t xml:space="preserve">Well-to-Tank</w:t>
      </w:r>
      <w:r>
        <w:t xml:space="preserve"> </w:t>
      </w:r>
      <w:r>
        <w:t xml:space="preserve">0.16</w:t>
      </w:r>
      <w:r>
        <w:t xml:space="preserve"> </w:t>
      </w:r>
      <w:r>
        <w:t xml:space="preserve">0.14</w:t>
      </w:r>
      <w:r>
        <w:t xml:space="preserve"> </w:t>
      </w:r>
      <w:r>
        <w:t xml:space="preserve">0.13</w:t>
      </w:r>
      <w:r>
        <w:t xml:space="preserve"> </w:t>
      </w:r>
      <w:r>
        <w:t xml:space="preserve">0.2</w:t>
      </w:r>
      <w:r>
        <w:t xml:space="preserve"> </w:t>
      </w:r>
      <w:r>
        <w:t xml:space="preserve">Habitat</w:t>
      </w:r>
      <w:r>
        <w:t xml:space="preserve"> </w:t>
      </w:r>
      <w:r>
        <w:t xml:space="preserve">0.24</w:t>
      </w:r>
      <w:r>
        <w:t xml:space="preserve"> </w:t>
      </w:r>
      <w:r>
        <w:t xml:space="preserve">0.25</w:t>
      </w:r>
      <w:r>
        <w:t xml:space="preserve"> </w:t>
      </w:r>
      <w:r>
        <w:t xml:space="preserve">0.2</w:t>
      </w:r>
      <w:r>
        <w:t xml:space="preserve"> </w:t>
      </w:r>
      <w:r>
        <w:t xml:space="preserve">0.19</w:t>
      </w:r>
      <w:r>
        <w:t xml:space="preserve"> </w:t>
      </w:r>
      <w:r>
        <w:t xml:space="preserve">Total</w:t>
      </w:r>
      <w:r>
        <w:t xml:space="preserve"> </w:t>
      </w:r>
      <w:r>
        <w:t xml:space="preserve">1.124</w:t>
      </w:r>
      <w:r>
        <w:t xml:space="preserve"> </w:t>
      </w:r>
      <w:r>
        <w:t xml:space="preserve">1.84</w:t>
      </w:r>
      <w:r>
        <w:t xml:space="preserve"> </w:t>
      </w:r>
      <w:r>
        <w:t xml:space="preserve">1.989</w:t>
      </w:r>
      <w:r>
        <w:t xml:space="preserve"> </w:t>
      </w:r>
      <w:r>
        <w:t xml:space="preserve">4.305-5.105</w:t>
      </w:r>
      <w:r>
        <w:t xml:space="preserve"> </w:t>
      </w:r>
      <w:r>
        <w:t xml:space="preserve">Source: State of play of Internalisation in the European Transport Sector, European Commission, July 2019.</w:t>
      </w:r>
      <w:r>
        <w:t xml:space="preserve"> </w:t>
      </w:r>
      <w:r>
        <w:t xml:space="preserve">2.3.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This section covers the main problem drivers that are contributing to the low and stagnating</w:t>
      </w:r>
      <w:r>
        <w:t xml:space="preserve"> </w:t>
      </w:r>
      <w:r>
        <w:t xml:space="preserve">modal share of SLT. The transport sector is one of the biggest economic sectors, responsible</w:t>
      </w:r>
      <w:r>
        <w:t xml:space="preserve"> </w:t>
      </w:r>
      <w:r>
        <w:t xml:space="preserve">for 5% of EU GDP85. The modal share of SLT is the result of market failures (such as negative</w:t>
      </w:r>
      <w:r>
        <w:t xml:space="preserve"> </w:t>
      </w:r>
      <w:r>
        <w:t xml:space="preserve">externalities, coordination failures and access to finance difficulties) and regulatory failures</w:t>
      </w:r>
      <w:r>
        <w:t xml:space="preserve"> </w:t>
      </w:r>
      <w:r>
        <w:t xml:space="preserve">(such as insufficient internalisation of negative externalities, regulatory barriers to</w:t>
      </w:r>
      <w:r>
        <w:t xml:space="preserve"> </w:t>
      </w:r>
      <w:r>
        <w:t xml:space="preserve">interoperability and unsuitable State aid rules). The lack of sufficiently well-designed and</w:t>
      </w:r>
      <w:r>
        <w:t xml:space="preserve"> </w:t>
      </w:r>
      <w:r>
        <w:t xml:space="preserve">targeted State aid rules that facilitate and incentivise support to SLT contributes to the chronic</w:t>
      </w:r>
    </w:p>
    <w:p>
      <w:pPr>
        <w:pStyle w:val="BodyText"/>
      </w:pPr>
      <w:r>
        <w:t xml:space="preserve">84 Well-to-Tank refers to all emissions caused in the production of the energy that is used by the transport mode</w:t>
      </w:r>
      <w:r>
        <w:t xml:space="preserve"> </w:t>
      </w:r>
      <w:r>
        <w:t xml:space="preserve">concerned, such as in the extraction of energy sources, the processing and transmission of energy, and the building</w:t>
      </w:r>
      <w:r>
        <w:t xml:space="preserve"> </w:t>
      </w:r>
      <w:r>
        <w:t xml:space="preserve">of energy plants.</w:t>
      </w:r>
      <w:r>
        <w:br/>
      </w:r>
      <w:r>
        <w:t xml:space="preserve">85 Section 1.5.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lack of competitiveness of SLT compared to road transport and is one of the regulatory failures</w:t>
      </w:r>
      <w:r>
        <w:t xml:space="preserve"> </w:t>
      </w:r>
      <w:r>
        <w:t xml:space="preserve">responsible for the low modal share of SLT.</w:t>
      </w:r>
      <w:r>
        <w:br/>
      </w:r>
      <w:r>
        <w:t xml:space="preserve">2.3.1. Market failures</w:t>
      </w:r>
      <w:r>
        <w:t xml:space="preserve"> </w:t>
      </w:r>
      <w:r>
        <w:t xml:space="preserve">Problem Driver 1: Negative externalities of road transport</w:t>
      </w:r>
      <w:r>
        <w:t xml:space="preserve"> </w:t>
      </w:r>
      <w:r>
        <w:t xml:space="preserve">The main market failure for SLT is the fact that external costs of transport are insufficiently</w:t>
      </w:r>
      <w:r>
        <w:t xml:space="preserve"> </w:t>
      </w:r>
      <w:r>
        <w:t xml:space="preserve">internalised into the costs of transport operators and thus not reflected in the prices charged to</w:t>
      </w:r>
      <w:r>
        <w:t xml:space="preserve"> </w:t>
      </w:r>
      <w:r>
        <w:t xml:space="preserve">customers (e.g. passengers or freight forwarders).</w:t>
      </w:r>
      <w:r>
        <w:br/>
      </w:r>
      <w:r>
        <w:t xml:space="preserve">In 2016, the road transport sector in the EU-27 caused EUR 532.0 billion in total external costs,</w:t>
      </w:r>
      <w:r>
        <w:t xml:space="preserve"> </w:t>
      </w:r>
      <w:r>
        <w:t xml:space="preserve">while paying EUR 307.8 billion in taxes and charges, leaving a remaining cost to society of</w:t>
      </w:r>
      <w:r>
        <w:t xml:space="preserve"> </w:t>
      </w:r>
      <w:r>
        <w:t xml:space="preserve">EUR 224.2 billion. Rail and IWW combined caused a total of EUR 19.3 billion in external</w:t>
      </w:r>
      <w:r>
        <w:t xml:space="preserve"> </w:t>
      </w:r>
      <w:r>
        <w:t xml:space="preserve">costs, while paying EUR 18.0 billion in taxes and charges, leaving a remaining cost to society</w:t>
      </w:r>
      <w:r>
        <w:t xml:space="preserve"> </w:t>
      </w:r>
      <w:r>
        <w:t xml:space="preserve">of EUR 1.3 billion86. Available data on external costs suggests that the remaining cost to society</w:t>
      </w:r>
      <w:r>
        <w:t xml:space="preserve"> </w:t>
      </w:r>
      <w:r>
        <w:t xml:space="preserve">has worsened since 2016. Estimates on external costs in 2022 show that they have increased by</w:t>
      </w:r>
      <w:r>
        <w:t xml:space="preserve"> </w:t>
      </w:r>
      <w:r>
        <w:t xml:space="preserve">8.5% for road and by only 4.5% for rail, compared to 2016 levels87.</w:t>
      </w:r>
      <w:r>
        <w:br/>
      </w:r>
      <w:r>
        <w:t xml:space="preserve">The external costs of transport are insufficiently internalised, leading to a very substantial</w:t>
      </w:r>
      <w:r>
        <w:t xml:space="preserve"> </w:t>
      </w:r>
      <w:r>
        <w:t xml:space="preserve">implicit subsidy to the road sector of more than EUR 200 billion per year.</w:t>
      </w:r>
      <w:r>
        <w:br/>
      </w:r>
      <w:r>
        <w:t xml:space="preserve">According to the study, the 50% differential of external costs between rail and road close to or</w:t>
      </w:r>
      <w:r>
        <w:t xml:space="preserve"> </w:t>
      </w:r>
      <w:r>
        <w:t xml:space="preserve">even exceeds 30% of the total rail freight costs in multiple countries, including Czech Republic,</w:t>
      </w:r>
      <w:r>
        <w:t xml:space="preserve"> </w:t>
      </w:r>
      <w:r>
        <w:t xml:space="preserve">Germany, Lithuania, Poland, Romania, and Spain. While current State aid spending levels of</w:t>
      </w:r>
      <w:r>
        <w:t xml:space="preserve"> </w:t>
      </w:r>
      <w:r>
        <w:t xml:space="preserve">around EUR 4.8 billion per year (see Section 1.1) fall far short of covering the external cost gap</w:t>
      </w:r>
      <w:r>
        <w:t xml:space="preserve"> </w:t>
      </w:r>
      <w:r>
        <w:t xml:space="preserve">of more than EUR 200 billion per year, these figures do show that, where operating aid is</w:t>
      </w:r>
      <w:r>
        <w:t xml:space="preserve"> </w:t>
      </w:r>
      <w:r>
        <w:t xml:space="preserve">granted, it has a significant impact on the cost base of the beneficiaries. Given an elasticity of</w:t>
      </w:r>
      <w:r>
        <w:t xml:space="preserve"> </w:t>
      </w:r>
      <w:r>
        <w:t xml:space="preserve">rail volumes to rail prices of -1.0 (see section 6.1.1), operating aid covering 50% of the external</w:t>
      </w:r>
      <w:r>
        <w:t xml:space="preserve"> </w:t>
      </w:r>
      <w:r>
        <w:t xml:space="preserve">cost differential can have a significant impact on the prices and thus on the modal share of rail</w:t>
      </w:r>
      <w:r>
        <w:t xml:space="preserve"> </w:t>
      </w:r>
      <w:r>
        <w:t xml:space="preserve">transport.</w:t>
      </w:r>
      <w:r>
        <w:br/>
      </w:r>
      <w:r>
        <w:t xml:space="preserve">Problem Driver 2: Coordination failures in achieving interoperability</w:t>
      </w:r>
      <w:r>
        <w:t xml:space="preserve"> </w:t>
      </w:r>
      <w:r>
        <w:t xml:space="preserve">The slow adoption of ERTMS and other interoperability technologies can be explained by the</w:t>
      </w:r>
      <w:r>
        <w:t xml:space="preserve"> </w:t>
      </w:r>
      <w:r>
        <w:t xml:space="preserve">initial lack of any private benefits from installing these technologies and the need for</w:t>
      </w:r>
      <w:r>
        <w:t xml:space="preserve"> </w:t>
      </w:r>
      <w:r>
        <w:t xml:space="preserve">coordination between market participants. ERTMS needs to be installed alongside track</w:t>
      </w:r>
      <w:r>
        <w:t xml:space="preserve"> </w:t>
      </w:r>
      <w:r>
        <w:t xml:space="preserve">infrastructure and on-board all rolling stock using that infrastructure. In the absence of rolling</w:t>
      </w:r>
      <w:r>
        <w:t xml:space="preserve"> </w:t>
      </w:r>
      <w:r>
        <w:t xml:space="preserve">stock with on-board ERTMS units, infrastructure managers do not have any incentive to install</w:t>
      </w:r>
      <w:r>
        <w:t xml:space="preserve"> </w:t>
      </w:r>
      <w:r>
        <w:t xml:space="preserve">ERTMS equipment alongside railway tracks, and vice versa.</w:t>
      </w:r>
      <w:r>
        <w:br/>
      </w:r>
      <w:r>
        <w:t xml:space="preserve">The initial private benefits of ERTMS are minimal because it only leads to productivity gains</w:t>
      </w:r>
      <w:r>
        <w:t xml:space="preserve"> </w:t>
      </w:r>
      <w:r>
        <w:t xml:space="preserve">if all railway undertakings active on a certain network, as well as the infrastructure manager,</w:t>
      </w:r>
      <w:r>
        <w:t xml:space="preserve"> </w:t>
      </w:r>
      <w:r>
        <w:t xml:space="preserve">have equipped ERTMS. This requires a coordination of investment activities.</w:t>
      </w:r>
    </w:p>
    <w:p>
      <w:pPr>
        <w:pStyle w:val="BodyText"/>
      </w:pPr>
      <w:r>
        <w:t xml:space="preserve">86 State of play of internalisation in the European transport sector, 2019: https://op.europa.eu/en/publication-</w:t>
      </w:r>
      <w:r>
        <w:t xml:space="preserve"> </w:t>
      </w:r>
      <w:r>
        <w:t xml:space="preserve">detail/-/publication/696d402f-a45a-11e9-9d01-01aa75ed71a1.</w:t>
      </w:r>
      <w:r>
        <w:br/>
      </w:r>
      <w:r>
        <w:t xml:space="preserve">87 The author of the existing Commission Handbook has partially updated and extended the external cost figures</w:t>
      </w:r>
      <w:r>
        <w:t xml:space="preserve"> </w:t>
      </w:r>
      <w:r>
        <w:t xml:space="preserve">from 2016 to 2022, using data from Eurostat, the EEA and the European Union Agency for Railways</w:t>
      </w:r>
      <w:r>
        <w:t xml:space="preserve"> </w:t>
      </w:r>
      <w:r>
        <w:t xml:space="preserve">(https://uic.org/support-activities/economics/article/external-costs). The update does not include new figures for</w:t>
      </w:r>
      <w:r>
        <w:t xml:space="preserve"> </w:t>
      </w:r>
      <w:r>
        <w:t xml:space="preserve">IWW.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The rollout of DAC faces coordination failures as well. According to the study, around 80% of</w:t>
      </w:r>
      <w:r>
        <w:t xml:space="preserve"> </w:t>
      </w:r>
      <w:r>
        <w:t xml:space="preserve">the existing freight wagons in Europe belong to signatories of the ‘General Contract of Use for</w:t>
      </w:r>
      <w:r>
        <w:t xml:space="preserve"> </w:t>
      </w:r>
      <w:r>
        <w:t xml:space="preserve">Wagons’ and are enlisted for mutual exchange between railway undertakings; this means that</w:t>
      </w:r>
      <w:r>
        <w:t xml:space="preserve"> </w:t>
      </w:r>
      <w:r>
        <w:t xml:space="preserve">freight wagons belonging to the signatories end up forming trains with wagons of competitors.</w:t>
      </w:r>
      <w:r>
        <w:t xml:space="preserve"> </w:t>
      </w:r>
      <w:r>
        <w:t xml:space="preserve">Accordingly, a railway undertaking that equips its wagons with DAC cannot be sure that it will</w:t>
      </w:r>
      <w:r>
        <w:t xml:space="preserve"> </w:t>
      </w:r>
      <w:r>
        <w:t xml:space="preserve">benefit from the efficiencies gained. Indeed, if a train is composed of a mix of DAC-compatible</w:t>
      </w:r>
      <w:r>
        <w:t xml:space="preserve"> </w:t>
      </w:r>
      <w:r>
        <w:t xml:space="preserve">and manual wagons, it is not possible for any digital coupling to take place These arrangements</w:t>
      </w:r>
      <w:r>
        <w:t xml:space="preserve"> </w:t>
      </w:r>
      <w:r>
        <w:t xml:space="preserve">have resulted in Europe being the last continent where manual coupling is still common.</w:t>
      </w:r>
      <w:r>
        <w:br/>
      </w:r>
      <w:r>
        <w:t xml:space="preserve">Similar market dynamics affect the roll-out of other technologies in rail, but also in other</w:t>
      </w:r>
      <w:r>
        <w:t xml:space="preserve"> </w:t>
      </w:r>
      <w:r>
        <w:t xml:space="preserve">sustainable transport modes88. Taking into account these difficulties, in its case practice, the</w:t>
      </w:r>
      <w:r>
        <w:t xml:space="preserve"> </w:t>
      </w:r>
      <w:r>
        <w:t xml:space="preserve">Commission has accepted aid intensities for some interoperability investments higher than 50%</w:t>
      </w:r>
      <w:r>
        <w:t xml:space="preserve"> </w:t>
      </w:r>
      <w:r>
        <w:t xml:space="preserve">(which are in principle foreseen in the RGL) in at least 12 cases, in some cases even up to 100%.</w:t>
      </w:r>
      <w:r>
        <w:br/>
      </w:r>
      <w:r>
        <w:t xml:space="preserve">Problem Driver 3: Access to finance difficulties for smaller companies and new entrants</w:t>
      </w:r>
      <w:r>
        <w:t xml:space="preserve"> </w:t>
      </w:r>
      <w:r>
        <w:t xml:space="preserve">In view of the ongoing liberalisation of the rail sector in the passenger segment, incumbent</w:t>
      </w:r>
      <w:r>
        <w:t xml:space="preserve"> </w:t>
      </w:r>
      <w:r>
        <w:t xml:space="preserve">operators benefit from network effects and economies of scale. The near-monopoly occupation</w:t>
      </w:r>
      <w:r>
        <w:t xml:space="preserve"> </w:t>
      </w:r>
      <w:r>
        <w:t xml:space="preserve">of the rail network makes it difficult for new entrants and smaller companies89 to enter the</w:t>
      </w:r>
      <w:r>
        <w:t xml:space="preserve"> </w:t>
      </w:r>
      <w:r>
        <w:t xml:space="preserve">market. While it has grown over the past few years, the market share of new entrants is still</w:t>
      </w:r>
      <w:r>
        <w:t xml:space="preserve"> </w:t>
      </w:r>
      <w:r>
        <w:t xml:space="preserve">only 12.6% in the open access passenger segment and 21% in the national PSO passenger</w:t>
      </w:r>
      <w:r>
        <w:t xml:space="preserve"> </w:t>
      </w:r>
      <w:r>
        <w:t xml:space="preserve">market.</w:t>
      </w:r>
      <w:r>
        <w:br/>
      </w:r>
      <w:r>
        <w:t xml:space="preserve">The benefits of incumbency are especially acute as regards the acquisition of vehicles. First, as</w:t>
      </w:r>
      <w:r>
        <w:t xml:space="preserve"> </w:t>
      </w:r>
      <w:r>
        <w:t xml:space="preserve">concerns the passenger segment, it is common for public service contracts to include the</w:t>
      </w:r>
      <w:r>
        <w:t xml:space="preserve"> </w:t>
      </w:r>
      <w:r>
        <w:t xml:space="preserve">provision of rolling stock, leading to rolling stock used by incumbents mainly being financed</w:t>
      </w:r>
      <w:r>
        <w:t xml:space="preserve"> </w:t>
      </w:r>
      <w:r>
        <w:t xml:space="preserve">by public service compensation (for the duration of those contracts). Second, as concerns both</w:t>
      </w:r>
      <w:r>
        <w:t xml:space="preserve"> </w:t>
      </w:r>
      <w:r>
        <w:t xml:space="preserve">the passenger and freight segments, incumbents (i) being State-owned enterprises, benefit –</w:t>
      </w:r>
      <w:r>
        <w:t xml:space="preserve"> </w:t>
      </w:r>
      <w:r>
        <w:t xml:space="preserve">according to certain research findings – from an implicit State guarantee90; and (ii) are often</w:t>
      </w:r>
      <w:r>
        <w:t xml:space="preserve"> </w:t>
      </w:r>
      <w:r>
        <w:t xml:space="preserve">vertically integrated, combining the infrastructure manager and the railway undertaking in a</w:t>
      </w:r>
      <w:r>
        <w:t xml:space="preserve"> </w:t>
      </w:r>
      <w:r>
        <w:t xml:space="preserve">single company.</w:t>
      </w:r>
      <w:r>
        <w:br/>
      </w:r>
      <w:r>
        <w:t xml:space="preserve">Data specific to the EU rail sector is difficult to find, but more general findings suggest that the</w:t>
      </w:r>
      <w:r>
        <w:t xml:space="preserve"> </w:t>
      </w:r>
      <w:r>
        <w:t xml:space="preserve">implicit State guarantee may lower financing costs by several percentage points (see section</w:t>
      </w:r>
      <w:r>
        <w:t xml:space="preserve"> </w:t>
      </w:r>
      <w:r>
        <w:t xml:space="preserve">6.4.1). As regards vertical integration, a holding company may raise debt at group level,</w:t>
      </w:r>
      <w:r>
        <w:t xml:space="preserve"> </w:t>
      </w:r>
      <w:r>
        <w:t xml:space="preserve">blending the risk-free conditions of the infrastructure manager with the riskier conditions of the</w:t>
      </w:r>
      <w:r>
        <w:t xml:space="preserve"> </w:t>
      </w:r>
      <w:r>
        <w:t xml:space="preserve">railway undertaking.</w:t>
      </w:r>
      <w:r>
        <w:br/>
      </w:r>
      <w:r>
        <w:t xml:space="preserve">The findings of one established credit rating agency confirm that those factors lead to</w:t>
      </w:r>
      <w:r>
        <w:t xml:space="preserve"> </w:t>
      </w:r>
      <w:r>
        <w:t xml:space="preserve">incumbents having easier access to finance for acquiring rolling stock and better financing</w:t>
      </w:r>
    </w:p>
    <w:p>
      <w:pPr>
        <w:pStyle w:val="BodyText"/>
      </w:pPr>
      <w:r>
        <w:t xml:space="preserve">88 For example, the automation of vessels requires investments in ports and locks in ports to ensure interoperability.</w:t>
      </w:r>
      <w:r>
        <w:t xml:space="preserve"> </w:t>
      </w:r>
      <w:r>
        <w:t xml:space="preserve">89 For the purposes of this impact assessment, “smaller companies” includes both SMEs and small mid-caps</w:t>
      </w:r>
      <w:r>
        <w:t xml:space="preserve"> </w:t>
      </w:r>
      <w:r>
        <w:t xml:space="preserve">(‘SMCs’). The limits for the number of employees, turnover and balance sheet total below which an undertaking</w:t>
      </w:r>
      <w:r>
        <w:t xml:space="preserve"> </w:t>
      </w:r>
      <w:r>
        <w:t xml:space="preserve">is considered an SMC are twice as high as those for SMEs (Article 2 of the GBER).</w:t>
      </w:r>
      <w:r>
        <w:t xml:space="preserve"> </w:t>
      </w:r>
      <w:r>
        <w:t xml:space="preserve">90 E.g. Florence School of Regulation: ‘State-owned incumbents enjoy an advantage over [new] entrants […] as</w:t>
      </w:r>
      <w:r>
        <w:t xml:space="preserve"> </w:t>
      </w:r>
      <w:r>
        <w:t xml:space="preserve">they have access to cheaper more liquid borrowing. This creates an uneven playing field, which hinders private</w:t>
      </w:r>
      <w:r>
        <w:t xml:space="preserve"> </w:t>
      </w:r>
      <w:r>
        <w:t xml:space="preserve">investment’,</w:t>
      </w:r>
      <w:r>
        <w:t xml:space="preserve"> </w:t>
      </w:r>
      <w:r>
        <w:t xml:space="preserve">https://cadmus.eui.eu/bitstream/handle/1814/77188/RSC_PB_2024_25.pdf?sequence=1&amp;isAllowed=y; p. XVI of</w:t>
      </w:r>
      <w:r>
        <w:t xml:space="preserve"> </w:t>
      </w:r>
      <w:r>
        <w:t xml:space="preserve">the study.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conditions91. The CfE on the EU Industrial Maritime Strategy also mentions the difficulty of</w:t>
      </w:r>
      <w:r>
        <w:t xml:space="preserve"> </w:t>
      </w:r>
      <w:r>
        <w:t xml:space="preserve">access to finance for family-owned SMEs and mid-cap businesses in the IWW sector.</w:t>
      </w:r>
      <w:r>
        <w:br/>
      </w:r>
      <w:r>
        <w:t xml:space="preserve">Rolling stock and IWW vessels are core assets and have long depreciation periods. Forecasting</w:t>
      </w:r>
      <w:r>
        <w:t xml:space="preserve"> </w:t>
      </w:r>
      <w:r>
        <w:t xml:space="preserve">the profitability of such investments is subject to many uncertainties. Therefore, smaller and</w:t>
      </w:r>
      <w:r>
        <w:t xml:space="preserve"> </w:t>
      </w:r>
      <w:r>
        <w:t xml:space="preserve">less established actors might not be able to raise sufficient funds on the market for such</w:t>
      </w:r>
      <w:r>
        <w:t xml:space="preserve"> </w:t>
      </w:r>
      <w:r>
        <w:t xml:space="preserve">investments. In the public consultation, 66% (46 out of 70)92 and 69% (48 out of 70)93 of the</w:t>
      </w:r>
      <w:r>
        <w:t xml:space="preserve"> </w:t>
      </w:r>
      <w:r>
        <w:t xml:space="preserve">respondents considered that railway undertakings still face difficulties in accessing freight and</w:t>
      </w:r>
      <w:r>
        <w:t xml:space="preserve"> </w:t>
      </w:r>
      <w:r>
        <w:t xml:space="preserve">passenger rolling stock respectively. The study found that in the rail sector ‘the constraints [in</w:t>
      </w:r>
      <w:r>
        <w:t xml:space="preserve"> </w:t>
      </w:r>
      <w:r>
        <w:t xml:space="preserve">accessing finance for rolling stock] are mainly financial and small operators in particular may</w:t>
      </w:r>
      <w:r>
        <w:t xml:space="preserve"> </w:t>
      </w:r>
      <w:r>
        <w:t xml:space="preserve">not have access to credit on competitive terms’. The IWW sector is composed mainly of SMEs,</w:t>
      </w:r>
      <w:r>
        <w:t xml:space="preserve"> </w:t>
      </w:r>
      <w:r>
        <w:t xml:space="preserve">and these companies also more frequently face access to finance difficulties94.</w:t>
      </w:r>
      <w:r>
        <w:t xml:space="preserve"> </w:t>
      </w:r>
      <w:r>
        <w:t xml:space="preserve">The market failure of difficult access to finance for SMEs has been established more generally,</w:t>
      </w:r>
      <w:r>
        <w:t xml:space="preserve"> </w:t>
      </w:r>
      <w:r>
        <w:t xml:space="preserve">across sectors. The Impact Assessment Report on the Commission Guidelines on State aid to</w:t>
      </w:r>
      <w:r>
        <w:t xml:space="preserve"> </w:t>
      </w:r>
      <w:r>
        <w:t xml:space="preserve">promote risk finance investments95 noted (in a more general context) that ‘SMEs, especially</w:t>
      </w:r>
      <w:r>
        <w:t xml:space="preserve"> </w:t>
      </w:r>
      <w:r>
        <w:t xml:space="preserve">when they are young, are often unable to demonstrate their credit-worthiness or the soundness</w:t>
      </w:r>
      <w:r>
        <w:t xml:space="preserve"> </w:t>
      </w:r>
      <w:r>
        <w:t xml:space="preserve">of their business plans to investors’. The 2024 EU Competitiveness report96 highlights the need</w:t>
      </w:r>
      <w:r>
        <w:t xml:space="preserve"> </w:t>
      </w:r>
      <w:r>
        <w:t xml:space="preserve">for targeted support to SMEs.</w:t>
      </w:r>
      <w:r>
        <w:t xml:space="preserve"> </w:t>
      </w:r>
      <w:r>
        <w:t xml:space="preserve">2.3.2. Regulatory failures</w:t>
      </w:r>
      <w:r>
        <w:t xml:space="preserve"> </w:t>
      </w:r>
      <w:r>
        <w:t xml:space="preserve">Problem driver 4: Insufficient internalisation of negative externalities</w:t>
      </w:r>
      <w:r>
        <w:t xml:space="preserve"> </w:t>
      </w:r>
      <w:r>
        <w:t xml:space="preserve">There is currently no legislation nor legislative proposal aiming to fully internalise the external</w:t>
      </w:r>
      <w:r>
        <w:t xml:space="preserve"> </w:t>
      </w:r>
      <w:r>
        <w:t xml:space="preserve">costs in the transport sector. At EU level a pertinent initiative is ETS 2, but it only concerns</w:t>
      </w:r>
      <w:r>
        <w:t xml:space="preserve"> </w:t>
      </w:r>
      <w:r>
        <w:t xml:space="preserve">external costs related to climate, which only account for 10-12% of the overall external cost</w:t>
      </w:r>
      <w:r>
        <w:t xml:space="preserve"> </w:t>
      </w:r>
      <w:r>
        <w:t xml:space="preserve">difference between rail and road passenger transport and for 3-16.5% of the external cost</w:t>
      </w:r>
    </w:p>
    <w:p>
      <w:pPr>
        <w:pStyle w:val="BodyText"/>
      </w:pPr>
      <w:r>
        <w:t xml:space="preserve">91 See for example the analysis made by S&amp;P Global ratings concerning DB in July 2022: ‘We believe strong</w:t>
      </w:r>
      <w:r>
        <w:t xml:space="preserve"> </w:t>
      </w:r>
      <w:r>
        <w:t xml:space="preserve">German</w:t>
      </w:r>
      <w:r>
        <w:t xml:space="preserve"> </w:t>
      </w:r>
      <w:r>
        <w:t xml:space="preserve">state</w:t>
      </w:r>
      <w:r>
        <w:t xml:space="preserve"> </w:t>
      </w:r>
      <w:r>
        <w:t xml:space="preserve">support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reinforce</w:t>
      </w:r>
      <w:r>
        <w:t xml:space="preserve"> </w:t>
      </w:r>
      <w:r>
        <w:t xml:space="preserve">DB’s</w:t>
      </w:r>
      <w:r>
        <w:t xml:space="preserve"> </w:t>
      </w:r>
      <w:r>
        <w:t xml:space="preserve">credit</w:t>
      </w:r>
      <w:r>
        <w:t xml:space="preserve"> </w:t>
      </w:r>
      <w:r>
        <w:t xml:space="preserve">profile’,</w:t>
      </w:r>
      <w:r>
        <w:br/>
      </w:r>
      <w:r>
        <w:t xml:space="preserve">https://ir.deutschebahn.com/fileadmin/Deutsch/2022/Anhaenge/RatingsDirect_ResearchUpdateDeutscheBahnA</w:t>
      </w:r>
      <w:r>
        <w:t xml:space="preserve"> </w:t>
      </w:r>
      <w:r>
        <w:t xml:space="preserve">GOutlookRevisedToStableFromNegativeOnTrafficRecoveryAndStrongStateSupportAAAffirmed_52290630_Jul</w:t>
      </w:r>
      <w:r>
        <w:t xml:space="preserve"> </w:t>
      </w:r>
      <w:r>
        <w:t xml:space="preserve">-29-2022.pdf and further analysis by S&amp;P Global ratings concerning SNCF in October 2020: ‘The proceeds of the</w:t>
      </w:r>
      <w:r>
        <w:t xml:space="preserve"> </w:t>
      </w:r>
      <w:r>
        <w:t xml:space="preserve">capital injection will be transferred to the subsidiary SNCF Réseau [i.e. the infrastructure manager] and, in our</w:t>
      </w:r>
      <w:r>
        <w:t xml:space="preserve"> </w:t>
      </w:r>
      <w:r>
        <w:t xml:space="preserve">view,</w:t>
      </w:r>
      <w:r>
        <w:t xml:space="preserve"> </w:t>
      </w:r>
      <w:r>
        <w:t xml:space="preserve">the</w:t>
      </w:r>
      <w:r>
        <w:t xml:space="preserve"> </w:t>
      </w:r>
      <w:r>
        <w:t xml:space="preserve">support</w:t>
      </w:r>
      <w:r>
        <w:t xml:space="preserve"> </w:t>
      </w:r>
      <w:r>
        <w:t xml:space="preserve">benefits</w:t>
      </w:r>
      <w:r>
        <w:t xml:space="preserve"> </w:t>
      </w:r>
      <w:r>
        <w:t xml:space="preserve">the</w:t>
      </w:r>
      <w:r>
        <w:t xml:space="preserve"> </w:t>
      </w:r>
      <w:r>
        <w:t xml:space="preserve">entire</w:t>
      </w:r>
      <w:r>
        <w:t xml:space="preserve"> </w:t>
      </w:r>
      <w:r>
        <w:t xml:space="preserve">group’,</w:t>
      </w:r>
      <w:r>
        <w:t xml:space="preserve"> </w:t>
      </w:r>
      <w:r>
        <w:t xml:space="preserve">https://www.groupe-sncf.com/medias-publics/2024-</w:t>
      </w:r>
      <w:r>
        <w:t xml:space="preserve"> </w:t>
      </w:r>
      <w:r>
        <w:t xml:space="preserve">03/sp_sncf_ratingsaffirmed.pdf.</w:t>
      </w:r>
      <w:r>
        <w:br/>
      </w:r>
      <w:r>
        <w:t xml:space="preserve">92 17 companies, 8 business associations, 11 public authorities, 4 NGOs, 2 trade unions, 2 EU citizens, 2 other</w:t>
      </w:r>
      <w:r>
        <w:t xml:space="preserve"> </w:t>
      </w:r>
      <w:r>
        <w:t xml:space="preserve">respondents.</w:t>
      </w:r>
      <w:r>
        <w:br/>
      </w:r>
      <w:r>
        <w:t xml:space="preserve">93 16 companies, 8 business associations, 12 public authorities, 4 NGOs, 3 trade unions, 2 EU citizens, 3 other</w:t>
      </w:r>
      <w:r>
        <w:t xml:space="preserve"> </w:t>
      </w:r>
      <w:r>
        <w:t xml:space="preserve">respondents.</w:t>
      </w:r>
      <w:r>
        <w:t xml:space="preserve"> </w:t>
      </w:r>
      <w:r>
        <w:t xml:space="preserve">94 For example, a report found that State guarantees could cover a significant part of the risks on loans provided</w:t>
      </w:r>
      <w:r>
        <w:t xml:space="preserve"> </w:t>
      </w:r>
      <w:r>
        <w:t xml:space="preserve">by commercial banks for the acquisition of vessels and help investment decisions, https://platina3.eu/wp-</w:t>
      </w:r>
      <w:r>
        <w:t xml:space="preserve"> </w:t>
      </w:r>
      <w:r>
        <w:t xml:space="preserve">content/uploads/2022/10/221024_PLATINA3_D2.5_Fundingfinancing-energy-transition-European-IWT-</w:t>
      </w:r>
      <w:r>
        <w:t xml:space="preserve"> </w:t>
      </w:r>
      <w:r>
        <w:t xml:space="preserve">fleet.pdf.</w:t>
      </w:r>
      <w:r>
        <w:br/>
      </w:r>
      <w:r>
        <w:t xml:space="preserve">95 Commission Staff Working Document Impact Assessment Accompanying the document Communication from</w:t>
      </w:r>
      <w:r>
        <w:t xml:space="preserve"> </w:t>
      </w:r>
      <w:r>
        <w:t xml:space="preserve">the Commission Guidelines on State aid to promote risk finance investment SWD(2014) 7:</w:t>
      </w:r>
      <w:r>
        <w:t xml:space="preserve"> </w:t>
      </w:r>
      <w:r>
        <w:t xml:space="preserve">https://ec.europa.eu/smart-regulation/impact/ia_carried_out/docs/ia_2014/swd_2014_0006_en.pdf .</w:t>
      </w:r>
      <w:r>
        <w:br/>
      </w:r>
      <w:r>
        <w:t xml:space="preserve">96 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 of 14 February2024, The 2024 Annual Single Market and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Report,</w:t>
      </w:r>
      <w:r>
        <w:t xml:space="preserve"> </w:t>
      </w:r>
      <w:r>
        <w:t xml:space="preserve">COM/2024/77</w:t>
      </w:r>
      <w:r>
        <w:t xml:space="preserve"> </w:t>
      </w:r>
      <w:r>
        <w:t xml:space="preserve">final: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content/EN/TXT/?uri=CELEX%3A52024DC0077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content/EN/TXT/?uri=CELEX:52024DC0077.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difference between rail or IWW and road freight transport97. Directive 1999/6298 allows</w:t>
      </w:r>
      <w:r>
        <w:t xml:space="preserve"> </w:t>
      </w:r>
      <w:r>
        <w:t xml:space="preserve">Member States to vary toll rates by ‘vehicle emission classes’, but does not require them to do</w:t>
      </w:r>
      <w:r>
        <w:t xml:space="preserve"> </w:t>
      </w:r>
      <w:r>
        <w:t xml:space="preserve">so (nor does it require Member States to apply tolls in the first place).</w:t>
      </w:r>
      <w:r>
        <w:br/>
      </w:r>
      <w:r>
        <w:t xml:space="preserve">Problem driver 5: regulatory barriers to interoperability</w:t>
      </w:r>
      <w:r>
        <w:t xml:space="preserve"> </w:t>
      </w:r>
      <w:r>
        <w:t xml:space="preserve">No EU-wide binding deadline exists for phasing out national signalling systems, which reduces</w:t>
      </w:r>
      <w:r>
        <w:t xml:space="preserve"> </w:t>
      </w:r>
      <w:r>
        <w:t xml:space="preserve">the incentive to upgrade the network infrastructure, since trains can continue to operate under</w:t>
      </w:r>
      <w:r>
        <w:t xml:space="preserve"> </w:t>
      </w:r>
      <w:r>
        <w:t xml:space="preserve">older signalling systems. Even if ERTMS is installed trackside, this set-up may prolong dual-</w:t>
      </w:r>
      <w:r>
        <w:t xml:space="preserve"> </w:t>
      </w:r>
      <w:r>
        <w:t xml:space="preserve">system operations, inflating costs and maintaining cross-border barriers.</w:t>
      </w:r>
      <w:r>
        <w:br/>
      </w:r>
      <w:r>
        <w:t xml:space="preserve">Three different track gauges exist in the EU: the broad gauge, used in the Baltics and Finland</w:t>
      </w:r>
      <w:r>
        <w:t xml:space="preserve"> </w:t>
      </w:r>
      <w:r>
        <w:t xml:space="preserve">(1 520 – 1 524 mm difference between rails), the Iberian broad gauge (1 668 mm) used in Spain</w:t>
      </w:r>
      <w:r>
        <w:t xml:space="preserve"> </w:t>
      </w:r>
      <w:r>
        <w:t xml:space="preserve">and Portugal, and the standard gauge used in rest of the EU (1 435 mm). Different track gauges</w:t>
      </w:r>
      <w:r>
        <w:t xml:space="preserve"> </w:t>
      </w:r>
      <w:r>
        <w:t xml:space="preserve">require transhipment or an axle change, which both add considerable costs. Crossing a border</w:t>
      </w:r>
      <w:r>
        <w:t xml:space="preserve"> </w:t>
      </w:r>
      <w:r>
        <w:t xml:space="preserve">increases the costs of a freight operation by 15-20% on average (see section 2.1.2), but the study</w:t>
      </w:r>
      <w:r>
        <w:t xml:space="preserve"> </w:t>
      </w:r>
      <w:r>
        <w:t xml:space="preserve">found that between France and Spain, costs increase by 38.6% at border crossing points where</w:t>
      </w:r>
      <w:r>
        <w:t xml:space="preserve"> </w:t>
      </w:r>
      <w:r>
        <w:t xml:space="preserve">transhipment is required, and by 73.2% at points where an axle change is required. While there</w:t>
      </w:r>
      <w:r>
        <w:t xml:space="preserve"> </w:t>
      </w:r>
      <w:r>
        <w:t xml:space="preserve">is no requirement to standardise track gauges across the EU, Member States do have to ensure</w:t>
      </w:r>
      <w:r>
        <w:t xml:space="preserve"> </w:t>
      </w:r>
      <w:r>
        <w:t xml:space="preserve">that any new railway line of the core network and the extended core network of the TEN-T</w:t>
      </w:r>
      <w:r>
        <w:t xml:space="preserve"> </w:t>
      </w:r>
      <w:r>
        <w:t xml:space="preserve">network provides for the European standard nominal track gauge of 1 435 mm99. In addition,</w:t>
      </w:r>
      <w:r>
        <w:t xml:space="preserve"> </w:t>
      </w:r>
      <w:r>
        <w:t xml:space="preserve">the military mobility package100 foresees that when upgrading dual-use sections of military</w:t>
      </w:r>
      <w:r>
        <w:t xml:space="preserve"> </w:t>
      </w:r>
      <w:r>
        <w:t xml:space="preserve">mobility corridors, Member States shall prioritise migration to the EU standard gauge101.</w:t>
      </w:r>
      <w:r>
        <w:br/>
      </w:r>
      <w:r>
        <w:t xml:space="preserve">Different electricity systems exist in the EU, both in terms of current type (direct and alternating</w:t>
      </w:r>
      <w:r>
        <w:t xml:space="preserve"> </w:t>
      </w:r>
      <w:r>
        <w:t xml:space="preserve">current), in voltage (varying kilovolt) and frequency levels varying hertz levels for alternating</w:t>
      </w:r>
      <w:r>
        <w:t xml:space="preserve"> </w:t>
      </w:r>
      <w:r>
        <w:t xml:space="preserve">current). According to the study, the main systems in use are 15 kV 16.7 Hz AC, applicable to</w:t>
      </w:r>
      <w:r>
        <w:t xml:space="preserve"> </w:t>
      </w:r>
      <w:r>
        <w:t xml:space="preserve">Germany, Austria, Switzerland, Sweden and Norway; 25 kV 50 Hz AC in Northern France,</w:t>
      </w:r>
      <w:r>
        <w:t xml:space="preserve"> </w:t>
      </w:r>
      <w:r>
        <w:t xml:space="preserve">Portugal and in some parts of Belgium, Netherlands and Luxembourg; 3 kV DC in Italy, Russia,</w:t>
      </w:r>
      <w:r>
        <w:t xml:space="preserve"> </w:t>
      </w:r>
      <w:r>
        <w:t xml:space="preserve">Poland, Spain and Belgium and finally 1.5 kV DC in Southern France and the Netherlands. At</w:t>
      </w:r>
      <w:r>
        <w:t xml:space="preserve"> </w:t>
      </w:r>
      <w:r>
        <w:t xml:space="preserve">this stage, there is no plan at EU level to unify existing voltage systems, although the use of</w:t>
      </w:r>
      <w:r>
        <w:t xml:space="preserve"> </w:t>
      </w:r>
      <w:r>
        <w:t xml:space="preserve">alternating current is mandated for new high-speed rail lines102.</w:t>
      </w:r>
    </w:p>
    <w:p>
      <w:pPr>
        <w:pStyle w:val="BodyText"/>
      </w:pPr>
      <w:r>
        <w:t xml:space="preserve">97 Annex II of the ETS lists the greenhouse gases; CO2, methane and nitrous oxide are relevant to road transport.</w:t>
      </w:r>
      <w:r>
        <w:t xml:space="preserve"> </w:t>
      </w:r>
      <w:r>
        <w:t xml:space="preserve">In the Commission Handbook, these gases are treated as climate costs, and there is no overlap with what the</w:t>
      </w:r>
      <w:r>
        <w:t xml:space="preserve"> </w:t>
      </w:r>
      <w:r>
        <w:t xml:space="preserve">Handbook considers to be air pollution.</w:t>
      </w:r>
      <w:r>
        <w:br/>
      </w:r>
      <w:r>
        <w:t xml:space="preserve">98 Directive 1999/62/EC of the European Parliament and of the Council of 17 June 1999 on the charging of heavy</w:t>
      </w:r>
      <w:r>
        <w:t xml:space="preserve"> </w:t>
      </w:r>
      <w:r>
        <w:t xml:space="preserve">goods vehicles for the use of certain infrastructures, OJ L 187, 20.7.1999, pp. 42–50.</w:t>
      </w:r>
      <w:r>
        <w:br/>
      </w:r>
      <w:r>
        <w:t xml:space="preserve">99 Article 17(1) of Regulation (EU) 2024/1679 of the European Parliament and of the Council of 13 June 2024 on</w:t>
      </w:r>
      <w:r>
        <w:t xml:space="preserve"> </w:t>
      </w:r>
      <w:r>
        <w:t xml:space="preserve">Union guidelines for the development of the trans-European transport network, amending Regulations (EU)</w:t>
      </w:r>
      <w:r>
        <w:t xml:space="preserve"> </w:t>
      </w:r>
      <w:r>
        <w:t xml:space="preserve">2021/1153 and (EU) No 913/2010 and repealing Regulation (EU) No 1315/2013, OJ L, 2024/1679, 28.6.2024.</w:t>
      </w:r>
      <w:r>
        <w:t xml:space="preserve"> </w:t>
      </w:r>
      <w:r>
        <w:t xml:space="preserve">See: https://eur-lex.europa.eu/eli/reg/2024/1679/oj/eng.</w:t>
      </w:r>
      <w:r>
        <w:br/>
      </w:r>
      <w:r>
        <w:t xml:space="preserve">100</w:t>
      </w:r>
      <w:r>
        <w:t xml:space="preserve"> </w:t>
      </w:r>
      <w:r>
        <w:t xml:space="preserve">https://transport.ec.europa.eu/news-events/news/commission-moves-towards-military-schengen-and-</w:t>
      </w:r>
      <w:r>
        <w:t xml:space="preserve"> </w:t>
      </w:r>
      <w:r>
        <w:t xml:space="preserve">transformation-defence-industry-2025-11-19_en.</w:t>
      </w:r>
      <w:r>
        <w:br/>
      </w:r>
      <w:r>
        <w:t xml:space="preserve">101 Proposal for a Regulation of the European Parliament and of the Council on establishing a framework of</w:t>
      </w:r>
      <w:r>
        <w:t xml:space="preserve"> </w:t>
      </w:r>
      <w:r>
        <w:t xml:space="preserve">measures to facilitate the transport of military equipment, goods and personnel across the Union {SWD(2025) 847</w:t>
      </w:r>
      <w:r>
        <w:t xml:space="preserve"> </w:t>
      </w:r>
      <w:r>
        <w:t xml:space="preserve">final},</w:t>
      </w:r>
      <w:r>
        <w:t xml:space="preserve"> </w:t>
      </w:r>
      <w:r>
        <w:t xml:space="preserve">Article</w:t>
      </w:r>
      <w:r>
        <w:t xml:space="preserve"> </w:t>
      </w:r>
      <w:r>
        <w:t xml:space="preserve">32(1).</w:t>
      </w:r>
      <w:r>
        <w:t xml:space="preserve"> </w:t>
      </w:r>
      <w:r>
        <w:t xml:space="preserve">See:</w:t>
      </w:r>
      <w:r>
        <w:t xml:space="preserve"> </w:t>
      </w:r>
      <w:r>
        <w:t xml:space="preserve">https://transport.ec.europa.eu/document/download/4557a31a-0444-4489-a26f-</w:t>
      </w:r>
      <w:r>
        <w:t xml:space="preserve"> </w:t>
      </w:r>
      <w:r>
        <w:t xml:space="preserve">2ef156f10d9f_en?filename=COM_2025_847.pdf.</w:t>
      </w:r>
      <w:r>
        <w:br/>
      </w:r>
      <w:r>
        <w:t xml:space="preserve">102 See Commission Regulation (EU) No 1301/2014 of 18 November 2014 on the technical specifications for</w:t>
      </w:r>
      <w:r>
        <w:t xml:space="preserve"> </w:t>
      </w:r>
      <w:r>
        <w:t xml:space="preserve">interoperability relating to the energy subsystem of the rail system in the Union, OJ L 356 12.12.2014, p. 179,</w:t>
      </w:r>
      <w:r>
        <w:t xml:space="preserve"> </w:t>
      </w:r>
      <w:r>
        <w:t xml:space="preserve">Section</w:t>
      </w:r>
      <w:r>
        <w:t xml:space="preserve"> </w:t>
      </w:r>
      <w:r>
        <w:t xml:space="preserve">4.2.3.</w:t>
      </w:r>
      <w:r>
        <w:t xml:space="preserve"> </w:t>
      </w:r>
      <w:r>
        <w:t xml:space="preserve">A</w:t>
      </w:r>
      <w:r>
        <w:t xml:space="preserve"> </w:t>
      </w:r>
      <w:r>
        <w:t xml:space="preserve">consolidated</w:t>
      </w:r>
      <w:r>
        <w:t xml:space="preserve"> </w:t>
      </w:r>
      <w:r>
        <w:t xml:space="preserve">version</w:t>
      </w:r>
      <w:r>
        <w:t xml:space="preserve"> </w:t>
      </w:r>
      <w:r>
        <w:t xml:space="preserve">is</w:t>
      </w:r>
      <w:r>
        <w:t xml:space="preserve"> </w:t>
      </w:r>
      <w:r>
        <w:t xml:space="preserve">available</w:t>
      </w:r>
      <w:r>
        <w:t xml:space="preserve"> </w:t>
      </w:r>
      <w:r>
        <w:t xml:space="preserve">here: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content/EN/TXT/?uri=CELEX%3A02014R1301-20230928.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If rolling stock is equipped with multi-voltage systems (which adds cost), switching to a</w:t>
      </w:r>
      <w:r>
        <w:t xml:space="preserve"> </w:t>
      </w:r>
      <w:r>
        <w:t xml:space="preserve">different voltage system may cost 5-10 minutes, reducing capacity. If not, a switch of rolling</w:t>
      </w:r>
      <w:r>
        <w:t xml:space="preserve"> </w:t>
      </w:r>
      <w:r>
        <w:t xml:space="preserve">stock is required, adding significantly greater costs and delays103.</w:t>
      </w:r>
      <w:r>
        <w:br/>
      </w:r>
      <w:r>
        <w:t xml:space="preserve">Problem driver 6: State aid rules not suitable to creating modal shift</w:t>
      </w:r>
      <w:r>
        <w:t xml:space="preserve"> </w:t>
      </w:r>
      <w:r>
        <w:t xml:space="preserve">The current State aid legal framework does not sufficiently empower Member States to invest</w:t>
      </w:r>
      <w:r>
        <w:t xml:space="preserve"> </w:t>
      </w:r>
      <w:r>
        <w:t xml:space="preserve">in SLT and generate modal shift, because (i) the scope of the rules is too narrow, (ii) the</w:t>
      </w:r>
      <w:r>
        <w:t xml:space="preserve"> </w:t>
      </w:r>
      <w:r>
        <w:t xml:space="preserve">compatibility conditions are too strict, and (iii) the administrative burdens are high, in particular</w:t>
      </w:r>
      <w:r>
        <w:t xml:space="preserve"> </w:t>
      </w:r>
      <w:r>
        <w:t xml:space="preserve">because every measure has to be notified.</w:t>
      </w:r>
      <w:r>
        <w:br/>
      </w:r>
      <w:r>
        <w:t xml:space="preserve">First, the scope of the RGL is too narrow because it excludes types of aid and modes of transport</w:t>
      </w:r>
      <w:r>
        <w:t xml:space="preserve"> </w:t>
      </w:r>
      <w:r>
        <w:t xml:space="preserve">that contribute to modal shift. The current RGLs only cover (i) the rail sector, to the exclusion</w:t>
      </w:r>
      <w:r>
        <w:t xml:space="preserve"> </w:t>
      </w:r>
      <w:r>
        <w:t xml:space="preserve">of IWW transport and short-sea shipping; (ii) operating and interoperability aid, to the exclusion</w:t>
      </w:r>
      <w:r>
        <w:t xml:space="preserve"> </w:t>
      </w:r>
      <w:r>
        <w:t xml:space="preserve">of other kinds of investment aid such as aid to facilities and private sidings; and (iii) transport</w:t>
      </w:r>
      <w:r>
        <w:t xml:space="preserve"> </w:t>
      </w:r>
      <w:r>
        <w:t xml:space="preserve">operators (i.e. railway undertakings), to the exclusion of transport organisers such as freight</w:t>
      </w:r>
      <w:r>
        <w:t xml:space="preserve"> </w:t>
      </w:r>
      <w:r>
        <w:t xml:space="preserve">forwarders and logistics companies.</w:t>
      </w:r>
      <w:r>
        <w:t xml:space="preserve"> </w:t>
      </w:r>
      <w:r>
        <w:t xml:space="preserve">In the public consultation, 64.8% of respondents104 considered that the scope of the RGL should</w:t>
      </w:r>
      <w:r>
        <w:t xml:space="preserve"> </w:t>
      </w:r>
      <w:r>
        <w:t xml:space="preserve">include other pivotal actors such as IWW transport operators (with clear majorities of public</w:t>
      </w:r>
      <w:r>
        <w:t xml:space="preserve"> </w:t>
      </w:r>
      <w:r>
        <w:t xml:space="preserve">authorities, railway undertakings and civil society in favour). The public consultation also</w:t>
      </w:r>
      <w:r>
        <w:t xml:space="preserve"> </w:t>
      </w:r>
      <w:r>
        <w:t xml:space="preserve">confirmed that the absence of codified rules for State aid to facilities and infrastructure (91%</w:t>
      </w:r>
      <w:r>
        <w:t xml:space="preserve"> </w:t>
      </w:r>
      <w:r>
        <w:t xml:space="preserve">of those expressing a view) is considered a problem by stakeholders. All categories of</w:t>
      </w:r>
      <w:r>
        <w:t xml:space="preserve"> </w:t>
      </w:r>
      <w:r>
        <w:t xml:space="preserve">respondents (business associations, public authorities, civil society and individual businesses)</w:t>
      </w:r>
      <w:r>
        <w:t xml:space="preserve"> </w:t>
      </w:r>
      <w:r>
        <w:t xml:space="preserve">shared this view. Of the fifteen stakeholders105 providing feedback on the IIA, 7 specifically</w:t>
      </w:r>
      <w:r>
        <w:t xml:space="preserve"> </w:t>
      </w:r>
      <w:r>
        <w:t xml:space="preserve">mentioned in their replies that they welcome the proposed broadening of the scope of the rules</w:t>
      </w:r>
      <w:r>
        <w:t xml:space="preserve"> </w:t>
      </w:r>
      <w:r>
        <w:t xml:space="preserve">to cover other actors involved in the multimodal chain, such as logistics operators106.</w:t>
      </w:r>
      <w:r>
        <w:br/>
      </w:r>
      <w:r>
        <w:t xml:space="preserve">The analysis of past decision practice confirms that these other types of aid and beneficiaries</w:t>
      </w:r>
      <w:r>
        <w:t xml:space="preserve"> </w:t>
      </w:r>
      <w:r>
        <w:t xml:space="preserve">are important contributors to modal shift. Out of the about 258 decisions issued between 2008</w:t>
      </w:r>
      <w:r>
        <w:t xml:space="preserve"> </w:t>
      </w:r>
      <w:r>
        <w:t xml:space="preserve">and 2024 as regards SLT, a significant proportion have fallen outside the scope of the RGL</w:t>
      </w:r>
      <w:r>
        <w:t xml:space="preserve"> </w:t>
      </w:r>
      <w:r>
        <w:t xml:space="preserve">(20% of all cases concern IWW, another 20% concern facilities and private sidings and 3.3%</w:t>
      </w:r>
      <w:r>
        <w:t xml:space="preserve"> </w:t>
      </w:r>
      <w:r>
        <w:t xml:space="preserve">the acquisition of vehicles, all of which fall outside the scope of the RGL).</w:t>
      </w:r>
      <w:r>
        <w:t xml:space="preserve"> </w:t>
      </w:r>
      <w:r>
        <w:t xml:space="preserve">The fact that compatibility criteria for the above-mentioned measures are not set out in the</w:t>
      </w:r>
      <w:r>
        <w:t xml:space="preserve"> </w:t>
      </w:r>
      <w:r>
        <w:t xml:space="preserve">RGLs or other instruments and are not readily available for Member States to apply adds to</w:t>
      </w:r>
      <w:r>
        <w:t xml:space="preserve"> </w:t>
      </w:r>
      <w:r>
        <w:t xml:space="preserve">legal uncertainty and administrative burden, since it makes it necessary for Member States to</w:t>
      </w:r>
      <w:r>
        <w:t xml:space="preserve"> </w:t>
      </w:r>
      <w:r>
        <w:t xml:space="preserve">research existing decisional practice and how it has evolved over time.</w:t>
      </w:r>
      <w:r>
        <w:br/>
      </w:r>
      <w:r>
        <w:t xml:space="preserve">Article 93 TFEU provides that aid in the form of public service compensation for land transport</w:t>
      </w:r>
      <w:r>
        <w:t xml:space="preserve"> </w:t>
      </w:r>
      <w:r>
        <w:t xml:space="preserve">shall be compatible with the internal market. The rules on public services in the land transport</w:t>
      </w:r>
      <w:r>
        <w:t xml:space="preserve"> </w:t>
      </w:r>
      <w:r>
        <w:t xml:space="preserve">sector set out in Regulation 1370/2007 apply only to passenger transport, while the existing</w:t>
      </w:r>
      <w:r>
        <w:t xml:space="preserve"> </w:t>
      </w:r>
      <w:r>
        <w:t xml:space="preserve">Commission decision and framework for services of general economic interest (‘SGEI’)107 do</w:t>
      </w:r>
    </w:p>
    <w:p>
      <w:pPr>
        <w:pStyle w:val="BodyText"/>
      </w:pPr>
      <w:r>
        <w:t xml:space="preserve">103 European Union Agency for Railways, Report “Cross-border rail transport potential”, 12 December 2022:</w:t>
      </w:r>
      <w:r>
        <w:t xml:space="preserve"> </w:t>
      </w:r>
      <w:r>
        <w:t xml:space="preserve">https://www.era.europa.eu/system/files/2022-12/20225455_PDFA2A_TR0522377ENA_002.pdf.</w:t>
      </w:r>
      <w:r>
        <w:br/>
      </w:r>
      <w:r>
        <w:t xml:space="preserve">104 9 public authorities, 6 business associations, 18 companies, 3 EU citizens, 4 NGOs, 1 academic institution, 1</w:t>
      </w:r>
      <w:r>
        <w:t xml:space="preserve"> </w:t>
      </w:r>
      <w:r>
        <w:t xml:space="preserve">trade union and 4 other respondents.</w:t>
      </w:r>
      <w:r>
        <w:t xml:space="preserve"> </w:t>
      </w:r>
      <w:r>
        <w:t xml:space="preserve">105 7 business associations, 3 companies, 2 EU citizens, a research institution and 2 other respondents.</w:t>
      </w:r>
      <w:r>
        <w:br/>
      </w:r>
      <w:r>
        <w:t xml:space="preserve">106 3 business associations, 1 regional public entity, 1 navigation authority, 1 company and 1 EU citizen.</w:t>
      </w:r>
      <w:r>
        <w:br/>
      </w:r>
      <w:r>
        <w:t xml:space="preserve">107 Commission Decision of 20 December 2011 on the application of Article 106(2) of the Treaty on the</w:t>
      </w:r>
      <w:r>
        <w:t xml:space="preserve"> </w:t>
      </w:r>
      <w:r>
        <w:t xml:space="preserve">Functioning of the European Union to State aid in the form of public service compensation granted to certain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not apply to land transport. Rail freight is thus one of the few (if not the only) economic sectors</w:t>
      </w:r>
      <w:r>
        <w:t xml:space="preserve"> </w:t>
      </w:r>
      <w:r>
        <w:t xml:space="preserve">with no secondary legislation on how to assess compensation for public services under State</w:t>
      </w:r>
      <w:r>
        <w:t xml:space="preserve"> </w:t>
      </w:r>
      <w:r>
        <w:t xml:space="preserve">aid rules. There has so far only been one decision108 adopted as regards rail freight PSOs.</w:t>
      </w:r>
      <w:r>
        <w:br/>
      </w:r>
      <w:r>
        <w:t xml:space="preserve">Respondents to the public consultation were split as regards the rules for rail freight public</w:t>
      </w:r>
      <w:r>
        <w:t xml:space="preserve"> </w:t>
      </w:r>
      <w:r>
        <w:t xml:space="preserve">services: while the majority (32)109 of respondents abstained from giving an opinion, 16 were</w:t>
      </w:r>
      <w:r>
        <w:t xml:space="preserve"> </w:t>
      </w:r>
      <w:r>
        <w:t xml:space="preserve">in favour of introducing State aid rules regarding rail freight public services110 and 23 against111.</w:t>
      </w:r>
      <w:r>
        <w:br/>
      </w:r>
      <w:r>
        <w:t xml:space="preserve">Second, the compatibility conditions of the RGL are too strict to enable a level playing field</w:t>
      </w:r>
      <w:r>
        <w:t xml:space="preserve"> </w:t>
      </w:r>
      <w:r>
        <w:t xml:space="preserve">between SLT and road transport.</w:t>
      </w:r>
      <w:r>
        <w:br/>
      </w:r>
      <w:r>
        <w:t xml:space="preserve">For example, to address the market failures faced by operators implementing interoperability</w:t>
      </w:r>
      <w:r>
        <w:t xml:space="preserve"> </w:t>
      </w:r>
      <w:r>
        <w:t xml:space="preserve">investments, the RGL in section 6 allow in principle aid up to a threshold of 50% of the</w:t>
      </w:r>
      <w:r>
        <w:t xml:space="preserve"> </w:t>
      </w:r>
      <w:r>
        <w:t xml:space="preserve">interoperability investment costs (so-called eligible costs; other conditions also apply)112.</w:t>
      </w:r>
      <w:r>
        <w:t xml:space="preserve"> </w:t>
      </w:r>
      <w:r>
        <w:t xml:space="preserve">However, this aid intensity appears to have been insufficient, and the Commission has accepted</w:t>
      </w:r>
      <w:r>
        <w:t xml:space="preserve"> </w:t>
      </w:r>
      <w:r>
        <w:t xml:space="preserve">aid intensities for interoperability investments higher than 50% in at least 12 cases, in some</w:t>
      </w:r>
      <w:r>
        <w:t xml:space="preserve"> </w:t>
      </w:r>
      <w:r>
        <w:t xml:space="preserve">cases even up to 100%.</w:t>
      </w:r>
      <w:r>
        <w:t xml:space="preserve"> </w:t>
      </w:r>
      <w:r>
        <w:t xml:space="preserve">The consultations confirmed the inadequacy of the current rules. In response to the IIA, 20%</w:t>
      </w:r>
      <w:r>
        <w:t xml:space="preserve"> </w:t>
      </w:r>
      <w:r>
        <w:t xml:space="preserve">of the stakeholders (3 out of 15) noted, without being asked specifically about this topic, that</w:t>
      </w:r>
      <w:r>
        <w:t xml:space="preserve"> </w:t>
      </w:r>
      <w:r>
        <w:t xml:space="preserve">current aid intensities113 are too low, calling for an aid intensity of 100% for interoperability</w:t>
      </w:r>
      <w:r>
        <w:t xml:space="preserve"> </w:t>
      </w:r>
      <w:r>
        <w:t xml:space="preserve">aid114. The public consultation confirmed this view with 67% of respondents considering the</w:t>
      </w:r>
      <w:r>
        <w:t xml:space="preserve"> </w:t>
      </w:r>
      <w:r>
        <w:t xml:space="preserve">interoperability aid intensity too low and 66% considering the operating aid intensity too low115.</w:t>
      </w:r>
      <w:r>
        <w:br/>
      </w:r>
      <w:r>
        <w:t xml:space="preserve">Another example are the rules contained by the RGL that allow to address the market failure</w:t>
      </w:r>
      <w:r>
        <w:t xml:space="preserve"> </w:t>
      </w:r>
      <w:r>
        <w:t xml:space="preserve">created by the lack of internalisation of external costs. Specifically, the RGL allow aid up to</w:t>
      </w:r>
      <w:r>
        <w:t xml:space="preserve"> </w:t>
      </w:r>
      <w:r>
        <w:t xml:space="preserve">50% of the avoided external costs116 and 100% of the additional infrastructure costs, with a</w:t>
      </w:r>
      <w:r>
        <w:t xml:space="preserve"> </w:t>
      </w:r>
      <w:r>
        <w:t xml:space="preserve">combined ceiling of 30% of the total cost of rail transport (other conditions also apply).</w:t>
      </w:r>
      <w:r>
        <w:br/>
      </w:r>
      <w:r>
        <w:t xml:space="preserve">In their response to the public consultation, stakeholders considered that these aid ceilings are</w:t>
      </w:r>
      <w:r>
        <w:t xml:space="preserve"> </w:t>
      </w:r>
      <w:r>
        <w:t xml:space="preserve">insufficient to make rail and IWW transport competitive vis-à-vis road transport: 80% of the</w:t>
      </w:r>
    </w:p>
    <w:p>
      <w:pPr>
        <w:pStyle w:val="BodyText"/>
      </w:pPr>
      <w:r>
        <w:t xml:space="preserve">undertakings entrusted with the operation of services of general economic interest, OJ L 7, 11.1.2012.</w:t>
      </w:r>
      <w:r>
        <w:t xml:space="preserve"> </w:t>
      </w:r>
      <w:r>
        <w:t xml:space="preserve">Communication from the Commission — European Union framework for State aid in the form of public service</w:t>
      </w:r>
      <w:r>
        <w:t xml:space="preserve"> </w:t>
      </w:r>
      <w:r>
        <w:t xml:space="preserve">compensation, OJ C 8, 11.1.2012, (‘the SGEI Framework’). Under the general SGEIs principles, Member States</w:t>
      </w:r>
      <w:r>
        <w:t xml:space="preserve"> </w:t>
      </w:r>
      <w:r>
        <w:t xml:space="preserve">may entrust an undertaking with a public service obligation to the extent that there is a genuine need for the service,</w:t>
      </w:r>
      <w:r>
        <w:t xml:space="preserve"> </w:t>
      </w:r>
      <w:r>
        <w:t xml:space="preserve">which is not being provided or not provided satisfactorily (e.g. in terms of price or quality) by undertakings</w:t>
      </w:r>
      <w:r>
        <w:t xml:space="preserve"> </w:t>
      </w:r>
      <w:r>
        <w:t xml:space="preserve">operating under normal market conditions.</w:t>
      </w:r>
      <w:r>
        <w:t xml:space="preserve"> </w:t>
      </w:r>
      <w:r>
        <w:t xml:space="preserve">108 Decision of 24 November 2023 in case SA.32953 Italy: State aid to Trenitalia in form of compensation for a</w:t>
      </w:r>
      <w:r>
        <w:t xml:space="preserve"> </w:t>
      </w:r>
      <w:r>
        <w:t xml:space="preserve">public service obligation in the rail freight sector, OJ L, 2024/2860, 18.11.2024.</w:t>
      </w:r>
      <w:r>
        <w:t xml:space="preserve"> </w:t>
      </w:r>
      <w:r>
        <w:t xml:space="preserve">109 3 business associations, 10 public authorities, 7 companies, 2 trade unions, 1 academic institution, 3 EU citizens,</w:t>
      </w:r>
      <w:r>
        <w:t xml:space="preserve"> </w:t>
      </w:r>
      <w:r>
        <w:t xml:space="preserve">3 NGOs, 3 other respondents.</w:t>
      </w:r>
      <w:r>
        <w:t xml:space="preserve"> </w:t>
      </w:r>
      <w:r>
        <w:t xml:space="preserve">110 3 business associations, 2 public authorities, 8 companies, 1 trade union, 1 NGO, 1 other respondent.</w:t>
      </w:r>
      <w:r>
        <w:t xml:space="preserve"> </w:t>
      </w:r>
      <w:r>
        <w:t xml:space="preserve">111 6 business associations, 4 public authorities, 10 companies, 1 NGO, 2 other respondents.</w:t>
      </w:r>
      <w:r>
        <w:t xml:space="preserve"> </w:t>
      </w:r>
      <w:r>
        <w:t xml:space="preserve">112 Details of the compatibility conditions of section 6 of the RGL are set out in Annex 10.</w:t>
      </w:r>
      <w:r>
        <w:t xml:space="preserve"> </w:t>
      </w:r>
      <w:r>
        <w:t xml:space="preserve">113 An aid intensity is a way to calculate the maximum permissible aid amount as a percentage of the total eligible</w:t>
      </w:r>
      <w:r>
        <w:t xml:space="preserve"> </w:t>
      </w:r>
      <w:r>
        <w:t xml:space="preserve">cost. For example, an investment measure with a maximum aid intensity of 50% means that aid for an investment</w:t>
      </w:r>
      <w:r>
        <w:t xml:space="preserve"> </w:t>
      </w:r>
      <w:r>
        <w:t xml:space="preserve">of EUR 10 million can reach a maximum of EUR 5 million, i.e. 50% of the investment costs of said investment.</w:t>
      </w:r>
      <w:r>
        <w:t xml:space="preserve"> </w:t>
      </w:r>
      <w:r>
        <w:t xml:space="preserve">114 2 business associations, 1 company.</w:t>
      </w:r>
      <w:r>
        <w:br/>
      </w:r>
      <w:r>
        <w:t xml:space="preserve">115 9 business associations, 18 companies, 10 public authorities, 1 academic institution, 2 EU citizens, 2 NGOs, 2</w:t>
      </w:r>
      <w:r>
        <w:t xml:space="preserve"> </w:t>
      </w:r>
      <w:r>
        <w:t xml:space="preserve">trade unions, 4 other respondents.</w:t>
      </w:r>
      <w:r>
        <w:t xml:space="preserve"> </w:t>
      </w:r>
      <w:r>
        <w:t xml:space="preserve">116 Higher percentages can be accepted based on specific justification, so far accepted in four decisions.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respondents (56 out of 70)117, including majorities across all categories of respondents,</w:t>
      </w:r>
      <w:r>
        <w:t xml:space="preserve"> </w:t>
      </w:r>
      <w:r>
        <w:t xml:space="preserve">considered that the total cost ceiling was too low.</w:t>
      </w:r>
      <w:r>
        <w:t xml:space="preserve"> </w:t>
      </w:r>
      <w:r>
        <w:t xml:space="preserve">The study118 corroborates the stakeholder views. It finds that the 50% threshold for the external</w:t>
      </w:r>
      <w:r>
        <w:t xml:space="preserve"> </w:t>
      </w:r>
      <w:r>
        <w:t xml:space="preserve">cost differential that can be covered by aid would, in most analysed Member States119, not be</w:t>
      </w:r>
      <w:r>
        <w:t xml:space="preserve"> </w:t>
      </w:r>
      <w:r>
        <w:t xml:space="preserve">sufficient to cover the cost differential between rail and road freight.</w:t>
      </w:r>
      <w:r>
        <w:br/>
      </w:r>
      <w:r>
        <w:t xml:space="preserve">Finally, industry stakeholders and Member States have regularly called for the introduction of</w:t>
      </w:r>
      <w:r>
        <w:t xml:space="preserve"> </w:t>
      </w:r>
      <w:r>
        <w:t xml:space="preserve">a block exemption120, which exists for most other sectors, to reduce the administrative burdens</w:t>
      </w:r>
      <w:r>
        <w:t xml:space="preserve"> </w:t>
      </w:r>
      <w:r>
        <w:t xml:space="preserve">associated to the notification procedure. Each notification procedure requires multiple</w:t>
      </w:r>
      <w:r>
        <w:t xml:space="preserve"> </w:t>
      </w:r>
      <w:r>
        <w:t xml:space="preserve">exchanges between the Commission services and Member State authorities to gather the</w:t>
      </w:r>
      <w:r>
        <w:t xml:space="preserve"> </w:t>
      </w:r>
      <w:r>
        <w:t xml:space="preserve">necessary data with a view to ascertaining that the compatibility criteria are satisfied. Industry</w:t>
      </w:r>
      <w:r>
        <w:t xml:space="preserve"> </w:t>
      </w:r>
      <w:r>
        <w:t xml:space="preserve">faces uncertainty and delays, resulting in opportunity costs.</w:t>
      </w:r>
      <w:r>
        <w:br/>
      </w:r>
      <w:r>
        <w:t xml:space="preserve">Yet the Commission has a long-standing practice concerning certain support measures for SLT</w:t>
      </w:r>
      <w:r>
        <w:t xml:space="preserve"> </w:t>
      </w:r>
      <w:r>
        <w:t xml:space="preserve">with limited distortion risk. As established in the Fitness Check, certain categories of cases</w:t>
      </w:r>
      <w:r>
        <w:t xml:space="preserve"> </w:t>
      </w:r>
      <w:r>
        <w:t xml:space="preserve">concerning aid to rail and other SLT sectors have routinely led to non-objection decisions (in</w:t>
      </w:r>
      <w:r>
        <w:t xml:space="preserve"> </w:t>
      </w:r>
      <w:r>
        <w:t xml:space="preserve">particular aid for external costs reduction, aid for infrastructure use and aid for interoperability,</w:t>
      </w:r>
      <w:r>
        <w:t xml:space="preserve"> </w:t>
      </w:r>
      <w:r>
        <w:t xml:space="preserve">but also aid for facilities such as intermodal terminals and private sidings). For such measures,</w:t>
      </w:r>
      <w:r>
        <w:t xml:space="preserve"> </w:t>
      </w:r>
      <w:r>
        <w:t xml:space="preserve">compatibility conditions could be laid down in a block exemption.</w:t>
      </w:r>
      <w:r>
        <w:t xml:space="preserve"> </w:t>
      </w:r>
      <w:r>
        <w:t xml:space="preserve">More information on the potential administrative savings of a block exemption, including</w:t>
      </w:r>
      <w:r>
        <w:t xml:space="preserve"> </w:t>
      </w:r>
      <w:r>
        <w:t xml:space="preserve">opportunity cost savings for businesses, is provided in Annex 8. According to the data in Annex</w:t>
      </w:r>
      <w:r>
        <w:t xml:space="preserve"> </w:t>
      </w:r>
      <w:r>
        <w:t xml:space="preserve">8, over the 2022-2024 period the opportunity cost savings to businesses of a block exemption</w:t>
      </w:r>
      <w:r>
        <w:t xml:space="preserve"> </w:t>
      </w:r>
      <w:r>
        <w:t xml:space="preserve">would have been equivalent to a 0.6% increase in State aid spending.</w:t>
      </w:r>
      <w:r>
        <w:br/>
      </w:r>
      <w:r>
        <w:t xml:space="preserve">2.4.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The problem identified in Section 2.1 will persist unless specifically addressed among others</w:t>
      </w:r>
      <w:r>
        <w:t xml:space="preserve"> </w:t>
      </w:r>
      <w:r>
        <w:t xml:space="preserve">by the current revision of the State aid rules, i.e. the present initiative.</w:t>
      </w:r>
      <w:r>
        <w:br/>
      </w:r>
      <w:r>
        <w:t xml:space="preserve">As set out in Section 2.1, the modal share of SLT is low and has been stagnating. According to</w:t>
      </w:r>
      <w:r>
        <w:t xml:space="preserve"> </w:t>
      </w:r>
      <w:r>
        <w:t xml:space="preserve">the 2022 Strategic Foresight Report121, the demand for transport will continue to grow in view</w:t>
      </w:r>
      <w:r>
        <w:t xml:space="preserve"> </w:t>
      </w:r>
      <w:r>
        <w:t xml:space="preserve">of forecasted population growth and higher living standards. In the EU, road passenger and</w:t>
      </w:r>
      <w:r>
        <w:t xml:space="preserve"> </w:t>
      </w:r>
      <w:r>
        <w:t xml:space="preserve">freight transport are expected to grow by around 21% and 45% respectively by 2050.</w:t>
      </w:r>
      <w:r>
        <w:br/>
      </w:r>
      <w:r>
        <w:t xml:space="preserve">Some recent market or policy developments could help to increase market efficiencies and bring</w:t>
      </w:r>
      <w:r>
        <w:t xml:space="preserve"> </w:t>
      </w:r>
      <w:r>
        <w:t xml:space="preserve">about market-driven investments. For example, the effects of the obligatory tendering of public</w:t>
      </w:r>
      <w:r>
        <w:t xml:space="preserve"> </w:t>
      </w:r>
      <w:r>
        <w:t xml:space="preserve">service contracts in the rail passenger transport sector will unfold over the next years, when the</w:t>
      </w:r>
      <w:r>
        <w:t xml:space="preserve"> </w:t>
      </w:r>
      <w:r>
        <w:t xml:space="preserve">last directly awarded contracts will run out. It will give the possibility to all railway</w:t>
      </w:r>
      <w:r>
        <w:t xml:space="preserve"> </w:t>
      </w:r>
      <w:r>
        <w:t xml:space="preserve">undertakings to bid for public service contracts and is likely to attract some private investments</w:t>
      </w:r>
      <w:r>
        <w:t xml:space="preserve"> </w:t>
      </w:r>
      <w:r>
        <w:t xml:space="preserve">in the passenger rail transport sector. Another example is the introduction of the ETS2, i.e. an</w:t>
      </w:r>
      <w:r>
        <w:t xml:space="preserve"> </w:t>
      </w:r>
      <w:r>
        <w:t xml:space="preserve">emission trading system for the road sector, to be introduced at the earliest in 2027. ETS2 will</w:t>
      </w:r>
    </w:p>
    <w:p>
      <w:pPr>
        <w:pStyle w:val="BodyText"/>
      </w:pPr>
      <w:r>
        <w:t xml:space="preserve">117 22 companies, 9 business associations, 10 public authorities, 1 academic institution, 5 NGOs, 2 EU citizens, 2</w:t>
      </w:r>
      <w:r>
        <w:t xml:space="preserve"> </w:t>
      </w:r>
      <w:r>
        <w:t xml:space="preserve">trade unions, 5 other respondents.</w:t>
      </w:r>
      <w:r>
        <w:t xml:space="preserve"> </w:t>
      </w:r>
      <w:r>
        <w:t xml:space="preserve">118 Pages 151-155.</w:t>
      </w:r>
      <w:r>
        <w:t xml:space="preserve"> </w:t>
      </w:r>
      <w:r>
        <w:t xml:space="preserve">119 Austria, Czechia, Germany, Italy, Lithuania, Poland, Romania, Slovakia and Spain.</w:t>
      </w:r>
      <w:r>
        <w:t xml:space="preserve"> </w:t>
      </w:r>
      <w:r>
        <w:t xml:space="preserve">120 Fitness Check, Annex 8, p. 139 (footnote 43).</w:t>
      </w:r>
      <w:r>
        <w:t xml:space="preserve"> </w:t>
      </w:r>
      <w:r>
        <w:t xml:space="preserve">121 Communication from the Commission to the European Parliament and the Council, 2022 Strategic Foresight</w:t>
      </w:r>
      <w:r>
        <w:t xml:space="preserve"> </w:t>
      </w:r>
      <w:r>
        <w:t xml:space="preserve">Report, COM 2022 289 final.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increase the costs of road transport and could conversely increase the competitiveness of more</w:t>
      </w:r>
      <w:r>
        <w:t xml:space="preserve"> </w:t>
      </w:r>
      <w:r>
        <w:t xml:space="preserve">sustainable transport modes, which could thus attract more private investments.</w:t>
      </w:r>
      <w:r>
        <w:br/>
      </w:r>
      <w:r>
        <w:t xml:space="preserve">However, these regulatory and market developments are not a panacea. The profit margins in</w:t>
      </w:r>
      <w:r>
        <w:t xml:space="preserve"> </w:t>
      </w:r>
      <w:r>
        <w:t xml:space="preserve">the rail sector are low, so the obligation to tender public service contracts is not likely to attract</w:t>
      </w:r>
      <w:r>
        <w:t xml:space="preserve"> </w:t>
      </w:r>
      <w:r>
        <w:t xml:space="preserve">massive investments in the sector. As to the ETS2, its actual implementation start is uncertain,</w:t>
      </w:r>
      <w:r>
        <w:t xml:space="preserve"> </w:t>
      </w:r>
      <w:r>
        <w:t xml:space="preserve">as outlined in section 1.2. In addition, this system would only help address a limited part of the</w:t>
      </w:r>
      <w:r>
        <w:t xml:space="preserve"> </w:t>
      </w:r>
      <w:r>
        <w:t xml:space="preserve">market failure regarding the non-internalisation of external costs, since it would help internalise</w:t>
      </w:r>
      <w:r>
        <w:t xml:space="preserve"> </w:t>
      </w:r>
      <w:r>
        <w:t xml:space="preserve">only climate costs.</w:t>
      </w:r>
      <w:r>
        <w:br/>
      </w:r>
      <w:r>
        <w:t xml:space="preserve">Therefore, the market inefficiencies relating to a large part of the external costs, as well as the</w:t>
      </w:r>
      <w:r>
        <w:t xml:space="preserve"> </w:t>
      </w:r>
      <w:r>
        <w:t xml:space="preserve">coordination and access to finance issues that hamper the development of SLT (not addressed</w:t>
      </w:r>
      <w:r>
        <w:t xml:space="preserve"> </w:t>
      </w:r>
      <w:r>
        <w:t xml:space="preserve">by any ongoing or planned regulatory developments) are expected to continue.</w:t>
      </w:r>
      <w:r>
        <w:br/>
      </w:r>
      <w:r>
        <w:t xml:space="preserve">State aid, designed to be limited to the minimum necessary, is complementary to market-driven</w:t>
      </w:r>
      <w:r>
        <w:t xml:space="preserve"> </w:t>
      </w:r>
      <w:r>
        <w:t xml:space="preserve">investments. It is expected to crowd in private investment by being granted when necessary to</w:t>
      </w:r>
      <w:r>
        <w:t xml:space="preserve"> </w:t>
      </w:r>
      <w:r>
        <w:t xml:space="preserve">unlock private investments. For example, the definition of the amount of permissible aid to</w:t>
      </w:r>
      <w:r>
        <w:t xml:space="preserve"> </w:t>
      </w:r>
      <w:r>
        <w:t xml:space="preserve">investments in facilities and private sidings will be based in principle on a funding gap122</w:t>
      </w:r>
      <w:r>
        <w:t xml:space="preserve"> </w:t>
      </w:r>
      <w:r>
        <w:t xml:space="preserve">analysis checking that aid is indispensable and that it is limited to what is necessary for the</w:t>
      </w:r>
      <w:r>
        <w:t xml:space="preserve"> </w:t>
      </w:r>
      <w:r>
        <w:t xml:space="preserve">investment to go ahead. Similarly, limiting the aid for the acquisition of vehicles only to</w:t>
      </w:r>
      <w:r>
        <w:t xml:space="preserve"> </w:t>
      </w:r>
      <w:r>
        <w:t xml:space="preserve">guarantees means that the aid beneficiaries still must find financing on the market and pay it</w:t>
      </w:r>
      <w:r>
        <w:t xml:space="preserve"> </w:t>
      </w:r>
      <w:r>
        <w:t xml:space="preserve">off themselves.</w:t>
      </w:r>
      <w:r>
        <w:t xml:space="preserve"> </w:t>
      </w:r>
      <w:r>
        <w:t xml:space="preserve">As regards specifically the regulatory failure related to the sub-optimal design of State aid rules</w:t>
      </w:r>
      <w:r>
        <w:t xml:space="preserve"> </w:t>
      </w:r>
      <w:r>
        <w:t xml:space="preserve">applicable to SLT, this would continue absent the initiative. First, even though additional types</w:t>
      </w:r>
      <w:r>
        <w:t xml:space="preserve"> </w:t>
      </w:r>
      <w:r>
        <w:t xml:space="preserve">of aid and aid to different actors than the ones specified in the RGL have been approved directly</w:t>
      </w:r>
      <w:r>
        <w:t xml:space="preserve"> </w:t>
      </w:r>
      <w:r>
        <w:t xml:space="preserve">under Article 93 of the Treaty, the full set of measures and actors eligible for aid would not be</w:t>
      </w:r>
      <w:r>
        <w:t xml:space="preserve"> </w:t>
      </w:r>
      <w:r>
        <w:t xml:space="preserve">codified and would therefore remain untransparent for Member States and companies.</w:t>
      </w:r>
      <w:r>
        <w:br/>
      </w:r>
      <w:r>
        <w:t xml:space="preserve">Second, as regards the conditions applied for assessing compatibility, for those measures falling</w:t>
      </w:r>
      <w:r>
        <w:t xml:space="preserve"> </w:t>
      </w:r>
      <w:r>
        <w:t xml:space="preserve">within the RGL, no adaptation would be possible without a modification of the RGL. Aid</w:t>
      </w:r>
      <w:r>
        <w:t xml:space="preserve"> </w:t>
      </w:r>
      <w:r>
        <w:t xml:space="preserve">possibilities would therefore remain insufficient. Moreover, for measures not falling within the</w:t>
      </w:r>
      <w:r>
        <w:t xml:space="preserve"> </w:t>
      </w:r>
      <w:r>
        <w:t xml:space="preserve">RGL today, the only option outside the proposed revision of the rules would be the adjustment</w:t>
      </w:r>
      <w:r>
        <w:t xml:space="preserve"> </w:t>
      </w:r>
      <w:r>
        <w:t xml:space="preserve">of case practice on a case-by-case basis. This would be burdensome and untransparent for</w:t>
      </w:r>
      <w:r>
        <w:t xml:space="preserve"> </w:t>
      </w:r>
      <w:r>
        <w:t xml:space="preserve">Member States and companies. Moreover, over time it would risk generating an inconsistent</w:t>
      </w:r>
      <w:r>
        <w:t xml:space="preserve"> </w:t>
      </w:r>
      <w:r>
        <w:t xml:space="preserve">case practice to the detriment of the level playing field in the internal market and competition.</w:t>
      </w:r>
      <w:r>
        <w:t xml:space="preserve"> </w:t>
      </w:r>
      <w:r>
        <w:t xml:space="preserve">Finally, with respect to the administrative burden, absent a specific dedicated block exemption</w:t>
      </w:r>
      <w:r>
        <w:t xml:space="preserve"> </w:t>
      </w:r>
      <w:r>
        <w:t xml:space="preserve">and codification of rules for a larger set of measures in the revised GLs, the current situation of</w:t>
      </w:r>
      <w:r>
        <w:t xml:space="preserve"> </w:t>
      </w:r>
      <w:r>
        <w:t xml:space="preserve">an obligation to notify virtually all State aid measures in the sector and to carry out assessments</w:t>
      </w:r>
      <w:r>
        <w:t xml:space="preserve"> </w:t>
      </w:r>
      <w:r>
        <w:t xml:space="preserve">on the basis of either outdated rules or a variety of case practice, which developed over the</w:t>
      </w:r>
      <w:r>
        <w:t xml:space="preserve"> </w:t>
      </w:r>
      <w:r>
        <w:t xml:space="preserve">years, will keep the administrative burden high, raising the cost of aid schemes and discouraging</w:t>
      </w:r>
      <w:r>
        <w:t xml:space="preserve"> </w:t>
      </w:r>
      <w:r>
        <w:t xml:space="preserve">Member States from putting them into place.</w:t>
      </w:r>
      <w:r>
        <w:br/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As indicated in section 1.1, the Commission has exclusive competence for setting out the</w:t>
      </w:r>
      <w:r>
        <w:t xml:space="preserve"> </w:t>
      </w:r>
      <w:r>
        <w:t xml:space="preserve">conditions under which State aid may be considered to be compatible with the internal market.</w:t>
      </w:r>
      <w:r>
        <w:t xml:space="preserve"> </w:t>
      </w:r>
      <w:r>
        <w:t xml:space="preserve">Therefore, by definition, action at national level is not possible.</w:t>
      </w:r>
    </w:p>
    <w:p>
      <w:pPr>
        <w:pStyle w:val="BodyText"/>
      </w:pPr>
      <w:r>
        <w:t xml:space="preserve">122 A funding gap calculation estimates all expected revenues and costs of an investment, discounting them to the</w:t>
      </w:r>
      <w:r>
        <w:t xml:space="preserve"> </w:t>
      </w:r>
      <w:r>
        <w:t xml:space="preserve">current date to determine which amount of money is missing to make the investment sufficiently attractive for a</w:t>
      </w:r>
      <w:r>
        <w:t xml:space="preserve"> </w:t>
      </w:r>
      <w:r>
        <w:t xml:space="preserve">private investor to engage in it. The missing amount of money is called the funding gap.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The general objective of the revision of the RGL and the adoption of the TBER is to increase</w:t>
      </w:r>
      <w:r>
        <w:t xml:space="preserve"> </w:t>
      </w:r>
      <w:r>
        <w:t xml:space="preserve">the modal share of SLT, in line with Green Deal and SSMS targets.</w:t>
      </w:r>
      <w:r>
        <w:br/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initiative will contribute to the achievement of the general objective by pursuing the</w:t>
      </w:r>
      <w:r>
        <w:t xml:space="preserve"> </w:t>
      </w:r>
      <w:r>
        <w:t xml:space="preserve">following four specific objectives:</w:t>
      </w:r>
      <w:r>
        <w:t xml:space="preserve"> </w:t>
      </w:r>
      <w:r>
        <w:t xml:space="preserve">Specific objective 1: Reduce the external cost gap between road and SLT (SO1)</w:t>
      </w:r>
      <w:r>
        <w:t xml:space="preserve"> </w:t>
      </w:r>
      <w:r>
        <w:t xml:space="preserve">As described in section 2.3, the most severe market failure affecting the competitiveness of SLT</w:t>
      </w:r>
      <w:r>
        <w:t xml:space="preserve"> </w:t>
      </w:r>
      <w:r>
        <w:t xml:space="preserve">is the lack of internalisation of external costs in land transport. The revised rules concerning</w:t>
      </w:r>
      <w:r>
        <w:t xml:space="preserve"> </w:t>
      </w:r>
      <w:r>
        <w:t xml:space="preserve">State aid to SLT should contribute to reducing the external cost gap between road and SLT. The</w:t>
      </w:r>
      <w:r>
        <w:t xml:space="preserve"> </w:t>
      </w:r>
      <w:r>
        <w:t xml:space="preserve">improvement of the overall competitiveness of SLT should then also contribute to the other</w:t>
      </w:r>
      <w:r>
        <w:t xml:space="preserve"> </w:t>
      </w:r>
      <w:r>
        <w:t xml:space="preserve">specific objectives; for example, a modal shift generated by cheaper SLT services could</w:t>
      </w:r>
      <w:r>
        <w:t xml:space="preserve"> </w:t>
      </w:r>
      <w:r>
        <w:t xml:space="preserve">increase demand for facilities, lowering the barrier to profitability for such infrastructure.</w:t>
      </w:r>
      <w:r>
        <w:br/>
      </w:r>
      <w:r>
        <w:t xml:space="preserve">Specific objective 2: Accelerate the rollout of interoperability technologies (SO2)</w:t>
      </w:r>
      <w:r>
        <w:t xml:space="preserve"> </w:t>
      </w:r>
      <w:r>
        <w:t xml:space="preserve">The revised rules on State aid to SLT should contribute to incentivising a faster and wider</w:t>
      </w:r>
      <w:r>
        <w:t xml:space="preserve"> </w:t>
      </w:r>
      <w:r>
        <w:t xml:space="preserve">rollout of interoperability technologies, to increase productivity and safety while lowering</w:t>
      </w:r>
      <w:r>
        <w:t xml:space="preserve"> </w:t>
      </w:r>
      <w:r>
        <w:t xml:space="preserve">costs. The wide adoption of interoperability technologies such as ERTMS and DAC could</w:t>
      </w:r>
      <w:r>
        <w:t xml:space="preserve"> </w:t>
      </w:r>
      <w:r>
        <w:t xml:space="preserve">increase productivity and lower costs significantly. Fewer separate systems e.g. for controlling</w:t>
      </w:r>
      <w:r>
        <w:t xml:space="preserve"> </w:t>
      </w:r>
      <w:r>
        <w:t xml:space="preserve">and signalling could increase economies of scale (more unified vehicles in manufacturing) and</w:t>
      </w:r>
      <w:r>
        <w:t xml:space="preserve"> </w:t>
      </w:r>
      <w:r>
        <w:t xml:space="preserve">lower vehicle costs, which would facilitate access to vehicles for SMEs and new entrants, thus</w:t>
      </w:r>
      <w:r>
        <w:t xml:space="preserve"> </w:t>
      </w:r>
      <w:r>
        <w:t xml:space="preserve">creating synergies with SO3. The wide adoption of DAC would lower siding and shunting costs</w:t>
      </w:r>
      <w:r>
        <w:t xml:space="preserve"> </w:t>
      </w:r>
      <w:r>
        <w:t xml:space="preserve">and, ceteris paribus, increase demand for such operations, which would lower the barrier to</w:t>
      </w:r>
      <w:r>
        <w:t xml:space="preserve"> </w:t>
      </w:r>
      <w:r>
        <w:t xml:space="preserve">profitability of infrastructure such as shunting yards and improve access to facilities (SO4).</w:t>
      </w:r>
      <w:r>
        <w:br/>
      </w:r>
      <w:r>
        <w:t xml:space="preserve">Specific objective 3: Improve access to finance for SMEs and new entrants (SO3)</w:t>
      </w:r>
      <w:r>
        <w:br/>
      </w:r>
      <w:r>
        <w:t xml:space="preserve">The revised rules on State aid to SLT should contribute to level the playing field between large</w:t>
      </w:r>
      <w:r>
        <w:t xml:space="preserve"> </w:t>
      </w:r>
      <w:r>
        <w:t xml:space="preserve">enterprises and incumbents, on the one hand, and new entrants and smaller companies, on the</w:t>
      </w:r>
      <w:r>
        <w:t xml:space="preserve"> </w:t>
      </w:r>
      <w:r>
        <w:t xml:space="preserve">other, by improving access to finance for the latter. Achieving this objective would also</w:t>
      </w:r>
      <w:r>
        <w:t xml:space="preserve"> </w:t>
      </w:r>
      <w:r>
        <w:t xml:space="preserve">contribute positively to SO2 since it facilitates fleet renewal, and newer vehicles are more likely</w:t>
      </w:r>
      <w:r>
        <w:t xml:space="preserve"> </w:t>
      </w:r>
      <w:r>
        <w:t xml:space="preserve">to be equipped with interoperability technologies such as ERTMS.</w:t>
      </w:r>
      <w:r>
        <w:br/>
      </w:r>
      <w:r>
        <w:t xml:space="preserve">Specific objective 4: Improve access to facilities and private sidings (SO4)</w:t>
      </w:r>
      <w:r>
        <w:t xml:space="preserve"> </w:t>
      </w:r>
      <w:r>
        <w:t xml:space="preserve">The revised rules on State aid to SLT should contribute to addressing bottlenecks in SLT</w:t>
      </w:r>
      <w:r>
        <w:t xml:space="preserve"> </w:t>
      </w:r>
      <w:r>
        <w:t xml:space="preserve">infrastructure by improving access to facilities and private sidings.</w:t>
      </w:r>
      <w:r>
        <w:br/>
      </w:r>
      <w:r>
        <w:t xml:space="preserve">4.3.</w:t>
      </w:r>
      <w:r>
        <w:t xml:space="preserve"> </w:t>
      </w:r>
      <w:r>
        <w:t xml:space="preserve">Intervention logic</w:t>
      </w:r>
      <w:r>
        <w:t xml:space="preserve"> </w:t>
      </w:r>
      <w:r>
        <w:t xml:space="preserve">An overview of the problems, the problem drivers and the general and specific objectives,</w:t>
      </w:r>
      <w:r>
        <w:t xml:space="preserve"> </w:t>
      </w:r>
      <w:r>
        <w:t xml:space="preserve">relevant to the present initiative, is provided in Figure 5.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Figure 5: Intervention logic</w:t>
      </w:r>
    </w:p>
    <w:p>
      <w:pPr>
        <w:pStyle w:val="Compact"/>
        <w:numPr>
          <w:ilvl w:val="0"/>
          <w:numId w:val="1002"/>
        </w:numPr>
      </w:pPr>
      <w:r>
        <w:t xml:space="preserve">WHAT ARE THE AVAILABLE POLICY OPTIONS?</w:t>
      </w:r>
      <w:r>
        <w:br/>
      </w:r>
      <w:r>
        <w:t xml:space="preserve">As set out in Section 2 and summarised in Figure 5, the low modal share of SLT is explained</w:t>
      </w:r>
      <w:r>
        <w:t xml:space="preserve"> </w:t>
      </w:r>
      <w:r>
        <w:t xml:space="preserve">notably by interoperability challenges when operating across borders, the typically lower cost</w:t>
      </w:r>
      <w:r>
        <w:t xml:space="preserve"> </w:t>
      </w:r>
      <w:r>
        <w:t xml:space="preserve">of road transport compared to SLT operations, a lack of quality or availability of facilities and</w:t>
      </w:r>
      <w:r>
        <w:t xml:space="preserve"> </w:t>
      </w:r>
      <w:r>
        <w:t xml:space="preserve">ageing fleets. As evidenced in Section 1.1, there is case practice in all these areas since 2008.</w:t>
      </w:r>
      <w:r>
        <w:t xml:space="preserve"> </w:t>
      </w:r>
      <w:r>
        <w:t xml:space="preserve">As explained in Section 2.3, there are several market and regulatory failures at the root of this</w:t>
      </w:r>
      <w:r>
        <w:t xml:space="preserve"> </w:t>
      </w:r>
      <w:r>
        <w:t xml:space="preserve">problem. The fact that the RGL do not sufficiently enable Member States to grant State aid</w:t>
      </w:r>
      <w:r>
        <w:t xml:space="preserve"> </w:t>
      </w:r>
      <w:r>
        <w:t xml:space="preserve">which contributes to a modal shift towards SLT is only one of these failures.</w:t>
      </w:r>
      <w:r>
        <w:br/>
      </w:r>
      <w:r>
        <w:t xml:space="preserve">As explained in Section 2, State aid rules can tackle drivers unrelated to State aid rules only</w:t>
      </w:r>
      <w:r>
        <w:t xml:space="preserve"> </w:t>
      </w:r>
      <w:r>
        <w:t xml:space="preserve">partially. It is not in the remit of this Impact Assessment Report to assess whether the recourse</w:t>
      </w:r>
      <w:r>
        <w:t xml:space="preserve"> </w:t>
      </w:r>
      <w:r>
        <w:t xml:space="preserve">to State aid is the most efficient means to increase modal shift, as compared to other solutions.</w:t>
      </w:r>
      <w:r>
        <w:t xml:space="preserve"> </w:t>
      </w:r>
      <w:r>
        <w:t xml:space="preserve">This is a broader policy question on which EU policy makers have taken a position, notably in</w:t>
      </w:r>
      <w:r>
        <w:t xml:space="preserve"> </w:t>
      </w:r>
      <w:r>
        <w:t xml:space="preserve">the SSMS, and will continue to do so, as appropriate. This report assesses the options available</w:t>
      </w:r>
      <w:r>
        <w:t xml:space="preserve"> </w:t>
      </w:r>
      <w:r>
        <w:t xml:space="preserve">for the design of State aid rules applicable to the SLT sector, so that they contribute to the modal</w:t>
      </w:r>
      <w:r>
        <w:t xml:space="preserve"> </w:t>
      </w:r>
      <w:r>
        <w:t xml:space="preserve">shift, within the framework of the intervention logic.</w:t>
      </w:r>
      <w:r>
        <w:br/>
      </w:r>
      <w:r>
        <w:t xml:space="preserve">5.1.</w:t>
      </w:r>
      <w:r>
        <w:t xml:space="preserve"> </w:t>
      </w:r>
      <w:r>
        <w:t xml:space="preserve">Policy options and the intervention logic</w:t>
      </w:r>
      <w:r>
        <w:t xml:space="preserve"> </w:t>
      </w:r>
      <w:r>
        <w:t xml:space="preserve">Different option bundles have been defined around the problems and the corresponding specific</w:t>
      </w:r>
      <w:r>
        <w:t xml:space="preserve"> </w:t>
      </w:r>
      <w:r>
        <w:t xml:space="preserve">objectives, as depicted in Figure 6, relating to the scope and compatibility conditions of the</w:t>
      </w:r>
      <w:r>
        <w:t xml:space="preserve"> </w:t>
      </w:r>
      <w:r>
        <w:t xml:space="preserve">revised GLs and TBER and taking into account the case practice.</w:t>
      </w:r>
    </w:p>
    <w:p>
      <w:pPr>
        <w:pStyle w:val="FirstParagraph"/>
      </w:pPr>
      <w:r>
        <w:t xml:space="preserve">28</w:t>
      </w:r>
      <w:r>
        <w:t xml:space="preserve"> </w:t>
      </w:r>
      <w:r>
        <w:t xml:space="preserve">Figure 6: Linking the options to the problem and specific objectives</w:t>
      </w:r>
    </w:p>
    <w:p>
      <w:pPr>
        <w:pStyle w:val="BodyText"/>
      </w:pPr>
      <w:r>
        <w:t xml:space="preserve">Option Bundle A determines the scope, i.e. the set of activities and investments for which</w:t>
      </w:r>
      <w:r>
        <w:t xml:space="preserve"> </w:t>
      </w:r>
      <w:r>
        <w:t xml:space="preserve">compatibility conditions will be laid down in the new rules and is in a way a “precondition” for</w:t>
      </w:r>
      <w:r>
        <w:t xml:space="preserve"> </w:t>
      </w:r>
      <w:r>
        <w:t xml:space="preserve">Option Bundles B and C, which deal with the specific design of those conditions. Option Bundle</w:t>
      </w:r>
      <w:r>
        <w:t xml:space="preserve"> </w:t>
      </w:r>
      <w:r>
        <w:t xml:space="preserve">B sets out different options for the compatibility conditions for those aid categories already</w:t>
      </w:r>
      <w:r>
        <w:t xml:space="preserve"> </w:t>
      </w:r>
      <w:r>
        <w:t xml:space="preserve">contained in the RGL. These are operating and interoperability aid measures. Option Bundle C</w:t>
      </w:r>
      <w:r>
        <w:t xml:space="preserve"> </w:t>
      </w:r>
      <w:r>
        <w:t xml:space="preserve">relates to aid for the acquisition of vehicles, a newly codified aid category under the initiative.</w:t>
      </w:r>
      <w:r>
        <w:t xml:space="preserve"> </w:t>
      </w:r>
      <w:r>
        <w:t xml:space="preserve">Operating and interoperability aid measures have as their primary purpose (but by no means as</w:t>
      </w:r>
      <w:r>
        <w:t xml:space="preserve"> </w:t>
      </w:r>
      <w:r>
        <w:t xml:space="preserve">their only impact) to address the cost competitiveness between SLT and road transport, while</w:t>
      </w:r>
      <w:r>
        <w:t xml:space="preserve"> </w:t>
      </w:r>
      <w:r>
        <w:t xml:space="preserve">aid for the acquisition of vehicles has as its primary purpose (but not as its only impact) to</w:t>
      </w:r>
      <w:r>
        <w:t xml:space="preserve"> </w:t>
      </w:r>
      <w:r>
        <w:t xml:space="preserve">reduce the access to finance issue and rejuvenate the vehicle fleets.</w:t>
      </w:r>
      <w:r>
        <w:t xml:space="preserve"> </w:t>
      </w:r>
      <w:r>
        <w:t xml:space="preserve">The choice of the compatibility conditions for these types of aid is the most significant issue</w:t>
      </w:r>
      <w:r>
        <w:t xml:space="preserve"> </w:t>
      </w:r>
      <w:r>
        <w:t xml:space="preserve">and different policy choices are possible, as confirmed by stakeholder reactions (public</w:t>
      </w:r>
      <w:r>
        <w:t xml:space="preserve"> </w:t>
      </w:r>
      <w:r>
        <w:t xml:space="preserve">authorities, business associations and individual companies) in particular during the targeted</w:t>
      </w:r>
      <w:r>
        <w:t xml:space="preserve"> </w:t>
      </w:r>
      <w:r>
        <w:t xml:space="preserve">consultation123. Outside of these aid categories, no significant policy options for other types of</w:t>
      </w:r>
      <w:r>
        <w:t xml:space="preserve"> </w:t>
      </w:r>
      <w:r>
        <w:t xml:space="preserve">aid were identified. This is true in particular for aid to facilities and private sidings, as case</w:t>
      </w:r>
      <w:r>
        <w:t xml:space="preserve"> </w:t>
      </w:r>
      <w:r>
        <w:t xml:space="preserve">practice and the evidence gathered in the framework of the initiative including the consultations</w:t>
      </w:r>
      <w:r>
        <w:t xml:space="preserve"> </w:t>
      </w:r>
      <w:r>
        <w:t xml:space="preserve">is sufficiently homogeneous to determine the appropriate compatibility conditions and does not</w:t>
      </w:r>
      <w:r>
        <w:t xml:space="preserve"> </w:t>
      </w:r>
      <w:r>
        <w:t xml:space="preserve">require any policy choices. The same is true for other ancillary categories of aid, for which aid</w:t>
      </w:r>
      <w:r>
        <w:t xml:space="preserve"> </w:t>
      </w:r>
      <w:r>
        <w:t xml:space="preserve">intensities in the case practice are consistent.</w:t>
      </w:r>
      <w:r>
        <w:br/>
      </w:r>
      <w:r>
        <w:t xml:space="preserve">5.2.</w:t>
      </w:r>
      <w:r>
        <w:t xml:space="preserve"> </w:t>
      </w:r>
      <w:r>
        <w:t xml:space="preserve">What is the baseline in relation to which options are assessed?</w:t>
      </w:r>
      <w:r>
        <w:t xml:space="preserve"> </w:t>
      </w:r>
      <w:r>
        <w:t xml:space="preserve">The baseline is that the RGL would continue to apply and there would be no block exemption</w:t>
      </w:r>
      <w:r>
        <w:t xml:space="preserve"> </w:t>
      </w:r>
      <w:r>
        <w:t xml:space="preserve">for aid for the coordination of transport.</w:t>
      </w:r>
      <w:r>
        <w:br/>
      </w:r>
      <w:r>
        <w:t xml:space="preserve">In the baseline scenario, there would be no codification of compatibility conditions in line with</w:t>
      </w:r>
      <w:r>
        <w:t xml:space="preserve"> </w:t>
      </w:r>
      <w:r>
        <w:t xml:space="preserve">case practice and no block exemption for such aid measures. The RGL would continue to spell</w:t>
      </w:r>
    </w:p>
    <w:p>
      <w:pPr>
        <w:pStyle w:val="BodyText"/>
      </w:pPr>
      <w:r>
        <w:t xml:space="preserve">123 Annex 2, Point 4.4.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out compatibility conditions only for three types of measures (aid for external costs reduction,</w:t>
      </w:r>
      <w:r>
        <w:t xml:space="preserve"> </w:t>
      </w:r>
      <w:r>
        <w:t xml:space="preserve">aid for infrastructure use and aid for interoperability) and only for railway undertakings.</w:t>
      </w:r>
      <w:r>
        <w:br/>
      </w:r>
      <w:r>
        <w:t xml:space="preserve">Under the baseline, Member States can provide operating aid in the form of aid for</w:t>
      </w:r>
      <w:r>
        <w:t xml:space="preserve"> </w:t>
      </w:r>
      <w:r>
        <w:t xml:space="preserve">infrastructure use (this aid can cover 100% of the difference in infrastructure costs between less</w:t>
      </w:r>
      <w:r>
        <w:t xml:space="preserve"> </w:t>
      </w:r>
      <w:r>
        <w:t xml:space="preserve">and more sustainable transport modes) and aid for external costs (this aid can cover 50% of the</w:t>
      </w:r>
      <w:r>
        <w:t xml:space="preserve"> </w:t>
      </w:r>
      <w:r>
        <w:t xml:space="preserve">external cost difference between less and more sustainable transport modes)124. For</w:t>
      </w:r>
      <w:r>
        <w:t xml:space="preserve"> </w:t>
      </w:r>
      <w:r>
        <w:t xml:space="preserve">interoperability aid, the RGL presume that aid intensities not exceeding 50% of the eligible</w:t>
      </w:r>
      <w:r>
        <w:t xml:space="preserve"> </w:t>
      </w:r>
      <w:r>
        <w:t xml:space="preserve">costs are justified but provide for the possibility to exceptionally accept higher aid intensities</w:t>
      </w:r>
      <w:r>
        <w:t xml:space="preserve"> </w:t>
      </w:r>
      <w:r>
        <w:t xml:space="preserve">upon due justification (12 precedents approving aid intensities between 85 and 100%). These</w:t>
      </w:r>
      <w:r>
        <w:t xml:space="preserve"> </w:t>
      </w:r>
      <w:r>
        <w:t xml:space="preserve">parameters from the RGL applicable to operating and interoperability aid would be mirrored in</w:t>
      </w:r>
      <w:r>
        <w:t xml:space="preserve"> </w:t>
      </w:r>
      <w:r>
        <w:t xml:space="preserve">State aid decisions directly under Article 93 TFEU concerning aid provided to beneficiaries</w:t>
      </w:r>
      <w:r>
        <w:t xml:space="preserve"> </w:t>
      </w:r>
      <w:r>
        <w:t xml:space="preserve">other than railway undertakings.</w:t>
      </w:r>
      <w:r>
        <w:br/>
      </w:r>
      <w:r>
        <w:t xml:space="preserve">As regards investment aid falling outside the RGL, the maximum aid allowed for investments</w:t>
      </w:r>
      <w:r>
        <w:t xml:space="preserve"> </w:t>
      </w:r>
      <w:r>
        <w:t xml:space="preserve">in facilities would be defined based on a funding gap analysis, as has been consistently the case</w:t>
      </w:r>
      <w:r>
        <w:t xml:space="preserve"> </w:t>
      </w:r>
      <w:r>
        <w:t xml:space="preserve">in the past (with the exception of very few outliers in particular in the more distant past, which</w:t>
      </w:r>
      <w:r>
        <w:t xml:space="preserve"> </w:t>
      </w:r>
      <w:r>
        <w:t xml:space="preserve">relied on aid intensities). For private sidings, the aid amount would be defined both based on a</w:t>
      </w:r>
      <w:r>
        <w:t xml:space="preserve"> </w:t>
      </w:r>
      <w:r>
        <w:t xml:space="preserve">maximum aid intensity and a funding gap analysis, as in the past aid intensities were regularly</w:t>
      </w:r>
      <w:r>
        <w:t xml:space="preserve"> </w:t>
      </w:r>
      <w:r>
        <w:t xml:space="preserve">applied, but in recent years a funding gap analysis was almost consistently applied. The aid</w:t>
      </w:r>
      <w:r>
        <w:t xml:space="preserve"> </w:t>
      </w:r>
      <w:r>
        <w:t xml:space="preserve">intensity would always be assessed in addition to the funding gap analysis but would not</w:t>
      </w:r>
      <w:r>
        <w:t xml:space="preserve"> </w:t>
      </w:r>
      <w:r>
        <w:t xml:space="preserve">constitute the determining factor for the level of the aid and very high aid intensities, even above</w:t>
      </w:r>
      <w:r>
        <w:t xml:space="preserve"> </w:t>
      </w:r>
      <w:r>
        <w:t xml:space="preserve">80%, would be accepted, when the funding gap analysis justifies them, in line with the most</w:t>
      </w:r>
      <w:r>
        <w:t xml:space="preserve"> </w:t>
      </w:r>
      <w:r>
        <w:t xml:space="preserve">recent case practice.</w:t>
      </w:r>
      <w:r>
        <w:br/>
      </w:r>
      <w:r>
        <w:t xml:space="preserve">As concerns aid for the acquisition of vehicles, aid intensities between 20 and 50% would be</w:t>
      </w:r>
      <w:r>
        <w:t xml:space="preserve"> </w:t>
      </w:r>
      <w:r>
        <w:t xml:space="preserve">approved, while for aid for the modernisation and adaptation of vehicles and equipment, aid</w:t>
      </w:r>
      <w:r>
        <w:t xml:space="preserve"> </w:t>
      </w:r>
      <w:r>
        <w:t xml:space="preserve">intensities ranging between 20 and 40% would be accepted, as in most cases in the past.</w:t>
      </w:r>
      <w:r>
        <w:t xml:space="preserve"> </w:t>
      </w:r>
      <w:r>
        <w:t xml:space="preserve">According to the “EU Reference Scenario 2020”125, rail freight traffic is expected to grow by</w:t>
      </w:r>
      <w:r>
        <w:t xml:space="preserve"> </w:t>
      </w:r>
      <w:r>
        <w:t xml:space="preserve">38.4% by 2030 and by 83.1% by 2050, compared to 2015 levels. IWW freight traffic is expected</w:t>
      </w:r>
      <w:r>
        <w:t xml:space="preserve"> </w:t>
      </w:r>
      <w:r>
        <w:t xml:space="preserve">to grow by 18.8% and 36.6% respectively. While both passenger and freight rail traffic are</w:t>
      </w:r>
      <w:r>
        <w:t xml:space="preserve"> </w:t>
      </w:r>
      <w:r>
        <w:t xml:space="preserve">projected to grow faster than road transport, driven in particular by the gradual completion of</w:t>
      </w:r>
      <w:r>
        <w:t xml:space="preserve"> </w:t>
      </w:r>
      <w:r>
        <w:t xml:space="preserve">the TEN-T network, the projected growth rates of rail fall well short of the SSMS freight</w:t>
      </w:r>
      <w:r>
        <w:t xml:space="preserve"> </w:t>
      </w:r>
      <w:r>
        <w:t xml:space="preserve">transport targets, namely to grow by 50% by 2030 and double by 2050. The prognosis is even</w:t>
      </w:r>
      <w:r>
        <w:t xml:space="preserve"> </w:t>
      </w:r>
      <w:r>
        <w:t xml:space="preserve">worse in the IWW sector, as IWW is expected to grow less than road and fall well short of the</w:t>
      </w:r>
      <w:r>
        <w:t xml:space="preserve"> </w:t>
      </w:r>
      <w:r>
        <w:t xml:space="preserve">SSMS targets of growing by 25% by 2030 and by 50% by 2050.</w:t>
      </w:r>
      <w:r>
        <w:br/>
      </w:r>
      <w:r>
        <w:t xml:space="preserve">The EU Reference Scenario 2020 provides a projection of the likely future developments, for</w:t>
      </w:r>
      <w:r>
        <w:t xml:space="preserve"> </w:t>
      </w:r>
      <w:r>
        <w:t xml:space="preserve">example with respect to modal shares, absent the implementation of any policy initiatives post</w:t>
      </w:r>
      <w:r>
        <w:t xml:space="preserve"> </w:t>
      </w:r>
      <w:r>
        <w:t xml:space="preserve">2020. Thus, the EU Reference Scenario 2020 does not consider initiatives which were adopted</w:t>
      </w:r>
      <w:r>
        <w:t xml:space="preserve"> </w:t>
      </w:r>
      <w:r>
        <w:t xml:space="preserve">by the Commission after 2020, which could be relevant in this context. For example, the EU’s</w:t>
      </w:r>
      <w:r>
        <w:t xml:space="preserve"> </w:t>
      </w:r>
      <w:r>
        <w:t xml:space="preserve">TEN-T policy is a key instrument for planning and developing a coherent, efficient, multimodal,</w:t>
      </w:r>
      <w:r>
        <w:t xml:space="preserve"> </w:t>
      </w:r>
      <w:r>
        <w:t xml:space="preserve">and high-quality transport infrastructure across the EU and could help address the issue of</w:t>
      </w:r>
      <w:r>
        <w:t xml:space="preserve"> </w:t>
      </w:r>
      <w:r>
        <w:t xml:space="preserve">insufficient access to facilities. Similarly, the ETS2 aims at internalising at least part of the</w:t>
      </w:r>
    </w:p>
    <w:p>
      <w:pPr>
        <w:pStyle w:val="BodyText"/>
      </w:pPr>
      <w:r>
        <w:t xml:space="preserve">124 For both types of operating aid, the RGL impose an additional cap: the aid must not exceed 30% of the total</w:t>
      </w:r>
      <w:r>
        <w:t xml:space="preserve"> </w:t>
      </w:r>
      <w:r>
        <w:t xml:space="preserve">cost of transport. The notion ‘total cost of transport’ is however unclear and has not been applied fully consistently</w:t>
      </w:r>
      <w:r>
        <w:t xml:space="preserve"> </w:t>
      </w:r>
      <w:r>
        <w:t xml:space="preserve">in the case practice.</w:t>
      </w:r>
      <w:r>
        <w:t xml:space="preserve"> </w:t>
      </w:r>
      <w:r>
        <w:t xml:space="preserve">125 The EU Reference Scenario 2020 is the baseline scenario, based on the policy framework in place in 2020,on</w:t>
      </w:r>
      <w:r>
        <w:t xml:space="preserve"> </w:t>
      </w:r>
      <w:r>
        <w:t xml:space="preserve">which specific policy scenarios and variants used to assess options informing the policy initiatives in the European</w:t>
      </w:r>
      <w:r>
        <w:t xml:space="preserve"> </w:t>
      </w:r>
      <w:r>
        <w:t xml:space="preserve">Green Deal (see footnote 13) have been developed. https://energy.ec.europa.eu/data-and-analysis/energy-</w:t>
      </w:r>
      <w:r>
        <w:t xml:space="preserve"> </w:t>
      </w:r>
      <w:r>
        <w:t xml:space="preserve">modelling/eu-reference-scenario-2020_en.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external costs (climate costs) of road transport thereby helping to address the issue of lesser</w:t>
      </w:r>
      <w:r>
        <w:t xml:space="preserve"> </w:t>
      </w:r>
      <w:r>
        <w:t xml:space="preserve">competitiveness of SLT. As set out in section 1.2, the present initiative is complementary to</w:t>
      </w:r>
      <w:r>
        <w:t xml:space="preserve"> </w:t>
      </w:r>
      <w:r>
        <w:t xml:space="preserve">these other initiatives, but many factors influence the modal share of SLT and it is complex to</w:t>
      </w:r>
      <w:r>
        <w:t xml:space="preserve"> </w:t>
      </w:r>
      <w:r>
        <w:t xml:space="preserve">isolate the effect of any specific intervention. This has been taken into account in section 9.</w:t>
      </w:r>
      <w:r>
        <w:t xml:space="preserve"> </w:t>
      </w:r>
      <w:r>
        <w:t xml:space="preserve">Still, it is expected that these other initiatives only partially address the problems and problem</w:t>
      </w:r>
      <w:r>
        <w:t xml:space="preserve"> </w:t>
      </w:r>
      <w:r>
        <w:t xml:space="preserve">drivers, as set out in section 2.3.</w:t>
      </w:r>
      <w:r>
        <w:t xml:space="preserve"> </w:t>
      </w:r>
      <w:r>
        <w:t xml:space="preserve">While the evolution in modal shares of various transport modes is therefore influenced by a</w:t>
      </w:r>
      <w:r>
        <w:t xml:space="preserve"> </w:t>
      </w:r>
      <w:r>
        <w:t xml:space="preserve">wider economic, policy and regulatory context, the baseline scenario in the present initiative</w:t>
      </w:r>
      <w:r>
        <w:t xml:space="preserve"> </w:t>
      </w:r>
      <w:r>
        <w:t xml:space="preserve">would result in a lagging modal shift and in State aid rules not contributing to the SSMS</w:t>
      </w:r>
      <w:r>
        <w:t xml:space="preserve"> </w:t>
      </w:r>
      <w:r>
        <w:t xml:space="preserve">objectives being met.</w:t>
      </w:r>
      <w:r>
        <w:br/>
      </w:r>
      <w:r>
        <w:t xml:space="preserve">5.3.</w:t>
      </w:r>
      <w:r>
        <w:t xml:space="preserve"> </w:t>
      </w:r>
      <w:r>
        <w:t xml:space="preserve">Policy options: scope of the revised Guidelines and TBER (A)</w:t>
      </w:r>
      <w:r>
        <w:br/>
      </w:r>
      <w:r>
        <w:t xml:space="preserve">The design of the options bundle A takes into account the conclusions from the Fitness Check</w:t>
      </w:r>
      <w:r>
        <w:t xml:space="preserve"> </w:t>
      </w:r>
      <w:r>
        <w:t xml:space="preserve">(Section 1.3), the case practice and further stakeholder consultations (Section 2.3.2 and Annex</w:t>
      </w:r>
      <w:r>
        <w:t xml:space="preserve"> </w:t>
      </w:r>
      <w:r>
        <w:t xml:space="preserve">2) that the current rules are too narrow. The starting point for the design of the options in bundle</w:t>
      </w:r>
      <w:r>
        <w:t xml:space="preserve"> </w:t>
      </w:r>
      <w:r>
        <w:t xml:space="preserve">A is the status quo (revised GLs limited to the forms and types of aid covered by the RGL, no</w:t>
      </w:r>
      <w:r>
        <w:t xml:space="preserve"> </w:t>
      </w:r>
      <w:r>
        <w:t xml:space="preserve">block exemption). With that starting point, different possibilities of enlargement of the scope</w:t>
      </w:r>
      <w:r>
        <w:t xml:space="preserve"> </w:t>
      </w:r>
      <w:r>
        <w:t xml:space="preserve">of the rules were envisaged to address the stakeholders’ input and case practice covering further</w:t>
      </w:r>
      <w:r>
        <w:t xml:space="preserve"> </w:t>
      </w:r>
      <w:r>
        <w:t xml:space="preserve">areas and types of aid than those covered by the RGL and this in an increasing order of</w:t>
      </w:r>
      <w:r>
        <w:t xml:space="preserve"> </w:t>
      </w:r>
      <w:r>
        <w:t xml:space="preserve">magnitude, from the narrowest overall (A1) to the realistically widest (A3).</w:t>
      </w:r>
      <w:r>
        <w:t xml:space="preserve"> </w:t>
      </w:r>
      <w:r>
        <w:t xml:space="preserve">5.3.1. Option A1: Scope of the GLs extended to cover current case</w:t>
      </w:r>
      <w:r>
        <w:t xml:space="preserve"> </w:t>
      </w:r>
      <w:r>
        <w:t xml:space="preserve">practice, TBER limited to measures under the RGLs</w:t>
      </w:r>
      <w:r>
        <w:t xml:space="preserve"> </w:t>
      </w:r>
      <w:r>
        <w:t xml:space="preserve">Under Option A1 the scope of the revised GLs would be extended to cover (i) transport</w:t>
      </w:r>
      <w:r>
        <w:t xml:space="preserve"> </w:t>
      </w:r>
      <w:r>
        <w:t xml:space="preserve">undertakings of all SLT modes (in addition to rail: IWW and multimodal transport, including</w:t>
      </w:r>
      <w:r>
        <w:t xml:space="preserve"> </w:t>
      </w:r>
      <w:r>
        <w:t xml:space="preserve">with a short-sea shipping leg); (ii) shippers and transport organisers who contract services from</w:t>
      </w:r>
      <w:r>
        <w:t xml:space="preserve"> </w:t>
      </w:r>
      <w:r>
        <w:t xml:space="preserve">those transport undertakings; and (iii) other types of aid for all SLT modes, where there is case</w:t>
      </w:r>
      <w:r>
        <w:t xml:space="preserve"> </w:t>
      </w:r>
      <w:r>
        <w:t xml:space="preserve">practice or a clearly identified need for State aid. As substantiated by stakeholder input and the</w:t>
      </w:r>
      <w:r>
        <w:t xml:space="preserve"> </w:t>
      </w:r>
      <w:r>
        <w:t xml:space="preserve">study, this notably includes start-up aid for passenger night trains and in the freight segment,</w:t>
      </w:r>
      <w:r>
        <w:t xml:space="preserve"> </w:t>
      </w:r>
      <w:r>
        <w:t xml:space="preserve">aid for facilities and private sidings, and aid for the acquisition of vehicles. This is the narrowest</w:t>
      </w:r>
      <w:r>
        <w:t xml:space="preserve"> </w:t>
      </w:r>
      <w:r>
        <w:t xml:space="preserve">scope of the revised GLs that could be envisaged, considering the significant case practice that</w:t>
      </w:r>
      <w:r>
        <w:t xml:space="preserve"> </w:t>
      </w:r>
      <w:r>
        <w:t xml:space="preserve">has developed in the SLT sector outside the RGL126. The TBER would only block exempt those</w:t>
      </w:r>
      <w:r>
        <w:t xml:space="preserve"> </w:t>
      </w:r>
      <w:r>
        <w:t xml:space="preserve">aid measures in the rail sector for which there is experience with compatibility criteria under</w:t>
      </w:r>
      <w:r>
        <w:t xml:space="preserve"> </w:t>
      </w:r>
      <w:r>
        <w:t xml:space="preserve">the RGL, i.e. operating aid for external cost and infrastructure use and investment aid for</w:t>
      </w:r>
      <w:r>
        <w:t xml:space="preserve"> </w:t>
      </w:r>
      <w:r>
        <w:t xml:space="preserve">interoperability. Only for these categories of aid there is a clear legal framework, which has</w:t>
      </w:r>
      <w:r>
        <w:t xml:space="preserve"> </w:t>
      </w:r>
      <w:r>
        <w:t xml:space="preserve">ensured full consistency.</w:t>
      </w:r>
      <w:r>
        <w:t xml:space="preserve"> </w:t>
      </w:r>
      <w:r>
        <w:t xml:space="preserve">5.3.2. Option A2: Scope of both the GLs and the TBER to cover current</w:t>
      </w:r>
      <w:r>
        <w:t xml:space="preserve"> </w:t>
      </w:r>
      <w:r>
        <w:t xml:space="preserve">case practice</w:t>
      </w:r>
      <w:r>
        <w:br/>
      </w:r>
      <w:r>
        <w:t xml:space="preserve">Under Option A2, the scope of the revised GLs would be the same as under Option A1. The</w:t>
      </w:r>
      <w:r>
        <w:t xml:space="preserve"> </w:t>
      </w:r>
      <w:r>
        <w:t xml:space="preserve">block exemption would cover all aid measures where the Commission has developed a case</w:t>
      </w:r>
      <w:r>
        <w:t xml:space="preserve"> </w:t>
      </w:r>
      <w:r>
        <w:t xml:space="preserve">practice, even if that case practice is not as abundant or homogenous as in the case of aid</w:t>
      </w:r>
      <w:r>
        <w:t xml:space="preserve"> </w:t>
      </w:r>
      <w:r>
        <w:t xml:space="preserve">covered by the RGL. The scope of the TBER under Option A2 would cover the same sectors</w:t>
      </w:r>
      <w:r>
        <w:t xml:space="preserve"> </w:t>
      </w:r>
      <w:r>
        <w:t xml:space="preserve">and types of measures as the scope of the revised GLs, as supported by virtually all stakeholders</w:t>
      </w:r>
    </w:p>
    <w:p>
      <w:pPr>
        <w:pStyle w:val="BodyText"/>
      </w:pPr>
      <w:r>
        <w:t xml:space="preserve">126 Section 2.3 and Annex 7.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during the consultation on the draft legal texts. It would set notification thresholds, above which</w:t>
      </w:r>
      <w:r>
        <w:t xml:space="preserve"> </w:t>
      </w:r>
      <w:r>
        <w:t xml:space="preserve">measures would have to be notified under the revised GLs.</w:t>
      </w:r>
      <w:r>
        <w:t xml:space="preserve"> </w:t>
      </w:r>
      <w:r>
        <w:t xml:space="preserve">5.3.3. Option A3: Scope of both the GLs and the TBER to cover current</w:t>
      </w:r>
      <w:r>
        <w:t xml:space="preserve"> </w:t>
      </w:r>
      <w:r>
        <w:t xml:space="preserve">case practice and rules for public services for rail freight in the</w:t>
      </w:r>
      <w:r>
        <w:t xml:space="preserve"> </w:t>
      </w:r>
      <w:r>
        <w:t xml:space="preserve">revised GLs</w:t>
      </w:r>
      <w:r>
        <w:t xml:space="preserve"> </w:t>
      </w:r>
      <w:r>
        <w:t xml:space="preserve">Under Option A3, the TBER and the revised GLs would have the same scope as under Option</w:t>
      </w:r>
      <w:r>
        <w:t xml:space="preserve"> </w:t>
      </w:r>
      <w:r>
        <w:t xml:space="preserve">A2. The revised GLs would additionally contain explicit rules on public services in the rail</w:t>
      </w:r>
      <w:r>
        <w:t xml:space="preserve"> </w:t>
      </w:r>
      <w:r>
        <w:t xml:space="preserve">freight sector to clarify how the general principles governing compensation for the discharge</w:t>
      </w:r>
      <w:r>
        <w:t xml:space="preserve"> </w:t>
      </w:r>
      <w:r>
        <w:t xml:space="preserve">of SGEIs apply to rail freight. This is one of very few economic sectors with no secondary</w:t>
      </w:r>
      <w:r>
        <w:t xml:space="preserve"> </w:t>
      </w:r>
      <w:r>
        <w:t xml:space="preserve">legislation on how to assess compensation for public services under State aid rules127. Despite</w:t>
      </w:r>
      <w:r>
        <w:t xml:space="preserve"> </w:t>
      </w:r>
      <w:r>
        <w:t xml:space="preserve">the fact that only one decision on this subject has been approved in the past, some stakeholders</w:t>
      </w:r>
      <w:r>
        <w:t xml:space="preserve"> </w:t>
      </w:r>
      <w:r>
        <w:t xml:space="preserve">(in particular Member States) put this option forward during the consultation activities on the</w:t>
      </w:r>
      <w:r>
        <w:t xml:space="preserve"> </w:t>
      </w:r>
      <w:r>
        <w:t xml:space="preserve">initiative.128</w:t>
      </w:r>
      <w:r>
        <w:br/>
      </w:r>
      <w:r>
        <w:t xml:space="preserve">The inclusion of rules on public services in the rail freight sector in Option A3 reflects the way</w:t>
      </w:r>
      <w:r>
        <w:t xml:space="preserve"> </w:t>
      </w:r>
      <w:r>
        <w:t xml:space="preserve">of constructing the A options as concerns the scope (namely based on the case practice and</w:t>
      </w:r>
      <w:r>
        <w:t xml:space="preserve"> </w:t>
      </w:r>
      <w:r>
        <w:t xml:space="preserve">enlarging the scope of the rules in an increasing order of magnitude). It also reflects the more</w:t>
      </w:r>
      <w:r>
        <w:t xml:space="preserve"> </w:t>
      </w:r>
      <w:r>
        <w:t xml:space="preserve">limited stakeholder feedback on this point, despite consultation on public services from the</w:t>
      </w:r>
      <w:r>
        <w:t xml:space="preserve"> </w:t>
      </w:r>
      <w:r>
        <w:t xml:space="preserve">inception of the initiative.</w:t>
      </w:r>
      <w:r>
        <w:br/>
      </w:r>
      <w:r>
        <w:t xml:space="preserve">An overview of how the A Options were constructed is depicted in Table 3.</w:t>
      </w:r>
      <w:r>
        <w:br/>
      </w:r>
      <w:r>
        <w:t xml:space="preserve">Table 3: Overview of options under Option bundle (A)</w:t>
      </w:r>
      <w:r>
        <w:t xml:space="preserve"> </w:t>
      </w:r>
      <w:r>
        <w:t xml:space="preserve">Baseline</w:t>
      </w:r>
      <w:r>
        <w:t xml:space="preserve"> </w:t>
      </w:r>
      <w:r>
        <w:t xml:space="preserve">A1</w:t>
      </w:r>
      <w:r>
        <w:t xml:space="preserve"> </w:t>
      </w:r>
      <w:r>
        <w:t xml:space="preserve">A2</w:t>
      </w:r>
      <w:r>
        <w:t xml:space="preserve"> </w:t>
      </w:r>
      <w:r>
        <w:t xml:space="preserve">A3</w:t>
      </w:r>
      <w:r>
        <w:t xml:space="preserve"> </w:t>
      </w:r>
      <w:r>
        <w:t xml:space="preserve">GLs limited to</w:t>
      </w:r>
      <w:r>
        <w:t xml:space="preserve"> </w:t>
      </w:r>
      <w:r>
        <w:t xml:space="preserve">operating and</w:t>
      </w:r>
      <w:r>
        <w:t xml:space="preserve"> </w:t>
      </w:r>
      <w:r>
        <w:t xml:space="preserve">interoperability aid</w:t>
      </w:r>
      <w:r>
        <w:t xml:space="preserve"> </w:t>
      </w:r>
      <w:r>
        <w:t xml:space="preserve">for railway</w:t>
      </w:r>
      <w:r>
        <w:t xml:space="preserve"> </w:t>
      </w:r>
      <w:r>
        <w:t xml:space="preserve">undertakings</w:t>
      </w:r>
      <w:r>
        <w:t xml:space="preserve"> </w:t>
      </w:r>
      <w:r>
        <w:t xml:space="preserve">GLs extended to</w:t>
      </w:r>
      <w:r>
        <w:t xml:space="preserve"> </w:t>
      </w:r>
      <w:r>
        <w:t xml:space="preserve">case practice</w:t>
      </w:r>
      <w:r>
        <w:t xml:space="preserve"> </w:t>
      </w:r>
      <w:r>
        <w:t xml:space="preserve">GLs extended to case</w:t>
      </w:r>
      <w:r>
        <w:t xml:space="preserve"> </w:t>
      </w:r>
      <w:r>
        <w:t xml:space="preserve">practice</w:t>
      </w:r>
      <w:r>
        <w:t xml:space="preserve"> </w:t>
      </w:r>
      <w:r>
        <w:t xml:space="preserve">GLs extended to case</w:t>
      </w:r>
      <w:r>
        <w:t xml:space="preserve"> </w:t>
      </w:r>
      <w:r>
        <w:t xml:space="preserve">practice</w:t>
      </w:r>
      <w:r>
        <w:t xml:space="preserve"> </w:t>
      </w:r>
      <w:r>
        <w:t xml:space="preserve">No block exemption</w:t>
      </w:r>
      <w:r>
        <w:t xml:space="preserve"> </w:t>
      </w:r>
      <w:r>
        <w:t xml:space="preserve">Block exemption</w:t>
      </w:r>
      <w:r>
        <w:t xml:space="preserve"> </w:t>
      </w:r>
      <w:r>
        <w:t xml:space="preserve">limited to RGL</w:t>
      </w:r>
      <w:r>
        <w:t xml:space="preserve"> </w:t>
      </w:r>
      <w:r>
        <w:t xml:space="preserve">Same scope for block</w:t>
      </w:r>
      <w:r>
        <w:t xml:space="preserve"> </w:t>
      </w:r>
      <w:r>
        <w:t xml:space="preserve">exemption and</w:t>
      </w:r>
      <w:r>
        <w:t xml:space="preserve"> </w:t>
      </w:r>
      <w:r>
        <w:t xml:space="preserve">revised GLs</w:t>
      </w:r>
      <w:r>
        <w:t xml:space="preserve"> </w:t>
      </w:r>
      <w:r>
        <w:t xml:space="preserve">Same scope for block</w:t>
      </w:r>
      <w:r>
        <w:t xml:space="preserve"> </w:t>
      </w:r>
      <w:r>
        <w:t xml:space="preserve">exemption and</w:t>
      </w:r>
      <w:r>
        <w:t xml:space="preserve"> </w:t>
      </w:r>
      <w:r>
        <w:t xml:space="preserve">revised GLs</w:t>
      </w:r>
      <w:r>
        <w:t xml:space="preserve"> </w:t>
      </w:r>
      <w:r>
        <w:t xml:space="preserve">No rules on rail</w:t>
      </w:r>
      <w:r>
        <w:t xml:space="preserve"> </w:t>
      </w:r>
      <w:r>
        <w:t xml:space="preserve">freight PSOs</w:t>
      </w:r>
      <w:r>
        <w:t xml:space="preserve"> </w:t>
      </w:r>
      <w:r>
        <w:t xml:space="preserve">No rules on rail</w:t>
      </w:r>
      <w:r>
        <w:t xml:space="preserve"> </w:t>
      </w:r>
      <w:r>
        <w:t xml:space="preserve">freight PSOs</w:t>
      </w:r>
      <w:r>
        <w:t xml:space="preserve"> </w:t>
      </w:r>
      <w:r>
        <w:t xml:space="preserve">No rules on rail freight</w:t>
      </w:r>
      <w:r>
        <w:t xml:space="preserve"> </w:t>
      </w:r>
      <w:r>
        <w:t xml:space="preserve">PSOs</w:t>
      </w:r>
      <w:r>
        <w:t xml:space="preserve"> </w:t>
      </w:r>
      <w:r>
        <w:t xml:space="preserve">Rules on rail freight</w:t>
      </w:r>
      <w:r>
        <w:t xml:space="preserve"> </w:t>
      </w:r>
      <w:r>
        <w:t xml:space="preserve">PSOs in revised</w:t>
      </w:r>
      <w:r>
        <w:t xml:space="preserve"> </w:t>
      </w:r>
      <w:r>
        <w:t xml:space="preserve">GLs</w:t>
      </w:r>
    </w:p>
    <w:p>
      <w:pPr>
        <w:pStyle w:val="BodyText"/>
      </w:pPr>
      <w:r>
        <w:t xml:space="preserve">5.4.</w:t>
      </w:r>
      <w:r>
        <w:t xml:space="preserve"> </w:t>
      </w:r>
      <w:r>
        <w:t xml:space="preserve">Policy</w:t>
      </w:r>
      <w:r>
        <w:t xml:space="preserve"> </w:t>
      </w:r>
      <w:r>
        <w:t xml:space="preserve">options:</w:t>
      </w:r>
      <w:r>
        <w:t xml:space="preserve"> </w:t>
      </w:r>
      <w:r>
        <w:t xml:space="preserve">compatibility</w:t>
      </w:r>
      <w:r>
        <w:t xml:space="preserve"> </w:t>
      </w:r>
      <w:r>
        <w:t xml:space="preserve">conditions</w:t>
      </w:r>
      <w:r>
        <w:t xml:space="preserve"> </w:t>
      </w:r>
      <w:r>
        <w:t xml:space="preserve">for</w:t>
      </w:r>
      <w:r>
        <w:t xml:space="preserve"> </w:t>
      </w:r>
      <w:r>
        <w:t xml:space="preserve">operating</w:t>
      </w:r>
      <w:r>
        <w:t xml:space="preserve"> </w:t>
      </w:r>
      <w:r>
        <w:t xml:space="preserve">and</w:t>
      </w:r>
      <w:r>
        <w:t xml:space="preserve"> </w:t>
      </w:r>
      <w:r>
        <w:t xml:space="preserve">interoperability aid (B)</w:t>
      </w:r>
      <w:r>
        <w:t xml:space="preserve"> </w:t>
      </w:r>
      <w:r>
        <w:t xml:space="preserve">The B Options concern the compatibility conditions for operating and interoperability aid</w:t>
      </w:r>
      <w:r>
        <w:t xml:space="preserve"> </w:t>
      </w:r>
      <w:r>
        <w:t xml:space="preserve">measures under the revised GLs and TBER. They span from the most restrictive conditions that</w:t>
      </w:r>
      <w:r>
        <w:t xml:space="preserve"> </w:t>
      </w:r>
      <w:r>
        <w:t xml:space="preserve">could be envisaged in Option B1 to the most permissive conditions in Option B3.</w:t>
      </w:r>
    </w:p>
    <w:p>
      <w:pPr>
        <w:pStyle w:val="BodyText"/>
      </w:pPr>
      <w:r>
        <w:t xml:space="preserve">127 Section 2.3.</w:t>
      </w:r>
      <w:r>
        <w:br/>
      </w:r>
      <w:r>
        <w:t xml:space="preserve">128 Annex 2, Points 4.3 and 4.4.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5.4.1. Option B1: Higher aid intensities and a single operating aid</w:t>
      </w:r>
      <w:r>
        <w:t xml:space="preserve"> </w:t>
      </w:r>
      <w:r>
        <w:t xml:space="preserve">category, with strong safeguards</w:t>
      </w:r>
      <w:r>
        <w:br/>
      </w:r>
      <w:r>
        <w:t xml:space="preserve">First, Option B1 would simplify the operating aid assessment and increase the aid intensity of</w:t>
      </w:r>
      <w:r>
        <w:t xml:space="preserve"> </w:t>
      </w:r>
      <w:r>
        <w:t xml:space="preserve">both operating aid and interoperability aid, based on experience with case practice. Aid for</w:t>
      </w:r>
      <w:r>
        <w:t xml:space="preserve"> </w:t>
      </w:r>
      <w:r>
        <w:t xml:space="preserve">infrastructure use would no longer be a separate operating aid category, as in the past it proved</w:t>
      </w:r>
      <w:r>
        <w:t xml:space="preserve"> </w:t>
      </w:r>
      <w:r>
        <w:t xml:space="preserve">difficult to assess in case practice and Member States often notified aid for infrastructure costs</w:t>
      </w:r>
      <w:r>
        <w:t xml:space="preserve"> </w:t>
      </w:r>
      <w:r>
        <w:t xml:space="preserve">as aid for external cost. Instead, there would be one methodology to define the amount of</w:t>
      </w:r>
      <w:r>
        <w:t xml:space="preserve"> </w:t>
      </w:r>
      <w:r>
        <w:t xml:space="preserve">operating aid that could be granted to reward SLT for the lower external costs it causes.</w:t>
      </w:r>
      <w:r>
        <w:t xml:space="preserve"> </w:t>
      </w:r>
      <w:r>
        <w:t xml:space="preserve">As concerns aid intensities, the TBER would codify the existing RGL cap for external cost aid,</w:t>
      </w:r>
      <w:r>
        <w:t xml:space="preserve"> </w:t>
      </w:r>
      <w:r>
        <w:t xml:space="preserve">with an aid intensity cap of 50%. The aid intensity cap under the revised GLs would be between</w:t>
      </w:r>
      <w:r>
        <w:t xml:space="preserve"> </w:t>
      </w:r>
      <w:r>
        <w:t xml:space="preserve">50 and 100%, reflecting on the one hand the need to further close the external cost gap between</w:t>
      </w:r>
      <w:r>
        <w:t xml:space="preserve"> </w:t>
      </w:r>
      <w:r>
        <w:t xml:space="preserve">SLT and road transport, as SLT modal shares are low and stagnating, and on the other hand the</w:t>
      </w:r>
      <w:r>
        <w:t xml:space="preserve"> </w:t>
      </w:r>
      <w:r>
        <w:t xml:space="preserve">concern that aid should not go beyond compensating SLT for this cost gap129. This was reflected</w:t>
      </w:r>
      <w:r>
        <w:t xml:space="preserve"> </w:t>
      </w:r>
      <w:r>
        <w:t xml:space="preserve">in stakeholder responses to the targeted consultation on the draft revised GLs, where 18</w:t>
      </w:r>
      <w:r>
        <w:t xml:space="preserve"> </w:t>
      </w:r>
      <w:r>
        <w:t xml:space="preserve">stakeholders (including several Member States, as well as a rail association and two railway</w:t>
      </w:r>
      <w:r>
        <w:t xml:space="preserve"> </w:t>
      </w:r>
      <w:r>
        <w:t xml:space="preserve">undertakings) called for higher aid intensities. The same rules would apply also to IWW,</w:t>
      </w:r>
      <w:r>
        <w:t xml:space="preserve"> </w:t>
      </w:r>
      <w:r>
        <w:t xml:space="preserve">building directly on the case practice since 2008.</w:t>
      </w:r>
      <w:r>
        <w:t xml:space="preserve"> </w:t>
      </w:r>
      <w:r>
        <w:t xml:space="preserve">As concerns the aid intensity for interoperability aid, in view of the acute market failures130,</w:t>
      </w:r>
      <w:r>
        <w:t xml:space="preserve"> </w:t>
      </w:r>
      <w:r>
        <w:t xml:space="preserve">under Option B1 higher aid intensities than the current 50% would be set, under both the revised</w:t>
      </w:r>
      <w:r>
        <w:t xml:space="preserve"> </w:t>
      </w:r>
      <w:r>
        <w:t xml:space="preserve">GLs and the TBER, with aid intensities up to 90% for key interoperability technologies,</w:t>
      </w:r>
      <w:r>
        <w:t xml:space="preserve"> </w:t>
      </w:r>
      <w:r>
        <w:t xml:space="preserve">building on 12 precedents in the case practice, where aid intensities between 85 and 100% were</w:t>
      </w:r>
      <w:r>
        <w:t xml:space="preserve"> </w:t>
      </w:r>
      <w:r>
        <w:t xml:space="preserve">accepted. This was also advocated by 9 stakeholders131 in the targeted consultation on the draft</w:t>
      </w:r>
      <w:r>
        <w:t xml:space="preserve"> </w:t>
      </w:r>
      <w:r>
        <w:t xml:space="preserve">revised GLs, where suggested aid intensities for ERTMS and DAC varied between 90 and</w:t>
      </w:r>
      <w:r>
        <w:t xml:space="preserve"> </w:t>
      </w:r>
      <w:r>
        <w:t xml:space="preserve">100%. Moreover, a closed list of the technologies profiting from these aid intensities as defined</w:t>
      </w:r>
      <w:r>
        <w:t xml:space="preserve"> </w:t>
      </w:r>
      <w:r>
        <w:t xml:space="preserve">based on case practice is specifically laid down for the TBER.</w:t>
      </w:r>
      <w:r>
        <w:br/>
      </w:r>
      <w:r>
        <w:t xml:space="preserve">Second, safeguards would be introduced to ensure the proportionality of the higher aid</w:t>
      </w:r>
      <w:r>
        <w:t xml:space="preserve"> </w:t>
      </w:r>
      <w:r>
        <w:t xml:space="preserve">intensities.</w:t>
      </w:r>
      <w:r>
        <w:br/>
      </w:r>
      <w:r>
        <w:t xml:space="preserve">For operating aid, Member States would have to address capacity constraints on the</w:t>
      </w:r>
      <w:r>
        <w:t xml:space="preserve"> </w:t>
      </w:r>
      <w:r>
        <w:t xml:space="preserve">infrastructure of the supported SLT mode (for example access to train paths or transshipment</w:t>
      </w:r>
      <w:r>
        <w:t xml:space="preserve"> </w:t>
      </w:r>
      <w:r>
        <w:t xml:space="preserve">terminals). Such constraints would prevent the expansion of SLT even if it was cost competitive</w:t>
      </w:r>
      <w:r>
        <w:t xml:space="preserve"> </w:t>
      </w:r>
      <w:r>
        <w:t xml:space="preserve">compared to road and are therefore liable to impede modal shift making the aid ineffective.</w:t>
      </w:r>
      <w:r>
        <w:t xml:space="preserve"> </w:t>
      </w:r>
      <w:r>
        <w:t xml:space="preserve">Directive 2012/34/EU establishing a single European railway area132 (‘Single European</w:t>
      </w:r>
      <w:r>
        <w:t xml:space="preserve"> </w:t>
      </w:r>
      <w:r>
        <w:t xml:space="preserve">Railway Area Directive’) defines what “congested infrastructure” is and mandates a capacity</w:t>
      </w:r>
      <w:r>
        <w:t xml:space="preserve"> </w:t>
      </w:r>
      <w:r>
        <w:t xml:space="preserve">analysis and capacity enhancement plan in its Articles 50 and 51.</w:t>
      </w:r>
      <w:r>
        <w:t xml:space="preserve"> </w:t>
      </w:r>
      <w:r>
        <w:t xml:space="preserve">In addition, there would be distance limits under both the revised GLs and the TBER, below</w:t>
      </w:r>
      <w:r>
        <w:t xml:space="preserve"> </w:t>
      </w:r>
      <w:r>
        <w:t xml:space="preserve">which road transport would be presumed to be the preferred transport mode. As rail and IWW</w:t>
      </w:r>
    </w:p>
    <w:p>
      <w:pPr>
        <w:pStyle w:val="BodyText"/>
      </w:pPr>
      <w:r>
        <w:t xml:space="preserve">129 Indeed, the aid intensity should be lower than 100% in particular because beneficiaries of operating aid may</w:t>
      </w:r>
      <w:r>
        <w:t xml:space="preserve"> </w:t>
      </w:r>
      <w:r>
        <w:t xml:space="preserve">also benefit from investment aid. While that aid would cover different eligible costs, it would still seem appropriate</w:t>
      </w:r>
      <w:r>
        <w:t xml:space="preserve"> </w:t>
      </w:r>
      <w:r>
        <w:t xml:space="preserve">to ensure that overall, the support which society provides to SLT does not exceed the benefits that SLT provides</w:t>
      </w:r>
      <w:r>
        <w:t xml:space="preserve"> </w:t>
      </w:r>
      <w:r>
        <w:t xml:space="preserve">in terms of avoided external costs.</w:t>
      </w:r>
      <w:r>
        <w:t xml:space="preserve"> </w:t>
      </w:r>
      <w:r>
        <w:t xml:space="preserve">130 Section 2.3.1.</w:t>
      </w:r>
      <w:r>
        <w:t xml:space="preserve"> </w:t>
      </w:r>
      <w:r>
        <w:t xml:space="preserve">131 4 public authorities out of 29 (13.8%) from DE, BE, NL, FR, 1 company out of 12 (8.3%), 2 business association</w:t>
      </w:r>
      <w:r>
        <w:t xml:space="preserve"> </w:t>
      </w:r>
      <w:r>
        <w:t xml:space="preserve">out of 41 (4.9%) (2 rail associations), 1 trade union out of 2 (50.0%).</w:t>
      </w:r>
      <w:r>
        <w:t xml:space="preserve"> </w:t>
      </w:r>
      <w:r>
        <w:t xml:space="preserve">132 Directive 2012/34/EU of the European Parliament and of the Council of 21 November 2012 establishing a</w:t>
      </w:r>
      <w:r>
        <w:t xml:space="preserve"> </w:t>
      </w:r>
      <w:r>
        <w:t xml:space="preserve">single European railway area (recast), OJ L 343, 14.12.2012, pp. 32–77.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transport becomes more competitive with increasing distances133, above these limits, Member</w:t>
      </w:r>
      <w:r>
        <w:t xml:space="preserve"> </w:t>
      </w:r>
      <w:r>
        <w:t xml:space="preserve">States would have to demonstrate under the revised GLs that road is a viable alternative to the</w:t>
      </w:r>
      <w:r>
        <w:t xml:space="preserve"> </w:t>
      </w:r>
      <w:r>
        <w:t xml:space="preserve">sustainable transport mode and that therefore SLT operations above these limits should also be</w:t>
      </w:r>
      <w:r>
        <w:t xml:space="preserve"> </w:t>
      </w:r>
      <w:r>
        <w:t xml:space="preserve">eligible for aid. Operations above these limits would be excluded from the TBER altogether.</w:t>
      </w:r>
      <w:r>
        <w:t xml:space="preserve"> </w:t>
      </w:r>
      <w:r>
        <w:t xml:space="preserve">However, SWL operations would be exempted from this safeguard, since those tend not to be</w:t>
      </w:r>
      <w:r>
        <w:t xml:space="preserve"> </w:t>
      </w:r>
      <w:r>
        <w:t xml:space="preserve">competitive with road transport regardless of the distance covered, as confirmed by the study</w:t>
      </w:r>
      <w:r>
        <w:t xml:space="preserve"> </w:t>
      </w:r>
      <w:r>
        <w:t xml:space="preserve">and consultation activities134.</w:t>
      </w:r>
      <w:r>
        <w:br/>
      </w:r>
      <w:r>
        <w:t xml:space="preserve">Finally, beneficiaries would be required to make all relevant information on the aid received</w:t>
      </w:r>
      <w:r>
        <w:t xml:space="preserve"> </w:t>
      </w:r>
      <w:r>
        <w:t xml:space="preserve">publicly available to raise awareness about the measures available to reduce the competitiveness</w:t>
      </w:r>
      <w:r>
        <w:t xml:space="preserve"> </w:t>
      </w:r>
      <w:r>
        <w:t xml:space="preserve">gap between SLT modes and less sustainable competing alternatives. This safeguard would i.a.</w:t>
      </w:r>
      <w:r>
        <w:t xml:space="preserve"> </w:t>
      </w:r>
      <w:r>
        <w:t xml:space="preserve">ensure that all players, including smaller or newer companies, are informed about the aid</w:t>
      </w:r>
      <w:r>
        <w:t xml:space="preserve"> </w:t>
      </w:r>
      <w:r>
        <w:t xml:space="preserve">measure and reduce the information gap between these players and large companies or</w:t>
      </w:r>
      <w:r>
        <w:t xml:space="preserve"> </w:t>
      </w:r>
      <w:r>
        <w:t xml:space="preserve">incumbent operators, which would contribute to levelling the playing field in SLT.</w:t>
      </w:r>
      <w:r>
        <w:t xml:space="preserve"> </w:t>
      </w:r>
      <w:r>
        <w:t xml:space="preserve">For interoperability aid, the set aid intensities could be exceeded under the revised GLs when</w:t>
      </w:r>
      <w:r>
        <w:t xml:space="preserve"> </w:t>
      </w:r>
      <w:r>
        <w:t xml:space="preserve">the higher aid intensity is confirmed by a funding gap analysis. In case the funding gap shows</w:t>
      </w:r>
      <w:r>
        <w:t xml:space="preserve"> </w:t>
      </w:r>
      <w:r>
        <w:t xml:space="preserve">that a higher aid intensity is needed, this would be systematically presumed to be proportionate.</w:t>
      </w:r>
      <w:r>
        <w:t xml:space="preserve"> </w:t>
      </w:r>
      <w:r>
        <w:t xml:space="preserve">While the Commission has accepted aid intensities higher than 50% for interoperability aid in</w:t>
      </w:r>
      <w:r>
        <w:t xml:space="preserve"> </w:t>
      </w:r>
      <w:r>
        <w:t xml:space="preserve">12 past cases, under Option B1 it would be spelled out in the rules that this is possible by</w:t>
      </w:r>
      <w:r>
        <w:t xml:space="preserve"> </w:t>
      </w:r>
      <w:r>
        <w:t xml:space="preserve">demonstrating a higher funding need via a funding gap analysis, creating more clarity and</w:t>
      </w:r>
      <w:r>
        <w:t xml:space="preserve"> </w:t>
      </w:r>
      <w:r>
        <w:t xml:space="preserve">transparency for Member States.</w:t>
      </w:r>
      <w:r>
        <w:t xml:space="preserve"> </w:t>
      </w:r>
      <w:r>
        <w:t xml:space="preserve">5.4.2. Option B2: Higher aid intensities and a single operating aid</w:t>
      </w:r>
      <w:r>
        <w:t xml:space="preserve"> </w:t>
      </w:r>
      <w:r>
        <w:t xml:space="preserve">category, with limited safeguards</w:t>
      </w:r>
      <w:r>
        <w:t xml:space="preserve"> </w:t>
      </w:r>
      <w:r>
        <w:t xml:space="preserve">Option B2 has a more generous approach to the compatibility conditions for the operating and</w:t>
      </w:r>
      <w:r>
        <w:t xml:space="preserve"> </w:t>
      </w:r>
      <w:r>
        <w:t xml:space="preserve">interoperability aid categories, focusing on increased permissible aid amounts while keeping</w:t>
      </w:r>
      <w:r>
        <w:t xml:space="preserve"> </w:t>
      </w:r>
      <w:r>
        <w:t xml:space="preserve">safeguards to a minimum. It differs in two significant aspects from Option B1:</w:t>
      </w:r>
      <w:r>
        <w:t xml:space="preserve"> </w:t>
      </w:r>
      <w:r>
        <w:t xml:space="preserve">• For operating aid, it dispenses with the break-even distance limits, staying closer to the</w:t>
      </w:r>
      <w:r>
        <w:t xml:space="preserve"> </w:t>
      </w:r>
      <w:r>
        <w:t xml:space="preserve">case practice, where such distance limits were not applied in the past.</w:t>
      </w:r>
      <w:r>
        <w:br/>
      </w:r>
      <w:r>
        <w:t xml:space="preserve">• For interoperability aid, there would be no need for a funding gap analysis to go beyond</w:t>
      </w:r>
      <w:r>
        <w:t xml:space="preserve"> </w:t>
      </w:r>
      <w:r>
        <w:t xml:space="preserve">the 50% aid intensity and up to even 90% for key interoperability technologies (such as</w:t>
      </w:r>
      <w:r>
        <w:t xml:space="preserve"> </w:t>
      </w:r>
      <w:r>
        <w:t xml:space="preserve">ERTMS and DAC).</w:t>
      </w:r>
      <w:r>
        <w:br/>
      </w:r>
      <w:r>
        <w:t xml:space="preserve">The choice not to include break-even distance limits is significant. First, despite the simple</w:t>
      </w:r>
      <w:r>
        <w:t xml:space="preserve"> </w:t>
      </w:r>
      <w:r>
        <w:t xml:space="preserve">rationale to set distance thresholds to ensure that no aid is granted to SLT operations that would</w:t>
      </w:r>
      <w:r>
        <w:t xml:space="preserve"> </w:t>
      </w:r>
      <w:r>
        <w:t xml:space="preserve">be competitive without aid, the actual competitive relationship between SLT and road transport</w:t>
      </w:r>
      <w:r>
        <w:t xml:space="preserve"> </w:t>
      </w:r>
      <w:r>
        <w:t xml:space="preserve">is not linear and depends on individual operational specifications, undertakings and Member</w:t>
      </w:r>
      <w:r>
        <w:t xml:space="preserve"> </w:t>
      </w:r>
      <w:r>
        <w:t xml:space="preserve">States, meaning that there are various risks of inadvertently introducing distortions. Second, as</w:t>
      </w:r>
      <w:r>
        <w:t xml:space="preserve"> </w:t>
      </w:r>
      <w:r>
        <w:t xml:space="preserve">a safeguard related to individual characteristics, the administrative burden implications are</w:t>
      </w:r>
      <w:r>
        <w:t xml:space="preserve"> </w:t>
      </w:r>
      <w:r>
        <w:t xml:space="preserve">significant. Third, the majority of aid approved in the SLT sector is operating aid135, to which</w:t>
      </w:r>
      <w:r>
        <w:t xml:space="preserve"> </w:t>
      </w:r>
      <w:r>
        <w:t xml:space="preserve">this safeguard refers. Any impact is therefore magnified by the large amount to which it applies.</w:t>
      </w:r>
      <w:r>
        <w:t xml:space="preserve"> </w:t>
      </w:r>
      <w:r>
        <w:t xml:space="preserve">Fourth, such distance limits were never applied in the case practice and the Commission has no</w:t>
      </w:r>
      <w:r>
        <w:t xml:space="preserve"> </w:t>
      </w:r>
      <w:r>
        <w:t xml:space="preserve">experience with them. Fifth, when the Commission services proposed the inclusion of such</w:t>
      </w:r>
      <w:r>
        <w:t xml:space="preserve"> </w:t>
      </w:r>
      <w:r>
        <w:t xml:space="preserve">limits in the TBER and draft revised GLs as part of a targeted consultation of all interested</w:t>
      </w:r>
      <w:r>
        <w:t xml:space="preserve"> </w:t>
      </w:r>
      <w:r>
        <w:t xml:space="preserve">stakeholders on the draft texts, this was the most controversial issue of all with 41 stakeholders</w:t>
      </w:r>
    </w:p>
    <w:p>
      <w:pPr>
        <w:pStyle w:val="BodyText"/>
      </w:pPr>
      <w:r>
        <w:t xml:space="preserve">133 Section 2.1.1.</w:t>
      </w:r>
      <w:r>
        <w:t xml:space="preserve"> </w:t>
      </w:r>
      <w:r>
        <w:t xml:space="preserve">134 Annex 2, point 4.3.</w:t>
      </w:r>
      <w:r>
        <w:t xml:space="preserve"> </w:t>
      </w:r>
      <w:r>
        <w:t xml:space="preserve">135 Annex 7.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contacting the Commission to express their opposition, amongst which public authorities from</w:t>
      </w:r>
      <w:r>
        <w:t xml:space="preserve"> </w:t>
      </w:r>
      <w:r>
        <w:t xml:space="preserve">11 Member States and 28 businesses and business associations136, which pointed to the fact that</w:t>
      </w:r>
      <w:r>
        <w:t xml:space="preserve"> </w:t>
      </w:r>
      <w:r>
        <w:t xml:space="preserve">the proposed safeguard was both unsuitable to attain its purpose and entailed a significant</w:t>
      </w:r>
      <w:r>
        <w:t xml:space="preserve"> </w:t>
      </w:r>
      <w:r>
        <w:t xml:space="preserve">administrative burden. These comments were taken into account in devising Option B2.</w:t>
      </w:r>
      <w:r>
        <w:t xml:space="preserve"> </w:t>
      </w:r>
      <w:r>
        <w:t xml:space="preserve">For core interoperability investments, while very high aid intensities have been accepted in the</w:t>
      </w:r>
      <w:r>
        <w:t xml:space="preserve"> </w:t>
      </w:r>
      <w:r>
        <w:t xml:space="preserve">Commission’s case practice in some cases, under the revised rules compatibility would be</w:t>
      </w:r>
      <w:r>
        <w:t xml:space="preserve"> </w:t>
      </w:r>
      <w:r>
        <w:t xml:space="preserve">systematically presumed for such measures without need for a funding gap analysis, which</w:t>
      </w:r>
      <w:r>
        <w:t xml:space="preserve"> </w:t>
      </w:r>
      <w:r>
        <w:t xml:space="preserve">means at the same time a faster treatment of cases and an alleviation of administrative burden.</w:t>
      </w:r>
      <w:r>
        <w:t xml:space="preserve"> </w:t>
      </w:r>
      <w:r>
        <w:t xml:space="preserve">This goes to the heart of the issue of strict compatibility conditions in the RGL not sufficiently</w:t>
      </w:r>
      <w:r>
        <w:t xml:space="preserve"> </w:t>
      </w:r>
      <w:r>
        <w:t xml:space="preserve">supporting the roll-out of key interoperability technologies.</w:t>
      </w:r>
      <w:r>
        <w:br/>
      </w:r>
      <w:r>
        <w:t xml:space="preserve">5.4.3. Option B3: Higher aid intensities and aid for infrastructure use,</w:t>
      </w:r>
      <w:r>
        <w:t xml:space="preserve"> </w:t>
      </w:r>
      <w:r>
        <w:t xml:space="preserve">minimal safeguards</w:t>
      </w:r>
      <w:r>
        <w:br/>
      </w:r>
      <w:r>
        <w:t xml:space="preserve">Option B3 would have both higher aid intensities for external cost aid (as in Option B2) and</w:t>
      </w:r>
      <w:r>
        <w:t xml:space="preserve"> </w:t>
      </w:r>
      <w:r>
        <w:t xml:space="preserve">keep the category of aid for infrastructure use from case practice as a separate operating aid</w:t>
      </w:r>
      <w:r>
        <w:t xml:space="preserve"> </w:t>
      </w:r>
      <w:r>
        <w:t xml:space="preserve">category, without a cumulative 30% of total cost aid ceiling and without any additional</w:t>
      </w:r>
      <w:r>
        <w:t xml:space="preserve"> </w:t>
      </w:r>
      <w:r>
        <w:t xml:space="preserve">safeguard compared to the baseline. This has been suggested by some Member States and</w:t>
      </w:r>
      <w:r>
        <w:t xml:space="preserve"> </w:t>
      </w:r>
      <w:r>
        <w:t xml:space="preserve">companies or business associations during the consultation activities137. As regards</w:t>
      </w:r>
      <w:r>
        <w:t xml:space="preserve"> </w:t>
      </w:r>
      <w:r>
        <w:t xml:space="preserve">interoperability, Option B3 is equivalent to Option B2.</w:t>
      </w:r>
      <w:r>
        <w:br/>
      </w:r>
      <w:r>
        <w:t xml:space="preserve">An overview of how the B Options were constructed is depicted in Table 4.</w:t>
      </w:r>
    </w:p>
    <w:p>
      <w:pPr>
        <w:pStyle w:val="BodyText"/>
      </w:pPr>
      <w:r>
        <w:t xml:space="preserve">136 Annex 2, Point 4.4.</w:t>
      </w:r>
      <w:r>
        <w:t xml:space="preserve"> </w:t>
      </w:r>
      <w:r>
        <w:t xml:space="preserve">137 Annex 2, Point 4.4.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Table 4: Overview of options under Option bundle (B)</w:t>
      </w:r>
      <w:r>
        <w:t xml:space="preserve"> </w:t>
      </w:r>
      <w:r>
        <w:t xml:space="preserve">Baseline</w:t>
      </w:r>
      <w:r>
        <w:t xml:space="preserve"> </w:t>
      </w:r>
      <w:r>
        <w:t xml:space="preserve">B1</w:t>
      </w:r>
      <w:r>
        <w:t xml:space="preserve"> </w:t>
      </w:r>
      <w:r>
        <w:t xml:space="preserve">B2</w:t>
      </w:r>
      <w:r>
        <w:t xml:space="preserve"> </w:t>
      </w:r>
      <w:r>
        <w:t xml:space="preserve">B3</w:t>
      </w:r>
      <w:r>
        <w:t xml:space="preserve"> </w:t>
      </w:r>
      <w:r>
        <w:t xml:space="preserve">Operating aid</w:t>
      </w:r>
      <w:r>
        <w:t xml:space="preserve"> </w:t>
      </w:r>
      <w:r>
        <w:t xml:space="preserve">50% external cost</w:t>
      </w:r>
      <w:r>
        <w:t xml:space="preserve"> </w:t>
      </w:r>
      <w:r>
        <w:t xml:space="preserve">difference</w:t>
      </w:r>
      <w:r>
        <w:t xml:space="preserve"> </w:t>
      </w:r>
      <w:r>
        <w:t xml:space="preserve">50%-100% (LMTG),</w:t>
      </w:r>
      <w:r>
        <w:t xml:space="preserve"> </w:t>
      </w:r>
      <w:r>
        <w:t xml:space="preserve">50% (TBER)</w:t>
      </w:r>
      <w:r>
        <w:t xml:space="preserve"> </w:t>
      </w:r>
      <w:r>
        <w:t xml:space="preserve">50%-100% (LMTG),</w:t>
      </w:r>
      <w:r>
        <w:t xml:space="preserve"> </w:t>
      </w:r>
      <w:r>
        <w:t xml:space="preserve">50% (TBER)</w:t>
      </w:r>
      <w:r>
        <w:t xml:space="preserve"> </w:t>
      </w:r>
      <w:r>
        <w:t xml:space="preserve">50%-100% (LMTG),</w:t>
      </w:r>
      <w:r>
        <w:t xml:space="preserve"> </w:t>
      </w:r>
      <w:r>
        <w:t xml:space="preserve">50% (TBER)</w:t>
      </w:r>
      <w:r>
        <w:t xml:space="preserve"> </w:t>
      </w:r>
      <w:r>
        <w:t xml:space="preserve">100% infrastructure</w:t>
      </w:r>
      <w:r>
        <w:t xml:space="preserve"> </w:t>
      </w:r>
      <w:r>
        <w:t xml:space="preserve">cost difference</w:t>
      </w:r>
      <w:r>
        <w:t xml:space="preserve"> </w:t>
      </w:r>
      <w:r>
        <w:t xml:space="preserve">No separate category</w:t>
      </w:r>
      <w:r>
        <w:t xml:space="preserve"> </w:t>
      </w:r>
      <w:r>
        <w:t xml:space="preserve">No separate category</w:t>
      </w:r>
      <w:r>
        <w:t xml:space="preserve"> </w:t>
      </w:r>
      <w:r>
        <w:t xml:space="preserve">100% infrastructure</w:t>
      </w:r>
      <w:r>
        <w:t xml:space="preserve"> </w:t>
      </w:r>
      <w:r>
        <w:t xml:space="preserve">cost difference</w:t>
      </w:r>
      <w:r>
        <w:t xml:space="preserve"> </w:t>
      </w:r>
      <w:r>
        <w:t xml:space="preserve">30% total cost ceiling</w:t>
      </w:r>
      <w:r>
        <w:t xml:space="preserve"> </w:t>
      </w:r>
      <w:r>
        <w:t xml:space="preserve">No total cost ceiling</w:t>
      </w:r>
      <w:r>
        <w:t xml:space="preserve"> </w:t>
      </w:r>
      <w:r>
        <w:t xml:space="preserve">No total cost ceiling</w:t>
      </w:r>
      <w:r>
        <w:t xml:space="preserve"> </w:t>
      </w:r>
      <w:r>
        <w:t xml:space="preserve">No total cost ceiling</w:t>
      </w:r>
      <w:r>
        <w:t xml:space="preserve"> </w:t>
      </w:r>
      <w:r>
        <w:t xml:space="preserve">No Distance limits</w:t>
      </w:r>
      <w:r>
        <w:t xml:space="preserve"> </w:t>
      </w:r>
      <w:r>
        <w:t xml:space="preserve">Distance limits</w:t>
      </w:r>
      <w:r>
        <w:t xml:space="preserve"> </w:t>
      </w:r>
      <w:r>
        <w:t xml:space="preserve">No Distance limits</w:t>
      </w:r>
      <w:r>
        <w:t xml:space="preserve"> </w:t>
      </w:r>
      <w:r>
        <w:t xml:space="preserve">No Distance limits</w:t>
      </w:r>
      <w:r>
        <w:t xml:space="preserve"> </w:t>
      </w:r>
      <w:r>
        <w:t xml:space="preserve">No Capacity</w:t>
      </w:r>
      <w:r>
        <w:t xml:space="preserve"> </w:t>
      </w:r>
      <w:r>
        <w:t xml:space="preserve">constraint safeguard</w:t>
      </w:r>
      <w:r>
        <w:t xml:space="preserve"> </w:t>
      </w:r>
      <w:r>
        <w:t xml:space="preserve">Capacity constraint</w:t>
      </w:r>
      <w:r>
        <w:t xml:space="preserve"> </w:t>
      </w:r>
      <w:r>
        <w:t xml:space="preserve">safeguard</w:t>
      </w:r>
      <w:r>
        <w:br/>
      </w:r>
      <w:r>
        <w:t xml:space="preserve">Capacity constraint</w:t>
      </w:r>
      <w:r>
        <w:t xml:space="preserve"> </w:t>
      </w:r>
      <w:r>
        <w:t xml:space="preserve">safeguard</w:t>
      </w:r>
      <w:r>
        <w:t xml:space="preserve"> </w:t>
      </w:r>
      <w:r>
        <w:t xml:space="preserve">No Capacity</w:t>
      </w:r>
      <w:r>
        <w:t xml:space="preserve"> </w:t>
      </w:r>
      <w:r>
        <w:t xml:space="preserve">constraint safeguard</w:t>
      </w:r>
      <w:r>
        <w:t xml:space="preserve"> </w:t>
      </w:r>
      <w:r>
        <w:t xml:space="preserve">Interoperability aid</w:t>
      </w:r>
      <w:r>
        <w:t xml:space="preserve"> </w:t>
      </w:r>
      <w:r>
        <w:t xml:space="preserve">50% aid intensity</w:t>
      </w:r>
      <w:r>
        <w:t xml:space="preserve"> </w:t>
      </w:r>
      <w:r>
        <w:t xml:space="preserve">50% standard aid</w:t>
      </w:r>
      <w:r>
        <w:t xml:space="preserve"> </w:t>
      </w:r>
      <w:r>
        <w:t xml:space="preserve">intensity and 90% for</w:t>
      </w:r>
      <w:r>
        <w:t xml:space="preserve"> </w:t>
      </w:r>
      <w:r>
        <w:t xml:space="preserve">key technologies</w:t>
      </w:r>
      <w:r>
        <w:t xml:space="preserve"> </w:t>
      </w:r>
      <w:r>
        <w:t xml:space="preserve">50% standard aid</w:t>
      </w:r>
      <w:r>
        <w:t xml:space="preserve"> </w:t>
      </w:r>
      <w:r>
        <w:t xml:space="preserve">intensity and 90% for</w:t>
      </w:r>
      <w:r>
        <w:t xml:space="preserve"> </w:t>
      </w:r>
      <w:r>
        <w:t xml:space="preserve">key technologies</w:t>
      </w:r>
      <w:r>
        <w:t xml:space="preserve"> </w:t>
      </w:r>
      <w:r>
        <w:t xml:space="preserve">50% standard aid</w:t>
      </w:r>
      <w:r>
        <w:t xml:space="preserve"> </w:t>
      </w:r>
      <w:r>
        <w:t xml:space="preserve">intensity and 90% for</w:t>
      </w:r>
      <w:r>
        <w:t xml:space="preserve"> </w:t>
      </w:r>
      <w:r>
        <w:t xml:space="preserve">key technologies</w:t>
      </w:r>
      <w:r>
        <w:t xml:space="preserve"> </w:t>
      </w:r>
      <w:r>
        <w:t xml:space="preserve">No Funding gap</w:t>
      </w:r>
      <w:r>
        <w:t xml:space="preserve"> </w:t>
      </w:r>
      <w:r>
        <w:t xml:space="preserve">required</w:t>
      </w:r>
      <w:r>
        <w:t xml:space="preserve"> </w:t>
      </w:r>
      <w:r>
        <w:t xml:space="preserve">Funding gap required</w:t>
      </w:r>
      <w:r>
        <w:t xml:space="preserve"> </w:t>
      </w:r>
      <w:r>
        <w:t xml:space="preserve">(when exceeding</w:t>
      </w:r>
      <w:r>
        <w:t xml:space="preserve"> </w:t>
      </w:r>
      <w:r>
        <w:t xml:space="preserve">50%)</w:t>
      </w:r>
      <w:r>
        <w:t xml:space="preserve"> </w:t>
      </w:r>
      <w:r>
        <w:t xml:space="preserve">No funding gap</w:t>
      </w:r>
      <w:r>
        <w:t xml:space="preserve"> </w:t>
      </w:r>
      <w:r>
        <w:t xml:space="preserve">required</w:t>
      </w:r>
      <w:r>
        <w:t xml:space="preserve"> </w:t>
      </w:r>
      <w:r>
        <w:t xml:space="preserve">No funding gap</w:t>
      </w:r>
      <w:r>
        <w:t xml:space="preserve"> </w:t>
      </w:r>
      <w:r>
        <w:t xml:space="preserve">required</w:t>
      </w:r>
    </w:p>
    <w:p>
      <w:pPr>
        <w:pStyle w:val="BodyText"/>
      </w:pPr>
      <w:r>
        <w:t xml:space="preserve">5.5.</w:t>
      </w:r>
      <w:r>
        <w:t xml:space="preserve"> </w:t>
      </w:r>
      <w:r>
        <w:t xml:space="preserve">Policy options: compatibility conditions for aid for the acquisition of vehicles</w:t>
      </w:r>
      <w:r>
        <w:t xml:space="preserve"> </w:t>
      </w:r>
      <w:r>
        <w:t xml:space="preserve">(C)</w:t>
      </w:r>
      <w:r>
        <w:t xml:space="preserve"> </w:t>
      </w:r>
      <w:r>
        <w:t xml:space="preserve">The C Options consider different combinations in terms of the form of the aid and the potential</w:t>
      </w:r>
      <w:r>
        <w:t xml:space="preserve"> </w:t>
      </w:r>
      <w:r>
        <w:t xml:space="preserve">beneficiaries of aid for the acquisition of vehicles, which have been authorised in past cases or</w:t>
      </w:r>
      <w:r>
        <w:t xml:space="preserve"> </w:t>
      </w:r>
      <w:r>
        <w:t xml:space="preserve">put forward by stakeholders during the consultation activities138. They imply different trade-</w:t>
      </w:r>
      <w:r>
        <w:t xml:space="preserve"> </w:t>
      </w:r>
      <w:r>
        <w:t xml:space="preserve">offs in particular concerning the competitiveness of the SLT sector and the level playing field</w:t>
      </w:r>
      <w:r>
        <w:t xml:space="preserve"> </w:t>
      </w:r>
      <w:r>
        <w:t xml:space="preserve">within the SLT sector.</w:t>
      </w:r>
      <w:r>
        <w:t xml:space="preserve"> </w:t>
      </w:r>
      <w:r>
        <w:t xml:space="preserve">5.5.1. Option C1: Acquisition of vehicles – Guarantees to smaller and</w:t>
      </w:r>
      <w:r>
        <w:t xml:space="preserve"> </w:t>
      </w:r>
      <w:r>
        <w:t xml:space="preserve">newer companies</w:t>
      </w:r>
      <w:r>
        <w:br/>
      </w:r>
      <w:r>
        <w:t xml:space="preserve">Under Option C1, investment aid for the acquisition of vehicles would be limited to aid in the</w:t>
      </w:r>
      <w:r>
        <w:t xml:space="preserve"> </w:t>
      </w:r>
      <w:r>
        <w:t xml:space="preserve">form of guarantees and only smaller companies and new entrants would be eligible for aid. The</w:t>
      </w:r>
      <w:r>
        <w:t xml:space="preserve"> </w:t>
      </w:r>
      <w:r>
        <w:t xml:space="preserve">rationale would be to address the high entry barriers these companies face for the acquisition</w:t>
      </w:r>
      <w:r>
        <w:t xml:space="preserve"> </w:t>
      </w:r>
      <w:r>
        <w:t xml:space="preserve">of vehicles and to promote a level playing field within SLT sectors, as mentioned by one public</w:t>
      </w:r>
      <w:r>
        <w:t xml:space="preserve"> </w:t>
      </w:r>
      <w:r>
        <w:t xml:space="preserve">authority, one business association representing new entrants and a new entrant during the</w:t>
      </w:r>
      <w:r>
        <w:t xml:space="preserve"> </w:t>
      </w:r>
      <w:r>
        <w:t xml:space="preserve">targeted consultation on the draft revised GLs139.</w:t>
      </w:r>
    </w:p>
    <w:p>
      <w:pPr>
        <w:pStyle w:val="BodyText"/>
      </w:pPr>
      <w:r>
        <w:t xml:space="preserve">138 Annex 2, points 4.1, 4.3, 4.4 and 4.5.</w:t>
      </w:r>
      <w:r>
        <w:t xml:space="preserve"> </w:t>
      </w:r>
      <w:r>
        <w:t xml:space="preserve">139 Annex 2, point 4.4.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The parameters of the guarantees have been designed to equate to an aid intensity of 20-30%</w:t>
      </w:r>
      <w:r>
        <w:t xml:space="preserve"> </w:t>
      </w:r>
      <w:r>
        <w:t xml:space="preserve">of the value of the vehicle that is being acquired, which is the lower range of aid intensities</w:t>
      </w:r>
      <w:r>
        <w:t xml:space="preserve"> </w:t>
      </w:r>
      <w:r>
        <w:t xml:space="preserve">observed in the case practice (Section 5.2).</w:t>
      </w:r>
      <w:r>
        <w:t xml:space="preserve"> </w:t>
      </w:r>
      <w:r>
        <w:t xml:space="preserve">5.5.2. Option C2: Acquisition of vehicles - Different types of aid to smaller</w:t>
      </w:r>
      <w:r>
        <w:t xml:space="preserve"> </w:t>
      </w:r>
      <w:r>
        <w:t xml:space="preserve">and newer companies</w:t>
      </w:r>
      <w:r>
        <w:br/>
      </w:r>
      <w:r>
        <w:t xml:space="preserve">Under Option C2, investment aid for the acquisition of vehicles would be limited to smaller</w:t>
      </w:r>
      <w:r>
        <w:t xml:space="preserve"> </w:t>
      </w:r>
      <w:r>
        <w:t xml:space="preserve">companies and new entrants (as under Option C1) but it would include, in addition to</w:t>
      </w:r>
      <w:r>
        <w:t xml:space="preserve"> </w:t>
      </w:r>
      <w:r>
        <w:t xml:space="preserve">guarantees, also loans and grants with a 20-30% aid intensity, in line with the Commission’s</w:t>
      </w:r>
      <w:r>
        <w:t xml:space="preserve"> </w:t>
      </w:r>
      <w:r>
        <w:t xml:space="preserve">case practice, thereby allowing further types of support compared to Option C1.</w:t>
      </w:r>
      <w:r>
        <w:br/>
      </w:r>
      <w:r>
        <w:t xml:space="preserve">5.5.3. Option C3: Acquisition of vehicles – Guarantees to all companies</w:t>
      </w:r>
      <w:r>
        <w:t xml:space="preserve"> </w:t>
      </w:r>
      <w:r>
        <w:t xml:space="preserve">Under Option C3, investment aid for the acquisition of vehicles would be open to all</w:t>
      </w:r>
      <w:r>
        <w:t xml:space="preserve"> </w:t>
      </w:r>
      <w:r>
        <w:t xml:space="preserve">undertakings, but only in the form of guarantees. The idea under this option would be that the</w:t>
      </w:r>
      <w:r>
        <w:t xml:space="preserve"> </w:t>
      </w:r>
      <w:r>
        <w:t xml:space="preserve">aid addresses the specific market failure identified under Option C1, i.e. the difficulty to access</w:t>
      </w:r>
      <w:r>
        <w:t xml:space="preserve"> </w:t>
      </w:r>
      <w:r>
        <w:t xml:space="preserve">financing necessary to acquire new vehicles, while keeping the set of beneficiaries in line with</w:t>
      </w:r>
      <w:r>
        <w:t xml:space="preserve"> </w:t>
      </w:r>
      <w:r>
        <w:t xml:space="preserve">today’s case practice. This widening of the scope of beneficiaries was proposed by around one</w:t>
      </w:r>
      <w:r>
        <w:t xml:space="preserve"> </w:t>
      </w:r>
      <w:r>
        <w:t xml:space="preserve">quarter of stakeholders140 during the targeted consultation on the draft revised GLs141.</w:t>
      </w:r>
      <w:r>
        <w:t xml:space="preserve"> </w:t>
      </w:r>
      <w:r>
        <w:t xml:space="preserve">The parameters of the guarantees would be designed in the same way as under Option C1.</w:t>
      </w:r>
      <w:r>
        <w:t xml:space="preserve"> </w:t>
      </w:r>
      <w:r>
        <w:t xml:space="preserve">An overview of the C Options is depicted in Table 5.</w:t>
      </w:r>
      <w:r>
        <w:br/>
      </w:r>
      <w:r>
        <w:t xml:space="preserve">Table 5: Overview of options under Option bundle (C)</w:t>
      </w:r>
      <w:r>
        <w:t xml:space="preserve"> </w:t>
      </w:r>
      <w:r>
        <w:t xml:space="preserve">Baseline</w:t>
      </w:r>
      <w:r>
        <w:t xml:space="preserve"> </w:t>
      </w:r>
      <w:r>
        <w:t xml:space="preserve">C1</w:t>
      </w:r>
      <w:r>
        <w:t xml:space="preserve"> </w:t>
      </w:r>
      <w:r>
        <w:t xml:space="preserve">C2</w:t>
      </w:r>
      <w:r>
        <w:t xml:space="preserve"> </w:t>
      </w:r>
      <w:r>
        <w:t xml:space="preserve">C3</w:t>
      </w:r>
      <w:r>
        <w:t xml:space="preserve"> </w:t>
      </w:r>
      <w:r>
        <w:t xml:space="preserve">All aid instruments</w:t>
      </w:r>
      <w:r>
        <w:t xml:space="preserve"> </w:t>
      </w:r>
      <w:r>
        <w:t xml:space="preserve">(grants, loans,</w:t>
      </w:r>
      <w:r>
        <w:t xml:space="preserve"> </w:t>
      </w:r>
      <w:r>
        <w:t xml:space="preserve">guarantees)</w:t>
      </w:r>
      <w:r>
        <w:t xml:space="preserve"> </w:t>
      </w:r>
      <w:r>
        <w:t xml:space="preserve">Only guarantees</w:t>
      </w:r>
      <w:r>
        <w:t xml:space="preserve"> </w:t>
      </w:r>
      <w:r>
        <w:t xml:space="preserve">All aid instruments</w:t>
      </w:r>
      <w:r>
        <w:t xml:space="preserve"> </w:t>
      </w:r>
      <w:r>
        <w:t xml:space="preserve">Only guarantees</w:t>
      </w:r>
      <w:r>
        <w:t xml:space="preserve"> </w:t>
      </w:r>
      <w:r>
        <w:t xml:space="preserve">All types of</w:t>
      </w:r>
      <w:r>
        <w:t xml:space="preserve"> </w:t>
      </w:r>
      <w:r>
        <w:t xml:space="preserve">beneficiaries</w:t>
      </w:r>
      <w:r>
        <w:t xml:space="preserve"> </w:t>
      </w:r>
      <w:r>
        <w:t xml:space="preserve">Only smaller and</w:t>
      </w:r>
      <w:r>
        <w:t xml:space="preserve"> </w:t>
      </w:r>
      <w:r>
        <w:t xml:space="preserve">newer companies</w:t>
      </w:r>
      <w:r>
        <w:t xml:space="preserve"> </w:t>
      </w:r>
      <w:r>
        <w:t xml:space="preserve">Only smaller and</w:t>
      </w:r>
      <w:r>
        <w:t xml:space="preserve"> </w:t>
      </w:r>
      <w:r>
        <w:t xml:space="preserve">newer companies</w:t>
      </w:r>
      <w:r>
        <w:t xml:space="preserve"> </w:t>
      </w:r>
      <w:r>
        <w:t xml:space="preserve">All types of</w:t>
      </w:r>
      <w:r>
        <w:t xml:space="preserve"> </w:t>
      </w:r>
      <w:r>
        <w:t xml:space="preserve">beneficiaries</w:t>
      </w:r>
    </w:p>
    <w:p>
      <w:pPr>
        <w:pStyle w:val="BodyText"/>
      </w:pPr>
      <w:r>
        <w:t xml:space="preserve">5.6.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Two options that were discarded at an early stage concern (i) the inclusion of maritime transport</w:t>
      </w:r>
      <w:r>
        <w:t xml:space="preserve"> </w:t>
      </w:r>
      <w:r>
        <w:t xml:space="preserve">in the scope of the revised rules and (ii) the inclusion of specific provisions on rescue and</w:t>
      </w:r>
      <w:r>
        <w:t xml:space="preserve"> </w:t>
      </w:r>
      <w:r>
        <w:t xml:space="preserve">restructuring of undertakings in the railway sector in the revised GLs.</w:t>
      </w:r>
      <w:r>
        <w:t xml:space="preserve"> </w:t>
      </w:r>
      <w:r>
        <w:t xml:space="preserve">Maritime transport</w:t>
      </w:r>
      <w:r>
        <w:t xml:space="preserve"> </w:t>
      </w:r>
      <w:r>
        <w:t xml:space="preserve">The inclusion of maritime transport in the rules was requested by three public authorities142</w:t>
      </w:r>
      <w:r>
        <w:t xml:space="preserve"> </w:t>
      </w:r>
      <w:r>
        <w:t xml:space="preserve">during the targeted consultation. However, State aid to maritime transport does not fall under</w:t>
      </w:r>
      <w:r>
        <w:t xml:space="preserve"> </w:t>
      </w:r>
      <w:r>
        <w:t xml:space="preserve">Article 93 TFEU, which is the legal basis for the proposed rules, but under Article 107(3)(c)</w:t>
      </w:r>
      <w:r>
        <w:t xml:space="preserve"> </w:t>
      </w:r>
      <w:r>
        <w:t xml:space="preserve">TFEU, which allows aid to support certain economic activities. In addition to legal constraints,</w:t>
      </w:r>
    </w:p>
    <w:p>
      <w:pPr>
        <w:pStyle w:val="BodyText"/>
      </w:pPr>
      <w:r>
        <w:t xml:space="preserve">140 6 public authorities out of 29 (20.72%): BE, DE, FR, PL, RO, Flanders, 12 business associations out of 41</w:t>
      </w:r>
      <w:r>
        <w:t xml:space="preserve"> </w:t>
      </w:r>
      <w:r>
        <w:t xml:space="preserve">(29.3%), 4 companies out of 12 (33.3%), 1 foundation out of 1 (100%).</w:t>
      </w:r>
      <w:r>
        <w:t xml:space="preserve"> </w:t>
      </w:r>
      <w:r>
        <w:t xml:space="preserve">141 Annex 2, point 4.4.</w:t>
      </w:r>
      <w:r>
        <w:t xml:space="preserve"> </w:t>
      </w:r>
      <w:r>
        <w:t xml:space="preserve">142 Denmark, Italy and Spain.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the current case practice only includes short-sea shipping when it forms part of multimodal</w:t>
      </w:r>
      <w:r>
        <w:t xml:space="preserve"> </w:t>
      </w:r>
      <w:r>
        <w:t xml:space="preserve">transport solutions that replace unimodal road transport.</w:t>
      </w:r>
      <w:r>
        <w:br/>
      </w:r>
      <w:r>
        <w:t xml:space="preserve">There is a specific set of rules which sets the conditions under which aid to maritime transport is</w:t>
      </w:r>
      <w:r>
        <w:t xml:space="preserve"> </w:t>
      </w:r>
      <w:r>
        <w:t xml:space="preserve">justified143 and which offer many support options to that sector. Furthermore, under Article</w:t>
      </w:r>
      <w:r>
        <w:t xml:space="preserve"> </w:t>
      </w:r>
      <w:r>
        <w:t xml:space="preserve">107(3)(c) TFEU, the maritime sector can receive State aid under the GBER and under several</w:t>
      </w:r>
      <w:r>
        <w:t xml:space="preserve"> </w:t>
      </w:r>
      <w:r>
        <w:t xml:space="preserve">Commission guidelines144.</w:t>
      </w:r>
      <w:r>
        <w:t xml:space="preserve"> </w:t>
      </w:r>
      <w:r>
        <w:t xml:space="preserve">In light of the above, this option was discarded at an early stage.</w:t>
      </w:r>
      <w:r>
        <w:t xml:space="preserve"> </w:t>
      </w:r>
      <w:r>
        <w:t xml:space="preserve">Rescue and restructuring of undertakings in the railway sector</w:t>
      </w:r>
      <w:r>
        <w:t xml:space="preserve"> </w:t>
      </w:r>
      <w:r>
        <w:t xml:space="preserve">A second option that was discarded at an early stage concerns the inclusion of derogations from</w:t>
      </w:r>
      <w:r>
        <w:t xml:space="preserve"> </w:t>
      </w:r>
      <w:r>
        <w:t xml:space="preserve">the rules regarding the rescue and restructuring of undertakings in the railway sector. Such an</w:t>
      </w:r>
      <w:r>
        <w:t xml:space="preserve"> </w:t>
      </w:r>
      <w:r>
        <w:t xml:space="preserve">option could have been considered in light of the Commission’s investigations into DB Cargo145</w:t>
      </w:r>
      <w:r>
        <w:t xml:space="preserve"> </w:t>
      </w:r>
      <w:r>
        <w:t xml:space="preserve">and Fret SNCF (not concluded yet)146. Such specific rules would concern for example debt</w:t>
      </w:r>
      <w:r>
        <w:t xml:space="preserve"> </w:t>
      </w:r>
      <w:r>
        <w:t xml:space="preserve">cancellation or other aid for the restructuring of railway undertakings in difficulty.</w:t>
      </w:r>
      <w:r>
        <w:br/>
      </w:r>
      <w:r>
        <w:t xml:space="preserve">The RGL provided for derogations for the rail freight sector from the rules laid down in the</w:t>
      </w:r>
      <w:r>
        <w:t xml:space="preserve"> </w:t>
      </w:r>
      <w:r>
        <w:t xml:space="preserve">Rescue and Restructuring Guidelines (the ‘R&amp;R Guidelines’)147 until 31 December 2009, by</w:t>
      </w:r>
      <w:r>
        <w:t xml:space="preserve"> </w:t>
      </w:r>
      <w:r>
        <w:t xml:space="preserve">allowing those rules to apply to a freight division of a railway undertaking, and not only the</w:t>
      </w:r>
      <w:r>
        <w:t xml:space="preserve"> </w:t>
      </w:r>
      <w:r>
        <w:t xml:space="preserve">firm as a whole, and they also laid down specific provisions regarding the possibility of debt</w:t>
      </w:r>
      <w:r>
        <w:t xml:space="preserve"> </w:t>
      </w:r>
      <w:r>
        <w:t xml:space="preserve">cancellation for debts incurred prior to 15 March 2001 (applicable to both the freight and</w:t>
      </w:r>
      <w:r>
        <w:t xml:space="preserve"> </w:t>
      </w:r>
      <w:r>
        <w:t xml:space="preserve">passenger segments)148. These derogations were justified by a reduced risk of competition</w:t>
      </w:r>
      <w:r>
        <w:t xml:space="preserve"> </w:t>
      </w:r>
      <w:r>
        <w:t xml:space="preserve">distortions given that the passenger rail transport market was not yet liberalised, that debt</w:t>
      </w:r>
      <w:r>
        <w:t xml:space="preserve"> </w:t>
      </w:r>
      <w:r>
        <w:t xml:space="preserve">cancellation applied to debts incurred prior to liberalisation also in the freight segment, and that</w:t>
      </w:r>
      <w:r>
        <w:t xml:space="preserve"> </w:t>
      </w:r>
      <w:r>
        <w:t xml:space="preserve">several railway undertakings had not legally separated their passenger and freight activities.</w:t>
      </w:r>
      <w:r>
        <w:t xml:space="preserve"> </w:t>
      </w:r>
      <w:r>
        <w:t xml:space="preserve">Both the passenger and the freight segments have meanwhile been liberalised149 and any</w:t>
      </w:r>
      <w:r>
        <w:t xml:space="preserve"> </w:t>
      </w:r>
      <w:r>
        <w:t xml:space="preserve">deviation from the general R&amp;R Guidelines therefore entails a higher risk of distorting</w:t>
      </w:r>
      <w:r>
        <w:t xml:space="preserve"> </w:t>
      </w:r>
      <w:r>
        <w:t xml:space="preserve">competition. In addition, there is already flexibility in the R&amp;R Guidelines to cater for specific</w:t>
      </w:r>
      <w:r>
        <w:t xml:space="preserve"> </w:t>
      </w:r>
      <w:r>
        <w:t xml:space="preserve">circumstances, as they might occur in the rail sector150.</w:t>
      </w:r>
      <w:r>
        <w:t xml:space="preserve"> </w:t>
      </w:r>
      <w:r>
        <w:t xml:space="preserve">Furthermore, it should be noted that:</w:t>
      </w:r>
    </w:p>
    <w:p>
      <w:pPr>
        <w:pStyle w:val="BodyText"/>
      </w:pPr>
      <w:r>
        <w:t xml:space="preserve">143 Community guidelines on State aid to maritime transport, OJ C 13, 17.1.2004.</w:t>
      </w:r>
      <w:r>
        <w:t xml:space="preserve"> </w:t>
      </w:r>
      <w:r>
        <w:t xml:space="preserve">144 In particular, the Regional aid guidelines (Communication from the Commission, Guidelines on regional State</w:t>
      </w:r>
      <w:r>
        <w:t xml:space="preserve"> </w:t>
      </w:r>
      <w:r>
        <w:t xml:space="preserve">aid, OJ C 153, 29.4.2021) provide opportunities to enhance connectivity in remote regions. The high costs of</w:t>
      </w:r>
      <w:r>
        <w:t xml:space="preserve"> </w:t>
      </w:r>
      <w:r>
        <w:t xml:space="preserve">maritime transport services qualifying as SGEI (to be assessed under Article 106(2) TFEU) may also be covered</w:t>
      </w:r>
      <w:r>
        <w:t xml:space="preserve"> </w:t>
      </w:r>
      <w:r>
        <w:t xml:space="preserve">to address disadvantages suffered by islands.</w:t>
      </w:r>
      <w:r>
        <w:t xml:space="preserve"> </w:t>
      </w:r>
      <w:r>
        <w:t xml:space="preserve">145 Commission decision of 29 November 2024 in case SA.50952 – State aid implemented by Germany for DB</w:t>
      </w:r>
      <w:r>
        <w:t xml:space="preserve"> </w:t>
      </w:r>
      <w:r>
        <w:t xml:space="preserve">Cargo, OJ L 1167, 30.6.2025.</w:t>
      </w:r>
      <w:r>
        <w:t xml:space="preserve"> </w:t>
      </w:r>
      <w:r>
        <w:t xml:space="preserve">146 Commission decision of 18 January 2023 in case SA.61880 – Potential aid to Fret SNCF, OJ C 131, 14.4.2023.</w:t>
      </w:r>
      <w:r>
        <w:t xml:space="preserve"> </w:t>
      </w:r>
      <w:r>
        <w:t xml:space="preserve">147 Communication from the Commission — Guidelines on State aid for rescuing and restructuring non-financial</w:t>
      </w:r>
      <w:r>
        <w:t xml:space="preserve"> </w:t>
      </w:r>
      <w:r>
        <w:t xml:space="preserve">undertakings in difficulty, OJ C 249, 31.7.2014.</w:t>
      </w:r>
      <w:r>
        <w:br/>
      </w:r>
      <w:r>
        <w:t xml:space="preserve">148 An overview of provisions under the 2008 RGL is provided in Annex 10.</w:t>
      </w:r>
      <w:r>
        <w:t xml:space="preserve"> </w:t>
      </w:r>
      <w:r>
        <w:t xml:space="preserve">149 Section 1.2.</w:t>
      </w:r>
      <w:r>
        <w:t xml:space="preserve"> </w:t>
      </w:r>
      <w:r>
        <w:t xml:space="preserve">150 In particular, the R&amp;R Guidelines provide that an own contribution (a significant contribution to the</w:t>
      </w:r>
      <w:r>
        <w:t xml:space="preserve"> </w:t>
      </w:r>
      <w:r>
        <w:t xml:space="preserve">restructuring costs is required from the own resources of the aid beneficiary, its shareholders or creditors or the</w:t>
      </w:r>
      <w:r>
        <w:t xml:space="preserve"> </w:t>
      </w:r>
      <w:r>
        <w:t xml:space="preserve">business group to which it belongs, or from new investors) that does not reach 50% of the restructuring costs may</w:t>
      </w:r>
      <w:r>
        <w:t xml:space="preserve"> </w:t>
      </w:r>
      <w:r>
        <w:t xml:space="preserve">be adequate ‘in exceptional circumstances and in cases of particular hardship’ (Paragraph 64 of the R&amp;R</w:t>
      </w:r>
      <w:r>
        <w:t xml:space="preserve"> </w:t>
      </w:r>
      <w:r>
        <w:t xml:space="preserve">Guidelines).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• the derogations in the RGL were rarely used, resulting in only three Commission</w:t>
      </w:r>
      <w:r>
        <w:t xml:space="preserve"> </w:t>
      </w:r>
      <w:r>
        <w:t xml:space="preserve">decisions151.</w:t>
      </w:r>
      <w:r>
        <w:t xml:space="preserve"> </w:t>
      </w:r>
      <w:r>
        <w:t xml:space="preserve">• there was no clear support for such rules in the public consultation: 23% of</w:t>
      </w:r>
      <w:r>
        <w:t xml:space="preserve"> </w:t>
      </w:r>
      <w:r>
        <w:t xml:space="preserve">stakeholders responding to the questionnaire expressed support, while 26% were</w:t>
      </w:r>
      <w:r>
        <w:t xml:space="preserve"> </w:t>
      </w:r>
      <w:r>
        <w:t xml:space="preserve">against and 51% undecided152.</w:t>
      </w:r>
      <w:r>
        <w:t xml:space="preserve"> </w:t>
      </w:r>
      <w:r>
        <w:t xml:space="preserve">• the Commission has limited case practice in applying the R&amp;R Guidelines to the</w:t>
      </w:r>
      <w:r>
        <w:t xml:space="preserve"> </w:t>
      </w:r>
      <w:r>
        <w:t xml:space="preserve">rail sector, with only two decisions adopted under the current R&amp;R Guidelines153.</w:t>
      </w:r>
      <w:r>
        <w:t xml:space="preserve"> </w:t>
      </w:r>
      <w:r>
        <w:t xml:space="preserve">In light of these circumstances, this option was discarded at an early stage.</w:t>
      </w:r>
      <w:r>
        <w:br/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6.1.</w:t>
      </w:r>
      <w:r>
        <w:t xml:space="preserve"> </w:t>
      </w:r>
      <w:r>
        <w:t xml:space="preserve">Methodology</w:t>
      </w:r>
      <w:r>
        <w:t xml:space="preserve"> </w:t>
      </w:r>
      <w:r>
        <w:t xml:space="preserve">The analysis of the different policy options will mostly be carried out qualitatively. The limited</w:t>
      </w:r>
      <w:r>
        <w:t xml:space="preserve"> </w:t>
      </w:r>
      <w:r>
        <w:t xml:space="preserve">transparency and reporting by Member States of aid to SLT have created data gaps and the State</w:t>
      </w:r>
      <w:r>
        <w:t xml:space="preserve"> </w:t>
      </w:r>
      <w:r>
        <w:t xml:space="preserve">aid expenditure data presented in the annually published State aid Scoreboard excludes most of</w:t>
      </w:r>
      <w:r>
        <w:t xml:space="preserve"> </w:t>
      </w:r>
      <w:r>
        <w:t xml:space="preserve">the aid to railways and other SLT modes154. This report presents a multi-criteria analysis with</w:t>
      </w:r>
      <w:r>
        <w:t xml:space="preserve"> </w:t>
      </w:r>
      <w:r>
        <w:t xml:space="preserve">equally weighted criteria. Moreover, it is Member States, rather than the Commission, who</w:t>
      </w:r>
      <w:r>
        <w:t xml:space="preserve"> </w:t>
      </w:r>
      <w:r>
        <w:t xml:space="preserve">determine the actual aid amounts awarded, subject to various considerations, such as budgetary</w:t>
      </w:r>
      <w:r>
        <w:t xml:space="preserve"> </w:t>
      </w:r>
      <w:r>
        <w:t xml:space="preserve">constraints.</w:t>
      </w:r>
      <w:r>
        <w:br/>
      </w:r>
      <w:r>
        <w:t xml:space="preserve">Where relevant and possible, some extrapolations from the data relating to past State aid</w:t>
      </w:r>
      <w:r>
        <w:t xml:space="preserve"> </w:t>
      </w:r>
      <w:r>
        <w:t xml:space="preserve">measures have been carried out for the assessment of the impacts of this initiative. Moreover,</w:t>
      </w:r>
      <w:r>
        <w:t xml:space="preserve"> </w:t>
      </w:r>
      <w:r>
        <w:t xml:space="preserve">an estimate of the administrative simplification entailed by the A Options relating to the scope</w:t>
      </w:r>
      <w:r>
        <w:t xml:space="preserve"> </w:t>
      </w:r>
      <w:r>
        <w:t xml:space="preserve">of the block exemption (the part of this revision with the most significant potential impact on</w:t>
      </w:r>
      <w:r>
        <w:t xml:space="preserve"> </w:t>
      </w:r>
      <w:r>
        <w:t xml:space="preserve">administrative burden) has been carried out, including a targeted consultation of Member State</w:t>
      </w:r>
      <w:r>
        <w:t xml:space="preserve"> </w:t>
      </w:r>
      <w:r>
        <w:t xml:space="preserve">authorities. Finally, quantitative data on environmental impacts has been drawn on as well.</w:t>
      </w:r>
      <w:r>
        <w:br/>
      </w:r>
      <w:r>
        <w:t xml:space="preserve">Economic and environmental impacts were assessed in detail, as further explained in sections</w:t>
      </w:r>
      <w:r>
        <w:t xml:space="preserve"> </w:t>
      </w:r>
      <w:r>
        <w:t xml:space="preserve">6.1.1 and 6.1.2 below.</w:t>
      </w:r>
    </w:p>
    <w:p>
      <w:pPr>
        <w:pStyle w:val="BodyText"/>
      </w:pPr>
      <w:r>
        <w:t xml:space="preserve">151 Commission decision of 13 May 2009 in case SA.26432 – United Kingdom Restructuring of London &amp;</w:t>
      </w:r>
      <w:r>
        <w:t xml:space="preserve"> </w:t>
      </w:r>
      <w:r>
        <w:t xml:space="preserve">Continental Railways and Eurostar (UK) Limited, OJ C 183 of 5.8.2009; Commission decision of 11 November</w:t>
      </w:r>
      <w:r>
        <w:t xml:space="preserve"> </w:t>
      </w:r>
      <w:r>
        <w:t xml:space="preserve">2010 in case SA.30152 – Belgium Projet d’aide à la restructuration des activités fret de la SNCB / Voorgenomen</w:t>
      </w:r>
      <w:r>
        <w:t xml:space="preserve"> </w:t>
      </w:r>
      <w:r>
        <w:t xml:space="preserve">herstructureringssteun ten behoeve van de goederenactiviteiten van de NMBS, OJ C 327 of 4.12.2010;</w:t>
      </w:r>
      <w:r>
        <w:t xml:space="preserve"> </w:t>
      </w:r>
      <w:r>
        <w:t xml:space="preserve">Commission decision of 16 June 2017 – Bulgaria BDZ Holding EAD SA, BDZ Passenger EOOD and BDZ Cargo</w:t>
      </w:r>
      <w:r>
        <w:t xml:space="preserve"> </w:t>
      </w:r>
      <w:r>
        <w:t xml:space="preserve">EOOD and other measures, OJ L 337 of 19.12.2017.</w:t>
      </w:r>
      <w:r>
        <w:t xml:space="preserve"> </w:t>
      </w:r>
      <w:r>
        <w:t xml:space="preserve">152 Among the stakeholders expressing themselves against specific rules were 4 public authorities (1 from Italy, 1</w:t>
      </w:r>
      <w:r>
        <w:t xml:space="preserve"> </w:t>
      </w:r>
      <w:r>
        <w:t xml:space="preserve">from the Netherlands, 1 from Romania and 1 from Finland), 3 stakeholders representing new entrant railway</w:t>
      </w:r>
      <w:r>
        <w:t xml:space="preserve"> </w:t>
      </w:r>
      <w:r>
        <w:t xml:space="preserve">operators and 2 representing incumbent operators. Among the stakeholders expressing themselves in favour of the</w:t>
      </w:r>
      <w:r>
        <w:t xml:space="preserve"> </w:t>
      </w:r>
      <w:r>
        <w:t xml:space="preserve">inclusion of specific rules were 4 public authorities (1 from Italy, 1 from France, 1 from Hungary and 1 from</w:t>
      </w:r>
      <w:r>
        <w:t xml:space="preserve"> </w:t>
      </w:r>
      <w:r>
        <w:t xml:space="preserve">Latvia), 4 stakeholders representing incumbent railway operators and 2 representing new entrants. Among the</w:t>
      </w:r>
      <w:r>
        <w:t xml:space="preserve"> </w:t>
      </w:r>
      <w:r>
        <w:t xml:space="preserve">undecided stakeholders were 7 public authorities (2 from Italy, 2 from France, 1 from Czechia, 1 from Belgium</w:t>
      </w:r>
      <w:r>
        <w:t xml:space="preserve"> </w:t>
      </w:r>
      <w:r>
        <w:t xml:space="preserve">and 1 from Lithuania), 5 stakeholders representing incumbent railway operators and 2 representing new entrants.</w:t>
      </w:r>
      <w:r>
        <w:t xml:space="preserve"> </w:t>
      </w:r>
      <w:r>
        <w:t xml:space="preserve">153 Commission decision of 24 February 2020 in case SA.43549 – Romania Alleged aid to CFR Marfa, OJ L 32</w:t>
      </w:r>
      <w:r>
        <w:t xml:space="preserve"> </w:t>
      </w:r>
      <w:r>
        <w:t xml:space="preserve">of 29.01.2021, Commission decision of 29 November 2024 in case SA.50952 – State aid implemented by Germany</w:t>
      </w:r>
      <w:r>
        <w:t xml:space="preserve"> </w:t>
      </w:r>
      <w:r>
        <w:t xml:space="preserve">for DB Cargo, OJ L 1167, 30.6.2025 (see footnote 145).</w:t>
      </w:r>
      <w:r>
        <w:br/>
      </w:r>
      <w:r>
        <w:t xml:space="preserve">154 The Commission must publish an annual State aid synopsis or State aid Scoreboard based on the expenditure</w:t>
      </w:r>
      <w:r>
        <w:t xml:space="preserve"> </w:t>
      </w:r>
      <w:r>
        <w:t xml:space="preserve">reports provided by Member States, pursuant to Article 6 of Commission Regulation (EC) No 794/2004 of 21</w:t>
      </w:r>
      <w:r>
        <w:t xml:space="preserve"> </w:t>
      </w:r>
      <w:r>
        <w:t xml:space="preserve">April 2004 implementing Council Regulation (EC) No 659/1999 laying down detailed rules for the application of</w:t>
      </w:r>
      <w:r>
        <w:t xml:space="preserve"> </w:t>
      </w:r>
      <w:r>
        <w:t xml:space="preserve">Article 93 of the EC Treaty, OJ L 140, 30.4.2004.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The social impacts of this initiative are less tangible, as society and citizens are the indirect</w:t>
      </w:r>
      <w:r>
        <w:t xml:space="preserve"> </w:t>
      </w:r>
      <w:r>
        <w:t xml:space="preserve">albeit ultimate beneficiaries, of the economic and environmental impacts of this initiative. The</w:t>
      </w:r>
      <w:r>
        <w:t xml:space="preserve"> </w:t>
      </w:r>
      <w:r>
        <w:t xml:space="preserve">social impacts have been assessed in particular for the B and C Options155.</w:t>
      </w:r>
      <w:r>
        <w:br/>
      </w:r>
      <w:r>
        <w:t xml:space="preserve">Any effects on digitalisation are limited, as most aid to SLT is expected to continue to be</w:t>
      </w:r>
      <w:r>
        <w:t xml:space="preserve"> </w:t>
      </w:r>
      <w:r>
        <w:t xml:space="preserve">operating aid156. These effects are also expected to be indirect, as digitalisation is not an</w:t>
      </w:r>
      <w:r>
        <w:t xml:space="preserve"> </w:t>
      </w:r>
      <w:r>
        <w:t xml:space="preserve">objective of the initiative per se. The initiative does have an overall positive influence on</w:t>
      </w:r>
      <w:r>
        <w:t xml:space="preserve"> </w:t>
      </w:r>
      <w:r>
        <w:t xml:space="preserve">digitalisation. Among others, it facilitates aid to investments that can involve digitalisation of</w:t>
      </w:r>
      <w:r>
        <w:t xml:space="preserve"> </w:t>
      </w:r>
      <w:r>
        <w:t xml:space="preserve">SLT, in particular through interoperability aid. Importantly, this initiative does not pose any</w:t>
      </w:r>
      <w:r>
        <w:t xml:space="preserve"> </w:t>
      </w:r>
      <w:r>
        <w:t xml:space="preserve">obstacles to digitalisation. Against this background, the specific impacts on digitalisation have</w:t>
      </w:r>
      <w:r>
        <w:t xml:space="preserve"> </w:t>
      </w:r>
      <w:r>
        <w:t xml:space="preserve">not been further assessed for each option.</w:t>
      </w:r>
      <w:r>
        <w:br/>
      </w:r>
      <w:r>
        <w:t xml:space="preserve">Finally, the initiative has no impact on fundamental rights.</w:t>
      </w:r>
      <w:r>
        <w:t xml:space="preserve"> </w:t>
      </w:r>
      <w:r>
        <w:t xml:space="preserve">6.1.1. Economic impacts</w:t>
      </w:r>
      <w:r>
        <w:t xml:space="preserve"> </w:t>
      </w:r>
      <w:r>
        <w:t xml:space="preserve">The economic impact of the different policy options will be assessed through their effects on</w:t>
      </w:r>
      <w:r>
        <w:t xml:space="preserve"> </w:t>
      </w:r>
      <w:r>
        <w:t xml:space="preserve">(i) the functioning of the internal market and competition (including various dimensions of</w:t>
      </w:r>
      <w:r>
        <w:t xml:space="preserve"> </w:t>
      </w:r>
      <w:r>
        <w:t xml:space="preserve">competitiveness, where relevant157) including the substitution and income effects expected to</w:t>
      </w:r>
      <w:r>
        <w:t xml:space="preserve"> </w:t>
      </w:r>
      <w:r>
        <w:t xml:space="preserve">be generated by the initiative, (ii) the administrative burden on public authorities and related</w:t>
      </w:r>
      <w:r>
        <w:t xml:space="preserve"> </w:t>
      </w:r>
      <w:r>
        <w:t xml:space="preserve">cost savings for businesses and (iii) the position of SMEs. As a rule, State aid rules do not have</w:t>
      </w:r>
      <w:r>
        <w:t xml:space="preserve"> </w:t>
      </w:r>
      <w:r>
        <w:t xml:space="preserve">a direct impact on the administrative burden of businesses, as they do not impose or remove</w:t>
      </w:r>
      <w:r>
        <w:t xml:space="preserve"> </w:t>
      </w:r>
      <w:r>
        <w:t xml:space="preserve">any obligations specifically on businesses. However, businesses can benefit indirectly from</w:t>
      </w:r>
      <w:r>
        <w:t xml:space="preserve"> </w:t>
      </w:r>
      <w:r>
        <w:t xml:space="preserve">administrative simplification, when State aid procedures are accelerated and the support reaches</w:t>
      </w:r>
      <w:r>
        <w:t xml:space="preserve"> </w:t>
      </w:r>
      <w:r>
        <w:t xml:space="preserve">the market faster, generating savings in opportunity costs.</w:t>
      </w:r>
      <w:r>
        <w:br/>
      </w:r>
      <w:r>
        <w:t xml:space="preserve">General considerations about the economics of modal shift</w:t>
      </w:r>
      <w:r>
        <w:t xml:space="preserve"> </w:t>
      </w:r>
      <w:r>
        <w:t xml:space="preserve">Granting subsidies for SLT operations and investments is one way to increase the modal share</w:t>
      </w:r>
      <w:r>
        <w:t xml:space="preserve"> </w:t>
      </w:r>
      <w:r>
        <w:t xml:space="preserve">of SLT. The largest amounts of aid to SLT have so far taken the form of operating aid. The</w:t>
      </w:r>
      <w:r>
        <w:t xml:space="preserve"> </w:t>
      </w:r>
      <w:r>
        <w:t xml:space="preserve">subsidies provided should have led to lower prices charged by SLT operators (rail, IWW), thus</w:t>
      </w:r>
      <w:r>
        <w:t xml:space="preserve"> </w:t>
      </w:r>
      <w:r>
        <w:t xml:space="preserve">incentivising a switch in demand for transport services away from road transport (substitution</w:t>
      </w:r>
      <w:r>
        <w:t xml:space="preserve"> </w:t>
      </w:r>
      <w:r>
        <w:t xml:space="preserve">effect). As prices of SLT drop, a secondary effect could also be an increase in the total volume</w:t>
      </w:r>
      <w:r>
        <w:t xml:space="preserve"> </w:t>
      </w:r>
      <w:r>
        <w:t xml:space="preserve">of transport services used, whether SLT or not (the income effect). As the main aim of this</w:t>
      </w:r>
      <w:r>
        <w:t xml:space="preserve"> </w:t>
      </w:r>
      <w:r>
        <w:t xml:space="preserve">initiative is to support the substitution effect (the modal shift), the options discussed include</w:t>
      </w:r>
      <w:r>
        <w:t xml:space="preserve"> </w:t>
      </w:r>
      <w:r>
        <w:t xml:space="preserve">also safeguards to ensure maximising this effect. A further analysis is provided in particular for</w:t>
      </w:r>
      <w:r>
        <w:t xml:space="preserve"> </w:t>
      </w:r>
      <w:r>
        <w:t xml:space="preserve">option bundle B, which has the highest impact on operating aid.</w:t>
      </w:r>
      <w:r>
        <w:br/>
      </w:r>
      <w:r>
        <w:t xml:space="preserve">More generally, there are several studies showing that, even without safeguards, operating</w:t>
      </w:r>
      <w:r>
        <w:t xml:space="preserve"> </w:t>
      </w:r>
      <w:r>
        <w:t xml:space="preserve">subsidies generate mainly a substitution effect. These studies have attempted to quantify the</w:t>
      </w:r>
      <w:r>
        <w:t xml:space="preserve"> </w:t>
      </w:r>
      <w:r>
        <w:t xml:space="preserve">two effects and how the changes in prices affect demand volumes for each mode of transport.</w:t>
      </w:r>
      <w:r>
        <w:t xml:space="preserve"> </w:t>
      </w:r>
      <w:r>
        <w:t xml:space="preserve">While the resulting range of estimates for the elasticity coefficients is quite large, the studies</w:t>
      </w:r>
      <w:r>
        <w:t xml:space="preserve"> </w:t>
      </w:r>
      <w:r>
        <w:t xml:space="preserve">seem to converge in their conclusions, pointing to a prevalence of the substitution effects,</w:t>
      </w:r>
      <w:r>
        <w:t xml:space="preserve"> </w:t>
      </w:r>
      <w:r>
        <w:t xml:space="preserve">particularly regarding operating aid to sustainable land transport.</w:t>
      </w:r>
    </w:p>
    <w:p>
      <w:pPr>
        <w:pStyle w:val="BodyText"/>
      </w:pPr>
      <w:r>
        <w:t xml:space="preserve">155 The initiative does not have any impact on social standards to be applied at national level.</w:t>
      </w:r>
      <w:r>
        <w:br/>
      </w:r>
      <w:r>
        <w:t xml:space="preserve">156 For the years 2022-2024, on average 75% of aid approved for SLT was in the form of operating aid.</w:t>
      </w:r>
      <w:r>
        <w:br/>
      </w:r>
      <w:r>
        <w:t xml:space="preserve">157 Impacts on competitiveness are assessed as part of the economic impacts. The whole initiative aims at</w:t>
      </w:r>
      <w:r>
        <w:t xml:space="preserve"> </w:t>
      </w:r>
      <w:r>
        <w:t xml:space="preserve">improving the competitiveness of SLT compared to road transport and therefore the analysis of this impact partially</w:t>
      </w:r>
      <w:r>
        <w:t xml:space="preserve"> </w:t>
      </w:r>
      <w:r>
        <w:t xml:space="preserve">coincides with the analysis on the attainment of modal shift. The options considered in this Impact Assessment</w:t>
      </w:r>
      <w:r>
        <w:t xml:space="preserve"> </w:t>
      </w:r>
      <w:r>
        <w:t xml:space="preserve">Report would have only a very limited impact on international competitiveness since they relate to a rebalancing</w:t>
      </w:r>
      <w:r>
        <w:t xml:space="preserve"> </w:t>
      </w:r>
      <w:r>
        <w:t xml:space="preserve">of the conditions for different transport modes within the Union.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Indeed, for freight transport, the studies158 show that the elasticity of rail volumes to rail prices</w:t>
      </w:r>
      <w:r>
        <w:t xml:space="preserve"> </w:t>
      </w:r>
      <w:r>
        <w:t xml:space="preserve">is around -1.0x (with a range of 0 to -1.6) and the cross-elasticity of road volumes to rail prices</w:t>
      </w:r>
      <w:r>
        <w:t xml:space="preserve"> </w:t>
      </w:r>
      <w:r>
        <w:t xml:space="preserve">is around 0.3x (with a range of 0.1-0.5). These coefficients mean that a 10% drop in rail prices</w:t>
      </w:r>
      <w:r>
        <w:t xml:space="preserve"> </w:t>
      </w:r>
      <w:r>
        <w:t xml:space="preserve">lead to a 10% increase in volumes transported by rail and a 3% decrease in volumes transported</w:t>
      </w:r>
      <w:r>
        <w:t xml:space="preserve"> </w:t>
      </w:r>
      <w:r>
        <w:t xml:space="preserve">by road. As volumes of freight transported by road in the EU are about four times bigger than</w:t>
      </w:r>
      <w:r>
        <w:t xml:space="preserve"> </w:t>
      </w:r>
      <w:r>
        <w:t xml:space="preserve">the volumes transported by rail, the increase in rail volumes broadly corresponds to the decrease</w:t>
      </w:r>
      <w:r>
        <w:t xml:space="preserve"> </w:t>
      </w:r>
      <w:r>
        <w:t xml:space="preserve">in road volumes, showing that the substitution effect is dominant and the income effect of a</w:t>
      </w:r>
      <w:r>
        <w:t xml:space="preserve"> </w:t>
      </w:r>
      <w:r>
        <w:t xml:space="preserve">decrease in rail prices is negligible.</w:t>
      </w:r>
      <w:r>
        <w:br/>
      </w:r>
      <w:r>
        <w:t xml:space="preserve">As concerns passenger transport, the elasticity of rail volumes to rail prices is estimated to be</w:t>
      </w:r>
      <w:r>
        <w:t xml:space="preserve"> </w:t>
      </w:r>
      <w:r>
        <w:t xml:space="preserve">lower at around -0.4x159 and the elasticity of passenger transport from cars to rail prices (proxied</w:t>
      </w:r>
      <w:r>
        <w:t xml:space="preserve"> </w:t>
      </w:r>
      <w:r>
        <w:t xml:space="preserve">by public transport prices) is much lower at 0.08x160. This means that a 10% decrease in rail</w:t>
      </w:r>
      <w:r>
        <w:t xml:space="preserve"> </w:t>
      </w:r>
      <w:r>
        <w:t xml:space="preserve">prices leads to a 4% increase in the number of rail passengers and a decrease of 0.8% in the</w:t>
      </w:r>
      <w:r>
        <w:t xml:space="preserve"> </w:t>
      </w:r>
      <w:r>
        <w:t xml:space="preserve">usage of cars. Still, considering that the number of road trips is approximately five times higher</w:t>
      </w:r>
      <w:r>
        <w:t xml:space="preserve"> </w:t>
      </w:r>
      <w:r>
        <w:t xml:space="preserve">than that of rail trips, the percentage change in rail passengers broadly matches the decrease in</w:t>
      </w:r>
      <w:r>
        <w:t xml:space="preserve"> </w:t>
      </w:r>
      <w:r>
        <w:t xml:space="preserve">the number of car passengers. Therefore, also as concerns passengers transport, the substitution</w:t>
      </w:r>
      <w:r>
        <w:t xml:space="preserve"> </w:t>
      </w:r>
      <w:r>
        <w:t xml:space="preserve">effect appears dominant.</w:t>
      </w:r>
      <w:r>
        <w:br/>
      </w:r>
      <w:r>
        <w:t xml:space="preserve">Calculating the amounts of operating aid granted on average per year in the EU over the 2022-</w:t>
      </w:r>
      <w:r>
        <w:t xml:space="preserve"> </w:t>
      </w:r>
      <w:r>
        <w:t xml:space="preserve">2024 period (EUR 3.6 billion) allows for a more precise quantification of the substitution effect</w:t>
      </w:r>
      <w:r>
        <w:t xml:space="preserve"> </w:t>
      </w:r>
      <w:r>
        <w:t xml:space="preserve">generated by the operating aid measures approved in 2022-2024 and shows that operating aid</w:t>
      </w:r>
      <w:r>
        <w:t xml:space="preserve"> </w:t>
      </w:r>
      <w:r>
        <w:t xml:space="preserve">represents about 4% of the annual revenues of SLT operators. Assuming the subsidies were</w:t>
      </w:r>
      <w:r>
        <w:t xml:space="preserve"> </w:t>
      </w:r>
      <w:r>
        <w:t xml:space="preserve">used entirely to reduce the end-user prices, the result would be a 4% price reduction. Applying</w:t>
      </w:r>
      <w:r>
        <w:t xml:space="preserve"> </w:t>
      </w:r>
      <w:r>
        <w:t xml:space="preserve">the elasticity coefficients mentioned above, this 4% price reduction can be expected to generate</w:t>
      </w:r>
      <w:r>
        <w:t xml:space="preserve"> </w:t>
      </w:r>
      <w:r>
        <w:t xml:space="preserve">a 2% increase in rail volumes (average of passengers and freight combined), most of which</w:t>
      </w:r>
      <w:r>
        <w:t xml:space="preserve"> </w:t>
      </w:r>
      <w:r>
        <w:t xml:space="preserve">through a switch from road transport (in line with the conclusion above that the substitution</w:t>
      </w:r>
      <w:r>
        <w:t xml:space="preserve"> </w:t>
      </w:r>
      <w:r>
        <w:t xml:space="preserve">effect is dominant). While these economic impacts all result from the cost reduction potential</w:t>
      </w:r>
      <w:r>
        <w:t xml:space="preserve"> </w:t>
      </w:r>
      <w:r>
        <w:t xml:space="preserve">for SLT caused by the proposed approach under different options, the effect is predominant in</w:t>
      </w:r>
      <w:r>
        <w:t xml:space="preserve"> </w:t>
      </w:r>
      <w:r>
        <w:t xml:space="preserve">the case of option bundle B which assesses different aid intensities for operating aid.</w:t>
      </w:r>
      <w:r>
        <w:br/>
      </w:r>
      <w:r>
        <w:t xml:space="preserve">The budgetary constraints that can limit success</w:t>
      </w:r>
      <w:r>
        <w:t xml:space="preserve"> </w:t>
      </w:r>
      <w:r>
        <w:t xml:space="preserve">The extent to which the initiative will be successful can also depend on the budgetary</w:t>
      </w:r>
      <w:r>
        <w:t xml:space="preserve"> </w:t>
      </w:r>
      <w:r>
        <w:t xml:space="preserve">constraints of Member States, though political priorities seem to play a more important role. It</w:t>
      </w:r>
      <w:r>
        <w:t xml:space="preserve"> </w:t>
      </w:r>
      <w:r>
        <w:t xml:space="preserve">should first be noted that the amounts used for SLT measures over 2022-2024 have been</w:t>
      </w:r>
      <w:r>
        <w:t xml:space="preserve"> </w:t>
      </w:r>
      <w:r>
        <w:t xml:space="preserve">relatively small in the total budgets of Member States. The largest category of aid to SLT</w:t>
      </w:r>
      <w:r>
        <w:t xml:space="preserve"> </w:t>
      </w:r>
      <w:r>
        <w:t xml:space="preserve">represented by operating aid accounted on average for just 7% of total public subsidies for</w:t>
      </w:r>
      <w:r>
        <w:t xml:space="preserve"> </w:t>
      </w:r>
      <w:r>
        <w:t xml:space="preserve">transport (including public support for all transport modes, even if it does not qualify as State</w:t>
      </w:r>
      <w:r>
        <w:t xml:space="preserve"> </w:t>
      </w:r>
      <w:r>
        <w:t xml:space="preserve">aid). State aid spending on SLT amounted, on average, to just 0.04% of Member States’</w:t>
      </w:r>
      <w:r>
        <w:t xml:space="preserve"> </w:t>
      </w:r>
      <w:r>
        <w:t xml:space="preserve">budgetary expenditures, with the highest values in Austria (0.22%), Czechia (0.14%), and</w:t>
      </w:r>
      <w:r>
        <w:t xml:space="preserve"> </w:t>
      </w:r>
      <w:r>
        <w:t xml:space="preserve">Germany (0.11%).</w:t>
      </w:r>
    </w:p>
    <w:p>
      <w:pPr>
        <w:pStyle w:val="BodyText"/>
      </w:pPr>
      <w:r>
        <w:t xml:space="preserve">158 International Transport Forum, Mode Choice in Freight Transport, ITF Research Reports, OECD Publishing,</w:t>
      </w:r>
      <w:r>
        <w:t xml:space="preserve"> </w:t>
      </w:r>
      <w:r>
        <w:t xml:space="preserve">2022:</w:t>
      </w:r>
      <w:r>
        <w:t xml:space="preserve"> </w:t>
      </w:r>
      <w:r>
        <w:t xml:space="preserve">https://www.oecd.org/content/dam/oecd/en/publications/reports/2022/02/mode-choice-in-freight-</w:t>
      </w:r>
      <w:r>
        <w:t xml:space="preserve"> </w:t>
      </w:r>
      <w:r>
        <w:t xml:space="preserve">transport_667ea2c1/3e69ebc4-en.pdf</w:t>
      </w:r>
      <w:r>
        <w:t xml:space="preserve"> </w:t>
      </w:r>
      <w:r>
        <w:t xml:space="preserve">159 CE Delft, Modal choice criteria in rail transport, 2018: https://cedelft.eu/wp-</w:t>
      </w:r>
      <w:r>
        <w:t xml:space="preserve"> </w:t>
      </w:r>
      <w:r>
        <w:t xml:space="preserve">content/uploads/sites/2/2021/03/CE_Delft_4S52_Modal_choice_criteria_in_rail-transport_Def.pdf</w:t>
      </w:r>
      <w:r>
        <w:t xml:space="preserve"> </w:t>
      </w:r>
      <w:r>
        <w:t xml:space="preserve">160 International Transport Forum, Valuing Convenience in Public Transport, ITF Round Tables, No. 156, OECD</w:t>
      </w:r>
      <w:r>
        <w:t xml:space="preserve"> </w:t>
      </w:r>
      <w:r>
        <w:t xml:space="preserve">Publishing. 2014, https://www.oecd.org/content/dam/oecd/en/publications/reports/2014/12/valuing-convenience-</w:t>
      </w:r>
      <w:r>
        <w:t xml:space="preserve"> </w:t>
      </w:r>
      <w:r>
        <w:t xml:space="preserve">in-public-transport_g1g4525d/9789282107683-en.pdf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The level of spending appears to be primarily the result of political priorities of Member States</w:t>
      </w:r>
      <w:r>
        <w:t xml:space="preserve"> </w:t>
      </w:r>
      <w:r>
        <w:t xml:space="preserve">when allocating funds to SLT measures. Budgetary constraints seem to play only a secondary</w:t>
      </w:r>
      <w:r>
        <w:t xml:space="preserve"> </w:t>
      </w:r>
      <w:r>
        <w:t xml:space="preserve">role, as some countries with high medium-term fiscal sustainability risks161 still allocated</w:t>
      </w:r>
      <w:r>
        <w:t xml:space="preserve"> </w:t>
      </w:r>
      <w:r>
        <w:t xml:space="preserve">above-average shares of their total State aid budgets to SLT. The analysis of the budgetary</w:t>
      </w:r>
      <w:r>
        <w:t xml:space="preserve"> </w:t>
      </w:r>
      <w:r>
        <w:t xml:space="preserve">expenditures allocated to aid to SLT over time as a proportion of the overall budget of the</w:t>
      </w:r>
      <w:r>
        <w:t xml:space="preserve"> </w:t>
      </w:r>
      <w:r>
        <w:t xml:space="preserve">Member States does not reveal any clear pattern, which suggests that political priorities likely</w:t>
      </w:r>
      <w:r>
        <w:t xml:space="preserve"> </w:t>
      </w:r>
      <w:r>
        <w:t xml:space="preserve">play a more important role in this context.162</w:t>
      </w:r>
      <w:r>
        <w:br/>
      </w:r>
      <w:r>
        <w:t xml:space="preserve">An important mitigating factor that could lead to an increase of aid amounts in the coming years</w:t>
      </w:r>
      <w:r>
        <w:t xml:space="preserve"> </w:t>
      </w:r>
      <w:r>
        <w:t xml:space="preserve">is the introduction of ETS2. Expectations of ETS2 revenues stand at EUR 342-570 billion163</w:t>
      </w:r>
      <w:r>
        <w:t xml:space="preserve"> </w:t>
      </w:r>
      <w:r>
        <w:t xml:space="preserve">for five years (compared to just EUR 4.8 billion per year for the SLT State aid measures per</w:t>
      </w:r>
      <w:r>
        <w:t xml:space="preserve"> </w:t>
      </w:r>
      <w:r>
        <w:t xml:space="preserve">year on average between 2022 and 2024), of which a large part will need to be earmarked to</w:t>
      </w:r>
      <w:r>
        <w:t xml:space="preserve"> </w:t>
      </w:r>
      <w:r>
        <w:t xml:space="preserve">green projects including modal shift164. ETS2 is thus likely to provide an additional source of</w:t>
      </w:r>
      <w:r>
        <w:t xml:space="preserve"> </w:t>
      </w:r>
      <w:r>
        <w:t xml:space="preserve">budget revenues for Member States to use on SLT measures and could help alleviate some of</w:t>
      </w:r>
      <w:r>
        <w:t xml:space="preserve"> </w:t>
      </w:r>
      <w:r>
        <w:t xml:space="preserve">the pressure from budget constraints when investing in SLT.</w:t>
      </w:r>
      <w:r>
        <w:t xml:space="preserve"> </w:t>
      </w:r>
      <w:r>
        <w:t xml:space="preserve">6.1.2. Environmental impacts</w:t>
      </w:r>
      <w:r>
        <w:t xml:space="preserve"> </w:t>
      </w:r>
      <w:r>
        <w:t xml:space="preserve">The environmental impact of the different policy options will be assessed by their contribution</w:t>
      </w:r>
      <w:r>
        <w:t xml:space="preserve"> </w:t>
      </w:r>
      <w:r>
        <w:t xml:space="preserve">to modal shift towards SLT and therefore the attainment of the Green Deal and SSMS</w:t>
      </w:r>
      <w:r>
        <w:t xml:space="preserve"> </w:t>
      </w:r>
      <w:r>
        <w:t xml:space="preserve">objectives. The specific environmental impacts that will be assessed are GHG emissions, air</w:t>
      </w:r>
      <w:r>
        <w:t xml:space="preserve"> </w:t>
      </w:r>
      <w:r>
        <w:t xml:space="preserve">pollution and noise, because they are the environmental impacts most affected by modal shift,</w:t>
      </w:r>
      <w:r>
        <w:t xml:space="preserve"> </w:t>
      </w:r>
      <w:r>
        <w:t xml:space="preserve">which also means that reliable data is available for them. These environmental impacts all result</w:t>
      </w:r>
      <w:r>
        <w:t xml:space="preserve"> </w:t>
      </w:r>
      <w:r>
        <w:t xml:space="preserve">from the modal shift impact caused by each option.</w:t>
      </w:r>
      <w:r>
        <w:br/>
      </w:r>
      <w:r>
        <w:t xml:space="preserve">The below Table 6 shows the main environmental impacts that result from a modal shift from</w:t>
      </w:r>
      <w:r>
        <w:t xml:space="preserve"> </w:t>
      </w:r>
      <w:r>
        <w:t xml:space="preserve">road to SLT165.</w:t>
      </w:r>
    </w:p>
    <w:p>
      <w:pPr>
        <w:pStyle w:val="BodyText"/>
      </w:pPr>
      <w:r>
        <w:t xml:space="preserve">161 According to the https://economy-finance.ec.europa.eu/document/download/581dbeab-4e86-44b9-afbe-</w:t>
      </w:r>
      <w:r>
        <w:t xml:space="preserve"> </w:t>
      </w:r>
      <w:r>
        <w:t xml:space="preserve">6da8a1572491_en?filename=ip306_en.pdfEuropean Commission’s 2024 Debt Sustainability Monitor, these</w:t>
      </w:r>
      <w:r>
        <w:t xml:space="preserve"> </w:t>
      </w:r>
      <w:r>
        <w:t xml:space="preserve">countries are: Belgium, Greece, Spain, France, Italy, Hungary, Austria, Poland, Romania, Slovakia and Finland:</w:t>
      </w:r>
      <w:r>
        <w:t xml:space="preserve"> </w:t>
      </w:r>
      <w:r>
        <w:t xml:space="preserve">https://economy-finance.ec.europa.eu/document/download/581dbeab-4e86-44b9-afbe-</w:t>
      </w:r>
      <w:r>
        <w:t xml:space="preserve"> </w:t>
      </w:r>
      <w:r>
        <w:t xml:space="preserve">6da8a1572491_en?filename=ip306_en.pdf.</w:t>
      </w:r>
      <w:r>
        <w:t xml:space="preserve"> </w:t>
      </w:r>
      <w:r>
        <w:t xml:space="preserve">162 As examples, among countries with high fiscal sustainability risks, Austria approved SLT aid measures</w:t>
      </w:r>
      <w:r>
        <w:t xml:space="preserve"> </w:t>
      </w:r>
      <w:r>
        <w:t xml:space="preserve">representing 0.94% of the total budgetary expenditures over the years 2019-2024, varying from 0.1% in 2019 to</w:t>
      </w:r>
      <w:r>
        <w:t xml:space="preserve"> </w:t>
      </w:r>
      <w:r>
        <w:t xml:space="preserve">0.65% in 2022, and Italy approved SLT aid measures amounting to 0.23% of total budgetary expenditures for</w:t>
      </w:r>
      <w:r>
        <w:t xml:space="preserve"> </w:t>
      </w:r>
      <w:r>
        <w:t xml:space="preserve">2019-2024, ranging from 0.01% in 2020 to 0.08% in 2022. Among countries with medium fiscal sustainability</w:t>
      </w:r>
      <w:r>
        <w:t xml:space="preserve"> </w:t>
      </w:r>
      <w:r>
        <w:t xml:space="preserve">risks, Germany approved SLT aid measures representing 0.6% of the total budgetary expenditures over the years</w:t>
      </w:r>
      <w:r>
        <w:t xml:space="preserve"> </w:t>
      </w:r>
      <w:r>
        <w:t xml:space="preserve">2019-2024, varying from 0% in 2019 to 0.17% in 2023, and Czechia approved measures totalling 0.6%, ranging</w:t>
      </w:r>
      <w:r>
        <w:t xml:space="preserve"> </w:t>
      </w:r>
      <w:r>
        <w:t xml:space="preserve">from 0% in 2019 to 0.27% in 2023. There is no clear correlation between the amounts and the economic cycle or</w:t>
      </w:r>
      <w:r>
        <w:t xml:space="preserve"> </w:t>
      </w:r>
      <w:r>
        <w:t xml:space="preserve">the fiscal sustainability constraints of the countries.</w:t>
      </w:r>
      <w:r>
        <w:br/>
      </w:r>
      <w:r>
        <w:t xml:space="preserve">163 European Parliamentary Research Service, EU emissions trading system for buildings, road transport and</w:t>
      </w:r>
      <w:r>
        <w:t xml:space="preserve"> </w:t>
      </w:r>
      <w:r>
        <w:t xml:space="preserve">additional sectors (ETS2) - Status and concerns, 2025:</w:t>
      </w:r>
      <w:r>
        <w:br/>
      </w:r>
      <w:r>
        <w:t xml:space="preserve">https://www.europarl.europa.eu/RegData/etudes/BRIE/2025/772878/EPRS_BRI%282025%29772878_EN.pdf</w:t>
      </w:r>
      <w:r>
        <w:t xml:space="preserve"> </w:t>
      </w:r>
      <w:r>
        <w:t xml:space="preserve">164 Pursuant to Article 10 of the Directive, among other categories the revenue generated by ETS2 should be used</w:t>
      </w:r>
      <w:r>
        <w:t xml:space="preserve"> </w:t>
      </w:r>
      <w:r>
        <w:t xml:space="preserve">‘to invest in and accelerate the shift to forms of transport which contribute significantly to the decarbonisation of</w:t>
      </w:r>
      <w:r>
        <w:t xml:space="preserve"> </w:t>
      </w:r>
      <w:r>
        <w:t xml:space="preserve">the sector, including the development of climate-friendly passenger and freight rail transport […]’.</w:t>
      </w:r>
      <w:r>
        <w:br/>
      </w:r>
      <w:r>
        <w:t xml:space="preserve">165 For the assumptions underlying the modal shift impact, calculations are detailed in Annex 11.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Table 6: Environmental impacts per tonne/passenger-kilometre by transport mode, EU-27,</w:t>
      </w:r>
      <w:r>
        <w:t xml:space="preserve"> </w:t>
      </w:r>
      <w:r>
        <w:t xml:space="preserve">road transport = 100, data from 2016</w:t>
      </w:r>
      <w:r>
        <w:t xml:space="preserve"> </w:t>
      </w:r>
      <w:r>
        <w:t xml:space="preserve">Transport type</w:t>
      </w:r>
      <w:r>
        <w:t xml:space="preserve"> </w:t>
      </w:r>
      <w:r>
        <w:t xml:space="preserve">GHG</w:t>
      </w:r>
      <w:r>
        <w:t xml:space="preserve"> </w:t>
      </w:r>
      <w:r>
        <w:t xml:space="preserve">emissions (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Air</w:t>
      </w:r>
      <w:r>
        <w:rPr>
          <w:i/>
          <w:iCs/>
        </w:rPr>
        <w:t xml:space="preserve"> </w:t>
      </w:r>
      <w:r>
        <w:rPr>
          <w:i/>
          <w:iCs/>
        </w:rPr>
        <w:t xml:space="preserve">pollution (†)</w:t>
      </w:r>
      <w:r>
        <w:rPr>
          <w:i/>
          <w:iCs/>
        </w:rPr>
        <w:t xml:space="preserve"> </w:t>
      </w:r>
      <w:r>
        <w:rPr>
          <w:i/>
          <w:iCs/>
        </w:rPr>
        <w:t xml:space="preserve">Noise</w:t>
      </w:r>
      <w:r>
        <w:rPr>
          <w:i/>
          <w:iCs/>
        </w:rPr>
        <w:t xml:space="preserve"> </w:t>
      </w:r>
      <w:r>
        <w:rPr>
          <w:i/>
          <w:iCs/>
        </w:rPr>
        <w:t xml:space="preserve">Total environmental</w:t>
      </w:r>
      <w:r>
        <w:rPr>
          <w:i/>
          <w:iCs/>
        </w:rPr>
        <w:t xml:space="preserve"> </w:t>
      </w:r>
      <w:r>
        <w:rPr>
          <w:i/>
          <w:iCs/>
        </w:rPr>
        <w:t xml:space="preserve">impact (‡)</w:t>
      </w:r>
      <w:r>
        <w:rPr>
          <w:i/>
          <w:iCs/>
        </w:rPr>
        <w:t xml:space="preserve"> </w:t>
      </w:r>
      <w:r>
        <w:rPr>
          <w:i/>
          <w:iCs/>
        </w:rPr>
        <w:t xml:space="preserve">Passenger - road</w:t>
      </w:r>
      <w:r>
        <w:rPr>
          <w:i/>
          <w:iCs/>
        </w:rPr>
        <w:t xml:space="preserve"> </w:t>
      </w:r>
      <w:r>
        <w:rPr>
          <w:i/>
          <w:iCs/>
        </w:rPr>
        <w:t xml:space="preserve">transport</w:t>
      </w:r>
      <w:r>
        <w:rPr>
          <w:i/>
          <w:iCs/>
        </w:rPr>
        <w:t xml:space="preserve"> </w:t>
      </w:r>
      <w:r>
        <w:rPr>
          <w:i/>
          <w:iCs/>
        </w:rPr>
        <w:t xml:space="preserve">100.0</w:t>
      </w:r>
      <w:r>
        <w:rPr>
          <w:i/>
          <w:iCs/>
        </w:rPr>
        <w:t xml:space="preserve"> </w:t>
      </w:r>
      <w:r>
        <w:rPr>
          <w:i/>
          <w:iCs/>
        </w:rPr>
        <w:t xml:space="preserve">100.0</w:t>
      </w:r>
      <w:r>
        <w:rPr>
          <w:i/>
          <w:iCs/>
        </w:rPr>
        <w:t xml:space="preserve"> </w:t>
      </w:r>
      <w:r>
        <w:rPr>
          <w:i/>
          <w:iCs/>
        </w:rPr>
        <w:t xml:space="preserve">100.0</w:t>
      </w:r>
      <w:r>
        <w:rPr>
          <w:i/>
          <w:iCs/>
        </w:rPr>
        <w:t xml:space="preserve"> </w:t>
      </w:r>
      <w:r>
        <w:rPr>
          <w:i/>
          <w:iCs/>
        </w:rPr>
        <w:t xml:space="preserve">100.0</w:t>
      </w:r>
      <w:r>
        <w:rPr>
          <w:i/>
          <w:iCs/>
        </w:rPr>
        <w:t xml:space="preserve"> </w:t>
      </w:r>
      <w:r>
        <w:rPr>
          <w:i/>
          <w:iCs/>
        </w:rPr>
        <w:t xml:space="preserve">Passenger - SLT (rail)</w:t>
      </w:r>
      <w:r>
        <w:rPr>
          <w:i/>
          <w:iCs/>
        </w:rPr>
        <w:t xml:space="preserve"> </w:t>
      </w:r>
      <w:r>
        <w:rPr>
          <w:i/>
          <w:iCs/>
        </w:rPr>
        <w:t xml:space="preserve">35.4</w:t>
      </w:r>
      <w:r>
        <w:rPr>
          <w:i/>
          <w:iCs/>
        </w:rPr>
        <w:t xml:space="preserve"> </w:t>
      </w:r>
      <w:r>
        <w:rPr>
          <w:i/>
          <w:iCs/>
        </w:rPr>
        <w:t xml:space="preserve">64.4</w:t>
      </w:r>
      <w:r>
        <w:rPr>
          <w:i/>
          <w:iCs/>
        </w:rPr>
        <w:t xml:space="preserve"> </w:t>
      </w:r>
      <w:r>
        <w:rPr>
          <w:i/>
          <w:iCs/>
        </w:rPr>
        <w:t xml:space="preserve">121.9</w:t>
      </w:r>
      <w:r>
        <w:rPr>
          <w:i/>
          <w:iCs/>
        </w:rPr>
        <w:t xml:space="preserve"> </w:t>
      </w:r>
      <w:r>
        <w:rPr>
          <w:i/>
          <w:iCs/>
        </w:rPr>
        <w:t xml:space="preserve">66.0</w:t>
      </w:r>
      <w:r>
        <w:rPr>
          <w:i/>
          <w:iCs/>
        </w:rPr>
        <w:t xml:space="preserve"> </w:t>
      </w:r>
      <w:r>
        <w:rPr>
          <w:i/>
          <w:iCs/>
        </w:rPr>
        <w:t xml:space="preserve">Freight - road transport</w:t>
      </w:r>
      <w:r>
        <w:rPr>
          <w:i/>
          <w:iCs/>
        </w:rPr>
        <w:t xml:space="preserve"> </w:t>
      </w:r>
      <w:r>
        <w:rPr>
          <w:i/>
          <w:iCs/>
        </w:rPr>
        <w:t xml:space="preserve">100.0</w:t>
      </w:r>
      <w:r>
        <w:rPr>
          <w:i/>
          <w:iCs/>
        </w:rPr>
        <w:t xml:space="preserve"> </w:t>
      </w:r>
      <w:r>
        <w:rPr>
          <w:i/>
          <w:iCs/>
        </w:rPr>
        <w:t xml:space="preserve">100.0</w:t>
      </w:r>
      <w:r>
        <w:rPr>
          <w:i/>
          <w:iCs/>
        </w:rPr>
        <w:t xml:space="preserve"> </w:t>
      </w:r>
      <w:r>
        <w:rPr>
          <w:i/>
          <w:iCs/>
        </w:rPr>
        <w:t xml:space="preserve">100.0</w:t>
      </w:r>
      <w:r>
        <w:rPr>
          <w:i/>
          <w:iCs/>
        </w:rPr>
        <w:t xml:space="preserve"> </w:t>
      </w:r>
      <w:r>
        <w:rPr>
          <w:i/>
          <w:iCs/>
        </w:rPr>
        <w:t xml:space="preserve">100.0</w:t>
      </w:r>
      <w:r>
        <w:rPr>
          <w:i/>
          <w:iCs/>
        </w:rPr>
        <w:t xml:space="preserve"> </w:t>
      </w:r>
      <w:r>
        <w:rPr>
          <w:i/>
          <w:iCs/>
        </w:rPr>
        <w:t xml:space="preserve">Freight - rail</w:t>
      </w:r>
      <w:r>
        <w:rPr>
          <w:i/>
          <w:iCs/>
        </w:rPr>
        <w:t xml:space="preserve"> </w:t>
      </w:r>
      <w:r>
        <w:rPr>
          <w:i/>
          <w:iCs/>
        </w:rPr>
        <w:t xml:space="preserve">24.3</w:t>
      </w:r>
      <w:r>
        <w:rPr>
          <w:i/>
          <w:iCs/>
        </w:rPr>
        <w:t xml:space="preserve"> </w:t>
      </w:r>
      <w:r>
        <w:rPr>
          <w:i/>
          <w:iCs/>
        </w:rPr>
        <w:t xml:space="preserve">19.5</w:t>
      </w:r>
      <w:r>
        <w:rPr>
          <w:i/>
          <w:iCs/>
        </w:rPr>
        <w:t xml:space="preserve"> </w:t>
      </w:r>
      <w:r>
        <w:rPr>
          <w:i/>
          <w:iCs/>
        </w:rPr>
        <w:t xml:space="preserve">120.3</w:t>
      </w:r>
      <w:r>
        <w:rPr>
          <w:i/>
          <w:iCs/>
        </w:rPr>
        <w:t xml:space="preserve"> </w:t>
      </w:r>
      <w:r>
        <w:rPr>
          <w:i/>
          <w:iCs/>
        </w:rPr>
        <w:t xml:space="preserve">47.3</w:t>
      </w:r>
      <w:r>
        <w:rPr>
          <w:i/>
          <w:iCs/>
        </w:rPr>
        <w:t xml:space="preserve"> </w:t>
      </w:r>
      <w:r>
        <w:rPr>
          <w:i/>
          <w:iCs/>
        </w:rPr>
        <w:t xml:space="preserve">Freight - IWW (§)</w:t>
      </w:r>
      <w:r>
        <w:rPr>
          <w:i/>
          <w:iCs/>
        </w:rPr>
        <w:t xml:space="preserve"> </w:t>
      </w:r>
      <w:r>
        <w:rPr>
          <w:i/>
          <w:iCs/>
        </w:rPr>
        <w:t xml:space="preserve">64.6</w:t>
      </w:r>
      <w:r>
        <w:rPr>
          <w:i/>
          <w:iCs/>
        </w:rPr>
        <w:t xml:space="preserve"> </w:t>
      </w:r>
      <w:r>
        <w:rPr>
          <w:i/>
          <w:iCs/>
        </w:rPr>
        <w:t xml:space="preserve">162.0</w:t>
      </w:r>
      <w:r>
        <w:rPr>
          <w:i/>
          <w:iCs/>
        </w:rPr>
        <w:t xml:space="preserve"> </w:t>
      </w:r>
      <w:r>
        <w:rPr>
          <w:i/>
          <w:iCs/>
        </w:rPr>
        <w:t xml:space="preserve">0.0</w:t>
      </w:r>
      <w:r>
        <w:rPr>
          <w:i/>
          <w:iCs/>
        </w:rPr>
        <w:t xml:space="preserve"> </w:t>
      </w:r>
      <w:r>
        <w:rPr>
          <w:i/>
          <w:iCs/>
        </w:rPr>
        <w:t xml:space="preserve">88.3</w:t>
      </w:r>
      <w:r>
        <w:rPr>
          <w:i/>
          <w:iCs/>
        </w:rPr>
        <w:t xml:space="preserve"> </w:t>
      </w:r>
      <w:r>
        <w:rPr>
          <w:i/>
          <w:iCs/>
        </w:rPr>
        <w:t xml:space="preserve">Freight - SLT (rail +</w:t>
      </w:r>
      <w:r>
        <w:rPr>
          <w:i/>
          <w:iCs/>
        </w:rPr>
        <w:t xml:space="preserve"> </w:t>
      </w:r>
      <w:r>
        <w:rPr>
          <w:i/>
          <w:iCs/>
        </w:rPr>
        <w:t xml:space="preserve">IWW)</w:t>
      </w:r>
      <w:r>
        <w:rPr>
          <w:i/>
          <w:iCs/>
        </w:rPr>
        <w:t xml:space="preserve"> </w:t>
      </w:r>
      <w:r>
        <w:rPr>
          <w:i/>
          <w:iCs/>
        </w:rPr>
        <w:t xml:space="preserve">33.5</w:t>
      </w:r>
      <w:r>
        <w:rPr>
          <w:i/>
          <w:iCs/>
        </w:rPr>
        <w:t xml:space="preserve"> </w:t>
      </w:r>
      <w:r>
        <w:rPr>
          <w:i/>
          <w:iCs/>
        </w:rPr>
        <w:t xml:space="preserve">49.6</w:t>
      </w:r>
      <w:r>
        <w:rPr>
          <w:i/>
          <w:iCs/>
        </w:rPr>
        <w:t xml:space="preserve"> </w:t>
      </w:r>
      <w:r>
        <w:rPr>
          <w:i/>
          <w:iCs/>
        </w:rPr>
        <w:t xml:space="preserve">92.9</w:t>
      </w:r>
      <w:r>
        <w:rPr>
          <w:i/>
          <w:iCs/>
        </w:rPr>
        <w:t xml:space="preserve"> </w:t>
      </w:r>
      <w:r>
        <w:rPr>
          <w:i/>
          <w:iCs/>
        </w:rPr>
        <w:t xml:space="preserve">56.7</w:t>
      </w:r>
      <w:r>
        <w:rPr>
          <w:i/>
          <w:iCs/>
        </w:rPr>
        <w:t xml:space="preserve"> </w:t>
      </w:r>
      <w:r>
        <w:rPr>
          <w:i/>
          <w:iCs/>
        </w:rPr>
        <w:t xml:space="preserve">Modal shift impact in</w:t>
      </w:r>
      <w:r>
        <w:rPr>
          <w:i/>
          <w:iCs/>
        </w:rPr>
        <w:t xml:space="preserve"> </w:t>
      </w:r>
      <w:r>
        <w:rPr>
          <w:i/>
          <w:iCs/>
        </w:rPr>
        <w:t xml:space="preserve">passenger segment</w:t>
      </w:r>
      <w:r>
        <w:rPr>
          <w:i/>
          <w:iCs/>
        </w:rPr>
        <w:t xml:space="preserve"> </w:t>
      </w:r>
      <w:r>
        <w:rPr>
          <w:i/>
          <w:iCs/>
        </w:rPr>
        <w:t xml:space="preserve">-64.5%</w:t>
      </w:r>
      <w:r>
        <w:rPr>
          <w:i/>
          <w:iCs/>
        </w:rPr>
        <w:t xml:space="preserve"> </w:t>
      </w:r>
      <w:r>
        <w:rPr>
          <w:i/>
          <w:iCs/>
        </w:rPr>
        <w:t xml:space="preserve">-35.6%</w:t>
      </w:r>
      <w:r>
        <w:rPr>
          <w:i/>
          <w:iCs/>
        </w:rPr>
        <w:t xml:space="preserve"> </w:t>
      </w:r>
      <w:r>
        <w:rPr>
          <w:i/>
          <w:iCs/>
        </w:rPr>
        <w:t xml:space="preserve">+21.4%</w:t>
      </w:r>
      <w:r>
        <w:rPr>
          <w:i/>
          <w:iCs/>
        </w:rPr>
        <w:t xml:space="preserve"> </w:t>
      </w:r>
      <w:r>
        <w:rPr>
          <w:i/>
          <w:iCs/>
        </w:rPr>
        <w:t xml:space="preserve">-34.1%</w:t>
      </w:r>
      <w:r>
        <w:rPr>
          <w:i/>
          <w:iCs/>
        </w:rPr>
        <w:t xml:space="preserve"> </w:t>
      </w:r>
      <w:r>
        <w:rPr>
          <w:i/>
          <w:iCs/>
        </w:rPr>
        <w:t xml:space="preserve">Modal shift impact in</w:t>
      </w:r>
      <w:r>
        <w:rPr>
          <w:i/>
          <w:iCs/>
        </w:rPr>
        <w:t xml:space="preserve"> </w:t>
      </w:r>
      <w:r>
        <w:rPr>
          <w:i/>
          <w:iCs/>
        </w:rPr>
        <w:t xml:space="preserve">freight segment</w:t>
      </w:r>
      <w:r>
        <w:rPr>
          <w:i/>
          <w:iCs/>
        </w:rPr>
        <w:t xml:space="preserve"> </w:t>
      </w:r>
      <w:r>
        <w:rPr>
          <w:i/>
          <w:iCs/>
        </w:rPr>
        <w:t xml:space="preserve">-66.6%</w:t>
      </w:r>
      <w:r>
        <w:rPr>
          <w:i/>
          <w:iCs/>
        </w:rPr>
        <w:t xml:space="preserve"> </w:t>
      </w:r>
      <w:r>
        <w:rPr>
          <w:i/>
          <w:iCs/>
        </w:rPr>
        <w:t xml:space="preserve">-50.5%</w:t>
      </w:r>
      <w:r>
        <w:rPr>
          <w:i/>
          <w:iCs/>
        </w:rPr>
        <w:t xml:space="preserve"> </w:t>
      </w:r>
      <w:r>
        <w:rPr>
          <w:i/>
          <w:iCs/>
        </w:rPr>
        <w:t xml:space="preserve">-7.0%</w:t>
      </w:r>
      <w:r>
        <w:rPr>
          <w:i/>
          <w:iCs/>
        </w:rPr>
        <w:t xml:space="preserve"> </w:t>
      </w:r>
      <w:r>
        <w:rPr>
          <w:i/>
          <w:iCs/>
        </w:rPr>
        <w:t xml:space="preserve">-43.4%</w:t>
      </w:r>
      <w:r>
        <w:rPr>
          <w:i/>
          <w:iCs/>
        </w:rPr>
        <w:t xml:space="preserve"> </w:t>
      </w:r>
      <w:r>
        <w:t xml:space="preserve"> </w:t>
      </w:r>
      <w:r>
        <w:t xml:space="preserve">Carbon, nitrous oxide, and methane, includes emissions from energy production</w:t>
      </w:r>
      <w:r>
        <w:t xml:space="preserve"> </w:t>
      </w:r>
      <w:r>
        <w:t xml:space="preserve">† Notably nitrogen oxides, sulphur oxide, and fine particles, includes emissions from energy production</w:t>
      </w:r>
      <w:r>
        <w:t xml:space="preserve"> </w:t>
      </w:r>
      <w:r>
        <w:t xml:space="preserve">‡ Weighted by severity of impact (e.g. the GHG emissions impact of transport is bigger than the noise</w:t>
      </w:r>
      <w:r>
        <w:t xml:space="preserve"> </w:t>
      </w:r>
      <w:r>
        <w:t xml:space="preserve">impact)</w:t>
      </w:r>
      <w:r>
        <w:t xml:space="preserve"> </w:t>
      </w:r>
      <w:r>
        <w:t xml:space="preserve">§ EU-28</w:t>
      </w:r>
      <w:r>
        <w:t xml:space="preserve"> </w:t>
      </w:r>
      <w:r>
        <w:t xml:space="preserve">The table shows that the environmental impacts of modal shift are significant, with GHG</w:t>
      </w:r>
      <w:r>
        <w:t xml:space="preserve"> </w:t>
      </w:r>
      <w:r>
        <w:t xml:space="preserve">emissions reduced by about two thirds, for each unit of transport that is shifted from road to</w:t>
      </w:r>
      <w:r>
        <w:t xml:space="preserve"> </w:t>
      </w:r>
      <w:r>
        <w:t xml:space="preserve">SLT. Air pollution diminishes by between one third and one half. The impact on noise is more</w:t>
      </w:r>
      <w:r>
        <w:t xml:space="preserve"> </w:t>
      </w:r>
      <w:r>
        <w:t xml:space="preserve">mixed, with small gains for modal shift in the freight segment, but with an increase in noise</w:t>
      </w:r>
      <w:r>
        <w:t xml:space="preserve"> </w:t>
      </w:r>
      <w:r>
        <w:t xml:space="preserve">pollution in the passenger segment. Overall, the environmental impacts of modal shift, weighted</w:t>
      </w:r>
      <w:r>
        <w:t xml:space="preserve"> </w:t>
      </w:r>
      <w:r>
        <w:t xml:space="preserve">by the severity of the impact166, are significantly positive, with reductions of undesirable</w:t>
      </w:r>
      <w:r>
        <w:t xml:space="preserve"> </w:t>
      </w:r>
      <w:r>
        <w:t xml:space="preserve">impacts by 34% in the passenger segment and over 43% in the freight segment. The data from</w:t>
      </w:r>
      <w:r>
        <w:t xml:space="preserve"> </w:t>
      </w:r>
      <w:r>
        <w:t xml:space="preserve">the Commission Handbook are from 2016 and are currently the latest data available. However,</w:t>
      </w:r>
      <w:r>
        <w:t xml:space="preserve"> </w:t>
      </w:r>
      <w:r>
        <w:t xml:space="preserve">to the extent available, data for 2022 show similar impacts167.</w:t>
      </w:r>
      <w:r>
        <w:t xml:space="preserve"> </w:t>
      </w:r>
      <w:r>
        <w:t xml:space="preserve">6.1.3. Overview</w:t>
      </w:r>
      <w:r>
        <w:t xml:space="preserve"> </w:t>
      </w:r>
      <w:r>
        <w:t xml:space="preserve">A schematic overview of the main impacts assessed is presented in Figure 7. These impacts</w:t>
      </w:r>
      <w:r>
        <w:t xml:space="preserve"> </w:t>
      </w:r>
      <w:r>
        <w:t xml:space="preserve">will be assessed for each of the option bundles, namely the options on the scope of the GLs and</w:t>
      </w:r>
    </w:p>
    <w:p>
      <w:pPr>
        <w:pStyle w:val="BodyText"/>
      </w:pPr>
      <w:r>
        <w:t xml:space="preserve">166 Table 1 and Table 2 show the monetised impact for each category. Therefore, GHG emission costs, air pollution</w:t>
      </w:r>
      <w:r>
        <w:t xml:space="preserve"> </w:t>
      </w:r>
      <w:r>
        <w:t xml:space="preserve">costs and noise pollutions costs can be calculated and compared for each transport mode, showing that SLT, rail</w:t>
      </w:r>
      <w:r>
        <w:t xml:space="preserve"> </w:t>
      </w:r>
      <w:r>
        <w:t xml:space="preserve">and IWW are much more environmentally friendly overall than unimodal road transport.</w:t>
      </w:r>
      <w:r>
        <w:br/>
      </w:r>
      <w:r>
        <w:t xml:space="preserve">167 See footnote 87. For the passenger rail segment, the 2022 data show similar positive environmental impacts of</w:t>
      </w:r>
      <w:r>
        <w:t xml:space="preserve"> </w:t>
      </w:r>
      <w:r>
        <w:t xml:space="preserve">modal shift from road transport to SLT: a reduction in the weighted environmental impact of 36.7%, even bigger</w:t>
      </w:r>
      <w:r>
        <w:t xml:space="preserve"> </w:t>
      </w:r>
      <w:r>
        <w:t xml:space="preserve">than the 34.0% according to the 2016 data. In the rail freight segment, the weighted environmental impact using</w:t>
      </w:r>
      <w:r>
        <w:t xml:space="preserve"> </w:t>
      </w:r>
      <w:r>
        <w:t xml:space="preserve">the 2022 data is -44%, a slight improvement over the figure of -43.3% for 2016.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TBER (Option Bundle A), the options on operating and interoperability aid (Option Bundle B)</w:t>
      </w:r>
      <w:r>
        <w:t xml:space="preserve"> </w:t>
      </w:r>
      <w:r>
        <w:t xml:space="preserve">and the options on aid for the acquisition of vehicles (Option Bundle C).</w:t>
      </w:r>
      <w:r>
        <w:t xml:space="preserve"> </w:t>
      </w:r>
      <w:r>
        <w:t xml:space="preserve">Figure 7: Assessed impacts</w:t>
      </w:r>
    </w:p>
    <w:p>
      <w:pPr>
        <w:pStyle w:val="BodyText"/>
      </w:pPr>
      <w:r>
        <w:t xml:space="preserve">6.2.</w:t>
      </w:r>
      <w:r>
        <w:t xml:space="preserve"> </w:t>
      </w:r>
      <w:r>
        <w:t xml:space="preserve">Option Bundle A - scope of the revised Guidelines and TBER</w:t>
      </w:r>
      <w:r>
        <w:t xml:space="preserve"> </w:t>
      </w:r>
      <w:r>
        <w:t xml:space="preserve">6.2.1. Economic impacts</w:t>
      </w:r>
      <w:r>
        <w:t xml:space="preserve"> </w:t>
      </w:r>
      <w:r>
        <w:t xml:space="preserve">Functioning of the internal market and competition</w:t>
      </w:r>
      <w:r>
        <w:t xml:space="preserve"> </w:t>
      </w:r>
      <w:r>
        <w:t xml:space="preserve">Under Option A1 more investments and operations conducive to modal shift towards SLT</w:t>
      </w:r>
      <w:r>
        <w:t xml:space="preserve"> </w:t>
      </w:r>
      <w:r>
        <w:t xml:space="preserve">would be within the scope of the new rules and would thus benefit from the legal certainty</w:t>
      </w:r>
      <w:r>
        <w:t xml:space="preserve"> </w:t>
      </w:r>
      <w:r>
        <w:t xml:space="preserve">offered by the codification of the case practice in the revised GLs.</w:t>
      </w:r>
      <w:r>
        <w:br/>
      </w:r>
      <w:r>
        <w:t xml:space="preserve">Assuming the number of measures would remain the same in the future as those approved</w:t>
      </w:r>
      <w:r>
        <w:t xml:space="preserve"> </w:t>
      </w:r>
      <w:r>
        <w:t xml:space="preserve">between 2008 and 2024, under Option A1, in addition to 100 approved measures pertaining to</w:t>
      </w:r>
      <w:r>
        <w:t xml:space="preserve"> </w:t>
      </w:r>
      <w:r>
        <w:t xml:space="preserve">rail, also the 17 approved past operating aid measures pertaining to IWW would come under</w:t>
      </w:r>
      <w:r>
        <w:t xml:space="preserve"> </w:t>
      </w:r>
      <w:r>
        <w:t xml:space="preserve">the revised GLs. The same would be true for the additional interoperability investment aid</w:t>
      </w:r>
      <w:r>
        <w:t xml:space="preserve"> </w:t>
      </w:r>
      <w:r>
        <w:t xml:space="preserve">measures for IWW as well as the 64 investment aid measures for vehicles, facilities and private</w:t>
      </w:r>
      <w:r>
        <w:t xml:space="preserve"> </w:t>
      </w:r>
      <w:r>
        <w:t xml:space="preserve">sidings, which fell outside the RGL.</w:t>
      </w:r>
      <w:r>
        <w:br/>
      </w:r>
      <w:r>
        <w:t xml:space="preserve">Transparency in the treatment of all SLT modes under the GLs would entail fewer undue</w:t>
      </w:r>
      <w:r>
        <w:t xml:space="preserve"> </w:t>
      </w:r>
      <w:r>
        <w:t xml:space="preserve">distortions of the level playing field in the internal market within the SLT sector compared to</w:t>
      </w:r>
      <w:r>
        <w:t xml:space="preserve"> </w:t>
      </w:r>
      <w:r>
        <w:t xml:space="preserve">the baseline, where Member States could be inclined to concentrate financing on the types of</w:t>
      </w:r>
      <w:r>
        <w:t xml:space="preserve"> </w:t>
      </w:r>
      <w:r>
        <w:t xml:space="preserve">aid and operators targeted by the RGL. It would also contribute to targeting modal shift in the</w:t>
      </w:r>
      <w:r>
        <w:t xml:space="preserve"> </w:t>
      </w:r>
      <w:r>
        <w:t xml:space="preserve">most efficient way, as this would enable a holistic approach, leaving it up to Member States to</w:t>
      </w:r>
      <w:r>
        <w:t xml:space="preserve"> </w:t>
      </w:r>
      <w:r>
        <w:t xml:space="preserve">choose within a wide toolbox of measures those most efficient for increasing competitiveness</w:t>
      </w:r>
      <w:r>
        <w:t xml:space="preserve"> </w:t>
      </w:r>
      <w:r>
        <w:t xml:space="preserve">depending on the specific situation. By facilitating aid to SLT, Option A1 would also promote</w:t>
      </w:r>
      <w:r>
        <w:t xml:space="preserve"> </w:t>
      </w:r>
      <w:r>
        <w:t xml:space="preserve">the competitiveness of SLT, with the ensuing benefits for cost effectiveness and innovation.</w:t>
      </w:r>
      <w:r>
        <w:t xml:space="preserve"> </w:t>
      </w:r>
      <w:r>
        <w:t xml:space="preserve">This was particularly stressed in the stakeholder responses to the targeted consultation on the</w:t>
      </w:r>
      <w:r>
        <w:t xml:space="preserve"> </w:t>
      </w:r>
      <w:r>
        <w:t xml:space="preserve">draft revised GLs, where 10 Member States expressly welcomed among others the broadening</w:t>
      </w:r>
      <w:r>
        <w:t xml:space="preserve"> </w:t>
      </w:r>
      <w:r>
        <w:t xml:space="preserve">of the scope and consolidation of case practice168.</w:t>
      </w:r>
    </w:p>
    <w:p>
      <w:pPr>
        <w:pStyle w:val="BodyText"/>
      </w:pPr>
      <w:r>
        <w:t xml:space="preserve">168 Annex 2, point 4.4.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Internal market and</w:t>
      </w:r>
      <w:r>
        <w:t xml:space="preserve"> </w:t>
      </w:r>
      <w:r>
        <w:t xml:space="preserve">competition/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burden/ related</w:t>
      </w:r>
      <w:r>
        <w:t xml:space="preserve"> </w:t>
      </w:r>
      <w:r>
        <w:t xml:space="preserve">savings for businesses</w:t>
      </w:r>
      <w:r>
        <w:t xml:space="preserve"> </w:t>
      </w:r>
      <w:r>
        <w:t xml:space="preserve">SMEs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Impact on modal shift</w:t>
      </w:r>
      <w:r>
        <w:t xml:space="preserve"> </w:t>
      </w:r>
      <w:r>
        <w:t xml:space="preserve">comprising:</w:t>
      </w:r>
      <w:r>
        <w:t xml:space="preserve"> </w:t>
      </w:r>
      <w:r>
        <w:t xml:space="preserve">- climate</w:t>
      </w:r>
      <w:r>
        <w:t xml:space="preserve"> </w:t>
      </w:r>
      <w:r>
        <w:t xml:space="preserve">- air quality</w:t>
      </w:r>
      <w:r>
        <w:t xml:space="preserve"> </w:t>
      </w:r>
      <w:r>
        <w:t xml:space="preserve">-noise</w:t>
      </w:r>
      <w:r>
        <w:t xml:space="preserve"> </w:t>
      </w:r>
      <w:r>
        <w:t xml:space="preserve">(- efficient use of</w:t>
      </w:r>
      <w:r>
        <w:t xml:space="preserve"> </w:t>
      </w:r>
      <w:r>
        <w:t xml:space="preserve">resources)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Impact on</w:t>
      </w:r>
      <w:r>
        <w:t xml:space="preserve"> </w:t>
      </w:r>
      <w:r>
        <w:t xml:space="preserve">quality/prices</w:t>
      </w:r>
      <w:r>
        <w:t xml:space="preserve"> </w:t>
      </w:r>
      <w:r>
        <w:t xml:space="preserve">comprising:</w:t>
      </w:r>
      <w:r>
        <w:t xml:space="preserve"> </w:t>
      </w:r>
      <w:r>
        <w:t xml:space="preserve">- transport and the</w:t>
      </w:r>
      <w:r>
        <w:t xml:space="preserve"> </w:t>
      </w:r>
      <w:r>
        <w:t xml:space="preserve">use of energy</w:t>
      </w:r>
      <w:r>
        <w:t xml:space="preserve"> </w:t>
      </w:r>
      <w:r>
        <w:t xml:space="preserve">- consumers and</w:t>
      </w:r>
      <w:r>
        <w:t xml:space="preserve"> </w:t>
      </w:r>
      <w:r>
        <w:t xml:space="preserve">households</w:t>
      </w:r>
      <w:r>
        <w:t xml:space="preserve"> </w:t>
      </w:r>
      <w:r>
        <w:t xml:space="preserve">Employment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The TBER would be limited to measures for which compatibility rules are already codified in</w:t>
      </w:r>
      <w:r>
        <w:t xml:space="preserve"> </w:t>
      </w:r>
      <w:r>
        <w:t xml:space="preserve">Section 6 of the RGL under Option A1. This would, on the one hand, have further positive</w:t>
      </w:r>
      <w:r>
        <w:t xml:space="preserve"> </w:t>
      </w:r>
      <w:r>
        <w:t xml:space="preserve">effects on the internal market and competition, as the measures to be block exempted would be</w:t>
      </w:r>
      <w:r>
        <w:t xml:space="preserve"> </w:t>
      </w:r>
      <w:r>
        <w:t xml:space="preserve">straightforward and pro-competitive. On the other hand, the scope of the TBER under Option</w:t>
      </w:r>
      <w:r>
        <w:t xml:space="preserve"> </w:t>
      </w:r>
      <w:r>
        <w:t xml:space="preserve">A1 could also have negative impacts on competition within the SLT sector. There is a high</w:t>
      </w:r>
      <w:r>
        <w:t xml:space="preserve"> </w:t>
      </w:r>
      <w:r>
        <w:t xml:space="preserve">likelihood that Member States would prioritise measures under the block exemption, as this is</w:t>
      </w:r>
      <w:r>
        <w:t xml:space="preserve"> </w:t>
      </w:r>
      <w:r>
        <w:t xml:space="preserve">faster and avoids administrative burden, therefore skewing the playing field to the advantage of</w:t>
      </w:r>
      <w:r>
        <w:t xml:space="preserve"> </w:t>
      </w:r>
      <w:r>
        <w:t xml:space="preserve">measures in the scope of the TBER. Block exempting interoperability aid and operating aid</w:t>
      </w:r>
      <w:r>
        <w:t xml:space="preserve"> </w:t>
      </w:r>
      <w:r>
        <w:t xml:space="preserve">only in the rail sector could cause competition distortions between SLT modes. Moreover,</w:t>
      </w:r>
      <w:r>
        <w:t xml:space="preserve"> </w:t>
      </w:r>
      <w:r>
        <w:t xml:space="preserve">Member States could choose to prioritise such aid over other types of measures, including for</w:t>
      </w:r>
      <w:r>
        <w:t xml:space="preserve"> </w:t>
      </w:r>
      <w:r>
        <w:t xml:space="preserve">example aid to facilities or aid to modernise and adapt vehicles, simply because they are block</w:t>
      </w:r>
      <w:r>
        <w:t xml:space="preserve"> </w:t>
      </w:r>
      <w:r>
        <w:t xml:space="preserve">exempted. A part of the positive effects on the internal market and competition of the extension</w:t>
      </w:r>
      <w:r>
        <w:t xml:space="preserve"> </w:t>
      </w:r>
      <w:r>
        <w:t xml:space="preserve">of the scope of the revised GLs would therefore be lost.</w:t>
      </w:r>
      <w:r>
        <w:br/>
      </w:r>
      <w:r>
        <w:t xml:space="preserve">Option A2 would extend the block exemption to all measures in the SLT sector on which there</w:t>
      </w:r>
      <w:r>
        <w:t xml:space="preserve"> </w:t>
      </w:r>
      <w:r>
        <w:t xml:space="preserve">is significant case practice today, in line with stakeholder feedback on the CfE for the TBER169.</w:t>
      </w:r>
      <w:r>
        <w:t xml:space="preserve"> </w:t>
      </w:r>
      <w:r>
        <w:t xml:space="preserve">Higher aid amounts, which entail a higher risk of distortion, would still have to be notified, as</w:t>
      </w:r>
      <w:r>
        <w:t xml:space="preserve"> </w:t>
      </w:r>
      <w:r>
        <w:t xml:space="preserve">they would exceed the notification thresholds.</w:t>
      </w:r>
      <w:r>
        <w:t xml:space="preserve"> </w:t>
      </w:r>
      <w:r>
        <w:t xml:space="preserve">By facilitating the granting of further types of aid and further actors in the SLT sector, Option</w:t>
      </w:r>
      <w:r>
        <w:t xml:space="preserve"> </w:t>
      </w:r>
      <w:r>
        <w:t xml:space="preserve">A2 would have a very positive impact on the competitiveness of the SLT sector vis-à-vis road.</w:t>
      </w:r>
      <w:r>
        <w:t xml:space="preserve"> </w:t>
      </w:r>
      <w:r>
        <w:t xml:space="preserve">It would entail fewer undue distortions between SLT modes compared to the baseline and</w:t>
      </w:r>
      <w:r>
        <w:t xml:space="preserve"> </w:t>
      </w:r>
      <w:r>
        <w:t xml:space="preserve">Option A1, as the codification of rules for aid to all main contributors to modal shift would</w:t>
      </w:r>
      <w:r>
        <w:t xml:space="preserve"> </w:t>
      </w:r>
      <w:r>
        <w:t xml:space="preserve">avoid focalising Member States’ attention on only a subset of actors and measures. This option</w:t>
      </w:r>
      <w:r>
        <w:t xml:space="preserve"> </w:t>
      </w:r>
      <w:r>
        <w:t xml:space="preserve">would also contribute to levelling the playing field within the SLT sector.</w:t>
      </w:r>
      <w:r>
        <w:br/>
      </w:r>
      <w:r>
        <w:t xml:space="preserve">This option would also entail safeguards to avoid distortions to competition, as only aid</w:t>
      </w:r>
      <w:r>
        <w:t xml:space="preserve"> </w:t>
      </w:r>
      <w:r>
        <w:t xml:space="preserve">measures on which there is significant case practice would be block-exempted. This approach</w:t>
      </w:r>
      <w:r>
        <w:t xml:space="preserve"> </w:t>
      </w:r>
      <w:r>
        <w:t xml:space="preserve">can be illustrated with two examples.</w:t>
      </w:r>
      <w:r>
        <w:br/>
      </w:r>
      <w:r>
        <w:t xml:space="preserve">First, aid to support the development of telematics applications170 in the passenger sector would</w:t>
      </w:r>
      <w:r>
        <w:t xml:space="preserve"> </w:t>
      </w:r>
      <w:r>
        <w:t xml:space="preserve">not be block-exempted because there is insufficient case practice and some of these measures</w:t>
      </w:r>
      <w:r>
        <w:t xml:space="preserve"> </w:t>
      </w:r>
      <w:r>
        <w:t xml:space="preserve">might raise antitrust concerns, warranting a more detailed assessment of their impact on</w:t>
      </w:r>
      <w:r>
        <w:t xml:space="preserve"> </w:t>
      </w:r>
      <w:r>
        <w:t xml:space="preserve">competition in the context of a State aid notification.</w:t>
      </w:r>
      <w:r>
        <w:br/>
      </w:r>
      <w:r>
        <w:t xml:space="preserve">Second, start-up aid would be limited under the TBER to the freight sector, and to the freight</w:t>
      </w:r>
      <w:r>
        <w:t xml:space="preserve"> </w:t>
      </w:r>
      <w:r>
        <w:t xml:space="preserve">sector and passenger night trains under the revised GLs, in light of (i) the more limited case</w:t>
      </w:r>
      <w:r>
        <w:t xml:space="preserve"> </w:t>
      </w:r>
      <w:r>
        <w:t xml:space="preserve">practice on passenger connections, which only concerns night trains, and (ii) some concerns of</w:t>
      </w:r>
      <w:r>
        <w:t xml:space="preserve"> </w:t>
      </w:r>
      <w:r>
        <w:t xml:space="preserve">abuse raised by stakeholders in relation to the proper identification of “new connections” in the</w:t>
      </w:r>
      <w:r>
        <w:t xml:space="preserve"> </w:t>
      </w:r>
      <w:r>
        <w:t xml:space="preserve">passenger segment. The limitation of the scope of start-up aid to those cases helps preventing</w:t>
      </w:r>
      <w:r>
        <w:t xml:space="preserve"> </w:t>
      </w:r>
      <w:r>
        <w:t xml:space="preserve">competition distortions by limiting the benefit of the block-exemption to measures where the</w:t>
      </w:r>
      <w:r>
        <w:t xml:space="preserve"> </w:t>
      </w:r>
      <w:r>
        <w:t xml:space="preserve">risk of abuse is low (i.e. the freight sector), while ensuring that aid measures for night trains,</w:t>
      </w:r>
      <w:r>
        <w:t xml:space="preserve"> </w:t>
      </w:r>
      <w:r>
        <w:t xml:space="preserve">which face particular challenges (e.g. high upfront investments to adjust the wagons) can be</w:t>
      </w:r>
      <w:r>
        <w:t xml:space="preserve"> </w:t>
      </w:r>
      <w:r>
        <w:t xml:space="preserve">approved after a more detailed assessment of their impact on competition with existing</w:t>
      </w:r>
      <w:r>
        <w:t xml:space="preserve"> </w:t>
      </w:r>
      <w:r>
        <w:t xml:space="preserve">connections.</w:t>
      </w:r>
    </w:p>
    <w:p>
      <w:pPr>
        <w:pStyle w:val="BodyText"/>
      </w:pPr>
      <w:r>
        <w:t xml:space="preserve">169 Annex 2, point 4.2.</w:t>
      </w:r>
      <w:r>
        <w:t xml:space="preserve"> </w:t>
      </w:r>
      <w:r>
        <w:t xml:space="preserve">170 Such as systems which provide passengers with information before and during the journey, reservation and</w:t>
      </w:r>
      <w:r>
        <w:t xml:space="preserve"> </w:t>
      </w:r>
      <w:r>
        <w:t xml:space="preserve">payment systems, luggage management and management of connections between trains and with other modes of</w:t>
      </w:r>
      <w:r>
        <w:t xml:space="preserve"> </w:t>
      </w:r>
      <w:r>
        <w:t xml:space="preserve">transport.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Furthermore, option A2 would also codify safeguards stemming from the case practice to avoid</w:t>
      </w:r>
      <w:r>
        <w:t xml:space="preserve"> </w:t>
      </w:r>
      <w:r>
        <w:t xml:space="preserve">distortions to competition. For example, as concerns investment aid to facilities (which is not</w:t>
      </w:r>
      <w:r>
        <w:t xml:space="preserve"> </w:t>
      </w:r>
      <w:r>
        <w:t xml:space="preserve">included in the RGL), Member States would be required to demonstrate, in line with the case</w:t>
      </w:r>
      <w:r>
        <w:t xml:space="preserve"> </w:t>
      </w:r>
      <w:r>
        <w:t xml:space="preserve">practice, that the new capacity is likely to be used, thereby contributing to the increase of the</w:t>
      </w:r>
      <w:r>
        <w:t xml:space="preserve"> </w:t>
      </w:r>
      <w:r>
        <w:t xml:space="preserve">use of SLT, and does not divert current SLT flows from existing facilities, which would be an</w:t>
      </w:r>
      <w:r>
        <w:t xml:space="preserve"> </w:t>
      </w:r>
      <w:r>
        <w:t xml:space="preserve">inefficient use of public funds and distort competition with the owner or operator of such</w:t>
      </w:r>
      <w:r>
        <w:t xml:space="preserve"> </w:t>
      </w:r>
      <w:r>
        <w:t xml:space="preserve">existing facilities. Furthermore, in line with the case practice and secondary EU legislation, the</w:t>
      </w:r>
      <w:r>
        <w:t xml:space="preserve"> </w:t>
      </w:r>
      <w:r>
        <w:t xml:space="preserve">revised GLs and TBER would reiterate that access to the aided facility must be open, transparent</w:t>
      </w:r>
      <w:r>
        <w:t xml:space="preserve"> </w:t>
      </w:r>
      <w:r>
        <w:t xml:space="preserve">and non-discriminatory and must be provided to all interested users, so as to prevent</w:t>
      </w:r>
      <w:r>
        <w:t xml:space="preserve"> </w:t>
      </w:r>
      <w:r>
        <w:t xml:space="preserve">competition distortions amongst SLT operators.</w:t>
      </w:r>
      <w:r>
        <w:br/>
      </w:r>
      <w:r>
        <w:t xml:space="preserve">In addition to the impacts of Option A2, Option A3 could increase the services offered in the</w:t>
      </w:r>
      <w:r>
        <w:t xml:space="preserve"> </w:t>
      </w:r>
      <w:r>
        <w:t xml:space="preserve">rail freight sector, as PSOs would cover rail freight services that would not be profitable on</w:t>
      </w:r>
      <w:r>
        <w:t xml:space="preserve"> </w:t>
      </w:r>
      <w:r>
        <w:t xml:space="preserve">their own and for which other support possibilities would not be sufficient. Rail freight</w:t>
      </w:r>
      <w:r>
        <w:t xml:space="preserve"> </w:t>
      </w:r>
      <w:r>
        <w:t xml:space="preserve">operators are often faced with parts of transport operations where the volume of goods or the</w:t>
      </w:r>
      <w:r>
        <w:t xml:space="preserve"> </w:t>
      </w:r>
      <w:r>
        <w:t xml:space="preserve">distance is insufficient for rail to compete with road (SWL). For this reason, rail freight</w:t>
      </w:r>
      <w:r>
        <w:t xml:space="preserve"> </w:t>
      </w:r>
      <w:r>
        <w:t xml:space="preserve">operators may ultimately decide not to offer certain services, which could leave gaps in the</w:t>
      </w:r>
      <w:r>
        <w:t xml:space="preserve"> </w:t>
      </w:r>
      <w:r>
        <w:t xml:space="preserve">network of connections and render rail transport less attractive and less competitive overall.</w:t>
      </w:r>
      <w:r>
        <w:t xml:space="preserve"> </w:t>
      </w:r>
      <w:r>
        <w:t xml:space="preserve">Member States might not consider supporting such services through PSO compensation in the</w:t>
      </w:r>
      <w:r>
        <w:t xml:space="preserve"> </w:t>
      </w:r>
      <w:r>
        <w:t xml:space="preserve">absence of clear rules. Laying down rules for the award of rail freight PSOs would therefore</w:t>
      </w:r>
      <w:r>
        <w:t xml:space="preserve"> </w:t>
      </w:r>
      <w:r>
        <w:t xml:space="preserve">help address the weaknesses of such rail freight transport operations by making the entrustment</w:t>
      </w:r>
      <w:r>
        <w:t xml:space="preserve"> </w:t>
      </w:r>
      <w:r>
        <w:t xml:space="preserve">of PSOs more transparent and accessible.</w:t>
      </w:r>
      <w:r>
        <w:br/>
      </w:r>
      <w:r>
        <w:t xml:space="preserve">Even though there has been only one decision171 in the past, there have been several attempts</w:t>
      </w:r>
      <w:r>
        <w:t xml:space="preserve"> </w:t>
      </w:r>
      <w:r>
        <w:t xml:space="preserve">by Member States to put in place rail freight PSOs. It is therefore not unlikely that the impacts</w:t>
      </w:r>
      <w:r>
        <w:t xml:space="preserve"> </w:t>
      </w:r>
      <w:r>
        <w:t xml:space="preserve">of this Option actually materialise.</w:t>
      </w:r>
      <w:r>
        <w:br/>
      </w:r>
      <w:r>
        <w:t xml:space="preserve">Administrative burden</w:t>
      </w:r>
      <w:r>
        <w:t xml:space="preserve"> </w:t>
      </w:r>
      <w:r>
        <w:t xml:space="preserve">Under Option A1 there would be an insignificant one-off adjustment cost for Member States</w:t>
      </w:r>
      <w:r>
        <w:t xml:space="preserve"> </w:t>
      </w:r>
      <w:r>
        <w:t xml:space="preserve">to familiarise themselves with the revised rules. This is expected to be marginal, as the rules</w:t>
      </w:r>
      <w:r>
        <w:t xml:space="preserve"> </w:t>
      </w:r>
      <w:r>
        <w:t xml:space="preserve">would refer to measures in the scope of the RGL or existing case practice, with which Member</w:t>
      </w:r>
      <w:r>
        <w:t xml:space="preserve"> </w:t>
      </w:r>
      <w:r>
        <w:t xml:space="preserve">States are familiar. After this, there would be a recurring administrative burden reduction for</w:t>
      </w:r>
      <w:r>
        <w:t xml:space="preserve"> </w:t>
      </w:r>
      <w:r>
        <w:t xml:space="preserve">each measure for which rules are explicitly codified. The rules in the revised GLs would be</w:t>
      </w:r>
      <w:r>
        <w:t xml:space="preserve"> </w:t>
      </w:r>
      <w:r>
        <w:t xml:space="preserve">clear and transparent, and could be found in one place, guiding Member States and businesses</w:t>
      </w:r>
      <w:r>
        <w:t xml:space="preserve"> </w:t>
      </w:r>
      <w:r>
        <w:t xml:space="preserve">towards compatible aid designs and the information to be provided for the assessment.</w:t>
      </w:r>
      <w:r>
        <w:br/>
      </w:r>
      <w:r>
        <w:t xml:space="preserve">This would reduce the number of information requests exchanged, and ultimately the burden</w:t>
      </w:r>
      <w:r>
        <w:t xml:space="preserve"> </w:t>
      </w:r>
      <w:r>
        <w:t xml:space="preserve">associated with State aid procedures. This means that aid would reach its beneficiaries more</w:t>
      </w:r>
      <w:r>
        <w:t xml:space="preserve"> </w:t>
      </w:r>
      <w:r>
        <w:t xml:space="preserve">swiftly. The significance of the related cost reduction is illustrated by the fact that, between</w:t>
      </w:r>
      <w:r>
        <w:t xml:space="preserve"> </w:t>
      </w:r>
      <w:r>
        <w:t xml:space="preserve">2008 and 2024, more than half (146 out of 258) of all decisions concerning the SLT sector</w:t>
      </w:r>
      <w:r>
        <w:t xml:space="preserve"> </w:t>
      </w:r>
      <w:r>
        <w:t xml:space="preserve">concerned (at least partially) measures outside the scope of the RGL.</w:t>
      </w:r>
      <w:r>
        <w:br/>
      </w:r>
      <w:r>
        <w:t xml:space="preserve">The TBER would further reduce administrative burden compared to the baseline, as many cases</w:t>
      </w:r>
      <w:r>
        <w:t xml:space="preserve"> </w:t>
      </w:r>
      <w:r>
        <w:t xml:space="preserve">notified today would benefit from the simplification of block exemption, as was confirmed by</w:t>
      </w:r>
      <w:r>
        <w:t xml:space="preserve"> </w:t>
      </w:r>
      <w:r>
        <w:t xml:space="preserve">stakeholders during the consultation activities172.</w:t>
      </w:r>
    </w:p>
    <w:p>
      <w:pPr>
        <w:pStyle w:val="BodyText"/>
      </w:pPr>
      <w:r>
        <w:t xml:space="preserve">171 Decision of 24 November 2023 in case SA.32953 Italy: State aid to Trenitalia in form of compensation for a</w:t>
      </w:r>
      <w:r>
        <w:t xml:space="preserve"> </w:t>
      </w:r>
      <w:r>
        <w:t xml:space="preserve">public service obligation in the rail freight sector, OJ L 2860, 18.11.2024.</w:t>
      </w:r>
      <w:r>
        <w:t xml:space="preserve"> </w:t>
      </w:r>
      <w:r>
        <w:t xml:space="preserve">172 Annex 2, point 4.2 and 4.4 and Annex 8.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Option A2 would entail a higher administrative simplification than Option A1 as the block</w:t>
      </w:r>
      <w:r>
        <w:t xml:space="preserve"> </w:t>
      </w:r>
      <w:r>
        <w:t xml:space="preserve">exemption would apply to a higher number of cases.</w:t>
      </w:r>
      <w:r>
        <w:br/>
      </w:r>
      <w:r>
        <w:t xml:space="preserve">This report attempts to estimate the level of the administrative burden reduction of the block</w:t>
      </w:r>
      <w:r>
        <w:t xml:space="preserve"> </w:t>
      </w:r>
      <w:r>
        <w:t xml:space="preserve">exemption for Member States for each option under various scenarios173:</w:t>
      </w:r>
      <w:r>
        <w:br/>
      </w:r>
      <w:r>
        <w:t xml:space="preserve">-</w:t>
      </w:r>
      <w:r>
        <w:t xml:space="preserve"> </w:t>
      </w:r>
      <w:r>
        <w:t xml:space="preserve">a central scenario, under which State aid spending (and number of measures) would</w:t>
      </w:r>
      <w:r>
        <w:t xml:space="preserve"> </w:t>
      </w:r>
      <w:r>
        <w:t xml:space="preserve">remain at the same level as the average of the years 2022-2024 (which could be</w:t>
      </w:r>
      <w:r>
        <w:t xml:space="preserve"> </w:t>
      </w:r>
      <w:r>
        <w:t xml:space="preserve">considered as a baseline post-COVID-19),</w:t>
      </w:r>
      <w:r>
        <w:br/>
      </w:r>
      <w:r>
        <w:t xml:space="preserve">-</w:t>
      </w:r>
      <w:r>
        <w:t xml:space="preserve"> </w:t>
      </w:r>
      <w:r>
        <w:t xml:space="preserve">a low scenario, which assumes that relevant State aid spending (and the number of</w:t>
      </w:r>
      <w:r>
        <w:t xml:space="preserve"> </w:t>
      </w:r>
      <w:r>
        <w:t xml:space="preserve">measures) would go back to the level observed in 2018 (before the COVID-19</w:t>
      </w:r>
      <w:r>
        <w:t xml:space="preserve"> </w:t>
      </w:r>
      <w:r>
        <w:t xml:space="preserve">pandemic),</w:t>
      </w:r>
      <w:r>
        <w:t xml:space="preserve"> </w:t>
      </w:r>
      <w:r>
        <w:t xml:space="preserve">-</w:t>
      </w:r>
      <w:r>
        <w:t xml:space="preserve"> </w:t>
      </w:r>
      <w:r>
        <w:t xml:space="preserve">and a high scenario, where relevant State aid spending (and the number of measures)</w:t>
      </w:r>
      <w:r>
        <w:t xml:space="preserve"> </w:t>
      </w:r>
      <w:r>
        <w:t xml:space="preserve">increases by 15% compared to the 2022-2024 average (e.g. due to Member States</w:t>
      </w:r>
      <w:r>
        <w:t xml:space="preserve"> </w:t>
      </w:r>
      <w:r>
        <w:t xml:space="preserve">prioritising the decarbonisation of the transport sector via modal shift).</w:t>
      </w:r>
      <w:r>
        <w:t xml:space="preserve"> </w:t>
      </w:r>
      <w:r>
        <w:t xml:space="preserve">The main results for Member States’ administrations are displayed in Table 7. Further details</w:t>
      </w:r>
      <w:r>
        <w:t xml:space="preserve"> </w:t>
      </w:r>
      <w:r>
        <w:t xml:space="preserve">on the calculations and their underlying assumptions are provided in Annex 8.</w:t>
      </w:r>
      <w:r>
        <w:t xml:space="preserve"> </w:t>
      </w:r>
      <w:r>
        <w:t xml:space="preserve">Table 7: Overview of the combined estimated annual administrative savings for all Member</w:t>
      </w:r>
      <w:r>
        <w:t xml:space="preserve"> </w:t>
      </w:r>
      <w:r>
        <w:t xml:space="preserve">States (in EUR) due to the block exemption (Option Bundle A), EU-27 total</w:t>
      </w:r>
      <w:r>
        <w:t xml:space="preserve"> </w:t>
      </w:r>
      <w:r>
        <w:t xml:space="preserve">Option A1</w:t>
      </w:r>
      <w:r>
        <w:br/>
      </w:r>
      <w:r>
        <w:t xml:space="preserve">Options A2 and A3</w:t>
      </w:r>
      <w:r>
        <w:t xml:space="preserve"> </w:t>
      </w:r>
      <w:r>
        <w:t xml:space="preserve">Low</w:t>
      </w:r>
      <w:r>
        <w:t xml:space="preserve"> </w:t>
      </w:r>
      <w:r>
        <w:t xml:space="preserve">Central</w:t>
      </w:r>
      <w:r>
        <w:t xml:space="preserve"> </w:t>
      </w:r>
      <w:r>
        <w:t xml:space="preserve">High</w:t>
      </w:r>
      <w:r>
        <w:t xml:space="preserve"> </w:t>
      </w:r>
      <w:r>
        <w:t xml:space="preserve">Low</w:t>
      </w:r>
      <w:r>
        <w:t xml:space="preserve"> </w:t>
      </w:r>
      <w:r>
        <w:t xml:space="preserve">Central</w:t>
      </w:r>
      <w:r>
        <w:t xml:space="preserve"> </w:t>
      </w:r>
      <w:r>
        <w:t xml:space="preserve">High</w:t>
      </w:r>
      <w:r>
        <w:t xml:space="preserve"> </w:t>
      </w:r>
      <w:r>
        <w:t xml:space="preserve">33 407</w:t>
      </w:r>
      <w:r>
        <w:t xml:space="preserve"> </w:t>
      </w:r>
      <w:r>
        <w:t xml:space="preserve">98 256</w:t>
      </w:r>
      <w:r>
        <w:t xml:space="preserve"> </w:t>
      </w:r>
      <w:r>
        <w:t xml:space="preserve">115 254</w:t>
      </w:r>
      <w:r>
        <w:t xml:space="preserve"> </w:t>
      </w:r>
      <w:r>
        <w:t xml:space="preserve">83 518</w:t>
      </w:r>
      <w:r>
        <w:t xml:space="preserve"> </w:t>
      </w:r>
      <w:r>
        <w:t xml:space="preserve">157 210</w:t>
      </w:r>
      <w:r>
        <w:t xml:space="preserve"> </w:t>
      </w:r>
      <w:r>
        <w:t xml:space="preserve">178 171</w:t>
      </w:r>
      <w:r>
        <w:t xml:space="preserve"> </w:t>
      </w:r>
      <w:r>
        <w:t xml:space="preserve">Using the Commission’s (DG Competition’s) internal data on time worked on 85 decisions</w:t>
      </w:r>
      <w:r>
        <w:t xml:space="preserve"> </w:t>
      </w:r>
      <w:r>
        <w:t xml:space="preserve">adopted for SLT in the 2022-2024 period, the administrative savings can be estimated for the</w:t>
      </w:r>
      <w:r>
        <w:t xml:space="preserve"> </w:t>
      </w:r>
      <w:r>
        <w:t xml:space="preserve">Commission, under the same low, central and high scenarios. The results are displayed in Table</w:t>
      </w:r>
      <w:r>
        <w:t xml:space="preserve"> </w:t>
      </w:r>
      <w:r>
        <w:t xml:space="preserve">8, with further details on the calculations provided in Annex 8.</w:t>
      </w:r>
      <w:r>
        <w:br/>
      </w:r>
      <w:r>
        <w:t xml:space="preserve">Table 8: Overview of estimated annual administrative savings for the Commission (in EUR)</w:t>
      </w:r>
      <w:r>
        <w:t xml:space="preserve"> </w:t>
      </w:r>
      <w:r>
        <w:t xml:space="preserve">due to the block exemption (Option Bundle A), EU-27 total</w:t>
      </w:r>
      <w:r>
        <w:t xml:space="preserve"> </w:t>
      </w:r>
      <w:r>
        <w:t xml:space="preserve">Option A1</w:t>
      </w:r>
      <w:r>
        <w:t xml:space="preserve"> </w:t>
      </w:r>
      <w:r>
        <w:t xml:space="preserve">Options A2 and A3</w:t>
      </w:r>
      <w:r>
        <w:t xml:space="preserve"> </w:t>
      </w:r>
      <w:r>
        <w:t xml:space="preserve">Low</w:t>
      </w:r>
      <w:r>
        <w:t xml:space="preserve"> </w:t>
      </w:r>
      <w:r>
        <w:t xml:space="preserve">Central</w:t>
      </w:r>
      <w:r>
        <w:t xml:space="preserve"> </w:t>
      </w:r>
      <w:r>
        <w:t xml:space="preserve">High</w:t>
      </w:r>
      <w:r>
        <w:t xml:space="preserve"> </w:t>
      </w:r>
      <w:r>
        <w:t xml:space="preserve">Low</w:t>
      </w:r>
      <w:r>
        <w:t xml:space="preserve"> </w:t>
      </w:r>
      <w:r>
        <w:t xml:space="preserve">Central</w:t>
      </w:r>
      <w:r>
        <w:t xml:space="preserve"> </w:t>
      </w:r>
      <w:r>
        <w:t xml:space="preserve">High</w:t>
      </w:r>
      <w:r>
        <w:t xml:space="preserve"> </w:t>
      </w:r>
      <w:r>
        <w:t xml:space="preserve">21 206</w:t>
      </w:r>
      <w:r>
        <w:t xml:space="preserve"> </w:t>
      </w:r>
      <w:r>
        <w:t xml:space="preserve">62 371</w:t>
      </w:r>
      <w:r>
        <w:t xml:space="preserve"> </w:t>
      </w:r>
      <w:r>
        <w:t xml:space="preserve">73 161</w:t>
      </w:r>
      <w:r>
        <w:t xml:space="preserve"> </w:t>
      </w:r>
      <w:r>
        <w:t xml:space="preserve">53 016</w:t>
      </w:r>
      <w:r>
        <w:t xml:space="preserve"> </w:t>
      </w:r>
      <w:r>
        <w:t xml:space="preserve">99 794</w:t>
      </w:r>
      <w:r>
        <w:t xml:space="preserve"> </w:t>
      </w:r>
      <w:r>
        <w:t xml:space="preserve">113 100</w:t>
      </w:r>
      <w:r>
        <w:t xml:space="preserve"> </w:t>
      </w:r>
      <w:r>
        <w:t xml:space="preserve">Businesses would benefit from the simplification mainly because the approval and subsequent</w:t>
      </w:r>
      <w:r>
        <w:t xml:space="preserve"> </w:t>
      </w:r>
      <w:r>
        <w:t xml:space="preserve">payment of support would be faster. These opportunity cost savings have been estimated for</w:t>
      </w:r>
      <w:r>
        <w:t xml:space="preserve"> </w:t>
      </w:r>
      <w:r>
        <w:t xml:space="preserve">each Option under the same low, central and high scenarios. Moreover, for the central scenario,</w:t>
      </w:r>
      <w:r>
        <w:t xml:space="preserve"> </w:t>
      </w:r>
      <w:r>
        <w:t xml:space="preserve">the opportunity cost savings have also been calculated for each of the years 2022, 2023 and</w:t>
      </w:r>
      <w:r>
        <w:t xml:space="preserve"> </w:t>
      </w:r>
      <w:r>
        <w:t xml:space="preserve">2024 separately and the range of the results for these three years is indicated as well. The main</w:t>
      </w:r>
      <w:r>
        <w:t xml:space="preserve"> </w:t>
      </w:r>
      <w:r>
        <w:t xml:space="preserve">results are displayed in Table 9. Further details on the calculations and their underlying</w:t>
      </w:r>
      <w:r>
        <w:t xml:space="preserve"> </w:t>
      </w:r>
      <w:r>
        <w:t xml:space="preserve">assumptions are provided in Annex 8.</w:t>
      </w:r>
    </w:p>
    <w:p>
      <w:pPr>
        <w:pStyle w:val="BodyText"/>
      </w:pPr>
      <w:r>
        <w:t xml:space="preserve">173 The number of cases, categories of aid and budget derived from the case practice from 2008 until 2024 underlie</w:t>
      </w:r>
      <w:r>
        <w:t xml:space="preserve"> </w:t>
      </w:r>
      <w:r>
        <w:t xml:space="preserve">the quantification of the impacts of administrative simplification.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Table 9: Overview of estimated annual opportunity cost savings for businesses in EUR million</w:t>
      </w:r>
      <w:r>
        <w:t xml:space="preserve"> </w:t>
      </w:r>
      <w:r>
        <w:t xml:space="preserve">due to the block exemption (Option Bundle A), EU-27 total</w:t>
      </w:r>
    </w:p>
    <w:p>
      <w:pPr>
        <w:pStyle w:val="BodyText"/>
      </w:pPr>
      <w:r>
        <w:t xml:space="preserve">Option A1</w:t>
      </w:r>
      <w:r>
        <w:t xml:space="preserve"> </w:t>
      </w:r>
      <w:r>
        <w:t xml:space="preserve">Options A2 and A3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Central</w:t>
      </w:r>
      <w:r>
        <w:t xml:space="preserve"> </w:t>
      </w:r>
      <w:r>
        <w:t xml:space="preserve">High Low</w:t>
      </w:r>
      <w:r>
        <w:t xml:space="preserve"> </w:t>
      </w:r>
      <w:r>
        <w:t xml:space="preserve">Central</w:t>
      </w:r>
      <w:r>
        <w:t xml:space="preserve"> </w:t>
      </w:r>
      <w:r>
        <w:t xml:space="preserve">High</w:t>
      </w:r>
      <w:r>
        <w:t xml:space="preserve"> </w:t>
      </w:r>
      <w:r>
        <w:t xml:space="preserve">Average 15.6</w:t>
      </w:r>
      <w:r>
        <w:t xml:space="preserve"> </w:t>
      </w:r>
      <w:r>
        <w:t xml:space="preserve">27.6</w:t>
      </w:r>
      <w:r>
        <w:t xml:space="preserve"> </w:t>
      </w:r>
      <w:r>
        <w:t xml:space="preserve">30.9</w:t>
      </w:r>
      <w:r>
        <w:t xml:space="preserve"> </w:t>
      </w:r>
      <w:r>
        <w:t xml:space="preserve">18.8</w:t>
      </w:r>
      <w:r>
        <w:t xml:space="preserve"> </w:t>
      </w:r>
      <w:r>
        <w:t xml:space="preserve">30.62</w:t>
      </w:r>
      <w:r>
        <w:t xml:space="preserve"> </w:t>
      </w:r>
      <w:r>
        <w:t xml:space="preserve">35.42</w:t>
      </w:r>
      <w:r>
        <w:t xml:space="preserve"> </w:t>
      </w:r>
      <w:r>
        <w:t xml:space="preserve">Range</w:t>
      </w:r>
    </w:p>
    <w:p>
      <w:pPr>
        <w:pStyle w:val="BodyText"/>
      </w:pPr>
      <w:r>
        <w:t xml:space="preserve">6.0-39.3</w:t>
      </w:r>
    </w:p>
    <w:p>
      <w:pPr>
        <w:pStyle w:val="BodyText"/>
      </w:pPr>
      <w:r>
        <w:t xml:space="preserve">7.6-43.4</w:t>
      </w:r>
    </w:p>
    <w:p>
      <w:pPr>
        <w:pStyle w:val="BodyText"/>
      </w:pPr>
      <w:r>
        <w:t xml:space="preserve">The further extension of the scope of the GLs to cater for rail freight PSOs in Option A3 would</w:t>
      </w:r>
      <w:r>
        <w:t xml:space="preserve"> </w:t>
      </w:r>
      <w:r>
        <w:t xml:space="preserve">allow Member States to gain clarity on the specific rules applicable. This effect is however</w:t>
      </w:r>
      <w:r>
        <w:t xml:space="preserve"> </w:t>
      </w:r>
      <w:r>
        <w:t xml:space="preserve">difficult to quantify, because it does not follow from a reduction in notified measures, for which</w:t>
      </w:r>
      <w:r>
        <w:t xml:space="preserve"> </w:t>
      </w:r>
      <w:r>
        <w:t xml:space="preserve">the Commission has (collected) specific data. The quantification of the administrative burden</w:t>
      </w:r>
      <w:r>
        <w:t xml:space="preserve"> </w:t>
      </w:r>
      <w:r>
        <w:t xml:space="preserve">savings for this report is therefore the same for Options A2 and A3.</w:t>
      </w:r>
      <w:r>
        <w:br/>
      </w:r>
      <w:r>
        <w:t xml:space="preserve">Impacts on SMEs</w:t>
      </w:r>
      <w:r>
        <w:t xml:space="preserve"> </w:t>
      </w:r>
      <w:r>
        <w:t xml:space="preserve">Option A1 would have a positive impact on SMEs compared to the baseline. SMEs would have</w:t>
      </w:r>
      <w:r>
        <w:t xml:space="preserve"> </w:t>
      </w:r>
      <w:r>
        <w:t xml:space="preserve">easier access to first-hand information on compatibility conditions. This is particularly relevant</w:t>
      </w:r>
      <w:r>
        <w:t xml:space="preserve"> </w:t>
      </w:r>
      <w:r>
        <w:t xml:space="preserve">for SMEs, which have less resources to deploy for such research. They would therefore more</w:t>
      </w:r>
      <w:r>
        <w:t xml:space="preserve"> </w:t>
      </w:r>
      <w:r>
        <w:t xml:space="preserve">easily be empowered to discuss possible support with Member States. In terms of number of</w:t>
      </w:r>
      <w:r>
        <w:t xml:space="preserve"> </w:t>
      </w:r>
      <w:r>
        <w:t xml:space="preserve">companies, SMEs constitute most of the IWW sector, 93%174 of the rail sector, and 99% of</w:t>
      </w:r>
      <w:r>
        <w:t xml:space="preserve"> </w:t>
      </w:r>
      <w:r>
        <w:t xml:space="preserve">multimodal transport175. Option A1 would further benefit SMEs compared to the baseline, as</w:t>
      </w:r>
      <w:r>
        <w:t xml:space="preserve"> </w:t>
      </w:r>
      <w:r>
        <w:t xml:space="preserve">the block exemption of the measures contained in section 6 of the RGL would allow support to</w:t>
      </w:r>
      <w:r>
        <w:t xml:space="preserve"> </w:t>
      </w:r>
      <w:r>
        <w:t xml:space="preserve">be put in place faster. This may benefit SMEs in particular as they generally have more difficult</w:t>
      </w:r>
      <w:r>
        <w:t xml:space="preserve"> </w:t>
      </w:r>
      <w:r>
        <w:t xml:space="preserve">access to finance.</w:t>
      </w:r>
      <w:r>
        <w:br/>
      </w:r>
      <w:r>
        <w:t xml:space="preserve">Option A2 further benefits SMEs compared to Option A1 and the baseline, as it would extend</w:t>
      </w:r>
      <w:r>
        <w:t xml:space="preserve"> </w:t>
      </w:r>
      <w:r>
        <w:t xml:space="preserve">the scope of the block exemption.</w:t>
      </w:r>
      <w:r>
        <w:br/>
      </w:r>
      <w:r>
        <w:t xml:space="preserve">As set out in Section 2.3, currently most rail freight activities which could be subject to PSOs</w:t>
      </w:r>
      <w:r>
        <w:t xml:space="preserve"> </w:t>
      </w:r>
      <w:r>
        <w:t xml:space="preserve">are de facto carried out by incumbents, i.e. large undertakings. Still, the inclusion of rules on</w:t>
      </w:r>
      <w:r>
        <w:t xml:space="preserve"> </w:t>
      </w:r>
      <w:r>
        <w:t xml:space="preserve">freight PSOs in the revised GLs proposed under Option A3 could improve the situation for</w:t>
      </w:r>
      <w:r>
        <w:t xml:space="preserve"> </w:t>
      </w:r>
      <w:r>
        <w:t xml:space="preserve">SMEs. Many new entrants are SMEs, which could compete for the award of public service</w:t>
      </w:r>
      <w:r>
        <w:t xml:space="preserve"> </w:t>
      </w:r>
      <w:r>
        <w:t xml:space="preserve">contracts on equal grounds with incumbents under this option, notably at local level for small-</w:t>
      </w:r>
      <w:r>
        <w:t xml:space="preserve"> </w:t>
      </w:r>
      <w:r>
        <w:t xml:space="preserve">scale operations. The impact of this option on SMEs is nevertheless expected to be marginal,</w:t>
      </w:r>
      <w:r>
        <w:t xml:space="preserve"> </w:t>
      </w:r>
      <w:r>
        <w:t xml:space="preserve">as it remains likely that many contracts would be awarded to incumbents also in this context.</w:t>
      </w:r>
      <w:r>
        <w:br/>
      </w:r>
      <w:r>
        <w:t xml:space="preserve">To estimate the level of opportunity cost savings for SMEs, the share of aid received by SMEs</w:t>
      </w:r>
      <w:r>
        <w:t xml:space="preserve"> </w:t>
      </w:r>
      <w:r>
        <w:t xml:space="preserve">in each option and scenario was approximated based on their market share in terms of turnover</w:t>
      </w:r>
      <w:r>
        <w:t xml:space="preserve"> </w:t>
      </w:r>
      <w:r>
        <w:t xml:space="preserve">in different segments of SLT. With SMEs being more active in the IWW segment, the savings</w:t>
      </w:r>
      <w:r>
        <w:t xml:space="preserve"> </w:t>
      </w:r>
      <w:r>
        <w:t xml:space="preserve">are higher in the case of Options A2 and A3, which also include this segment. Further details</w:t>
      </w:r>
      <w:r>
        <w:t xml:space="preserve"> </w:t>
      </w:r>
      <w:r>
        <w:t xml:space="preserve">on the calculations and their underlying assumptions are provided in Annex 8.</w:t>
      </w:r>
    </w:p>
    <w:p>
      <w:pPr>
        <w:pStyle w:val="BodyText"/>
      </w:pPr>
      <w:r>
        <w:t xml:space="preserve">174 See footnote 79.</w:t>
      </w:r>
      <w:r>
        <w:t xml:space="preserve"> </w:t>
      </w:r>
      <w:r>
        <w:t xml:space="preserve">175 Commission Staff Working Document Impact Assessment accompanying the document Proposal for a</w:t>
      </w:r>
      <w:r>
        <w:t xml:space="preserve"> </w:t>
      </w:r>
      <w:r>
        <w:t xml:space="preserve">Regulation of the European Parliament and of the Council amending Regulation (EC) No 1071/2009 and</w:t>
      </w:r>
      <w:r>
        <w:t xml:space="preserve"> </w:t>
      </w:r>
      <w:r>
        <w:t xml:space="preserve">Regulation (EC) No 1072/2009 with a view to adapting them to developments in the sector, SWD(2017) 194 final:</w:t>
      </w:r>
      <w:r>
        <w:t xml:space="preserve"> </w:t>
      </w:r>
      <w:r>
        <w:t xml:space="preserve">https://eur-lex.europa.eu/legal-content/EN/TXT/?uri=celex:52017SC0194.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Table 10: Overview of estimated annual opportunity cost savings for SMEs in EUR million</w:t>
      </w:r>
      <w:r>
        <w:t xml:space="preserve"> </w:t>
      </w:r>
      <w:r>
        <w:t xml:space="preserve">due to the block exemption (Option Bundle A), EU-27 total</w:t>
      </w:r>
    </w:p>
    <w:p>
      <w:pPr>
        <w:pStyle w:val="BodyText"/>
      </w:pPr>
      <w:r>
        <w:t xml:space="preserve">Option A1</w:t>
      </w:r>
      <w:r>
        <w:t xml:space="preserve"> </w:t>
      </w:r>
      <w:r>
        <w:t xml:space="preserve">Options A2 and A3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Central</w:t>
      </w:r>
      <w:r>
        <w:t xml:space="preserve"> </w:t>
      </w:r>
      <w:r>
        <w:t xml:space="preserve">High</w:t>
      </w:r>
      <w:r>
        <w:t xml:space="preserve"> </w:t>
      </w:r>
      <w:r>
        <w:t xml:space="preserve">Low</w:t>
      </w:r>
      <w:r>
        <w:t xml:space="preserve"> </w:t>
      </w:r>
      <w:r>
        <w:t xml:space="preserve">Central</w:t>
      </w:r>
      <w:r>
        <w:t xml:space="preserve"> </w:t>
      </w:r>
      <w:r>
        <w:t xml:space="preserve">High</w:t>
      </w:r>
      <w:r>
        <w:t xml:space="preserve"> </w:t>
      </w:r>
      <w:r>
        <w:t xml:space="preserve">Average</w:t>
      </w:r>
      <w:r>
        <w:t xml:space="preserve"> </w:t>
      </w:r>
      <w:r>
        <w:t xml:space="preserve">0.48</w:t>
      </w:r>
      <w:r>
        <w:t xml:space="preserve"> </w:t>
      </w:r>
      <w:r>
        <w:t xml:space="preserve">2.69</w:t>
      </w:r>
      <w:r>
        <w:t xml:space="preserve"> </w:t>
      </w:r>
      <w:r>
        <w:t xml:space="preserve">3.25</w:t>
      </w:r>
      <w:r>
        <w:t xml:space="preserve"> </w:t>
      </w:r>
      <w:r>
        <w:t xml:space="preserve">3.29</w:t>
      </w:r>
      <w:r>
        <w:t xml:space="preserve"> </w:t>
      </w:r>
      <w:r>
        <w:t xml:space="preserve">3.95</w:t>
      </w:r>
      <w:r>
        <w:t xml:space="preserve"> </w:t>
      </w:r>
      <w:r>
        <w:t xml:space="preserve">5.55</w:t>
      </w:r>
      <w:r>
        <w:t xml:space="preserve"> </w:t>
      </w:r>
      <w:r>
        <w:t xml:space="preserve">Range</w:t>
      </w:r>
    </w:p>
    <w:p>
      <w:pPr>
        <w:pStyle w:val="BodyText"/>
      </w:pPr>
      <w:r>
        <w:t xml:space="preserve">0.46-3.92</w:t>
      </w:r>
    </w:p>
    <w:p>
      <w:pPr>
        <w:pStyle w:val="BodyText"/>
      </w:pPr>
      <w:r>
        <w:t xml:space="preserve">1.19-5.5</w:t>
      </w:r>
    </w:p>
    <w:p>
      <w:pPr>
        <w:pStyle w:val="BodyText"/>
      </w:pPr>
      <w:r>
        <w:t xml:space="preserve">6.2.2. Environmental impacts</w:t>
      </w:r>
      <w:r>
        <w:t xml:space="preserve"> </w:t>
      </w:r>
      <w:r>
        <w:t xml:space="preserve">Option A1 would have a positive impact on modal shift, as all potential contributors would be</w:t>
      </w:r>
      <w:r>
        <w:t xml:space="preserve"> </w:t>
      </w:r>
      <w:r>
        <w:t xml:space="preserve">explicitly included in the scope of the revised GLs. As set out in section 6.1, despite the slightly</w:t>
      </w:r>
      <w:r>
        <w:t xml:space="preserve"> </w:t>
      </w:r>
      <w:r>
        <w:t xml:space="preserve">higher noise impact of rail transport compared to road and the slightly higher air pollution of</w:t>
      </w:r>
      <w:r>
        <w:t xml:space="preserve"> </w:t>
      </w:r>
      <w:r>
        <w:t xml:space="preserve">IWW, the overall environmental benefit of modal shift is strongly positive. Option A1 would</w:t>
      </w:r>
      <w:r>
        <w:t xml:space="preserve"> </w:t>
      </w:r>
      <w:r>
        <w:t xml:space="preserve">therefore have a strongly positive environmental impact.</w:t>
      </w:r>
      <w:r>
        <w:br/>
      </w:r>
      <w:r>
        <w:t xml:space="preserve">Option A1 would have a further positive environmental impact compared to the baseline, as</w:t>
      </w:r>
      <w:r>
        <w:t xml:space="preserve"> </w:t>
      </w:r>
      <w:r>
        <w:t xml:space="preserve">measures meeting the conditions of the TBER could be put in place more rapidly, to the benefit</w:t>
      </w:r>
      <w:r>
        <w:t xml:space="preserve"> </w:t>
      </w:r>
      <w:r>
        <w:t xml:space="preserve">of modal shift. There could be some negative impacts on efficiency, in case Member States</w:t>
      </w:r>
      <w:r>
        <w:t xml:space="preserve"> </w:t>
      </w:r>
      <w:r>
        <w:t xml:space="preserve">would engage in a less holistic approach and would not consider other potentially more</w:t>
      </w:r>
      <w:r>
        <w:t xml:space="preserve"> </w:t>
      </w:r>
      <w:r>
        <w:t xml:space="preserve">environmentally beneficial measures not pertaining to the categories of section 6 of the RGL,</w:t>
      </w:r>
      <w:r>
        <w:t xml:space="preserve"> </w:t>
      </w:r>
      <w:r>
        <w:t xml:space="preserve">because they would not be in the scope of the block exemption.</w:t>
      </w:r>
      <w:r>
        <w:br/>
      </w:r>
      <w:r>
        <w:t xml:space="preserve">Option A2 would have a stronger positive environmental impact than Option A1, as the block</w:t>
      </w:r>
      <w:r>
        <w:t xml:space="preserve"> </w:t>
      </w:r>
      <w:r>
        <w:t xml:space="preserve">exemption would extend to all measures for which there is case practice. Many measures</w:t>
      </w:r>
      <w:r>
        <w:t xml:space="preserve"> </w:t>
      </w:r>
      <w:r>
        <w:t xml:space="preserve">supporting the reduction of GHG emissions and of external costs in general through a modal</w:t>
      </w:r>
      <w:r>
        <w:t xml:space="preserve"> </w:t>
      </w:r>
      <w:r>
        <w:t xml:space="preserve">shift towards SLT could be introduced immediately and simply under the TBER.</w:t>
      </w:r>
      <w:r>
        <w:br/>
      </w:r>
      <w:r>
        <w:t xml:space="preserve">Option A3 is expected to have a positive environmental effect, as it supports an increase in rail</w:t>
      </w:r>
      <w:r>
        <w:t xml:space="preserve"> </w:t>
      </w:r>
      <w:r>
        <w:t xml:space="preserve">transport on routes on which it has proven the most difficult to switch to SLT modes and which</w:t>
      </w:r>
      <w:r>
        <w:t xml:space="preserve"> </w:t>
      </w:r>
      <w:r>
        <w:t xml:space="preserve">are therefore least likely to shift to SLT modes absent PSOs. As these are often routes on which</w:t>
      </w:r>
      <w:r>
        <w:t xml:space="preserve"> </w:t>
      </w:r>
      <w:r>
        <w:t xml:space="preserve">frequencies are lower, the increase in noise would also be less significant.</w:t>
      </w:r>
      <w:r>
        <w:br/>
      </w:r>
      <w:r>
        <w:t xml:space="preserve">6.2.3. Social impacts</w:t>
      </w:r>
      <w:r>
        <w:t xml:space="preserve"> </w:t>
      </w:r>
      <w:r>
        <w:t xml:space="preserve">Options A1 and A2 are not expected to have significant social impacts compared to the</w:t>
      </w:r>
      <w:r>
        <w:t xml:space="preserve"> </w:t>
      </w:r>
      <w:r>
        <w:t xml:space="preserve">baseline. They concern the coverage of the revised GLs and TBER and not the conditions under</w:t>
      </w:r>
      <w:r>
        <w:t xml:space="preserve"> </w:t>
      </w:r>
      <w:r>
        <w:t xml:space="preserve">which aid can be granted. No stakeholder mentioned social considerations during the</w:t>
      </w:r>
      <w:r>
        <w:t xml:space="preserve"> </w:t>
      </w:r>
      <w:r>
        <w:t xml:space="preserve">consultation activities. Option A3 could have a slightly positive impact, as it would make it</w:t>
      </w:r>
      <w:r>
        <w:t xml:space="preserve"> </w:t>
      </w:r>
      <w:r>
        <w:t xml:space="preserve">possible to fill current gaps in rail freight transport at a limited cost for customers.</w:t>
      </w:r>
      <w:r>
        <w:br/>
      </w:r>
      <w:r>
        <w:t xml:space="preserve">6.3.</w:t>
      </w:r>
      <w:r>
        <w:t xml:space="preserve"> </w:t>
      </w:r>
      <w:r>
        <w:t xml:space="preserve">Option Bundle B – operating and interoperability aid</w:t>
      </w:r>
      <w:r>
        <w:t xml:space="preserve"> </w:t>
      </w:r>
      <w:r>
        <w:t xml:space="preserve">6.3.1. Economic impacts</w:t>
      </w:r>
      <w:r>
        <w:t xml:space="preserve"> </w:t>
      </w:r>
      <w:r>
        <w:t xml:space="preserve">Functioning of the internal market and competition</w:t>
      </w:r>
      <w:r>
        <w:t xml:space="preserve"> </w:t>
      </w:r>
      <w:r>
        <w:t xml:space="preserve">For operating aid, Option B1 would compensate for the elimination of the category of aid for</w:t>
      </w:r>
      <w:r>
        <w:t xml:space="preserve"> </w:t>
      </w:r>
      <w:r>
        <w:t xml:space="preserve">infrastructure use with a higher aid intensity for external cost aid. In most Member States, this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change would allow for more operating aid to be granted overall176. The distance limits</w:t>
      </w:r>
      <w:r>
        <w:t xml:space="preserve"> </w:t>
      </w:r>
      <w:r>
        <w:t xml:space="preserve">safeguard would lower the total amount of aid that can be granted, since the longest operations</w:t>
      </w:r>
      <w:r>
        <w:t xml:space="preserve"> </w:t>
      </w:r>
      <w:r>
        <w:t xml:space="preserve">could not benefit from aid under the TBER, and Member States might be discouraged from</w:t>
      </w:r>
      <w:r>
        <w:t xml:space="preserve"> </w:t>
      </w:r>
      <w:r>
        <w:t xml:space="preserve">applying the revised GLs in view of the high administrative burden of the distance limits177, as</w:t>
      </w:r>
      <w:r>
        <w:t xml:space="preserve"> </w:t>
      </w:r>
      <w:r>
        <w:t xml:space="preserve">stakeholders confirmed during the targeted consultation on the draft revised GLs178.</w:t>
      </w:r>
      <w:r>
        <w:br/>
      </w:r>
      <w:r>
        <w:t xml:space="preserve">The distance limits are meant to ensure that State aid is granted only when necessary, and not</w:t>
      </w:r>
      <w:r>
        <w:t xml:space="preserve"> </w:t>
      </w:r>
      <w:r>
        <w:t xml:space="preserve">to operations that would have gone ahead anyway in the absence of State aid. Stakeholders have</w:t>
      </w:r>
      <w:r>
        <w:t xml:space="preserve"> </w:t>
      </w:r>
      <w:r>
        <w:t xml:space="preserve">however explained that the competitiveness of SLT compared to road transport is not linear.</w:t>
      </w:r>
      <w:r>
        <w:t xml:space="preserve"> </w:t>
      </w:r>
      <w:r>
        <w:t xml:space="preserve">There are other constraints such as network capacity, speed of service, and transhipment costs.</w:t>
      </w:r>
      <w:r>
        <w:t xml:space="preserve"> </w:t>
      </w:r>
      <w:r>
        <w:t xml:space="preserve">While there may be a distance beyond which SLT is competitive with road transport on average,</w:t>
      </w:r>
      <w:r>
        <w:t xml:space="preserve"> </w:t>
      </w:r>
      <w:r>
        <w:t xml:space="preserve">across the EU there may be significant differences between undertakings and Member States.</w:t>
      </w:r>
      <w:r>
        <w:t xml:space="preserve"> </w:t>
      </w:r>
      <w:r>
        <w:t xml:space="preserve">For example, undertakings operating in very small Member States may be disadvantaged</w:t>
      </w:r>
      <w:r>
        <w:t xml:space="preserve"> </w:t>
      </w:r>
      <w:r>
        <w:t xml:space="preserve">because they have more international traffic, rendering operations costlier for a given distance</w:t>
      </w:r>
      <w:r>
        <w:t xml:space="preserve"> </w:t>
      </w:r>
      <w:r>
        <w:t xml:space="preserve">(e.g. needing interoperable locomotives and multilingual drivers).</w:t>
      </w:r>
      <w:r>
        <w:t xml:space="preserve"> </w:t>
      </w:r>
      <w:r>
        <w:t xml:space="preserve">The capacity constraints safeguard179 under Option B1 would address the risk that capacity</w:t>
      </w:r>
      <w:r>
        <w:t xml:space="preserve"> </w:t>
      </w:r>
      <w:r>
        <w:t xml:space="preserve">constraints in the SLT infrastructure would prevent the increase of the use of SLT. Even though</w:t>
      </w:r>
      <w:r>
        <w:t xml:space="preserve"> </w:t>
      </w:r>
      <w:r>
        <w:t xml:space="preserve">some stakeholders raised questions during the targeted consultation on the draft revised GLs,</w:t>
      </w:r>
      <w:r>
        <w:t xml:space="preserve"> </w:t>
      </w:r>
      <w:r>
        <w:t xml:space="preserve">they acknowledged that it was already foreseen in the Single European Railway Area Directive.</w:t>
      </w:r>
      <w:r>
        <w:br/>
      </w:r>
      <w:r>
        <w:t xml:space="preserve">As regards interoperability aid, Option B1 would boost the roll-out of interoperability</w:t>
      </w:r>
      <w:r>
        <w:t xml:space="preserve"> </w:t>
      </w:r>
      <w:r>
        <w:t xml:space="preserve">technologies compared to the baseline, because aid intensities in excess of 50% would be</w:t>
      </w:r>
      <w:r>
        <w:t xml:space="preserve"> </w:t>
      </w:r>
      <w:r>
        <w:t xml:space="preserve">systematically permitted upon demonstration of the need for more aid by a funding gap analysis.</w:t>
      </w:r>
      <w:r>
        <w:t xml:space="preserve"> </w:t>
      </w:r>
      <w:r>
        <w:t xml:space="preserve">Overall, the increase in the aid intensity in combination with the distance limits would mean</w:t>
      </w:r>
      <w:r>
        <w:t xml:space="preserve"> </w:t>
      </w:r>
      <w:r>
        <w:t xml:space="preserve">that Option B1 would likely result in similar amounts of operating aid being granted as in the</w:t>
      </w:r>
      <w:r>
        <w:t xml:space="preserve"> </w:t>
      </w:r>
      <w:r>
        <w:t xml:space="preserve">baseline. The option would still have a small positive impact on levelling the playing field</w:t>
      </w:r>
      <w:r>
        <w:t xml:space="preserve"> </w:t>
      </w:r>
      <w:r>
        <w:t xml:space="preserve">between SLT and road transport overall, since the conditions for interoperability aid would</w:t>
      </w:r>
      <w:r>
        <w:t xml:space="preserve"> </w:t>
      </w:r>
      <w:r>
        <w:t xml:space="preserve">become more generous. More support for interoperability would strengthen SLT, particularly</w:t>
      </w:r>
      <w:r>
        <w:t xml:space="preserve"> </w:t>
      </w:r>
      <w:r>
        <w:t xml:space="preserve">the rail sector as it is more affected by interoperability market failures. Interoperability</w:t>
      </w:r>
      <w:r>
        <w:t xml:space="preserve"> </w:t>
      </w:r>
      <w:r>
        <w:t xml:space="preserve">investments lower costs for cross-border operations especially. This increases intra-EU</w:t>
      </w:r>
      <w:r>
        <w:t xml:space="preserve"> </w:t>
      </w:r>
      <w:r>
        <w:t xml:space="preserve">competition and promotes the internal market. Stronger competition may lead to lower prices,</w:t>
      </w:r>
      <w:r>
        <w:t xml:space="preserve"> </w:t>
      </w:r>
      <w:r>
        <w:t xml:space="preserve">higher quality of service and more innovation, as mentioned by several stakeholders180 in their</w:t>
      </w:r>
      <w:r>
        <w:t xml:space="preserve"> </w:t>
      </w:r>
      <w:r>
        <w:t xml:space="preserve">response to the IIA for the revision of the RGL181. It would also lead to an increase in demand</w:t>
      </w:r>
    </w:p>
    <w:p>
      <w:pPr>
        <w:pStyle w:val="BodyText"/>
      </w:pPr>
      <w:r>
        <w:t xml:space="preserve">176 Under the RGL, aid for infrastructure use and aid for external costs cannot exceed 30% of the total costs of</w:t>
      </w:r>
      <w:r>
        <w:t xml:space="preserve"> </w:t>
      </w:r>
      <w:r>
        <w:t xml:space="preserve">operation. How this ceiling compares to the external cost ceiling depends on the Member State. According to the</w:t>
      </w:r>
      <w:r>
        <w:t xml:space="preserve"> </w:t>
      </w:r>
      <w:r>
        <w:t xml:space="preserve">study, for most Member States a higher external cost aid ceiling would result in an increase in the total amount of</w:t>
      </w:r>
      <w:r>
        <w:t xml:space="preserve"> </w:t>
      </w:r>
      <w:r>
        <w:t xml:space="preserve">operating aid that can be granted compared to the baseline.</w:t>
      </w:r>
      <w:r>
        <w:t xml:space="preserve"> </w:t>
      </w:r>
      <w:r>
        <w:t xml:space="preserve">177 The impact would likely be significant: Italy provided feedback in the public consultation that around half of</w:t>
      </w:r>
      <w:r>
        <w:t xml:space="preserve"> </w:t>
      </w:r>
      <w:r>
        <w:t xml:space="preserve">all train-kilometres in the rail sector are beyond the proposed distance threshold.</w:t>
      </w:r>
      <w:r>
        <w:t xml:space="preserve"> </w:t>
      </w:r>
      <w:r>
        <w:t xml:space="preserve">178 Annex 2, point 4.4.</w:t>
      </w:r>
      <w:r>
        <w:t xml:space="preserve"> </w:t>
      </w:r>
      <w:r>
        <w:t xml:space="preserve">179 Aid cannot be granted for transport on routes that have established capacity constraints that would prevent</w:t>
      </w:r>
      <w:r>
        <w:t xml:space="preserve"> </w:t>
      </w:r>
      <w:r>
        <w:t xml:space="preserve">increasing or maintaining the modal shift. This condition aims to ensure that the prospects of increasing or</w:t>
      </w:r>
      <w:r>
        <w:t xml:space="preserve"> </w:t>
      </w:r>
      <w:r>
        <w:t xml:space="preserve">preventing a decrease in the modal shift are realistic. If the Member State intends to support transport on routes</w:t>
      </w:r>
      <w:r>
        <w:t xml:space="preserve"> </w:t>
      </w:r>
      <w:r>
        <w:t xml:space="preserve">with established capacity constraints, the Member State will have to explain what other measures will be taken to</w:t>
      </w:r>
      <w:r>
        <w:t xml:space="preserve"> </w:t>
      </w:r>
      <w:r>
        <w:t xml:space="preserve">eliminate or reduce those constraints based on a capacity analysis or a capacity-enhancement plan, as provided</w:t>
      </w:r>
      <w:r>
        <w:t xml:space="preserve"> </w:t>
      </w:r>
      <w:r>
        <w:t xml:space="preserve">under Directive 2012/34/EU of the European Parliament and of the Council of 21 November 2012 establishing a</w:t>
      </w:r>
      <w:r>
        <w:t xml:space="preserve"> </w:t>
      </w:r>
      <w:r>
        <w:t xml:space="preserve">single</w:t>
      </w:r>
      <w:r>
        <w:t xml:space="preserve"> </w:t>
      </w:r>
      <w:r>
        <w:t xml:space="preserve">European</w:t>
      </w:r>
      <w:r>
        <w:t xml:space="preserve"> </w:t>
      </w:r>
      <w:r>
        <w:t xml:space="preserve">railway</w:t>
      </w:r>
      <w:r>
        <w:t xml:space="preserve"> </w:t>
      </w:r>
      <w:r>
        <w:t xml:space="preserve">area</w:t>
      </w:r>
      <w:r>
        <w:t xml:space="preserve"> </w:t>
      </w:r>
      <w:r>
        <w:t xml:space="preserve">(OJ</w:t>
      </w:r>
      <w:r>
        <w:t xml:space="preserve"> </w:t>
      </w:r>
      <w:r>
        <w:t xml:space="preserve">L</w:t>
      </w:r>
      <w:r>
        <w:t xml:space="preserve"> </w:t>
      </w:r>
      <w:r>
        <w:t xml:space="preserve">343,</w:t>
      </w:r>
      <w:r>
        <w:t xml:space="preserve"> </w:t>
      </w:r>
      <w:r>
        <w:t xml:space="preserve">14 December 2012,</w:t>
      </w:r>
      <w:r>
        <w:t xml:space="preserve"> </w:t>
      </w:r>
      <w:r>
        <w:t xml:space="preserve">p. </w:t>
      </w:r>
      <w:r>
        <w:t xml:space="preserve"> </w:t>
      </w:r>
      <w:r>
        <w:t xml:space="preserve">32,</w:t>
      </w:r>
      <w:r>
        <w:t xml:space="preserve"> </w:t>
      </w:r>
      <w:r>
        <w:t xml:space="preserve">ELI: http://data.europa.eu/eli/dir/2012/34/2019-01-01).</w:t>
      </w:r>
      <w:r>
        <w:br/>
      </w:r>
      <w:r>
        <w:t xml:space="preserve">180 3 business associations out of 7 (42.9%), 1 company out of 3 (33.3%).</w:t>
      </w:r>
      <w:r>
        <w:t xml:space="preserve"> </w:t>
      </w:r>
      <w:r>
        <w:t xml:space="preserve">181 Annex 2, point 4.1.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for transport services (income effect) and a shift from road to rail (substitution effect), but these</w:t>
      </w:r>
      <w:r>
        <w:t xml:space="preserve"> </w:t>
      </w:r>
      <w:r>
        <w:t xml:space="preserve">effects are expected to be limited due to the modest overall increase in aid volumes.</w:t>
      </w:r>
      <w:r>
        <w:br/>
      </w:r>
      <w:r>
        <w:t xml:space="preserve">Option B2 would compensate for the elimination of the aid for infrastructure use category with</w:t>
      </w:r>
      <w:r>
        <w:t xml:space="preserve"> </w:t>
      </w:r>
      <w:r>
        <w:t xml:space="preserve">a higher aid intensity, as Option B1 does. It would not introduce distance limits, preventing</w:t>
      </w:r>
      <w:r>
        <w:t xml:space="preserve"> </w:t>
      </w:r>
      <w:r>
        <w:t xml:space="preserve">competition distortions in the SLT sector between undertakings in different Member States.</w:t>
      </w:r>
      <w:r>
        <w:t xml:space="preserve"> </w:t>
      </w:r>
      <w:r>
        <w:t xml:space="preserve">The capacity constraint safeguard would remain to further ensure modal shift as compared to</w:t>
      </w:r>
      <w:r>
        <w:t xml:space="preserve"> </w:t>
      </w:r>
      <w:r>
        <w:t xml:space="preserve">the baseline. Under Option B2, Member States could grant more operating aid under the revised</w:t>
      </w:r>
      <w:r>
        <w:t xml:space="preserve"> </w:t>
      </w:r>
      <w:r>
        <w:t xml:space="preserve">GLs than in the baseline, which would improve the competitiveness of SLT.</w:t>
      </w:r>
      <w:r>
        <w:br/>
      </w:r>
      <w:r>
        <w:t xml:space="preserve">Experience shows the potential of operating aid in terms of promoting modal shift. For example,</w:t>
      </w:r>
      <w:r>
        <w:t xml:space="preserve"> </w:t>
      </w:r>
      <w:r>
        <w:t xml:space="preserve">the Fitness Check notes that Italy (which in the period 2008 to 2023 had seven regional schemes</w:t>
      </w:r>
      <w:r>
        <w:t xml:space="preserve"> </w:t>
      </w:r>
      <w:r>
        <w:t xml:space="preserve">supporting modal shift prolonged up to three times) recorded steady growth in the modal share</w:t>
      </w:r>
      <w:r>
        <w:t xml:space="preserve"> </w:t>
      </w:r>
      <w:r>
        <w:t xml:space="preserve">of rail and multimodal transport, from 9.2% in 2011 to 14.7% in 2016.</w:t>
      </w:r>
      <w:r>
        <w:br/>
      </w:r>
      <w:r>
        <w:t xml:space="preserve">By dropping the funding gap safeguard for key interoperability technologies, Option B2 would</w:t>
      </w:r>
      <w:r>
        <w:t xml:space="preserve"> </w:t>
      </w:r>
      <w:r>
        <w:t xml:space="preserve">further facilitate the granting of interoperability aid. The competition distortion risks, in terms</w:t>
      </w:r>
      <w:r>
        <w:t xml:space="preserve"> </w:t>
      </w:r>
      <w:r>
        <w:t xml:space="preserve">of overcompensating beneficiaries, are minimal, since the higher aid intensities are limited to</w:t>
      </w:r>
      <w:r>
        <w:t xml:space="preserve"> </w:t>
      </w:r>
      <w:r>
        <w:t xml:space="preserve">investments with acute market failures and a lack of significant private benefits. Moreover, the</w:t>
      </w:r>
      <w:r>
        <w:t xml:space="preserve"> </w:t>
      </w:r>
      <w:r>
        <w:t xml:space="preserve">Commission has in the past already approved aid intensities of 85 – 100% for interoperability</w:t>
      </w:r>
      <w:r>
        <w:t xml:space="preserve"> </w:t>
      </w:r>
      <w:r>
        <w:t xml:space="preserve">investments in SLT in 12 cases, finding that such high aid intensities even in the absence of a</w:t>
      </w:r>
      <w:r>
        <w:t xml:space="preserve"> </w:t>
      </w:r>
      <w:r>
        <w:t xml:space="preserve">funding gap analysis did not raise concerns regarding a potential distortive effect.</w:t>
      </w:r>
      <w:r>
        <w:t xml:space="preserve"> </w:t>
      </w:r>
      <w:r>
        <w:t xml:space="preserve">Overall, Option B2 would increase competition within the SLT sector without risks of undue</w:t>
      </w:r>
      <w:r>
        <w:t xml:space="preserve"> </w:t>
      </w:r>
      <w:r>
        <w:t xml:space="preserve">competition distortions and have a strong positive impact on levelling the playing field between</w:t>
      </w:r>
      <w:r>
        <w:t xml:space="preserve"> </w:t>
      </w:r>
      <w:r>
        <w:t xml:space="preserve">SLT and road transport.</w:t>
      </w:r>
      <w:r>
        <w:br/>
      </w:r>
      <w:r>
        <w:t xml:space="preserve">The income and substitution effects also play an important role in defining the economic</w:t>
      </w:r>
      <w:r>
        <w:t xml:space="preserve"> </w:t>
      </w:r>
      <w:r>
        <w:t xml:space="preserve">impacts of Option B2, with the objective of the initiative being to generate a shift in traffic from</w:t>
      </w:r>
      <w:r>
        <w:t xml:space="preserve"> </w:t>
      </w:r>
      <w:r>
        <w:t xml:space="preserve">road to SLT, thereby maximizing the substitution effect rather than merely creating additional</w:t>
      </w:r>
      <w:r>
        <w:t xml:space="preserve"> </w:t>
      </w:r>
      <w:r>
        <w:t xml:space="preserve">demand for transport. The expected increase in operating aid volumes and intensities under</w:t>
      </w:r>
      <w:r>
        <w:t xml:space="preserve"> </w:t>
      </w:r>
      <w:r>
        <w:t xml:space="preserve">Option B2 would lead to lower prices for SLT compared to road transport and, as explained in</w:t>
      </w:r>
      <w:r>
        <w:t xml:space="preserve"> </w:t>
      </w:r>
      <w:r>
        <w:t xml:space="preserve">Section 6.1.1, would increase the demand for SLT and the SLT volumes, predominantly due to</w:t>
      </w:r>
      <w:r>
        <w:t xml:space="preserve"> </w:t>
      </w:r>
      <w:r>
        <w:t xml:space="preserve">a shift from road to rail.182 To ensure the substitution effect is maximised, the capacity</w:t>
      </w:r>
      <w:r>
        <w:t xml:space="preserve"> </w:t>
      </w:r>
      <w:r>
        <w:t xml:space="preserve">constraint safeguard embedded in Option B2 ensures that aid is directed to rail routes with</w:t>
      </w:r>
      <w:r>
        <w:t xml:space="preserve"> </w:t>
      </w:r>
      <w:r>
        <w:t xml:space="preserve">sufficient capacity to accommodate additional traffic and that can generate a switch from road</w:t>
      </w:r>
      <w:r>
        <w:t xml:space="preserve"> </w:t>
      </w:r>
      <w:r>
        <w:t xml:space="preserve">to SLT.</w:t>
      </w:r>
      <w:r>
        <w:br/>
      </w:r>
      <w:r>
        <w:t xml:space="preserve">Option B3 is equivalent to Option B2 for interoperability aid but could have a significant</w:t>
      </w:r>
      <w:r>
        <w:t xml:space="preserve"> </w:t>
      </w:r>
      <w:r>
        <w:t xml:space="preserve">competition impact, because it would allow higher amounts of operating aid, which may cause</w:t>
      </w:r>
      <w:r>
        <w:t xml:space="preserve"> </w:t>
      </w:r>
      <w:r>
        <w:t xml:space="preserve">a further modal shift. This was stressed by 6 stakeholders183 calling for the reintroduction of the</w:t>
      </w:r>
      <w:r>
        <w:t xml:space="preserve"> </w:t>
      </w:r>
      <w:r>
        <w:t xml:space="preserve">category of operating aid for infrastructure use during the targeted consultation on the draft</w:t>
      </w:r>
      <w:r>
        <w:t xml:space="preserve"> </w:t>
      </w:r>
      <w:r>
        <w:t xml:space="preserve">revised GLs. However, by allowing aid potentially in excess of the avoided external costs, it</w:t>
      </w:r>
      <w:r>
        <w:t xml:space="preserve"> </w:t>
      </w:r>
      <w:r>
        <w:t xml:space="preserve">risks doing so at a cost that is higher than the benefits realised. This could also create</w:t>
      </w:r>
      <w:r>
        <w:t xml:space="preserve"> </w:t>
      </w:r>
      <w:r>
        <w:t xml:space="preserve">competition distortions between SLT and road transport, if operating aid to SLT exceeds the</w:t>
      </w:r>
      <w:r>
        <w:t xml:space="preserve"> </w:t>
      </w:r>
      <w:r>
        <w:t xml:space="preserve">implicit subsidy that the road sector receives due to the lack of internalisation of external costs.</w:t>
      </w:r>
    </w:p>
    <w:p>
      <w:pPr>
        <w:pStyle w:val="BodyText"/>
      </w:pPr>
      <w:r>
        <w:t xml:space="preserve">182 Following the calculation presented in section 6.1.1, each 10% increase in operating aid volumes has the</w:t>
      </w:r>
      <w:r>
        <w:t xml:space="preserve"> </w:t>
      </w:r>
      <w:r>
        <w:t xml:space="preserve">potential to generate a 0.2% increase in rail transport volumes (passenger and freight combined), the majority</w:t>
      </w:r>
      <w:r>
        <w:t xml:space="preserve"> </w:t>
      </w:r>
      <w:r>
        <w:t xml:space="preserve">representing a shift from road transport.</w:t>
      </w:r>
      <w:r>
        <w:t xml:space="preserve"> </w:t>
      </w:r>
      <w:r>
        <w:t xml:space="preserve">183 Annex 2, point 4.4.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By prioritising modal shift to this extent, this Option would risk creating a dependency on State</w:t>
      </w:r>
      <w:r>
        <w:t xml:space="preserve"> </w:t>
      </w:r>
      <w:r>
        <w:t xml:space="preserve">aid, with the competitive pressure on SLT reduced to the point that it might become less</w:t>
      </w:r>
      <w:r>
        <w:t xml:space="preserve"> </w:t>
      </w:r>
      <w:r>
        <w:t xml:space="preserve">efficient or implement fewer quality improvements.</w:t>
      </w:r>
      <w:r>
        <w:br/>
      </w:r>
      <w:r>
        <w:t xml:space="preserve">When analysing the income versus the substitution effects in the case of Option B3, the lack of</w:t>
      </w:r>
      <w:r>
        <w:t xml:space="preserve"> </w:t>
      </w:r>
      <w:r>
        <w:t xml:space="preserve">safeguards and the significant price decrease of SLT could backfire and lead to an increase in</w:t>
      </w:r>
      <w:r>
        <w:t xml:space="preserve"> </w:t>
      </w:r>
      <w:r>
        <w:t xml:space="preserve">overall demand for transport services, rather than merely a shift from road to rail. Without a</w:t>
      </w:r>
      <w:r>
        <w:t xml:space="preserve"> </w:t>
      </w:r>
      <w:r>
        <w:t xml:space="preserve">capacity safeguard in place, the aid could be directed towards lowering prices for SLT routes</w:t>
      </w:r>
      <w:r>
        <w:t xml:space="preserve"> </w:t>
      </w:r>
      <w:r>
        <w:t xml:space="preserve">that cannot accommodate additional traffic, thus merely generating congestion and shifting the</w:t>
      </w:r>
      <w:r>
        <w:t xml:space="preserve"> </w:t>
      </w:r>
      <w:r>
        <w:t xml:space="preserve">increased demand back to road transport.</w:t>
      </w:r>
      <w:r>
        <w:br/>
      </w:r>
      <w:r>
        <w:t xml:space="preserve">Administrative burden</w:t>
      </w:r>
      <w:r>
        <w:t xml:space="preserve"> </w:t>
      </w:r>
      <w:r>
        <w:t xml:space="preserve">Under Option B1, fewer aid ceilings would apply to operating aid and there would be no need</w:t>
      </w:r>
      <w:r>
        <w:t xml:space="preserve"> </w:t>
      </w:r>
      <w:r>
        <w:t xml:space="preserve">to compare infrastructure costs between transport modes which, as shown by past experience,</w:t>
      </w:r>
      <w:r>
        <w:t xml:space="preserve"> </w:t>
      </w:r>
      <w:r>
        <w:t xml:space="preserve">raises some difficulties.</w:t>
      </w:r>
      <w:r>
        <w:br/>
      </w:r>
      <w:r>
        <w:t xml:space="preserve">However, the capacity constraints and distance limits safeguards would apply. The former</w:t>
      </w:r>
      <w:r>
        <w:t xml:space="preserve"> </w:t>
      </w:r>
      <w:r>
        <w:t xml:space="preserve">obligation already exists under sectoral legislation184 and would apply only under the revised</w:t>
      </w:r>
      <w:r>
        <w:t xml:space="preserve"> </w:t>
      </w:r>
      <w:r>
        <w:t xml:space="preserve">GLs, not the TBER, so its administrative impact would be limited. In contrast to the capacity</w:t>
      </w:r>
      <w:r>
        <w:t xml:space="preserve"> </w:t>
      </w:r>
      <w:r>
        <w:t xml:space="preserve">constraints, the distance limits would introduce significant administrative burdens. Operators</w:t>
      </w:r>
      <w:r>
        <w:t xml:space="preserve"> </w:t>
      </w:r>
      <w:r>
        <w:t xml:space="preserve">would have to keep track of the distance for each of their operations individually, and not just</w:t>
      </w:r>
      <w:r>
        <w:t xml:space="preserve"> </w:t>
      </w:r>
      <w:r>
        <w:t xml:space="preserve">in aggregate (which is necessary anyway under an operating aid scheme). In the rail sector,</w:t>
      </w:r>
      <w:r>
        <w:t xml:space="preserve"> </w:t>
      </w:r>
      <w:r>
        <w:t xml:space="preserve">operators would have to separately collect the data for SWL operations, as SWL would not be</w:t>
      </w:r>
      <w:r>
        <w:t xml:space="preserve"> </w:t>
      </w:r>
      <w:r>
        <w:t xml:space="preserve">caught by the distance limit. Administrative burdens would also vary for undertakings</w:t>
      </w:r>
      <w:r>
        <w:t xml:space="preserve"> </w:t>
      </w:r>
      <w:r>
        <w:t xml:space="preserve">depending on the Member State in which they are active. Undertakings in sparsely populated</w:t>
      </w:r>
      <w:r>
        <w:t xml:space="preserve"> </w:t>
      </w:r>
      <w:r>
        <w:t xml:space="preserve">large Member States could be more penalised because long distances may be more common,</w:t>
      </w:r>
      <w:r>
        <w:t xml:space="preserve"> </w:t>
      </w:r>
      <w:r>
        <w:t xml:space="preserve">and those undertakings would therefore have to demonstrate more frequently that aid is needed.</w:t>
      </w:r>
      <w:r>
        <w:t xml:space="preserve"> </w:t>
      </w:r>
      <w:r>
        <w:t xml:space="preserve">This was also stressed by stakeholders during the targeted consultation on the draft revised</w:t>
      </w:r>
      <w:r>
        <w:t xml:space="preserve"> </w:t>
      </w:r>
      <w:r>
        <w:t xml:space="preserve">GLs185.</w:t>
      </w:r>
      <w:r>
        <w:t xml:space="preserve"> </w:t>
      </w:r>
      <w:r>
        <w:t xml:space="preserve">For interoperability aid, Option B1 also imposes additional administrative burden, though in a</w:t>
      </w:r>
      <w:r>
        <w:t xml:space="preserve"> </w:t>
      </w:r>
      <w:r>
        <w:t xml:space="preserve">more limited manner. A funding gap analysis would be systematically necessary if the aid</w:t>
      </w:r>
      <w:r>
        <w:t xml:space="preserve"> </w:t>
      </w:r>
      <w:r>
        <w:t xml:space="preserve">intensity of 50% is exceeded. In the baseline, a funding gap analysis has not been consistently</w:t>
      </w:r>
      <w:r>
        <w:t xml:space="preserve"> </w:t>
      </w:r>
      <w:r>
        <w:t xml:space="preserve">applied for interoperability measures with aid intensities above 50%, as other justifications were</w:t>
      </w:r>
      <w:r>
        <w:t xml:space="preserve"> </w:t>
      </w:r>
      <w:r>
        <w:t xml:space="preserve">also accepted.</w:t>
      </w:r>
      <w:r>
        <w:t xml:space="preserve"> </w:t>
      </w:r>
      <w:r>
        <w:t xml:space="preserve">Overall, Option B1 would impose a significant administrative burden compared to the baseline.</w:t>
      </w:r>
      <w:r>
        <w:br/>
      </w:r>
      <w:r>
        <w:t xml:space="preserve">Option B2 has a positive impact on administrative burden. It simplifies the operating aid</w:t>
      </w:r>
      <w:r>
        <w:t xml:space="preserve"> </w:t>
      </w:r>
      <w:r>
        <w:t xml:space="preserve">assessment, while avoiding the very considerable administrative burden of the distance limits.</w:t>
      </w:r>
      <w:r>
        <w:t xml:space="preserve"> </w:t>
      </w:r>
      <w:r>
        <w:t xml:space="preserve">The interoperability aid assessment is also simplified, because for certain investments an aid</w:t>
      </w:r>
      <w:r>
        <w:t xml:space="preserve"> </w:t>
      </w:r>
      <w:r>
        <w:t xml:space="preserve">intensity beyond 50% can benefit from a proportionality presumption without need for a</w:t>
      </w:r>
      <w:r>
        <w:t xml:space="preserve"> </w:t>
      </w:r>
      <w:r>
        <w:t xml:space="preserve">funding gap analysis.</w:t>
      </w:r>
      <w:r>
        <w:t xml:space="preserve"> </w:t>
      </w:r>
      <w:r>
        <w:t xml:space="preserve">Option B3 would have a positive administrative burden impact compared to the baseline,</w:t>
      </w:r>
      <w:r>
        <w:t xml:space="preserve"> </w:t>
      </w:r>
      <w:r>
        <w:t xml:space="preserve">though the impact is less positive than under Option B2. For operating aid, both main categories</w:t>
      </w:r>
      <w:r>
        <w:t xml:space="preserve"> </w:t>
      </w:r>
      <w:r>
        <w:t xml:space="preserve">of aid that already exist in the RGL would be maintained with their different conditions and</w:t>
      </w:r>
    </w:p>
    <w:p>
      <w:pPr>
        <w:pStyle w:val="BodyText"/>
      </w:pPr>
      <w:r>
        <w:t xml:space="preserve">184 Directive 2012/34/EU of the European Parliament and of the Council of 21 November 2012 establishing a</w:t>
      </w:r>
      <w:r>
        <w:t xml:space="preserve"> </w:t>
      </w:r>
      <w:r>
        <w:t xml:space="preserve">single European railway area (recast), OJ L 343, 14.12.2012, Articles 47 and 50.</w:t>
      </w:r>
      <w:r>
        <w:br/>
      </w:r>
      <w:r>
        <w:t xml:space="preserve">185 Annex 2, point 4.4.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applicable ceilings. The 30% of total cost cap would however be removed, partially</w:t>
      </w:r>
      <w:r>
        <w:t xml:space="preserve"> </w:t>
      </w:r>
      <w:r>
        <w:t xml:space="preserve">compensating for the additional administrative burden of having two aid categories. For</w:t>
      </w:r>
      <w:r>
        <w:t xml:space="preserve"> </w:t>
      </w:r>
      <w:r>
        <w:t xml:space="preserve">interoperability aid, the administrative simplification is the same as under Option B2.</w:t>
      </w:r>
      <w:r>
        <w:br/>
      </w:r>
      <w:r>
        <w:t xml:space="preserve">Impact on SMEs</w:t>
      </w:r>
      <w:r>
        <w:t xml:space="preserve"> </w:t>
      </w:r>
      <w:r>
        <w:t xml:space="preserve">Options B1, B2 and B3 do not target SMEs and have no significant impact on them, other than</w:t>
      </w:r>
      <w:r>
        <w:t xml:space="preserve"> </w:t>
      </w:r>
      <w:r>
        <w:t xml:space="preserve">the impact on administrative burden, which would be significantly increased under Option B1</w:t>
      </w:r>
      <w:r>
        <w:t xml:space="preserve"> </w:t>
      </w:r>
      <w:r>
        <w:t xml:space="preserve">and reduced under Options B2 and B3 compared to the baseline. Such burden affects SMEs</w:t>
      </w:r>
      <w:r>
        <w:t xml:space="preserve"> </w:t>
      </w:r>
      <w:r>
        <w:t xml:space="preserve">disproportionately given their lower ability to ensure compliance with burdensome rules.</w:t>
      </w:r>
      <w:r>
        <w:br/>
      </w:r>
      <w:r>
        <w:t xml:space="preserve">6.3.2. Environmental impacts</w:t>
      </w:r>
      <w:r>
        <w:t xml:space="preserve"> </w:t>
      </w:r>
      <w:r>
        <w:t xml:space="preserve">As explained in the economic impacts, Option B1 would overall allow a similar amount of</w:t>
      </w:r>
      <w:r>
        <w:t xml:space="preserve"> </w:t>
      </w:r>
      <w:r>
        <w:t xml:space="preserve">operating aid to be granted as under the baseline, with higher aid intensities being offset by the</w:t>
      </w:r>
      <w:r>
        <w:t xml:space="preserve"> </w:t>
      </w:r>
      <w:r>
        <w:t xml:space="preserve">introduction of distance limits. Since the changes to operating aid would not clearly generate</w:t>
      </w:r>
      <w:r>
        <w:t xml:space="preserve"> </w:t>
      </w:r>
      <w:r>
        <w:t xml:space="preserve">additional modal shift, the environmental impact of the proposed compatibility conditions</w:t>
      </w:r>
      <w:r>
        <w:t xml:space="preserve"> </w:t>
      </w:r>
      <w:r>
        <w:t xml:space="preserve">regarding operating aid would be mixed.</w:t>
      </w:r>
      <w:r>
        <w:br/>
      </w:r>
      <w:r>
        <w:t xml:space="preserve">Option B1 would also contribute to accelerating the roll-out of interoperability technologies,</w:t>
      </w:r>
      <w:r>
        <w:t xml:space="preserve"> </w:t>
      </w:r>
      <w:r>
        <w:t xml:space="preserve">increasing the competitiveness of SLT, in particular in the rail sector. Moreover, by improving</w:t>
      </w:r>
      <w:r>
        <w:t xml:space="preserve"> </w:t>
      </w:r>
      <w:r>
        <w:t xml:space="preserve">the productivity of operations and lowering operating costs, interoperability technologies allow</w:t>
      </w:r>
      <w:r>
        <w:t xml:space="preserve"> </w:t>
      </w:r>
      <w:r>
        <w:t xml:space="preserve">for the more intense use of existing vehicles. By allowing modal shift to be generated without</w:t>
      </w:r>
      <w:r>
        <w:t xml:space="preserve"> </w:t>
      </w:r>
      <w:r>
        <w:t xml:space="preserve">requiring additional vehicles, this in turn limits resource extraction and material use.</w:t>
      </w:r>
      <w:r>
        <w:br/>
      </w:r>
      <w:r>
        <w:t xml:space="preserve">Since a lack of interoperability affects the rail sector specifically, the environmental impacts of</w:t>
      </w:r>
      <w:r>
        <w:t xml:space="preserve"> </w:t>
      </w:r>
      <w:r>
        <w:t xml:space="preserve">Option B1 would be especially strong in terms of reducing GHG emissions and air pollution,</w:t>
      </w:r>
      <w:r>
        <w:t xml:space="preserve"> </w:t>
      </w:r>
      <w:r>
        <w:t xml:space="preserve">while the impact on noise would be more mixed, as set out in Section 6.1.2. However,</w:t>
      </w:r>
      <w:r>
        <w:t xml:space="preserve"> </w:t>
      </w:r>
      <w:r>
        <w:t xml:space="preserve">interoperability technologies can also significantly reduce noise pollution. For example, DAC</w:t>
      </w:r>
      <w:r>
        <w:t xml:space="preserve"> </w:t>
      </w:r>
      <w:r>
        <w:t xml:space="preserve">reduces time spent performing shunting operations, which are particularly noisy, and allows</w:t>
      </w:r>
      <w:r>
        <w:t xml:space="preserve"> </w:t>
      </w:r>
      <w:r>
        <w:t xml:space="preserve">electronically controlled pneumatic brakes, which are quieter than the traditional air brakes.</w:t>
      </w:r>
      <w:r>
        <w:t xml:space="preserve"> </w:t>
      </w:r>
      <w:r>
        <w:t xml:space="preserve">ERTMS optimises train movements, reducing unnecessary acceleration or braking.</w:t>
      </w:r>
      <w:r>
        <w:br/>
      </w:r>
      <w:r>
        <w:t xml:space="preserve">It is therefore expected that Option B1 would have a positive effect on all three environmental</w:t>
      </w:r>
      <w:r>
        <w:t xml:space="preserve"> </w:t>
      </w:r>
      <w:r>
        <w:t xml:space="preserve">impacts considered compared to the baseline.</w:t>
      </w:r>
      <w:r>
        <w:br/>
      </w:r>
      <w:r>
        <w:t xml:space="preserve">Option B2 would have a strongly positive environmental impact compared to the baseline. In</w:t>
      </w:r>
      <w:r>
        <w:t xml:space="preserve"> </w:t>
      </w:r>
      <w:r>
        <w:t xml:space="preserve">contrast to Option B1, under Option B2 more operating aid could be granted than under the</w:t>
      </w:r>
      <w:r>
        <w:t xml:space="preserve"> </w:t>
      </w:r>
      <w:r>
        <w:t xml:space="preserve">baseline, further encouraging modal shift. Moreover, by further facilitating the granting of</w:t>
      </w:r>
      <w:r>
        <w:t xml:space="preserve"> </w:t>
      </w:r>
      <w:r>
        <w:t xml:space="preserve">higher amounts of interoperability aid, as the funding gap would not systematically be required,</w:t>
      </w:r>
      <w:r>
        <w:t xml:space="preserve"> </w:t>
      </w:r>
      <w:r>
        <w:t xml:space="preserve">Option B2 promotes interoperability investments even more strongly than Option B1.</w:t>
      </w:r>
      <w:r>
        <w:br/>
      </w:r>
      <w:r>
        <w:t xml:space="preserve">Option B3 would allow even higher amounts of operating aid than Option B2, further promote</w:t>
      </w:r>
      <w:r>
        <w:t xml:space="preserve"> </w:t>
      </w:r>
      <w:r>
        <w:t xml:space="preserve">modal shift, and therefore generate additional positive environmental impacts, at least in the</w:t>
      </w:r>
      <w:r>
        <w:t xml:space="preserve"> </w:t>
      </w:r>
      <w:r>
        <w:t xml:space="preserve">short term. In the longer term, a potential loss of competitiveness and efficiency in the sector</w:t>
      </w:r>
      <w:r>
        <w:t xml:space="preserve"> </w:t>
      </w:r>
      <w:r>
        <w:t xml:space="preserve">due to State aid dependency may reduce those benefits.</w:t>
      </w:r>
      <w:r>
        <w:br/>
      </w:r>
      <w:r>
        <w:t xml:space="preserve">The variation in the environmental impact between Option B3 and B2 comes from the</w:t>
      </w:r>
      <w:r>
        <w:t xml:space="preserve"> </w:t>
      </w:r>
      <w:r>
        <w:t xml:space="preserve">difference in the set-up of operating aid. Option B3 involves an additional operating aid</w:t>
      </w:r>
      <w:r>
        <w:t xml:space="preserve"> </w:t>
      </w:r>
      <w:r>
        <w:t xml:space="preserve">category for infrastructure use compared to Option B2, which involves only one operating aid</w:t>
      </w:r>
      <w:r>
        <w:t xml:space="preserve"> </w:t>
      </w:r>
      <w:r>
        <w:t xml:space="preserve">category related to the external cost difference with higher aid intensities than in the past. This</w:t>
      </w:r>
      <w:r>
        <w:t xml:space="preserve"> </w:t>
      </w:r>
      <w:r>
        <w:t xml:space="preserve">means that under Option B3, in addition to a compensation for external costs savings relating</w:t>
      </w:r>
      <w:r>
        <w:t xml:space="preserve"> </w:t>
      </w:r>
      <w:r>
        <w:t xml:space="preserve">to SLT at a higher intensity than in the baseline scenario, also the infrastructure use costs can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be subsidised. This would lead to higher overall permissible operating aid amounts under</w:t>
      </w:r>
      <w:r>
        <w:t xml:space="preserve"> </w:t>
      </w:r>
      <w:r>
        <w:t xml:space="preserve">Option B3 than under Option B2, up to a point where the transport operators could be</w:t>
      </w:r>
      <w:r>
        <w:t xml:space="preserve"> </w:t>
      </w:r>
      <w:r>
        <w:t xml:space="preserve">compensated for more than the external cost savings which their activities help to achieve.</w:t>
      </w:r>
      <w:r>
        <w:br/>
      </w:r>
      <w:r>
        <w:t xml:space="preserve">While this could further contribute to modal shift in the short term, this comes at the risk of</w:t>
      </w:r>
      <w:r>
        <w:t xml:space="preserve"> </w:t>
      </w:r>
      <w:r>
        <w:t xml:space="preserve">paying out aid and society bearing a cost that is higher than the environmental benefit related</w:t>
      </w:r>
      <w:r>
        <w:t xml:space="preserve"> </w:t>
      </w:r>
      <w:r>
        <w:t xml:space="preserve">to SLT, which could create a dependency on State aid and reduce the pressure on SLT operators</w:t>
      </w:r>
      <w:r>
        <w:t xml:space="preserve"> </w:t>
      </w:r>
      <w:r>
        <w:t xml:space="preserve">in the longer term to be efficient and implement quality improvements. Thus, in the longer run,</w:t>
      </w:r>
      <w:r>
        <w:t xml:space="preserve"> </w:t>
      </w:r>
      <w:r>
        <w:t xml:space="preserve">such high levels of support are likely to disincentivise operators from adjusting to new market</w:t>
      </w:r>
      <w:r>
        <w:t xml:space="preserve"> </w:t>
      </w:r>
      <w:r>
        <w:t xml:space="preserve">realities and innovating and would risk ceteris paribus to increase the competitiveness of road</w:t>
      </w:r>
      <w:r>
        <w:t xml:space="preserve"> </w:t>
      </w:r>
      <w:r>
        <w:t xml:space="preserve">transport and impede the modal shift.</w:t>
      </w:r>
      <w:r>
        <w:br/>
      </w:r>
      <w:r>
        <w:t xml:space="preserve">6.3.3. Social impacts</w:t>
      </w:r>
      <w:r>
        <w:t xml:space="preserve"> </w:t>
      </w:r>
      <w:r>
        <w:t xml:space="preserve">Customers and prices</w:t>
      </w:r>
      <w:r>
        <w:t xml:space="preserve"> </w:t>
      </w:r>
      <w:r>
        <w:t xml:space="preserve">Option B1 has a positive social impact. By promoting interoperability, it contributes to</w:t>
      </w:r>
      <w:r>
        <w:t xml:space="preserve"> </w:t>
      </w:r>
      <w:r>
        <w:t xml:space="preserve">lowering maintenance cost, improving productivity, and increasing competition on the EU</w:t>
      </w:r>
      <w:r>
        <w:t xml:space="preserve"> </w:t>
      </w:r>
      <w:r>
        <w:t xml:space="preserve">market, all of which could lead to lower prices for end-users. The affordability of transport is a</w:t>
      </w:r>
      <w:r>
        <w:t xml:space="preserve"> </w:t>
      </w:r>
      <w:r>
        <w:t xml:space="preserve">key factor in causing poor access to transport, which affects socially vulnerable groups</w:t>
      </w:r>
      <w:r>
        <w:t xml:space="preserve"> </w:t>
      </w:r>
      <w:r>
        <w:t xml:space="preserve">especially186. A Commission report on essential services found that 5.8% of those at risk of</w:t>
      </w:r>
      <w:r>
        <w:t xml:space="preserve"> </w:t>
      </w:r>
      <w:r>
        <w:t xml:space="preserve">poverty could not afford to use public transport regularly187. Moreover, interoperability</w:t>
      </w:r>
      <w:r>
        <w:t xml:space="preserve"> </w:t>
      </w:r>
      <w:r>
        <w:t xml:space="preserve">technologies such as ERTMS improve safety, a strong benefit to citizens.</w:t>
      </w:r>
      <w:r>
        <w:br/>
      </w:r>
      <w:r>
        <w:t xml:space="preserve">Option B2 would have a clear positive social impact. In addition to promoting interoperability</w:t>
      </w:r>
      <w:r>
        <w:t xml:space="preserve"> </w:t>
      </w:r>
      <w:r>
        <w:t xml:space="preserve">even more than under Option B1, it would allow for more operating aid to be granted than the</w:t>
      </w:r>
      <w:r>
        <w:t xml:space="preserve"> </w:t>
      </w:r>
      <w:r>
        <w:t xml:space="preserve">baseline. If there is an increase in the amount of operating aid granted, beneficiaries may pass</w:t>
      </w:r>
      <w:r>
        <w:t xml:space="preserve"> </w:t>
      </w:r>
      <w:r>
        <w:t xml:space="preserve">on their lower net operating costs to some extent to end-users, such as companies shipping</w:t>
      </w:r>
      <w:r>
        <w:t xml:space="preserve"> </w:t>
      </w:r>
      <w:r>
        <w:t xml:space="preserve">goods or citizens using rail services, in the form of lower prices.</w:t>
      </w:r>
      <w:r>
        <w:t xml:space="preserve"> </w:t>
      </w:r>
      <w:r>
        <w:t xml:space="preserve">Option B3 would also have a clearly positive social impact, at least in the short term, because</w:t>
      </w:r>
      <w:r>
        <w:t xml:space="preserve"> </w:t>
      </w:r>
      <w:r>
        <w:t xml:space="preserve">it increases the amount of operating aid that can be granted, which could lead to lower prices</w:t>
      </w:r>
      <w:r>
        <w:t xml:space="preserve"> </w:t>
      </w:r>
      <w:r>
        <w:t xml:space="preserve">for end-users.</w:t>
      </w:r>
      <w:r>
        <w:br/>
      </w:r>
      <w:r>
        <w:t xml:space="preserve">Employment</w:t>
      </w:r>
      <w:r>
        <w:t xml:space="preserve"> </w:t>
      </w:r>
      <w:r>
        <w:t xml:space="preserve">Road transport uses more workers per passenger/tonne-kilometre than rail transport does. For</w:t>
      </w:r>
      <w:r>
        <w:t xml:space="preserve"> </w:t>
      </w:r>
      <w:r>
        <w:t xml:space="preserve">example, a freight train can replace up to 52 freight trucks188, each of which has a driver, while</w:t>
      </w:r>
      <w:r>
        <w:t xml:space="preserve"> </w:t>
      </w:r>
      <w:r>
        <w:t xml:space="preserve">typically requiring a crew of at most 2 people: a conductor and an engineer189. In 2021, the road</w:t>
      </w:r>
      <w:r>
        <w:t xml:space="preserve"> </w:t>
      </w:r>
      <w:r>
        <w:t xml:space="preserve">transport sector employed around 6 million people190, compared to around 911 500 in the rail</w:t>
      </w:r>
      <w:r>
        <w:t xml:space="preserve"> </w:t>
      </w:r>
      <w:r>
        <w:t xml:space="preserve">sector (in 2022)191. In other words, the road sector employed around 6.6 times more people than</w:t>
      </w:r>
      <w:r>
        <w:t xml:space="preserve"> </w:t>
      </w:r>
      <w:r>
        <w:t xml:space="preserve">the rail sector did, against a modal share that in 2023 was around 10 times higher in the</w:t>
      </w:r>
      <w:r>
        <w:t xml:space="preserve"> </w:t>
      </w:r>
      <w:r>
        <w:t xml:space="preserve">passenger segment and 4.5 times higher in the freight segment. When limiting employment to</w:t>
      </w:r>
    </w:p>
    <w:p>
      <w:pPr>
        <w:pStyle w:val="BodyText"/>
      </w:pPr>
      <w:r>
        <w:t xml:space="preserve">186 https://www.europarl.europa.eu/RegData/etudes/ATAG/2022/738181/EPRS_ATA(2022)738181_EN.pdf.</w:t>
      </w:r>
      <w:r>
        <w:br/>
      </w:r>
      <w:r>
        <w:t xml:space="preserve">187</w:t>
      </w:r>
      <w:r>
        <w:t xml:space="preserve"> </w:t>
      </w:r>
      <w:r>
        <w:t xml:space="preserve">https://employment-social-affairs.ec.europa.eu/news/access-essential-services-key-challenges-most-</w:t>
      </w:r>
      <w:r>
        <w:t xml:space="preserve"> </w:t>
      </w:r>
      <w:r>
        <w:t xml:space="preserve">vulnerable-report-2023-06-28_en.</w:t>
      </w:r>
      <w:r>
        <w:br/>
      </w:r>
      <w:r>
        <w:t xml:space="preserve">188 https://www.uirr.com/news/mediacentre/2286-the-optimal-length-of-freight-trains.html.</w:t>
      </w:r>
      <w:r>
        <w:br/>
      </w:r>
      <w:r>
        <w:t xml:space="preserve">189 https://www.trains.com/trn/train-basics/abcs-of-railroading/the-people-who-work-on-trains/. Most freight</w:t>
      </w:r>
      <w:r>
        <w:t xml:space="preserve"> </w:t>
      </w:r>
      <w:r>
        <w:t xml:space="preserve">trains in the EU operate with a single worker: https://railnegotiations.com/wp-content/uploads/2022/09/Carriers-</w:t>
      </w:r>
      <w:r>
        <w:t xml:space="preserve"> </w:t>
      </w:r>
      <w:r>
        <w:t xml:space="preserve">Exhibit-11-Report-of-Oliver-Wyman-Comparison-of-European-and-US-Railways.pdf, exhibit II-1.</w:t>
      </w:r>
      <w:r>
        <w:br/>
      </w:r>
      <w:r>
        <w:t xml:space="preserve">190 https://ec.europa.eu/eurostat/web/products-eurostat-news/-/ddn-20230207-1.</w:t>
      </w:r>
      <w:r>
        <w:br/>
      </w:r>
      <w:r>
        <w:t xml:space="preserve">191 See footnote 28.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direct transportation and storage activities (e.g. postal and courier services), the road transport</w:t>
      </w:r>
      <w:r>
        <w:t xml:space="preserve"> </w:t>
      </w:r>
      <w:r>
        <w:t xml:space="preserve">sector employed 5.1 million in 2022, against 554 400 for the rail sector, or 9.2 times more, and</w:t>
      </w:r>
      <w:r>
        <w:t xml:space="preserve"> </w:t>
      </w:r>
      <w:r>
        <w:t xml:space="preserve">41 400 for the IWW sector192.</w:t>
      </w:r>
      <w:r>
        <w:t xml:space="preserve"> </w:t>
      </w:r>
      <w:r>
        <w:t xml:space="preserve">Given that in the road transport sector, employment directly linked to transport operations is</w:t>
      </w:r>
      <w:r>
        <w:t xml:space="preserve"> </w:t>
      </w:r>
      <w:r>
        <w:t xml:space="preserve">considerably higher in the freight segment than it is in the passenger segment193, this</w:t>
      </w:r>
      <w:r>
        <w:t xml:space="preserve"> </w:t>
      </w:r>
      <w:r>
        <w:t xml:space="preserve">comparison would tend to indicate that modal shift would have a negative impact on</w:t>
      </w:r>
      <w:r>
        <w:t xml:space="preserve"> </w:t>
      </w:r>
      <w:r>
        <w:t xml:space="preserve">employment. On the other hand, this only takes into account employment directly linked with</w:t>
      </w:r>
      <w:r>
        <w:t xml:space="preserve"> </w:t>
      </w:r>
      <w:r>
        <w:t xml:space="preserve">transport operations and disregards the jobs linked with the construction and maintenance of</w:t>
      </w:r>
      <w:r>
        <w:t xml:space="preserve"> </w:t>
      </w:r>
      <w:r>
        <w:t xml:space="preserve">the relevant infrastructure. According to the total employment figures cited above, 85% of</w:t>
      </w:r>
      <w:r>
        <w:t xml:space="preserve"> </w:t>
      </w:r>
      <w:r>
        <w:t xml:space="preserve">employment in the road transport sector is directly linked to transport activities as opposed to</w:t>
      </w:r>
      <w:r>
        <w:t xml:space="preserve"> </w:t>
      </w:r>
      <w:r>
        <w:t xml:space="preserve">e.g. maintenance and operation of infrastructure, against just 60.8% in the rail sector194.</w:t>
      </w:r>
      <w:r>
        <w:t xml:space="preserve"> </w:t>
      </w:r>
      <w:r>
        <w:t xml:space="preserve">Accommodating modal shift in the rail sector would require the construction, maintenance and</w:t>
      </w:r>
      <w:r>
        <w:t xml:space="preserve"> </w:t>
      </w:r>
      <w:r>
        <w:t xml:space="preserve">operation of additional infrastructure such as freight terminals, marshalling yards and refuelling</w:t>
      </w:r>
      <w:r>
        <w:t xml:space="preserve"> </w:t>
      </w:r>
      <w:r>
        <w:t xml:space="preserve">facilities, which is likely to lead to a net gain in employment in infrastructure related jobs, since</w:t>
      </w:r>
      <w:r>
        <w:t xml:space="preserve"> </w:t>
      </w:r>
      <w:r>
        <w:t xml:space="preserve">employment is higher in infrastructure in the rail sector. Therefore, when one considers both</w:t>
      </w:r>
      <w:r>
        <w:t xml:space="preserve"> </w:t>
      </w:r>
      <w:r>
        <w:t xml:space="preserve">the jobs related directly to transport operations and those related to the relevant infrastructure,</w:t>
      </w:r>
      <w:r>
        <w:t xml:space="preserve"> </w:t>
      </w:r>
      <w:r>
        <w:t xml:space="preserve">the impact of the modal shift on employment is not clear.</w:t>
      </w:r>
      <w:r>
        <w:t xml:space="preserve"> </w:t>
      </w:r>
      <w:r>
        <w:t xml:space="preserve">Another consideration that should in the future be taken into account concerns the automation</w:t>
      </w:r>
      <w:r>
        <w:t xml:space="preserve"> </w:t>
      </w:r>
      <w:r>
        <w:t xml:space="preserve">of activities. A higher share of employment in the road sector is directly linked to transport</w:t>
      </w:r>
      <w:r>
        <w:t xml:space="preserve"> </w:t>
      </w:r>
      <w:r>
        <w:t xml:space="preserve">activities, indicating that employment in the road sector may be more vulnerable to automation.</w:t>
      </w:r>
      <w:r>
        <w:t xml:space="preserve"> </w:t>
      </w:r>
      <w:r>
        <w:t xml:space="preserve">The International Transport Forum and the OECD estimate that driverless trucks may reduce</w:t>
      </w:r>
      <w:r>
        <w:t xml:space="preserve"> </w:t>
      </w:r>
      <w:r>
        <w:t xml:space="preserve">employment of truckers in Europe by 50-70% by 2030195. Meanwhile, according to both trade</w:t>
      </w:r>
      <w:r>
        <w:t xml:space="preserve"> </w:t>
      </w:r>
      <w:r>
        <w:t xml:space="preserve">union and management representatives, automatic train operations will only become relevant</w:t>
      </w:r>
      <w:r>
        <w:t xml:space="preserve"> </w:t>
      </w:r>
      <w:r>
        <w:t xml:space="preserve">in the longer term, i.e. after 2030196.</w:t>
      </w:r>
      <w:r>
        <w:br/>
      </w:r>
      <w:r>
        <w:t xml:space="preserve">As regards the impact of the modal shift on employment in other sectors, one needs to consider</w:t>
      </w:r>
      <w:r>
        <w:t xml:space="preserve"> </w:t>
      </w:r>
      <w:r>
        <w:t xml:space="preserve">that every job in the transport sector creates 4 more jobs in other sectors according to the Draghi</w:t>
      </w:r>
      <w:r>
        <w:t xml:space="preserve"> </w:t>
      </w:r>
      <w:r>
        <w:t xml:space="preserve">report. In case of modal shift, i.e. if the SLT operations were cheaper, faster, or of higher quality</w:t>
      </w:r>
      <w:r>
        <w:t xml:space="preserve"> </w:t>
      </w:r>
      <w:r>
        <w:t xml:space="preserve">than road transport in some other way, that would have positive impacts on the competitiveness</w:t>
      </w:r>
      <w:r>
        <w:t xml:space="preserve"> </w:t>
      </w:r>
      <w:r>
        <w:t xml:space="preserve">of the EU transport sector as a whole, with a positive impact on employment.</w:t>
      </w:r>
      <w:r>
        <w:br/>
      </w:r>
      <w:r>
        <w:t xml:space="preserve">The impact on employment of improved interoperability would be similarly mixed. DAC</w:t>
      </w:r>
      <w:r>
        <w:t xml:space="preserve"> </w:t>
      </w:r>
      <w:r>
        <w:t xml:space="preserve">automates shunting operations and could therefore substitute a part of the workforce active in</w:t>
      </w:r>
      <w:r>
        <w:t xml:space="preserve"> </w:t>
      </w:r>
      <w:r>
        <w:t xml:space="preserve">those activities. Similarly, ERTMS is likely to reduce manual maintenance and signalling roles</w:t>
      </w:r>
      <w:r>
        <w:t xml:space="preserve"> </w:t>
      </w:r>
      <w:r>
        <w:t xml:space="preserve">through automation. On the other hand, the rollout of such technologies requires significant</w:t>
      </w:r>
      <w:r>
        <w:t xml:space="preserve"> </w:t>
      </w:r>
      <w:r>
        <w:t xml:space="preserve">investments in retrofitting existing rail networks, trains, and wagons. This includes installing</w:t>
      </w:r>
      <w:r>
        <w:t xml:space="preserve"> </w:t>
      </w:r>
      <w:r>
        <w:t xml:space="preserve">signalling systems, onboard units, and coupling mechanisms across the EU, creating</w:t>
      </w:r>
      <w:r>
        <w:t xml:space="preserve"> </w:t>
      </w:r>
      <w:r>
        <w:t xml:space="preserve">employment e.g. in engineering and manufacturing. The main employment impact from</w:t>
      </w:r>
      <w:r>
        <w:t xml:space="preserve"> </w:t>
      </w:r>
      <w:r>
        <w:t xml:space="preserve">increased interoperability investments seems to be a move to higher-skilled employment197.</w:t>
      </w:r>
    </w:p>
    <w:p>
      <w:pPr>
        <w:pStyle w:val="BodyText"/>
      </w:pPr>
      <w:r>
        <w:t xml:space="preserve">192 According to the 2024 EU Statistical Pocketbook: https://transport.ec.europa.eu/facts-funding/studies-data/eu-</w:t>
      </w:r>
      <w:r>
        <w:t xml:space="preserve"> </w:t>
      </w:r>
      <w:r>
        <w:t xml:space="preserve">transport-figures-statistical-pocketbook/statistical-pocketbook-2024_en.</w:t>
      </w:r>
      <w:r>
        <w:br/>
      </w:r>
      <w:r>
        <w:t xml:space="preserve">193 According to the 2024 EU Statistical Pocketbook, 66.9% of employment in the road transport sector was in the</w:t>
      </w:r>
      <w:r>
        <w:t xml:space="preserve"> </w:t>
      </w:r>
      <w:r>
        <w:t xml:space="preserve">freight segment in 2021. The Statistical Pocketbook does not distinguish employment figures between the freight</w:t>
      </w:r>
      <w:r>
        <w:t xml:space="preserve"> </w:t>
      </w:r>
      <w:r>
        <w:t xml:space="preserve">and the passenger segment for rail transport.</w:t>
      </w:r>
      <w:r>
        <w:br/>
      </w:r>
      <w:r>
        <w:t xml:space="preserve">194 5.1 million out of 6 million = 85% in the road sector; 554 400 out of 911 500 = 60.8% in the rail sector.</w:t>
      </w:r>
      <w:r>
        <w:br/>
      </w:r>
      <w:r>
        <w:t xml:space="preserve">195 https://www.itf-oecd.org/driverless-trucks-new-report-maps-out-global-action-driver-jobs-and-legal-issues.</w:t>
      </w:r>
      <w:r>
        <w:br/>
      </w:r>
      <w:r>
        <w:t xml:space="preserve">196</w:t>
      </w:r>
      <w:r>
        <w:t xml:space="preserve"> </w:t>
      </w:r>
      <w:r>
        <w:t xml:space="preserve">https://www.etf-europe.org/wp-content/uploads/2022/09/Employability-in-the-Rail-Sector-in-Light-of-</w:t>
      </w:r>
      <w:r>
        <w:t xml:space="preserve"> </w:t>
      </w:r>
      <w:r>
        <w:t xml:space="preserve">Digitalisation-and-Automation-EN.pdf, section 3.3.3.</w:t>
      </w:r>
      <w:r>
        <w:t xml:space="preserve"> </w:t>
      </w:r>
      <w:r>
        <w:t xml:space="preserve">197 See footnote 196.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In conclusion, estimating the employment impact of modal shift or increased interoperability</w:t>
      </w:r>
      <w:r>
        <w:t xml:space="preserve"> </w:t>
      </w:r>
      <w:r>
        <w:t xml:space="preserve">investments is subject to high uncertainty. Modal shift would necessarily cause job losses in the</w:t>
      </w:r>
      <w:r>
        <w:t xml:space="preserve"> </w:t>
      </w:r>
      <w:r>
        <w:t xml:space="preserve">road transport sector while creating jobs in the SLT sector. Moreover, there are future</w:t>
      </w:r>
      <w:r>
        <w:t xml:space="preserve"> </w:t>
      </w:r>
      <w:r>
        <w:t xml:space="preserve">digitalisation developments to consider. On balance, the employment impact of all B Options</w:t>
      </w:r>
      <w:r>
        <w:t xml:space="preserve"> </w:t>
      </w:r>
      <w:r>
        <w:t xml:space="preserve">is therefore estimated to be neutral.</w:t>
      </w:r>
      <w:r>
        <w:br/>
      </w:r>
      <w:r>
        <w:t xml:space="preserve">6.4.</w:t>
      </w:r>
      <w:r>
        <w:t xml:space="preserve"> </w:t>
      </w:r>
      <w:r>
        <w:t xml:space="preserve">Option Bundle C – aid for the acquisition of vehicles</w:t>
      </w:r>
      <w:r>
        <w:t xml:space="preserve"> </w:t>
      </w:r>
      <w:r>
        <w:t xml:space="preserve">6.4.1. Economic impacts</w:t>
      </w:r>
      <w:r>
        <w:t xml:space="preserve"> </w:t>
      </w:r>
      <w:r>
        <w:t xml:space="preserve">Functioning of the internal market and competition</w:t>
      </w:r>
      <w:r>
        <w:t xml:space="preserve"> </w:t>
      </w:r>
      <w:r>
        <w:t xml:space="preserve">Under Option C1, Member States could provide guarantees covering a significant part, but less</w:t>
      </w:r>
      <w:r>
        <w:t xml:space="preserve"> </w:t>
      </w:r>
      <w:r>
        <w:t xml:space="preserve">than 100%, of the principal amount of the purchase costs of vehicles to the benefit of smaller</w:t>
      </w:r>
      <w:r>
        <w:t xml:space="preserve"> </w:t>
      </w:r>
      <w:r>
        <w:t xml:space="preserve">companies and new entrants, which would allow the financing risk for lenders to be reduced</w:t>
      </w:r>
      <w:r>
        <w:t xml:space="preserve"> </w:t>
      </w:r>
      <w:r>
        <w:t xml:space="preserve">significantly. This category of aid would address the specific difficulties faced by these</w:t>
      </w:r>
      <w:r>
        <w:t xml:space="preserve"> </w:t>
      </w:r>
      <w:r>
        <w:t xml:space="preserve">enterprises and open up access to funding for these assets to market players of all sizes. It</w:t>
      </w:r>
      <w:r>
        <w:t xml:space="preserve"> </w:t>
      </w:r>
      <w:r>
        <w:t xml:space="preserve">therefore would allow competition on more equal terms. At the same time, it would maintain</w:t>
      </w:r>
      <w:r>
        <w:t xml:space="preserve"> </w:t>
      </w:r>
      <w:r>
        <w:t xml:space="preserve">some impact of market forces, as not the full amount would be guaranteed. Both the form of</w:t>
      </w:r>
      <w:r>
        <w:t xml:space="preserve"> </w:t>
      </w:r>
      <w:r>
        <w:t xml:space="preserve">the aid and the narrow scope of beneficiaries would therefore constitute safeguards against</w:t>
      </w:r>
      <w:r>
        <w:t xml:space="preserve"> </w:t>
      </w:r>
      <w:r>
        <w:t xml:space="preserve">distortions to competition and significantly improve the level playing field while being efficient</w:t>
      </w:r>
      <w:r>
        <w:t xml:space="preserve"> </w:t>
      </w:r>
      <w:r>
        <w:t xml:space="preserve">in terms of public spending.</w:t>
      </w:r>
      <w:r>
        <w:br/>
      </w:r>
      <w:r>
        <w:t xml:space="preserve">Not allowing grants and allowing only new entrants and smaller companies to benefit from the</w:t>
      </w:r>
      <w:r>
        <w:t xml:space="preserve"> </w:t>
      </w:r>
      <w:r>
        <w:t xml:space="preserve">measure has several further potentially positive competition impacts:</w:t>
      </w:r>
      <w:r>
        <w:br/>
      </w:r>
      <w:r>
        <w:t xml:space="preserve">• Overall rolling stock supply in the EU is constrained and could not easily adapt to</w:t>
      </w:r>
      <w:r>
        <w:t xml:space="preserve"> </w:t>
      </w:r>
      <w:r>
        <w:t xml:space="preserve">changes in demand, as confirmed by stakeholders in the public consultation, notably by</w:t>
      </w:r>
      <w:r>
        <w:t xml:space="preserve"> </w:t>
      </w:r>
      <w:r>
        <w:t xml:space="preserve">the Union of Wagon Keepers. The Draghi report in particular found that rail rolling</w:t>
      </w:r>
      <w:r>
        <w:t xml:space="preserve"> </w:t>
      </w:r>
      <w:r>
        <w:t xml:space="preserve">stock has proven scarce when demand has soared198. Significant aid amounts for the</w:t>
      </w:r>
      <w:r>
        <w:t xml:space="preserve"> </w:t>
      </w:r>
      <w:r>
        <w:t xml:space="preserve">acquisition of rolling stock would therefore risk diverting demand from unaided projects</w:t>
      </w:r>
      <w:r>
        <w:t xml:space="preserve"> </w:t>
      </w:r>
      <w:r>
        <w:t xml:space="preserve">to aided projects at least in the short term, without a clear net overall benefit in spite of</w:t>
      </w:r>
      <w:r>
        <w:t xml:space="preserve"> </w:t>
      </w:r>
      <w:r>
        <w:t xml:space="preserve">generous public spending.</w:t>
      </w:r>
      <w:r>
        <w:br/>
      </w:r>
      <w:r>
        <w:t xml:space="preserve">• There is a competitive leasing market in the freight segment. Stakeholders representing the</w:t>
      </w:r>
      <w:r>
        <w:t xml:space="preserve"> </w:t>
      </w:r>
      <w:r>
        <w:t xml:space="preserve">leasing market have indicated that grants for the acquisition of vehicles could distort</w:t>
      </w:r>
      <w:r>
        <w:t xml:space="preserve"> </w:t>
      </w:r>
      <w:r>
        <w:t xml:space="preserve">competition between leasing companies and railway undertakings, incentivising the latter to</w:t>
      </w:r>
      <w:r>
        <w:t xml:space="preserve"> </w:t>
      </w:r>
      <w:r>
        <w:t xml:space="preserve">buy their own rolling stock instead of leasing it. Furthermore, competition distortions between</w:t>
      </w:r>
      <w:r>
        <w:t xml:space="preserve"> </w:t>
      </w:r>
      <w:r>
        <w:t xml:space="preserve">leasing companies and railway undertakings are reduced by allowing leasing companies</w:t>
      </w:r>
      <w:r>
        <w:t xml:space="preserve"> </w:t>
      </w:r>
      <w:r>
        <w:t xml:space="preserve">qualifying as SMEs or SMCs to benefit from aid under the same terms as smaller railway</w:t>
      </w:r>
      <w:r>
        <w:t xml:space="preserve"> </w:t>
      </w:r>
      <w:r>
        <w:t xml:space="preserve">undertakings. Compared to the baseline, this Option would promote fairer competition within</w:t>
      </w:r>
      <w:r>
        <w:t xml:space="preserve"> </w:t>
      </w:r>
      <w:r>
        <w:t xml:space="preserve">the SLT sector and market entry of smaller and newer players. This effect could be significant.</w:t>
      </w:r>
      <w:r>
        <w:t xml:space="preserve"> </w:t>
      </w:r>
      <w:r>
        <w:t xml:space="preserve">While data on financing costs in the rail sector in the EU specifically is not widely available,</w:t>
      </w:r>
      <w:r>
        <w:t xml:space="preserve"> </w:t>
      </w:r>
      <w:r>
        <w:t xml:space="preserve">an OECD study has found that borrowing rates of companies that are at least 50% State-owned</w:t>
      </w:r>
      <w:r>
        <w:t xml:space="preserve"> </w:t>
      </w:r>
      <w:r>
        <w:t xml:space="preserve">are close to base rates, whereas borrowing rates of companies that are less than 10% State-</w:t>
      </w:r>
      <w:r>
        <w:t xml:space="preserve"> </w:t>
      </w:r>
      <w:r>
        <w:t xml:space="preserve">owned are more than 3 percentage points higher, in spite of those companies having lower debt-</w:t>
      </w:r>
      <w:r>
        <w:t xml:space="preserve"> </w:t>
      </w:r>
      <w:r>
        <w:t xml:space="preserve">to-equity ratios and higher productivity199. If those findings are applied to the rail sector, and</w:t>
      </w:r>
      <w:r>
        <w:t xml:space="preserve"> </w:t>
      </w:r>
      <w:r>
        <w:t xml:space="preserve">with base rates in most Member States currently below 3%, the conclusion is that the costs of</w:t>
      </w:r>
      <w:r>
        <w:t xml:space="preserve"> </w:t>
      </w:r>
      <w:r>
        <w:t xml:space="preserve">financing vehicles for new entrants and smaller companies are at least twice as high as those of</w:t>
      </w:r>
    </w:p>
    <w:p>
      <w:pPr>
        <w:pStyle w:val="BodyText"/>
      </w:pPr>
      <w:r>
        <w:t xml:space="preserve">198 See footnote 49, page 211.</w:t>
      </w:r>
      <w:r>
        <w:t xml:space="preserve"> </w:t>
      </w:r>
      <w:r>
        <w:t xml:space="preserve">199 Quantifying the role of State enterprises in industrial subsidies, 2024. Base rates refer to risk-free rates and are</w:t>
      </w:r>
      <w:r>
        <w:t xml:space="preserve"> </w:t>
      </w:r>
      <w:r>
        <w:t xml:space="preserve">published for all Member States by the European Commission.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incumbents. Limiting the aid to smaller and newer players thus constitutes a safeguard</w:t>
      </w:r>
      <w:r>
        <w:t xml:space="preserve"> </w:t>
      </w:r>
      <w:r>
        <w:t xml:space="preserve">addressing this current competition distortion and preventing it from being further exacerbated.</w:t>
      </w:r>
      <w:r>
        <w:t xml:space="preserve"> </w:t>
      </w:r>
      <w:r>
        <w:t xml:space="preserve">Helping reduce this gap in financing costs could lead to additional competition, resulting in</w:t>
      </w:r>
      <w:r>
        <w:t xml:space="preserve"> </w:t>
      </w:r>
      <w:r>
        <w:t xml:space="preserve">lower prices, higher quality of services, etc. However, by limiting the possibilities for granting</w:t>
      </w:r>
      <w:r>
        <w:t xml:space="preserve"> </w:t>
      </w:r>
      <w:r>
        <w:t xml:space="preserve">aid for the acquisition of vehicles compared to the baseline, both in terms of beneficiaries and</w:t>
      </w:r>
      <w:r>
        <w:t xml:space="preserve"> </w:t>
      </w:r>
      <w:r>
        <w:t xml:space="preserve">the form of aid, Option C1 would not promote the competitiveness of the SLT compared to</w:t>
      </w:r>
      <w:r>
        <w:t xml:space="preserve"> </w:t>
      </w:r>
      <w:r>
        <w:t xml:space="preserve">road. This was also put forward by stakeholders during the targeted consultation on the draft</w:t>
      </w:r>
      <w:r>
        <w:t xml:space="preserve"> </w:t>
      </w:r>
      <w:r>
        <w:t xml:space="preserve">revised GLs200.</w:t>
      </w:r>
      <w:r>
        <w:t xml:space="preserve"> </w:t>
      </w:r>
      <w:r>
        <w:t xml:space="preserve">Under Option C2, more types of aid, in particular loans and grants, would be allowed, to newer</w:t>
      </w:r>
      <w:r>
        <w:t xml:space="preserve"> </w:t>
      </w:r>
      <w:r>
        <w:t xml:space="preserve">and smaller companies only. While this would increase competition in the SLT sector, grants</w:t>
      </w:r>
      <w:r>
        <w:t xml:space="preserve"> </w:t>
      </w:r>
      <w:r>
        <w:t xml:space="preserve">would not be well calibrated to addressing the existing differences in accessing finance for the</w:t>
      </w:r>
      <w:r>
        <w:t xml:space="preserve"> </w:t>
      </w:r>
      <w:r>
        <w:t xml:space="preserve">acquisition of vehicles. Depending on the circumstances, such as monetary conditions in a given</w:t>
      </w:r>
      <w:r>
        <w:t xml:space="preserve"> </w:t>
      </w:r>
      <w:r>
        <w:t xml:space="preserve">Member State (e.g. prevailing risk-free interest rates), grants may not be sufficient to level the</w:t>
      </w:r>
      <w:r>
        <w:t xml:space="preserve"> </w:t>
      </w:r>
      <w:r>
        <w:t xml:space="preserve">playing field between smaller companies or new entrants and incumbents or large enterprises,</w:t>
      </w:r>
      <w:r>
        <w:t xml:space="preserve"> </w:t>
      </w:r>
      <w:r>
        <w:t xml:space="preserve">because the advantage from the latter’s implicit State guarantee would be bigger. In other cases,</w:t>
      </w:r>
      <w:r>
        <w:t xml:space="preserve"> </w:t>
      </w:r>
      <w:r>
        <w:t xml:space="preserve">grants may be more than what is needed to level the playing field201.</w:t>
      </w:r>
      <w:r>
        <w:t xml:space="preserve"> </w:t>
      </w:r>
      <w:r>
        <w:t xml:space="preserve">Compared to the baseline, this Option promotes fairer competition within the SLT sector,</w:t>
      </w:r>
      <w:r>
        <w:t xml:space="preserve"> </w:t>
      </w:r>
      <w:r>
        <w:t xml:space="preserve">though less than Option C1, because grants are not as well calibrated to levelling the playing</w:t>
      </w:r>
      <w:r>
        <w:t xml:space="preserve"> </w:t>
      </w:r>
      <w:r>
        <w:t xml:space="preserve">field as guarantees are. It prioritises market entry of smaller and newer players. By limiting the</w:t>
      </w:r>
      <w:r>
        <w:t xml:space="preserve"> </w:t>
      </w:r>
      <w:r>
        <w:t xml:space="preserve">beneficiaries, Option C2, as Option C1, would not promote the competitiveness of SLT overall.</w:t>
      </w:r>
      <w:r>
        <w:br/>
      </w:r>
      <w:r>
        <w:t xml:space="preserve">Option C3 promotes the level playing field within the SLT sector, by addressing access to</w:t>
      </w:r>
      <w:r>
        <w:t xml:space="preserve"> </w:t>
      </w:r>
      <w:r>
        <w:t xml:space="preserve">finance difficulties, which affect smaller and newer companies especially, but does not promote</w:t>
      </w:r>
      <w:r>
        <w:t xml:space="preserve"> </w:t>
      </w:r>
      <w:r>
        <w:t xml:space="preserve">market entry to the same extent as Options C1 and C2. Guarantees to all undertakings still close</w:t>
      </w:r>
      <w:r>
        <w:t xml:space="preserve"> </w:t>
      </w:r>
      <w:r>
        <w:t xml:space="preserve">the gap between smaller companies or new entrants and incumbents or large enterprises. A State</w:t>
      </w:r>
      <w:r>
        <w:t xml:space="preserve"> </w:t>
      </w:r>
      <w:r>
        <w:t xml:space="preserve">guarantee is worth more to the former than it is to the latter, precisely because of the challenges</w:t>
      </w:r>
      <w:r>
        <w:t xml:space="preserve"> </w:t>
      </w:r>
      <w:r>
        <w:t xml:space="preserve">smaller companies and new entrants face in accessing finance, and because of the implicit State</w:t>
      </w:r>
      <w:r>
        <w:t xml:space="preserve"> </w:t>
      </w:r>
      <w:r>
        <w:t xml:space="preserve">guarantee from which – according to certain research findings – incumbents benefit anyway.</w:t>
      </w:r>
      <w:r>
        <w:br/>
      </w:r>
      <w:r>
        <w:t xml:space="preserve">This Option therefore contributes to levelling the playing field between new entrants and</w:t>
      </w:r>
      <w:r>
        <w:t xml:space="preserve"> </w:t>
      </w:r>
      <w:r>
        <w:t xml:space="preserve">smaller companies on the one hand, and incumbents and large enterprises on the other, even if</w:t>
      </w:r>
      <w:r>
        <w:t xml:space="preserve"> </w:t>
      </w:r>
      <w:r>
        <w:t xml:space="preserve">it does so to a lesser extent than Option C1. By limiting the form of aid, Option C3 would not</w:t>
      </w:r>
      <w:r>
        <w:t xml:space="preserve"> </w:t>
      </w:r>
      <w:r>
        <w:t xml:space="preserve">promote the competitiveness of SLT overall.</w:t>
      </w:r>
      <w:r>
        <w:br/>
      </w:r>
      <w:r>
        <w:t xml:space="preserve">Administrative burden</w:t>
      </w:r>
      <w:r>
        <w:t xml:space="preserve"> </w:t>
      </w:r>
      <w:r>
        <w:t xml:space="preserve">Options C1, C2 and C3 would have no significant impact on administrative burden compared</w:t>
      </w:r>
      <w:r>
        <w:t xml:space="preserve"> </w:t>
      </w:r>
      <w:r>
        <w:t xml:space="preserve">to the baseline, since both guarantees and grants are simple, well-known and commonly applied</w:t>
      </w:r>
      <w:r>
        <w:t xml:space="preserve"> </w:t>
      </w:r>
      <w:r>
        <w:t xml:space="preserve">State aid instruments.</w:t>
      </w:r>
      <w:r>
        <w:t xml:space="preserve"> </w:t>
      </w:r>
      <w:r>
        <w:t xml:space="preserve">Impact on SMEs</w:t>
      </w:r>
    </w:p>
    <w:p>
      <w:pPr>
        <w:pStyle w:val="BodyText"/>
      </w:pPr>
      <w:r>
        <w:t xml:space="preserve">200 Annex 2, point 4.4.</w:t>
      </w:r>
      <w:r>
        <w:t xml:space="preserve"> </w:t>
      </w:r>
      <w:r>
        <w:t xml:space="preserve">201 In the case practice, the aid intensity of grants for the acquisition of vehicles was typically set at 20-30%, and</w:t>
      </w:r>
      <w:r>
        <w:t xml:space="preserve"> </w:t>
      </w:r>
      <w:r>
        <w:t xml:space="preserve">the guarantees were designed (e.g. in terms of coverage and duration) to equate to this aid intensity under average</w:t>
      </w:r>
      <w:r>
        <w:t xml:space="preserve"> </w:t>
      </w:r>
      <w:r>
        <w:t xml:space="preserve">conditions (see section 5.5.1). However, the actual gross grant equivalent of a guarantee in a given Member State</w:t>
      </w:r>
      <w:r>
        <w:t xml:space="preserve"> </w:t>
      </w:r>
      <w:r>
        <w:t xml:space="preserve">depends e.g. on the monetary conditions in that Member State.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Options C1 and C2 would impact SMEs in the relevant sectors very positively. The rules</w:t>
      </w:r>
      <w:r>
        <w:t xml:space="preserve"> </w:t>
      </w:r>
      <w:r>
        <w:t xml:space="preserve">would benefit SMEs specifically, attenuating the market failures impacting their capacity to</w:t>
      </w:r>
      <w:r>
        <w:t xml:space="preserve"> </w:t>
      </w:r>
      <w:r>
        <w:t xml:space="preserve">acquire rolling stock or vessels.</w:t>
      </w:r>
      <w:r>
        <w:br/>
      </w:r>
      <w:r>
        <w:t xml:space="preserve">Option C3 would also have a positive impact on SMEs compared to the baseline, since</w:t>
      </w:r>
      <w:r>
        <w:t xml:space="preserve"> </w:t>
      </w:r>
      <w:r>
        <w:t xml:space="preserve">guarantees necessarily level the playing field between large enterprises and SMEs. The positive</w:t>
      </w:r>
      <w:r>
        <w:t xml:space="preserve"> </w:t>
      </w:r>
      <w:r>
        <w:t xml:space="preserve">impact on SMEs would however be smaller than under Options C1 and C2, since under this</w:t>
      </w:r>
      <w:r>
        <w:t xml:space="preserve"> </w:t>
      </w:r>
      <w:r>
        <w:t xml:space="preserve">Option incumbents would also be eligible for aid. Hence, the amounts available under a given</w:t>
      </w:r>
      <w:r>
        <w:t xml:space="preserve"> </w:t>
      </w:r>
      <w:r>
        <w:t xml:space="preserve">aid scheme would not be reserved for SMEs, but open to all companies. In case of limited</w:t>
      </w:r>
      <w:r>
        <w:t xml:space="preserve"> </w:t>
      </w:r>
      <w:r>
        <w:t xml:space="preserve">budgets of aid schemes, SMEs may therefore only get a part of the aid they applied for.</w:t>
      </w:r>
      <w:r>
        <w:br/>
      </w:r>
      <w:r>
        <w:t xml:space="preserve">6.4.2. Environmental impacts</w:t>
      </w:r>
      <w:r>
        <w:t xml:space="preserve"> </w:t>
      </w:r>
      <w:r>
        <w:t xml:space="preserve">By excluding large enterprises from aid, Option C1 would lower the overall aid amounts that</w:t>
      </w:r>
      <w:r>
        <w:t xml:space="preserve"> </w:t>
      </w:r>
      <w:r>
        <w:t xml:space="preserve">could be granted compared to the baseline and the impact on modal shift would therefore be</w:t>
      </w:r>
      <w:r>
        <w:t xml:space="preserve"> </w:t>
      </w:r>
      <w:r>
        <w:t xml:space="preserve">lower, at least in the short term, which has a negative environmental impact, as set out in Section</w:t>
      </w:r>
      <w:r>
        <w:t xml:space="preserve"> </w:t>
      </w:r>
      <w:r>
        <w:t xml:space="preserve">6.1.2. However, the removal of grants has countervailing, positive environmental impacts, even</w:t>
      </w:r>
      <w:r>
        <w:t xml:space="preserve"> </w:t>
      </w:r>
      <w:r>
        <w:t xml:space="preserve">in the short term, if it encourages Member States to grant aid in other ways:</w:t>
      </w:r>
      <w:r>
        <w:br/>
      </w:r>
      <w:r>
        <w:t xml:space="preserve">• The GHG emissions caused by the manufacturing of SLT vehicle stock are high,</w:t>
      </w:r>
      <w:r>
        <w:t xml:space="preserve"> </w:t>
      </w:r>
      <w:r>
        <w:t xml:space="preserve">whereas those of using them are low (this is the case for both rolling stock and IWW</w:t>
      </w:r>
      <w:r>
        <w:t xml:space="preserve"> </w:t>
      </w:r>
      <w:r>
        <w:t xml:space="preserve">vessels). In other words, the long lifetime of SLT vehicles compared to the alternatives</w:t>
      </w:r>
      <w:r>
        <w:t xml:space="preserve"> </w:t>
      </w:r>
      <w:r>
        <w:t xml:space="preserve">on road is a key element of their sustainability. Modal shift through means other than</w:t>
      </w:r>
      <w:r>
        <w:t xml:space="preserve"> </w:t>
      </w:r>
      <w:r>
        <w:t xml:space="preserve">the manufacturing of new vehicles, such as investing in the adaptation and</w:t>
      </w:r>
      <w:r>
        <w:t xml:space="preserve"> </w:t>
      </w:r>
      <w:r>
        <w:t xml:space="preserve">modernisation of vehicles, would be more environmentally friendly.</w:t>
      </w:r>
      <w:r>
        <w:t xml:space="preserve"> </w:t>
      </w:r>
      <w:r>
        <w:t xml:space="preserve">• Aid for the acquisition of vehicles and operating aid both lower the total cost of</w:t>
      </w:r>
      <w:r>
        <w:t xml:space="preserve"> </w:t>
      </w:r>
      <w:r>
        <w:t xml:space="preserve">ownership of vehicles, but the former does not incentivise the actual use of the vehicle,</w:t>
      </w:r>
      <w:r>
        <w:t xml:space="preserve"> </w:t>
      </w:r>
      <w:r>
        <w:t xml:space="preserve">as the aid is given once for the acquisition of the vehicle and does not depend on the</w:t>
      </w:r>
      <w:r>
        <w:t xml:space="preserve"> </w:t>
      </w:r>
      <w:r>
        <w:t xml:space="preserve">degree of its utilisation and therefore does not incentivise modal shift to the same extent.</w:t>
      </w:r>
      <w:r>
        <w:t xml:space="preserve"> </w:t>
      </w:r>
      <w:r>
        <w:t xml:space="preserve">• Because grants for the acquisition of vehicles are likely to result at least partially in price</w:t>
      </w:r>
      <w:r>
        <w:t xml:space="preserve"> </w:t>
      </w:r>
      <w:r>
        <w:t xml:space="preserve">increases, the modal shift impact per amount of State aid spending under Option C1 is</w:t>
      </w:r>
      <w:r>
        <w:t xml:space="preserve"> </w:t>
      </w:r>
      <w:r>
        <w:t xml:space="preserve">higher than in the baseline.</w:t>
      </w:r>
      <w:r>
        <w:t xml:space="preserve"> </w:t>
      </w:r>
      <w:r>
        <w:t xml:space="preserve">• Data from the study202 suggests that new entrants tend to maximise the lifecycle of their</w:t>
      </w:r>
      <w:r>
        <w:t xml:space="preserve"> </w:t>
      </w:r>
      <w:r>
        <w:t xml:space="preserve">rolling stock compared to incumbents, which tend to scrap their rolling stock early</w:t>
      </w:r>
      <w:r>
        <w:t xml:space="preserve"> </w:t>
      </w:r>
      <w:r>
        <w:t xml:space="preserve">without putting it back on the market for sale or lease, where it could be useful to foster</w:t>
      </w:r>
      <w:r>
        <w:t xml:space="preserve"> </w:t>
      </w:r>
      <w:r>
        <w:t xml:space="preserve">modal shift. Levelling the playing field between new entrants and smaller companies,</w:t>
      </w:r>
      <w:r>
        <w:t xml:space="preserve"> </w:t>
      </w:r>
      <w:r>
        <w:t xml:space="preserve">and incumbents and large enterprises, may thus promote the circular economy.</w:t>
      </w:r>
      <w:r>
        <w:br/>
      </w:r>
      <w:r>
        <w:t xml:space="preserve">In view of the high resource requirements of manufacturing vehicles and the weaker incentive</w:t>
      </w:r>
      <w:r>
        <w:t xml:space="preserve"> </w:t>
      </w:r>
      <w:r>
        <w:t xml:space="preserve">to increase transport volumes (as compared notably to operating aid), aid for the acquisition of</w:t>
      </w:r>
      <w:r>
        <w:t xml:space="preserve"> </w:t>
      </w:r>
      <w:r>
        <w:t xml:space="preserve">vehicles is considered the least environmentally friendly way of creating modal shift.</w:t>
      </w:r>
      <w:r>
        <w:br/>
      </w:r>
      <w:r>
        <w:t xml:space="preserve">In the longer term, the strengthening of the position of SMEs and new entrants is expected to</w:t>
      </w:r>
      <w:r>
        <w:t xml:space="preserve"> </w:t>
      </w:r>
      <w:r>
        <w:t xml:space="preserve">put pressure on incumbents to use vehicles more intensively as well and to cease or reduce the</w:t>
      </w:r>
      <w:r>
        <w:t xml:space="preserve"> </w:t>
      </w:r>
      <w:r>
        <w:t xml:space="preserve">early scrapping of vehicles, thereby further promoting circularity.</w:t>
      </w:r>
    </w:p>
    <w:p>
      <w:pPr>
        <w:pStyle w:val="BodyText"/>
      </w:pPr>
      <w:r>
        <w:t xml:space="preserve">202 Pages 69-70.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Overall, in the short term, the environmental impact of Option C1 is expected to be neutral. In</w:t>
      </w:r>
      <w:r>
        <w:t xml:space="preserve"> </w:t>
      </w:r>
      <w:r>
        <w:t xml:space="preserve">the medium to longer term, by strengthening the level playing field in the SLT sector, it is</w:t>
      </w:r>
      <w:r>
        <w:t xml:space="preserve"> </w:t>
      </w:r>
      <w:r>
        <w:t xml:space="preserve">expected to be positive.</w:t>
      </w:r>
      <w:r>
        <w:br/>
      </w:r>
      <w:r>
        <w:t xml:space="preserve">The environmental impact of Option C2 is similar: the removal of grants compared to the</w:t>
      </w:r>
      <w:r>
        <w:t xml:space="preserve"> </w:t>
      </w:r>
      <w:r>
        <w:t xml:space="preserve">baseline for large enterprises and incumbents would be expected to have mixed environmental</w:t>
      </w:r>
      <w:r>
        <w:t xml:space="preserve"> </w:t>
      </w:r>
      <w:r>
        <w:t xml:space="preserve">effects in the short term, but more positive effects in the longer term.</w:t>
      </w:r>
      <w:r>
        <w:br/>
      </w:r>
      <w:r>
        <w:t xml:space="preserve">Option C3 would be expected to have negative environmental impacts in the short term, since</w:t>
      </w:r>
      <w:r>
        <w:t xml:space="preserve"> </w:t>
      </w:r>
      <w:r>
        <w:t xml:space="preserve">the possibilities for granting aid are restricted compared to the baseline (no grants). However,</w:t>
      </w:r>
      <w:r>
        <w:t xml:space="preserve"> </w:t>
      </w:r>
      <w:r>
        <w:t xml:space="preserve">research shows that incumbents in the rail sector already benefit from an implicit State</w:t>
      </w:r>
      <w:r>
        <w:t xml:space="preserve"> </w:t>
      </w:r>
      <w:r>
        <w:t xml:space="preserve">guarantee (section 2.3.1), and therefore aid in the form of a State guarantee would be worth</w:t>
      </w:r>
      <w:r>
        <w:t xml:space="preserve"> </w:t>
      </w:r>
      <w:r>
        <w:t xml:space="preserve">more to new entrants, who do not benefit from such an implicit guarantee. By strengthening the</w:t>
      </w:r>
      <w:r>
        <w:t xml:space="preserve"> </w:t>
      </w:r>
      <w:r>
        <w:t xml:space="preserve">position of new entrants in the medium to longer term, guarantees promote circularity, as under</w:t>
      </w:r>
      <w:r>
        <w:t xml:space="preserve"> </w:t>
      </w:r>
      <w:r>
        <w:t xml:space="preserve">Options C1 and C2.</w:t>
      </w:r>
      <w:r>
        <w:br/>
      </w:r>
      <w:r>
        <w:t xml:space="preserve">Under Option C3, the medium and longer-term positive environmental effects would be lower</w:t>
      </w:r>
      <w:r>
        <w:t xml:space="preserve"> </w:t>
      </w:r>
      <w:r>
        <w:t xml:space="preserve">than under Options C1 and C2, because incumbents would be competing for the same budgetary</w:t>
      </w:r>
      <w:r>
        <w:t xml:space="preserve"> </w:t>
      </w:r>
      <w:r>
        <w:t xml:space="preserve">resources, and the availability of guarantees specifically to smaller companies and new entrants</w:t>
      </w:r>
      <w:r>
        <w:t xml:space="preserve"> </w:t>
      </w:r>
      <w:r>
        <w:t xml:space="preserve">would be reduced.</w:t>
      </w:r>
      <w:r>
        <w:br/>
      </w:r>
      <w:r>
        <w:t xml:space="preserve">6.4.3. Social impacts</w:t>
      </w:r>
      <w:r>
        <w:t xml:space="preserve"> </w:t>
      </w:r>
      <w:r>
        <w:t xml:space="preserve">There are no clear social impacts from Options C1, C2 or C3. All C Options improve</w:t>
      </w:r>
      <w:r>
        <w:t xml:space="preserve"> </w:t>
      </w:r>
      <w:r>
        <w:t xml:space="preserve">competition within the SLT sector and promote market entry, but the total amount of aid that</w:t>
      </w:r>
      <w:r>
        <w:t xml:space="preserve"> </w:t>
      </w:r>
      <w:r>
        <w:t xml:space="preserve">could be granted would not increase compared to the baseline, rather the contrary. The social</w:t>
      </w:r>
      <w:r>
        <w:t xml:space="preserve"> </w:t>
      </w:r>
      <w:r>
        <w:t xml:space="preserve">impacts, for example in terms of pricing or employment, are therefore unclear.</w:t>
      </w:r>
      <w:r>
        <w:br/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This Section provides a summary of the Commission’s assessment of the various options</w:t>
      </w:r>
      <w:r>
        <w:t xml:space="preserve"> </w:t>
      </w:r>
      <w:r>
        <w:t xml:space="preserve">available against the baseline. The options identified in Section 5 are compared on the basis of</w:t>
      </w:r>
      <w:r>
        <w:t xml:space="preserve"> </w:t>
      </w:r>
      <w:r>
        <w:t xml:space="preserve">their effectiveness, efficiency and coherence, based on the analysis in Section 6.</w:t>
      </w:r>
      <w:r>
        <w:br/>
      </w:r>
      <w:r>
        <w:t xml:space="preserve">The options are scored based on the extent to which they fulfil the specific objectives identified</w:t>
      </w:r>
      <w:r>
        <w:t xml:space="preserve"> </w:t>
      </w:r>
      <w:r>
        <w:t xml:space="preserve">for the intervention (Effectiveness). The degree to which specific objectives 1-4 have been met</w:t>
      </w:r>
      <w:r>
        <w:t xml:space="preserve"> </w:t>
      </w:r>
      <w:r>
        <w:t xml:space="preserve">is assessed by their competitiveness and internal market impacts as well as their environmental</w:t>
      </w:r>
      <w:r>
        <w:t xml:space="preserve"> </w:t>
      </w:r>
      <w:r>
        <w:t xml:space="preserve">impacts, i.e. their contribution to modal shift. The Efficiency of the options is assessed by the</w:t>
      </w:r>
      <w:r>
        <w:t xml:space="preserve"> </w:t>
      </w:r>
      <w:r>
        <w:t xml:space="preserve">extent to which they contribute to the reduction of administrative burdens, as well as their social</w:t>
      </w:r>
      <w:r>
        <w:t xml:space="preserve"> </w:t>
      </w:r>
      <w:r>
        <w:t xml:space="preserve">impacts and impact on SMEs. Finally, Coherence is assessed by the consistency of the options</w:t>
      </w:r>
      <w:r>
        <w:t xml:space="preserve"> </w:t>
      </w:r>
      <w:r>
        <w:t xml:space="preserve">with the aims of the Green Deal and SSMS. The mapping from the assessed impacts to</w:t>
      </w:r>
      <w:r>
        <w:t xml:space="preserve"> </w:t>
      </w:r>
      <w:r>
        <w:t xml:space="preserve">Effectiveness, Efficiency and Coherence is illustrated in Figure 8.</w:t>
      </w:r>
      <w:r>
        <w:t xml:space="preserve"> </w:t>
      </w:r>
      <w:r>
        <w:t xml:space="preserve">Figure 8: Mapping impacts to Effectiveness, Efficiency and Coherence.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These scoring criteria are not weighted. All policy options have been scored on a scale from ++</w:t>
      </w:r>
      <w:r>
        <w:t xml:space="preserve"> </w:t>
      </w:r>
      <w:r>
        <w:t xml:space="preserve">(very favourable) to – (very unfavourable). A ‘0’ indicates a neutral or no expected impact.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Table 11: Comparison of the A Options – Scope of the revised GL and the TBER</w:t>
      </w:r>
    </w:p>
    <w:p>
      <w:pPr>
        <w:pStyle w:val="BodyText"/>
      </w:pPr>
      <w:r>
        <w:t xml:space="preserve">Impact</w:t>
      </w:r>
      <w:r>
        <w:br/>
      </w:r>
      <w:r>
        <w:t xml:space="preserve">Internal</w:t>
      </w:r>
      <w:r>
        <w:t xml:space="preserve"> </w:t>
      </w:r>
      <w:r>
        <w:t xml:space="preserve">market and</w:t>
      </w:r>
      <w:r>
        <w:t xml:space="preserve"> </w:t>
      </w:r>
      <w:r>
        <w:t xml:space="preserve">competition/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Environmental</w:t>
      </w:r>
      <w:r>
        <w:t xml:space="preserve"> </w:t>
      </w:r>
      <w:r>
        <w:t xml:space="preserve">impacts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SMEs</w:t>
      </w:r>
      <w:r>
        <w:t xml:space="preserve"> </w:t>
      </w:r>
      <w:r>
        <w:t xml:space="preserve">Social</w:t>
      </w:r>
      <w:r>
        <w:t xml:space="preserve"> </w:t>
      </w:r>
      <w:r>
        <w:t xml:space="preserve">impacts</w:t>
      </w:r>
      <w:r>
        <w:t xml:space="preserve"> </w:t>
      </w:r>
      <w:r>
        <w:t xml:space="preserve">Option A1:</w:t>
      </w:r>
      <w:r>
        <w:t xml:space="preserve"> </w:t>
      </w:r>
      <w:r>
        <w:t xml:space="preserve">GLs</w:t>
      </w:r>
      <w:r>
        <w:t xml:space="preserve"> </w:t>
      </w:r>
      <w:r>
        <w:t xml:space="preserve">extended to</w:t>
      </w:r>
      <w:r>
        <w:t xml:space="preserve"> </w:t>
      </w:r>
      <w:r>
        <w:t xml:space="preserve">SLT,</w:t>
      </w:r>
      <w:r>
        <w:t xml:space="preserve"> </w:t>
      </w:r>
      <w:r>
        <w:t xml:space="preserve">TBER to</w:t>
      </w:r>
      <w:r>
        <w:t xml:space="preserve"> </w:t>
      </w:r>
      <w:r>
        <w:t xml:space="preserve">cover only</w:t>
      </w:r>
      <w:r>
        <w:t xml:space="preserve"> </w:t>
      </w:r>
      <w:r>
        <w:t xml:space="preserve">aids under</w:t>
      </w:r>
      <w:r>
        <w:t xml:space="preserve"> </w:t>
      </w:r>
      <w:r>
        <w:t xml:space="preserve">RGL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EUR 6-39.3</w:t>
      </w:r>
      <w:r>
        <w:t xml:space="preserve"> </w:t>
      </w:r>
      <w:r>
        <w:t xml:space="preserve">million</w:t>
      </w:r>
      <w:r>
        <w:t xml:space="preserve"> </w:t>
      </w:r>
      <w:r>
        <w:t xml:space="preserve">opportunity costs</w:t>
      </w:r>
      <w:r>
        <w:t xml:space="preserve"> </w:t>
      </w:r>
      <w:r>
        <w:t xml:space="preserve">savings for</w:t>
      </w:r>
      <w:r>
        <w:t xml:space="preserve"> </w:t>
      </w:r>
      <w:r>
        <w:t xml:space="preserve">businesses</w:t>
      </w:r>
    </w:p>
    <w:p>
      <w:pPr>
        <w:pStyle w:val="BodyText"/>
      </w:pPr>
      <w:r>
        <w:t xml:space="preserve">EUR 33 407 – 115</w:t>
      </w:r>
      <w:r>
        <w:t xml:space="preserve"> </w:t>
      </w:r>
      <w:r>
        <w:t xml:space="preserve">254 direct</w:t>
      </w:r>
      <w:r>
        <w:t xml:space="preserve"> </w:t>
      </w:r>
      <w:r>
        <w:t xml:space="preserve">administrative cost</w:t>
      </w:r>
      <w:r>
        <w:t xml:space="preserve"> </w:t>
      </w:r>
      <w:r>
        <w:t xml:space="preserve">savings for</w:t>
      </w:r>
      <w:r>
        <w:t xml:space="preserve"> </w:t>
      </w:r>
      <w:r>
        <w:t xml:space="preserve">Member States</w:t>
      </w:r>
      <w:r>
        <w:t xml:space="preserve"> </w:t>
      </w:r>
      <w:r>
        <w:t xml:space="preserve">EUR 21 206 – 73</w:t>
      </w:r>
      <w:r>
        <w:t xml:space="preserve"> </w:t>
      </w:r>
      <w:r>
        <w:t xml:space="preserve">161 direct</w:t>
      </w:r>
      <w:r>
        <w:t xml:space="preserve"> </w:t>
      </w:r>
      <w:r>
        <w:t xml:space="preserve">administrative cost</w:t>
      </w:r>
      <w:r>
        <w:t xml:space="preserve"> </w:t>
      </w:r>
      <w:r>
        <w:t xml:space="preserve">savings for the</w:t>
      </w:r>
      <w:r>
        <w:t xml:space="preserve"> </w:t>
      </w:r>
      <w:r>
        <w:t xml:space="preserve">Commission</w:t>
      </w:r>
      <w:r>
        <w:t xml:space="preserve"> </w:t>
      </w:r>
      <w:r>
        <w:t xml:space="preserve">+</w:t>
      </w:r>
      <w:r>
        <w:t xml:space="preserve"> </w:t>
      </w:r>
      <w:r>
        <w:t xml:space="preserve">EUR 0.46-</w:t>
      </w:r>
      <w:r>
        <w:t xml:space="preserve"> </w:t>
      </w:r>
      <w:r>
        <w:t xml:space="preserve">3.92</w:t>
      </w:r>
      <w:r>
        <w:t xml:space="preserve"> </w:t>
      </w:r>
      <w:r>
        <w:t xml:space="preserve">million</w:t>
      </w:r>
      <w:r>
        <w:t xml:space="preserve"> </w:t>
      </w:r>
      <w:r>
        <w:t xml:space="preserve">opportunity</w:t>
      </w:r>
      <w:r>
        <w:t xml:space="preserve"> </w:t>
      </w:r>
      <w:r>
        <w:t xml:space="preserve">costs</w:t>
      </w:r>
      <w:r>
        <w:t xml:space="preserve"> </w:t>
      </w:r>
      <w:r>
        <w:t xml:space="preserve">savings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Option A2:</w:t>
      </w:r>
      <w:r>
        <w:t xml:space="preserve"> </w:t>
      </w:r>
      <w:r>
        <w:t xml:space="preserve">GLs and</w:t>
      </w:r>
      <w:r>
        <w:t xml:space="preserve"> </w:t>
      </w:r>
      <w:r>
        <w:t xml:space="preserve">TBER</w:t>
      </w:r>
      <w:r>
        <w:t xml:space="preserve"> </w:t>
      </w:r>
      <w:r>
        <w:t xml:space="preserve">extended to</w:t>
      </w:r>
      <w:r>
        <w:t xml:space="preserve"> </w:t>
      </w:r>
      <w:r>
        <w:t xml:space="preserve">SLT</w:t>
      </w:r>
      <w:r>
        <w:t xml:space="preserve"> </w:t>
      </w:r>
      <w:r>
        <w:t xml:space="preserve">++</w:t>
      </w:r>
      <w:r>
        <w:t xml:space="preserve"> </w:t>
      </w:r>
      <w:r>
        <w:t xml:space="preserve">+/++</w:t>
      </w:r>
    </w:p>
    <w:p>
      <w:pPr>
        <w:pStyle w:val="BodyText"/>
      </w:pPr>
      <w:r>
        <w:t xml:space="preserve">++</w:t>
      </w:r>
      <w:r>
        <w:t xml:space="preserve"> </w:t>
      </w:r>
      <w:r>
        <w:t xml:space="preserve">EUR 7.6-43.4</w:t>
      </w:r>
      <w:r>
        <w:t xml:space="preserve"> </w:t>
      </w:r>
      <w:r>
        <w:t xml:space="preserve">million for</w:t>
      </w:r>
      <w:r>
        <w:t xml:space="preserve"> </w:t>
      </w:r>
      <w:r>
        <w:t xml:space="preserve">businesses</w:t>
      </w:r>
    </w:p>
    <w:p>
      <w:pPr>
        <w:pStyle w:val="BodyText"/>
      </w:pPr>
      <w:r>
        <w:t xml:space="preserve">EUR 83 518 – 178</w:t>
      </w:r>
      <w:r>
        <w:t xml:space="preserve"> </w:t>
      </w:r>
      <w:r>
        <w:t xml:space="preserve">171 for Member</w:t>
      </w:r>
      <w:r>
        <w:t xml:space="preserve"> </w:t>
      </w:r>
      <w:r>
        <w:t xml:space="preserve">States</w:t>
      </w:r>
      <w:r>
        <w:t xml:space="preserve"> </w:t>
      </w:r>
      <w:r>
        <w:t xml:space="preserve">EUR 53 016 – 113</w:t>
      </w:r>
      <w:r>
        <w:t xml:space="preserve"> </w:t>
      </w:r>
      <w:r>
        <w:t xml:space="preserve">100 for the</w:t>
      </w:r>
      <w:r>
        <w:t xml:space="preserve"> </w:t>
      </w:r>
      <w:r>
        <w:t xml:space="preserve">Commission</w:t>
      </w:r>
      <w:r>
        <w:br/>
      </w:r>
      <w:r>
        <w:t xml:space="preserve">++</w:t>
      </w:r>
      <w:r>
        <w:t xml:space="preserve"> </w:t>
      </w:r>
      <w:r>
        <w:t xml:space="preserve">EUR 1.19-</w:t>
      </w:r>
      <w:r>
        <w:t xml:space="preserve"> </w:t>
      </w:r>
      <w:r>
        <w:t xml:space="preserve">5.5 million</w:t>
      </w:r>
      <w:r>
        <w:t xml:space="preserve"> </w:t>
      </w:r>
      <w:r>
        <w:t xml:space="preserve">opportunity</w:t>
      </w:r>
      <w:r>
        <w:t xml:space="preserve"> </w:t>
      </w:r>
      <w:r>
        <w:t xml:space="preserve">costs</w:t>
      </w:r>
      <w:r>
        <w:t xml:space="preserve"> </w:t>
      </w:r>
      <w:r>
        <w:t xml:space="preserve">savings</w:t>
      </w:r>
      <w:r>
        <w:t xml:space="preserve"> </w:t>
      </w:r>
      <w:r>
        <w:t xml:space="preserve">0</w:t>
      </w:r>
      <w:r>
        <w:t xml:space="preserve"> </w:t>
      </w:r>
      <w:r>
        <w:t xml:space="preserve">Option A3:</w:t>
      </w:r>
      <w:r>
        <w:t xml:space="preserve"> </w:t>
      </w:r>
      <w:r>
        <w:t xml:space="preserve">GLs and</w:t>
      </w:r>
      <w:r>
        <w:t xml:space="preserve"> </w:t>
      </w:r>
      <w:r>
        <w:t xml:space="preserve">TBER</w:t>
      </w:r>
      <w:r>
        <w:t xml:space="preserve"> </w:t>
      </w:r>
      <w:r>
        <w:t xml:space="preserve">extended to</w:t>
      </w:r>
      <w:r>
        <w:t xml:space="preserve"> </w:t>
      </w:r>
      <w:r>
        <w:t xml:space="preserve">SLT, GLs</w:t>
      </w:r>
      <w:r>
        <w:t xml:space="preserve"> </w:t>
      </w:r>
      <w:r>
        <w:t xml:space="preserve">cover also</w:t>
      </w:r>
      <w:r>
        <w:t xml:space="preserve"> </w:t>
      </w:r>
      <w:r>
        <w:t xml:space="preserve">rail freight</w:t>
      </w:r>
      <w:r>
        <w:t xml:space="preserve"> </w:t>
      </w:r>
      <w:r>
        <w:t xml:space="preserve">PSOs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EUR 7.6-43.4</w:t>
      </w:r>
      <w:r>
        <w:t xml:space="preserve"> </w:t>
      </w:r>
      <w:r>
        <w:t xml:space="preserve">million for</w:t>
      </w:r>
      <w:r>
        <w:t xml:space="preserve"> </w:t>
      </w:r>
      <w:r>
        <w:t xml:space="preserve">businesses</w:t>
      </w:r>
    </w:p>
    <w:p>
      <w:pPr>
        <w:pStyle w:val="BodyText"/>
      </w:pPr>
      <w:r>
        <w:t xml:space="preserve">EUR 83 518 – 178</w:t>
      </w:r>
      <w:r>
        <w:t xml:space="preserve"> </w:t>
      </w:r>
      <w:r>
        <w:t xml:space="preserve">171 for Member</w:t>
      </w:r>
      <w:r>
        <w:t xml:space="preserve"> </w:t>
      </w:r>
      <w:r>
        <w:t xml:space="preserve">States</w:t>
      </w:r>
      <w:r>
        <w:t xml:space="preserve"> </w:t>
      </w:r>
      <w:r>
        <w:t xml:space="preserve">EUR 53 016 – 113</w:t>
      </w:r>
      <w:r>
        <w:t xml:space="preserve"> </w:t>
      </w:r>
      <w:r>
        <w:t xml:space="preserve">100 for the</w:t>
      </w:r>
      <w:r>
        <w:t xml:space="preserve"> </w:t>
      </w:r>
      <w:r>
        <w:t xml:space="preserve">Commission</w:t>
      </w:r>
      <w:r>
        <w:br/>
      </w:r>
      <w:r>
        <w:t xml:space="preserve">++</w:t>
      </w:r>
      <w:r>
        <w:t xml:space="preserve"> </w:t>
      </w:r>
      <w:r>
        <w:t xml:space="preserve">EUR 1.19-</w:t>
      </w:r>
      <w:r>
        <w:t xml:space="preserve"> </w:t>
      </w:r>
      <w:r>
        <w:t xml:space="preserve">5.5 million</w:t>
      </w:r>
      <w:r>
        <w:t xml:space="preserve"> </w:t>
      </w:r>
      <w:r>
        <w:t xml:space="preserve">opportunity</w:t>
      </w:r>
      <w:r>
        <w:t xml:space="preserve"> </w:t>
      </w:r>
      <w:r>
        <w:t xml:space="preserve">costs</w:t>
      </w:r>
      <w:r>
        <w:t xml:space="preserve"> </w:t>
      </w:r>
      <w:r>
        <w:t xml:space="preserve">savings</w:t>
      </w:r>
      <w:r>
        <w:t xml:space="preserve"> </w:t>
      </w:r>
      <w:r>
        <w:t xml:space="preserve">+</w:t>
      </w:r>
      <w:r>
        <w:t xml:space="preserve"> </w:t>
      </w:r>
      <w:r>
        <w:t xml:space="preserve">++/–</w:t>
      </w:r>
      <w:r>
        <w:br/>
      </w:r>
      <w:r>
        <w:t xml:space="preserve">Major positive/negative impact</w:t>
      </w:r>
      <w:r>
        <w:t xml:space="preserve"> </w:t>
      </w:r>
      <w:r>
        <w:t xml:space="preserve">+/-</w:t>
      </w:r>
      <w:r>
        <w:t xml:space="preserve"> </w:t>
      </w:r>
      <w:r>
        <w:t xml:space="preserve">Positive/negative</w:t>
      </w:r>
      <w:r>
        <w:t xml:space="preserve"> </w:t>
      </w:r>
      <w:r>
        <w:t xml:space="preserve">impact</w:t>
      </w:r>
      <w:r>
        <w:t xml:space="preserve"> </w:t>
      </w:r>
      <w:r>
        <w:t xml:space="preserve">0 No or negligible impact</w:t>
      </w:r>
      <w:r>
        <w:t xml:space="preserve"> </w:t>
      </w:r>
      <w:r>
        <w:t xml:space="preserve">All A options would have positive impacts (in comparison to the baseline) on competition, the</w:t>
      </w:r>
      <w:r>
        <w:t xml:space="preserve"> </w:t>
      </w:r>
      <w:r>
        <w:t xml:space="preserve">environment, administrative burden and SMEs, only the degree differs. Option A3 would also</w:t>
      </w:r>
      <w:r>
        <w:t xml:space="preserve"> </w:t>
      </w:r>
      <w:r>
        <w:t xml:space="preserve">have a slightly positive social impact, as it could fill gaps in rail freight transport at limited cost.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Option A1 has positive impacts according to all criteria by putting in place a rulebook in the</w:t>
      </w:r>
      <w:r>
        <w:t xml:space="preserve"> </w:t>
      </w:r>
      <w:r>
        <w:t xml:space="preserve">revised GLs for all transport modes and actors which contribute to SLT solutions. The positive</w:t>
      </w:r>
      <w:r>
        <w:t xml:space="preserve"> </w:t>
      </w:r>
      <w:r>
        <w:t xml:space="preserve">impacts are reduced by the limitation of the TBER to measures in the scope of the RGL, which</w:t>
      </w:r>
      <w:r>
        <w:t xml:space="preserve"> </w:t>
      </w:r>
      <w:r>
        <w:t xml:space="preserve">could incite Member States to predominantly put in place such measures, which could be both</w:t>
      </w:r>
      <w:r>
        <w:t xml:space="preserve"> </w:t>
      </w:r>
      <w:r>
        <w:t xml:space="preserve">distortive and inefficient in generating modal shift. In this regard, Options A2 and A3</w:t>
      </w:r>
      <w:r>
        <w:t xml:space="preserve"> </w:t>
      </w:r>
      <w:r>
        <w:t xml:space="preserve">particularly benefit competition and environmental protection in general and especially SMEs,</w:t>
      </w:r>
      <w:r>
        <w:t xml:space="preserve"> </w:t>
      </w:r>
      <w:r>
        <w:t xml:space="preserve">as they would extend the block exemption to the entire SLT sector.</w:t>
      </w:r>
      <w:r>
        <w:br/>
      </w:r>
      <w:r>
        <w:t xml:space="preserve">Option A3 further improves competition and environmental sustainability, and to a lesser</w:t>
      </w:r>
      <w:r>
        <w:t xml:space="preserve"> </w:t>
      </w:r>
      <w:r>
        <w:t xml:space="preserve">degree administrative simplification, by tackling the specific questions raised by compensation</w:t>
      </w:r>
      <w:r>
        <w:t xml:space="preserve"> </w:t>
      </w:r>
      <w:r>
        <w:t xml:space="preserve">for rail freight PSOs. It also has a slightly positive social impact.</w:t>
      </w:r>
      <w:r>
        <w:t xml:space="preserve"> </w:t>
      </w:r>
      <w:r>
        <w:t xml:space="preserve">Finally, it has been estimated that block exempting measures today falling under the RGL under</w:t>
      </w:r>
      <w:r>
        <w:t xml:space="preserve"> </w:t>
      </w:r>
      <w:r>
        <w:t xml:space="preserve">Option A1 would reduce annual administrative costs for Member States by EUR 33 407-115</w:t>
      </w:r>
      <w:r>
        <w:t xml:space="preserve"> </w:t>
      </w:r>
      <w:r>
        <w:t xml:space="preserve">254 and the Commission by EUR 21 206-73 161, depending on the degree to which Member</w:t>
      </w:r>
      <w:r>
        <w:t xml:space="preserve"> </w:t>
      </w:r>
      <w:r>
        <w:t xml:space="preserve">States avail themselves of these opportunities. The related savings for businesses due to the</w:t>
      </w:r>
      <w:r>
        <w:t xml:space="preserve"> </w:t>
      </w:r>
      <w:r>
        <w:t xml:space="preserve">earlier availability of the support have been estimated to be between EUR 6 and 39.3 million,</w:t>
      </w:r>
      <w:r>
        <w:t xml:space="preserve"> </w:t>
      </w:r>
      <w:r>
        <w:t xml:space="preserve">again depending on the take-up by Member States. If the block exemption is extended to the</w:t>
      </w:r>
      <w:r>
        <w:t xml:space="preserve"> </w:t>
      </w:r>
      <w:r>
        <w:t xml:space="preserve">Commission’s case practice in the SLT sector as per Options A2 and A3, the estimated impact</w:t>
      </w:r>
      <w:r>
        <w:t xml:space="preserve"> </w:t>
      </w:r>
      <w:r>
        <w:t xml:space="preserve">of administrative cost reduction amounts to EUR 83 518-178 171 for Member States and EUR</w:t>
      </w:r>
      <w:r>
        <w:t xml:space="preserve"> </w:t>
      </w:r>
      <w:r>
        <w:t xml:space="preserve">53 016-113 100 for the Commission. The related opportunity cost savings for businesses would</w:t>
      </w:r>
      <w:r>
        <w:t xml:space="preserve"> </w:t>
      </w:r>
      <w:r>
        <w:t xml:space="preserve">be between EUR 7.6 and 43.4 million.</w:t>
      </w:r>
      <w:r>
        <w:br/>
      </w:r>
      <w:r>
        <w:t xml:space="preserve">Table 12: Comparison of the B Options – Compatibility conditions for operating and</w:t>
      </w:r>
      <w:r>
        <w:t xml:space="preserve"> </w:t>
      </w:r>
      <w:r>
        <w:t xml:space="preserve">interoperability aid</w:t>
      </w:r>
      <w:r>
        <w:t xml:space="preserve"> </w:t>
      </w:r>
      <w:r>
        <w:t xml:space="preserve">Option (*)</w:t>
      </w:r>
      <w:r>
        <w:t xml:space="preserve"> </w:t>
      </w:r>
      <w:r>
        <w:t xml:space="preserve">Impact on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 and</w:t>
      </w:r>
      <w:r>
        <w:t xml:space="preserve"> </w:t>
      </w:r>
      <w:r>
        <w:t xml:space="preserve">competition/co</w:t>
      </w:r>
      <w:r>
        <w:t xml:space="preserve"> </w:t>
      </w:r>
      <w:r>
        <w:t xml:space="preserve">mpetitiveness</w:t>
      </w:r>
      <w:r>
        <w:t xml:space="preserve"> </w:t>
      </w:r>
      <w:r>
        <w:t xml:space="preserve">Enviro</w:t>
      </w:r>
      <w:r>
        <w:t xml:space="preserve"> </w:t>
      </w:r>
      <w:r>
        <w:t xml:space="preserve">nmenta</w:t>
      </w:r>
      <w:r>
        <w:t xml:space="preserve"> </w:t>
      </w:r>
      <w:r>
        <w:t xml:space="preserve">l</w:t>
      </w:r>
      <w:r>
        <w:t xml:space="preserve"> </w:t>
      </w:r>
      <w:r>
        <w:t xml:space="preserve">impacts</w:t>
      </w:r>
      <w:r>
        <w:t xml:space="preserve"> </w:t>
      </w:r>
      <w:r>
        <w:t xml:space="preserve">Administr</w:t>
      </w:r>
      <w:r>
        <w:t xml:space="preserve"> </w:t>
      </w:r>
      <w:r>
        <w:t xml:space="preserve">ative</w:t>
      </w:r>
      <w:r>
        <w:t xml:space="preserve"> </w:t>
      </w:r>
      <w:r>
        <w:t xml:space="preserve">simplifica</w:t>
      </w:r>
      <w:r>
        <w:t xml:space="preserve"> </w:t>
      </w:r>
      <w:r>
        <w:t xml:space="preserve">tion</w:t>
      </w:r>
      <w:r>
        <w:t xml:space="preserve"> </w:t>
      </w:r>
      <w:r>
        <w:t xml:space="preserve">Impact</w:t>
      </w:r>
      <w:r>
        <w:t xml:space="preserve"> </w:t>
      </w:r>
      <w:r>
        <w:t xml:space="preserve">on SMEs</w:t>
      </w:r>
      <w:r>
        <w:t xml:space="preserve"> </w:t>
      </w:r>
      <w:r>
        <w:t xml:space="preserve">Social</w:t>
      </w:r>
      <w:r>
        <w:t xml:space="preserve"> </w:t>
      </w:r>
      <w:r>
        <w:t xml:space="preserve">impacts</w:t>
      </w:r>
      <w:r>
        <w:t xml:space="preserve"> </w:t>
      </w:r>
      <w:r>
        <w:t xml:space="preserve">B1: Higher aid intensities</w:t>
      </w:r>
      <w:r>
        <w:t xml:space="preserve"> </w:t>
      </w:r>
      <w:r>
        <w:t xml:space="preserve">and a single operating aid</w:t>
      </w:r>
      <w:r>
        <w:t xml:space="preserve"> </w:t>
      </w:r>
      <w:r>
        <w:t xml:space="preserve">category, with strong</w:t>
      </w:r>
      <w:r>
        <w:t xml:space="preserve"> </w:t>
      </w:r>
      <w:r>
        <w:t xml:space="preserve">safeguards</w:t>
      </w:r>
      <w:r>
        <w:br/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–</w:t>
      </w:r>
      <w:r>
        <w:t xml:space="preserve"> </w:t>
      </w:r>
      <w:r>
        <w:t xml:space="preserve">0/+</w:t>
      </w:r>
      <w:r>
        <w:t xml:space="preserve"> </w:t>
      </w:r>
      <w:r>
        <w:t xml:space="preserve">B2: Higher aid intensities</w:t>
      </w:r>
      <w:r>
        <w:t xml:space="preserve"> </w:t>
      </w:r>
      <w:r>
        <w:t xml:space="preserve">and a single operating aid</w:t>
      </w:r>
      <w:r>
        <w:t xml:space="preserve"> </w:t>
      </w:r>
      <w:r>
        <w:t xml:space="preserve">category, with limited</w:t>
      </w:r>
      <w:r>
        <w:t xml:space="preserve"> </w:t>
      </w:r>
      <w:r>
        <w:t xml:space="preserve">safeguards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B3: Higher aid intensities</w:t>
      </w:r>
      <w:r>
        <w:t xml:space="preserve"> </w:t>
      </w:r>
      <w:r>
        <w:t xml:space="preserve">and aid for infrastructure</w:t>
      </w:r>
      <w:r>
        <w:t xml:space="preserve"> </w:t>
      </w:r>
      <w:r>
        <w:t xml:space="preserve">use, minimal safeguards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0/+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++/–</w:t>
      </w:r>
      <w:r>
        <w:br/>
      </w:r>
      <w:r>
        <w:t xml:space="preserve">Major positive/negative</w:t>
      </w:r>
      <w:r>
        <w:t xml:space="preserve"> </w:t>
      </w:r>
      <w:r>
        <w:t xml:space="preserve">impact</w:t>
      </w:r>
      <w:r>
        <w:t xml:space="preserve"> </w:t>
      </w:r>
      <w:r>
        <w:t xml:space="preserve">+/-</w:t>
      </w:r>
      <w:r>
        <w:br/>
      </w:r>
      <w:r>
        <w:t xml:space="preserve">Positive/negative impact</w:t>
      </w:r>
      <w:r>
        <w:t xml:space="preserve"> </w:t>
      </w:r>
      <w:r>
        <w:t xml:space="preserve">0</w:t>
      </w:r>
      <w:r>
        <w:br/>
      </w:r>
      <w:r>
        <w:t xml:space="preserve">No or negligible impact</w:t>
      </w:r>
      <w:r>
        <w:t xml:space="preserve"> </w:t>
      </w:r>
      <w:r>
        <w:t xml:space="preserve">All B Options have positive internal market and environmental impacts, but to a different</w:t>
      </w:r>
      <w:r>
        <w:t xml:space="preserve"> </w:t>
      </w:r>
      <w:r>
        <w:t xml:space="preserve">extent. Option B2 stands out for its positive impacts on both the internal market and the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environment, while still ensuring administrative simplification. It focuses operating aid on</w:t>
      </w:r>
      <w:r>
        <w:t xml:space="preserve"> </w:t>
      </w:r>
      <w:r>
        <w:t xml:space="preserve">closing the external cost gap between SLT and road transport, without safeguards that impose</w:t>
      </w:r>
      <w:r>
        <w:t xml:space="preserve"> </w:t>
      </w:r>
      <w:r>
        <w:t xml:space="preserve">a heavy administrative burden and may cause competition distortions between operators in</w:t>
      </w:r>
      <w:r>
        <w:t xml:space="preserve"> </w:t>
      </w:r>
      <w:r>
        <w:t xml:space="preserve">different Member States, as would be the case under Option B1. The additional positive</w:t>
      </w:r>
      <w:r>
        <w:t xml:space="preserve"> </w:t>
      </w:r>
      <w:r>
        <w:t xml:space="preserve">environmental impacts of Option B3 are expected to be more short-lived, whereas in the long</w:t>
      </w:r>
      <w:r>
        <w:t xml:space="preserve"> </w:t>
      </w:r>
      <w:r>
        <w:t xml:space="preserve">term a loss of competitiveness and efficiency would likely set in. To take account of the fact</w:t>
      </w:r>
      <w:r>
        <w:t xml:space="preserve"> </w:t>
      </w:r>
      <w:r>
        <w:t xml:space="preserve">that the positive environmental impact of Option B3 would already accrue in the short term, the</w:t>
      </w:r>
      <w:r>
        <w:t xml:space="preserve"> </w:t>
      </w:r>
      <w:r>
        <w:t xml:space="preserve">environmental impacts have been assessed as equally positive overall for Options B2 and B3.</w:t>
      </w:r>
      <w:r>
        <w:t xml:space="preserve"> </w:t>
      </w:r>
      <w:r>
        <w:t xml:space="preserve">Higher aid intensities for interoperability under Options B2 and B3 have strong positive impacts</w:t>
      </w:r>
      <w:r>
        <w:t xml:space="preserve"> </w:t>
      </w:r>
      <w:r>
        <w:t xml:space="preserve">on both the internal market and the environment, because interoperability increases competition</w:t>
      </w:r>
      <w:r>
        <w:t xml:space="preserve"> </w:t>
      </w:r>
      <w:r>
        <w:t xml:space="preserve">within the SLT sector and incentivises more productive use of existing vehicles.</w:t>
      </w:r>
      <w:r>
        <w:t xml:space="preserve"> </w:t>
      </w:r>
      <w:r>
        <w:t xml:space="preserve">Table 13: Comparison of the C Options – Compatibility conditions for aid for the acquisition</w:t>
      </w:r>
      <w:r>
        <w:t xml:space="preserve"> </w:t>
      </w:r>
      <w:r>
        <w:t xml:space="preserve">of vehicles</w:t>
      </w:r>
      <w:r>
        <w:t xml:space="preserve"> </w:t>
      </w:r>
      <w:r>
        <w:t xml:space="preserve">Option (*)</w:t>
      </w:r>
      <w:r>
        <w:t xml:space="preserve"> </w:t>
      </w:r>
      <w:r>
        <w:t xml:space="preserve">Impact on</w:t>
      </w:r>
      <w:r>
        <w:t xml:space="preserve"> </w:t>
      </w:r>
      <w:r>
        <w:t xml:space="preserve">internal</w:t>
      </w:r>
      <w:r>
        <w:t xml:space="preserve"> </w:t>
      </w:r>
      <w:r>
        <w:t xml:space="preserve">market and</w:t>
      </w:r>
      <w:r>
        <w:t xml:space="preserve"> </w:t>
      </w:r>
      <w:r>
        <w:t xml:space="preserve">competition/co</w:t>
      </w:r>
      <w:r>
        <w:t xml:space="preserve"> </w:t>
      </w:r>
      <w:r>
        <w:t xml:space="preserve">mpetitiveness</w:t>
      </w:r>
      <w:r>
        <w:t xml:space="preserve"> </w:t>
      </w:r>
      <w:r>
        <w:t xml:space="preserve">Enviro</w:t>
      </w:r>
      <w:r>
        <w:t xml:space="preserve"> </w:t>
      </w:r>
      <w:r>
        <w:t xml:space="preserve">nmenta</w:t>
      </w:r>
      <w:r>
        <w:t xml:space="preserve"> </w:t>
      </w:r>
      <w:r>
        <w:t xml:space="preserve">l</w:t>
      </w:r>
      <w:r>
        <w:t xml:space="preserve"> </w:t>
      </w:r>
      <w:r>
        <w:t xml:space="preserve">impacts</w:t>
      </w:r>
      <w:r>
        <w:t xml:space="preserve"> </w:t>
      </w:r>
      <w:r>
        <w:t xml:space="preserve">Administr</w:t>
      </w:r>
      <w:r>
        <w:t xml:space="preserve"> </w:t>
      </w:r>
      <w:r>
        <w:t xml:space="preserve">ative</w:t>
      </w:r>
      <w:r>
        <w:t xml:space="preserve"> </w:t>
      </w:r>
      <w:r>
        <w:t xml:space="preserve">simplifica</w:t>
      </w:r>
      <w:r>
        <w:t xml:space="preserve"> </w:t>
      </w:r>
      <w:r>
        <w:t xml:space="preserve">tion</w:t>
      </w:r>
      <w:r>
        <w:t xml:space="preserve"> </w:t>
      </w:r>
      <w:r>
        <w:t xml:space="preserve">Impact</w:t>
      </w:r>
      <w:r>
        <w:t xml:space="preserve"> </w:t>
      </w:r>
      <w:r>
        <w:t xml:space="preserve">on SMEs</w:t>
      </w:r>
      <w:r>
        <w:t xml:space="preserve"> </w:t>
      </w:r>
      <w:r>
        <w:t xml:space="preserve">Social</w:t>
      </w:r>
      <w:r>
        <w:t xml:space="preserve"> </w:t>
      </w:r>
      <w:r>
        <w:t xml:space="preserve">impacts</w:t>
      </w:r>
      <w:r>
        <w:t xml:space="preserve"> </w:t>
      </w:r>
      <w:r>
        <w:t xml:space="preserve">C1: Guarantees to</w:t>
      </w:r>
      <w:r>
        <w:t xml:space="preserve"> </w:t>
      </w:r>
      <w:r>
        <w:t xml:space="preserve">smaller and newer</w:t>
      </w:r>
      <w:r>
        <w:t xml:space="preserve"> </w:t>
      </w:r>
      <w:r>
        <w:t xml:space="preserve">companies</w:t>
      </w:r>
      <w:r>
        <w:t xml:space="preserve"> </w:t>
      </w:r>
      <w:r>
        <w:t xml:space="preserve">+/++</w:t>
      </w:r>
      <w:r>
        <w:t xml:space="preserve"> </w:t>
      </w:r>
      <w:r>
        <w:t xml:space="preserve">0/+</w:t>
      </w:r>
      <w:r>
        <w:t xml:space="preserve"> </w:t>
      </w:r>
      <w:r>
        <w:t xml:space="preserve">0</w:t>
      </w:r>
      <w:r>
        <w:t xml:space="preserve"> </w:t>
      </w:r>
      <w:r>
        <w:t xml:space="preserve">+/++</w:t>
      </w:r>
      <w:r>
        <w:t xml:space="preserve"> </w:t>
      </w:r>
      <w:r>
        <w:t xml:space="preserve">0</w:t>
      </w:r>
      <w:r>
        <w:t xml:space="preserve"> </w:t>
      </w:r>
      <w:r>
        <w:t xml:space="preserve">C2: Different types of</w:t>
      </w:r>
      <w:r>
        <w:t xml:space="preserve"> </w:t>
      </w:r>
      <w:r>
        <w:t xml:space="preserve">aid to smaller and newer</w:t>
      </w:r>
      <w:r>
        <w:t xml:space="preserve"> </w:t>
      </w:r>
      <w:r>
        <w:t xml:space="preserve">companies</w:t>
      </w:r>
      <w:r>
        <w:br/>
      </w:r>
      <w:r>
        <w:t xml:space="preserve">0/+</w:t>
      </w:r>
      <w:r>
        <w:t xml:space="preserve"> </w:t>
      </w:r>
      <w:r>
        <w:t xml:space="preserve">0/+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C3: Guarantees to all</w:t>
      </w:r>
      <w:r>
        <w:t xml:space="preserve"> </w:t>
      </w:r>
      <w:r>
        <w:t xml:space="preserve">companies</w:t>
      </w:r>
      <w:r>
        <w:t xml:space="preserve"> </w:t>
      </w:r>
      <w:r>
        <w:t xml:space="preserve">+/++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++/–</w:t>
      </w:r>
      <w:r>
        <w:br/>
      </w:r>
      <w:r>
        <w:t xml:space="preserve">Major positive/negative</w:t>
      </w:r>
      <w:r>
        <w:t xml:space="preserve"> </w:t>
      </w:r>
      <w:r>
        <w:t xml:space="preserve">impact</w:t>
      </w:r>
      <w:r>
        <w:t xml:space="preserve"> </w:t>
      </w:r>
      <w:r>
        <w:t xml:space="preserve">+/-</w:t>
      </w:r>
      <w:r>
        <w:br/>
      </w:r>
      <w:r>
        <w:t xml:space="preserve">Positive/negative impact</w:t>
      </w:r>
      <w:r>
        <w:t xml:space="preserve"> </w:t>
      </w:r>
      <w:r>
        <w:t xml:space="preserve">0</w:t>
      </w:r>
      <w:r>
        <w:br/>
      </w:r>
      <w:r>
        <w:t xml:space="preserve">No or negligible impact</w:t>
      </w:r>
      <w:r>
        <w:t xml:space="preserve"> </w:t>
      </w:r>
      <w:r>
        <w:t xml:space="preserve">All C Options have positive impacts on the internal market and SMEs in particular, since they</w:t>
      </w:r>
      <w:r>
        <w:t xml:space="preserve"> </w:t>
      </w:r>
      <w:r>
        <w:t xml:space="preserve">aim to reduce some of the barriers smaller companies and new entrants face in acquiring rolling</w:t>
      </w:r>
      <w:r>
        <w:t xml:space="preserve"> </w:t>
      </w:r>
      <w:r>
        <w:t xml:space="preserve">stock and vessels, also levelling the playing field between competitors in SLT. Because both</w:t>
      </w:r>
      <w:r>
        <w:t xml:space="preserve"> </w:t>
      </w:r>
      <w:r>
        <w:t xml:space="preserve">guarantees and grants (more typical in the baseline) are simple instruments from an</w:t>
      </w:r>
      <w:r>
        <w:t xml:space="preserve"> </w:t>
      </w:r>
      <w:r>
        <w:t xml:space="preserve">administrative point of view, there is no impact on administrative burden. The environmental</w:t>
      </w:r>
      <w:r>
        <w:t xml:space="preserve"> </w:t>
      </w:r>
      <w:r>
        <w:t xml:space="preserve">impacts are limited, because of the mixed impacts of incentivising the more intense use of</w:t>
      </w:r>
      <w:r>
        <w:t xml:space="preserve"> </w:t>
      </w:r>
      <w:r>
        <w:t xml:space="preserve">vehicles, which is positive for the circular economy and the environment, while allowing less</w:t>
      </w:r>
      <w:r>
        <w:t xml:space="preserve"> </w:t>
      </w:r>
      <w:r>
        <w:t xml:space="preserve">aid to SLT in total, which could discourage modal shift.</w:t>
      </w:r>
      <w:r>
        <w:br/>
      </w:r>
      <w:r>
        <w:t xml:space="preserve">Option C2 consists of grants to smaller companies and new entrants only. By allowing the most</w:t>
      </w:r>
      <w:r>
        <w:t xml:space="preserve"> </w:t>
      </w:r>
      <w:r>
        <w:t xml:space="preserve">support among the C Options, and by limiting this support to smaller companies and new</w:t>
      </w:r>
      <w:r>
        <w:t xml:space="preserve"> </w:t>
      </w:r>
      <w:r>
        <w:t xml:space="preserve">entrants, it has the most positive impact on SMEs. Option C3 makes State guarantees available</w:t>
      </w:r>
      <w:r>
        <w:t xml:space="preserve"> </w:t>
      </w:r>
      <w:r>
        <w:t xml:space="preserve">to all undertakings, thereby contributing to levelling the playing field while ensuring that</w:t>
      </w:r>
      <w:r>
        <w:t xml:space="preserve"> </w:t>
      </w:r>
      <w:r>
        <w:t xml:space="preserve">competition is not distorted to the detriment of large enterprises, as is possible under Option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C2. Option C1 both levels the playing field and promotes market entry of smaller companies</w:t>
      </w:r>
      <w:r>
        <w:t xml:space="preserve"> </w:t>
      </w:r>
      <w:r>
        <w:t xml:space="preserve">and new entrants and therefore has the most positive overall impacts.</w:t>
      </w:r>
      <w:r>
        <w:br/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Identification of the preferred policy option</w:t>
      </w:r>
      <w:r>
        <w:t xml:space="preserve"> </w:t>
      </w:r>
      <w:r>
        <w:t xml:space="preserve">8.1.1. Option Bundle A - Scope of the revised GLs and TBER</w:t>
      </w:r>
      <w:r>
        <w:t xml:space="preserve"> </w:t>
      </w:r>
      <w:r>
        <w:t xml:space="preserve">Option A3 is proposed. As discussed in Section 6.2 and as shown in Table 11 in Section 7, all</w:t>
      </w:r>
      <w:r>
        <w:t xml:space="preserve"> </w:t>
      </w:r>
      <w:r>
        <w:t xml:space="preserve">A Options score either positive or neutral compared to the baseline. However, by block</w:t>
      </w:r>
      <w:r>
        <w:t xml:space="preserve"> </w:t>
      </w:r>
      <w:r>
        <w:t xml:space="preserve">exempting the measures most commonly accepted in the Commission’s case practice, Options</w:t>
      </w:r>
      <w:r>
        <w:t xml:space="preserve"> </w:t>
      </w:r>
      <w:r>
        <w:t xml:space="preserve">A2 and A3 lead to significant administrative simplification and promote environmental</w:t>
      </w:r>
      <w:r>
        <w:t xml:space="preserve"> </w:t>
      </w:r>
      <w:r>
        <w:t xml:space="preserve">protection, while providing adequate safeguards against competition distortions.</w:t>
      </w:r>
      <w:r>
        <w:br/>
      </w:r>
      <w:r>
        <w:t xml:space="preserve">By block exempting only the measures that fall within the scope of the RGL, Option A1 scores</w:t>
      </w:r>
      <w:r>
        <w:t xml:space="preserve"> </w:t>
      </w:r>
      <w:r>
        <w:t xml:space="preserve">more poorly than Options A2 and A3 in terms of every single specific objective. The</w:t>
      </w:r>
      <w:r>
        <w:t xml:space="preserve"> </w:t>
      </w:r>
      <w:r>
        <w:t xml:space="preserve">Commission’s case practice is robust and consistent enough to block exempt additional</w:t>
      </w:r>
      <w:r>
        <w:t xml:space="preserve"> </w:t>
      </w:r>
      <w:r>
        <w:t xml:space="preserve">measures, both in terms of the beneficiaries (other SLT operators than only railway</w:t>
      </w:r>
      <w:r>
        <w:t xml:space="preserve"> </w:t>
      </w:r>
      <w:r>
        <w:t xml:space="preserve">undertakings) and in terms of the type of projects supported (including, notably, facilities). A</w:t>
      </w:r>
      <w:r>
        <w:t xml:space="preserve"> </w:t>
      </w:r>
      <w:r>
        <w:t xml:space="preserve">restrictive block exemption would limit the extent to which the playing field in the internal</w:t>
      </w:r>
      <w:r>
        <w:t xml:space="preserve"> </w:t>
      </w:r>
      <w:r>
        <w:t xml:space="preserve">market is levelled between SLT modes and in the transport sector overall (specific objective 2)</w:t>
      </w:r>
      <w:r>
        <w:t xml:space="preserve"> </w:t>
      </w:r>
      <w:r>
        <w:t xml:space="preserve">as well as the level of environmental protection, while the reduction in State aid measures that</w:t>
      </w:r>
      <w:r>
        <w:t xml:space="preserve"> </w:t>
      </w:r>
      <w:r>
        <w:t xml:space="preserve">are block exempted would reduce administrative simplification (specific objective 1). Given</w:t>
      </w:r>
      <w:r>
        <w:t xml:space="preserve"> </w:t>
      </w:r>
      <w:r>
        <w:t xml:space="preserve">the prevalence of SMEs in the SLT sector and in particular in the IWW sector, excluding that</w:t>
      </w:r>
      <w:r>
        <w:t xml:space="preserve"> </w:t>
      </w:r>
      <w:r>
        <w:t xml:space="preserve">sector from the scope of the block exemption would also reduce the beneficial impact on SMEs.</w:t>
      </w:r>
      <w:r>
        <w:br/>
      </w:r>
      <w:r>
        <w:t xml:space="preserve">Finally, by setting out the rules for rail freight PSOs (as there already are for PSOs in the</w:t>
      </w:r>
      <w:r>
        <w:t xml:space="preserve"> </w:t>
      </w:r>
      <w:r>
        <w:t xml:space="preserve">passenger segment), Option A3 promotes legal certainty and facilitates implementation, which</w:t>
      </w:r>
      <w:r>
        <w:t xml:space="preserve"> </w:t>
      </w:r>
      <w:r>
        <w:t xml:space="preserve">in turn may address gaps in the offer of sustainable freight services, further levelling the playing</w:t>
      </w:r>
      <w:r>
        <w:t xml:space="preserve"> </w:t>
      </w:r>
      <w:r>
        <w:t xml:space="preserve">field with road transport and improving competition and environmental protection.</w:t>
      </w:r>
      <w:r>
        <w:br/>
      </w:r>
      <w:r>
        <w:t xml:space="preserve">8.1.2. Option Bundle B – operating and interoperability aid</w:t>
      </w:r>
      <w:r>
        <w:t xml:space="preserve"> </w:t>
      </w:r>
      <w:r>
        <w:t xml:space="preserve">Option B2 is proposed. It increases operating aid intensities while ensuring that State aid does</w:t>
      </w:r>
      <w:r>
        <w:t xml:space="preserve"> </w:t>
      </w:r>
      <w:r>
        <w:t xml:space="preserve">not exceed the avoided external costs, as is possible under Option B3, in which case the net</w:t>
      </w:r>
      <w:r>
        <w:t xml:space="preserve"> </w:t>
      </w:r>
      <w:r>
        <w:t xml:space="preserve">impact of the aid on society would be negative. This Option also introduces a safeguard to</w:t>
      </w:r>
      <w:r>
        <w:t xml:space="preserve"> </w:t>
      </w:r>
      <w:r>
        <w:t xml:space="preserve">ensure that capacity constraints on the network of the supported SLT mode do not impede</w:t>
      </w:r>
      <w:r>
        <w:t xml:space="preserve"> </w:t>
      </w:r>
      <w:r>
        <w:t xml:space="preserve">modal shift. At the same time, this safeguard is carefully calibrated so as not to introduce</w:t>
      </w:r>
      <w:r>
        <w:t xml:space="preserve"> </w:t>
      </w:r>
      <w:r>
        <w:t xml:space="preserve">possible distortions of competition or administrative burden, as results from the distance limits</w:t>
      </w:r>
      <w:r>
        <w:t xml:space="preserve"> </w:t>
      </w:r>
      <w:r>
        <w:t xml:space="preserve">under Option B1.</w:t>
      </w:r>
      <w:r>
        <w:br/>
      </w:r>
      <w:r>
        <w:t xml:space="preserve">Option B2 also increases the interoperability aid intensity, without systematically requiring the</w:t>
      </w:r>
      <w:r>
        <w:t xml:space="preserve"> </w:t>
      </w:r>
      <w:r>
        <w:t xml:space="preserve">funding gap analysis for aid intensities above 50% entailed by Option B1, which imposes a</w:t>
      </w:r>
      <w:r>
        <w:t xml:space="preserve"> </w:t>
      </w:r>
      <w:r>
        <w:t xml:space="preserve">higher administrative burden on Member States and can delay the implementation of projects.</w:t>
      </w:r>
      <w:r>
        <w:t xml:space="preserve"> </w:t>
      </w:r>
      <w:r>
        <w:t xml:space="preserve">Given the acute market failures in interoperability projects, the risk of overcompensation is also</w:t>
      </w:r>
      <w:r>
        <w:t xml:space="preserve"> </w:t>
      </w:r>
      <w:r>
        <w:t xml:space="preserve">limited. As interoperability aid has major positive environmental and internal market impacts</w:t>
      </w:r>
      <w:r>
        <w:t xml:space="preserve"> </w:t>
      </w:r>
      <w:r>
        <w:t xml:space="preserve">(see Table 12), it should be facilitated to the maximum extent.</w:t>
      </w:r>
      <w:r>
        <w:br/>
      </w:r>
      <w:r>
        <w:t xml:space="preserve">8.1.3. Option Bundle C – aid for the acquisition of vehicles</w:t>
      </w:r>
      <w:r>
        <w:t xml:space="preserve"> </w:t>
      </w:r>
      <w:r>
        <w:t xml:space="preserve">Option C1 is proposed. All C Options have a positive competition impact by reducing intrinsic</w:t>
      </w:r>
      <w:r>
        <w:t xml:space="preserve"> </w:t>
      </w:r>
      <w:r>
        <w:t xml:space="preserve">competitive advantages of incumbents and large enterprises over new entrants and smaller</w:t>
      </w:r>
      <w:r>
        <w:t xml:space="preserve"> </w:t>
      </w:r>
      <w:r>
        <w:t xml:space="preserve">companies in the acquisition of rolling stock and vessels. Option C1 targets new entrants and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smaller companies, without overshooting and risking undue distortions of competition to the</w:t>
      </w:r>
      <w:r>
        <w:t xml:space="preserve"> </w:t>
      </w:r>
      <w:r>
        <w:t xml:space="preserve">detriment of incumbents and large enterprises. The Option promotes both market entry and a</w:t>
      </w:r>
      <w:r>
        <w:t xml:space="preserve"> </w:t>
      </w:r>
      <w:r>
        <w:t xml:space="preserve">level playing field in the SLT sector. Option C2, by including grants, does not address the</w:t>
      </w:r>
      <w:r>
        <w:t xml:space="preserve"> </w:t>
      </w:r>
      <w:r>
        <w:t xml:space="preserve">specific market failure of access to finance for new entrants and smaller companies and may</w:t>
      </w:r>
      <w:r>
        <w:t xml:space="preserve"> </w:t>
      </w:r>
      <w:r>
        <w:t xml:space="preserve">therefore cause undue competition distortions within SLT modes. Option C3 addresses the</w:t>
      </w:r>
      <w:r>
        <w:t xml:space="preserve"> </w:t>
      </w:r>
      <w:r>
        <w:t xml:space="preserve">market failure of access to finance directly but, by including all undertakings as beneficiaries,</w:t>
      </w:r>
      <w:r>
        <w:t xml:space="preserve"> </w:t>
      </w:r>
      <w:r>
        <w:t xml:space="preserve">does not promote market entry of new entrants and smaller companies as compared to</w:t>
      </w:r>
      <w:r>
        <w:t xml:space="preserve"> </w:t>
      </w:r>
      <w:r>
        <w:t xml:space="preserve">incumbents and large enterprises as much as Option C1 does.</w:t>
      </w:r>
      <w:r>
        <w:br/>
      </w:r>
      <w:r>
        <w:t xml:space="preserve">8.1.4. Combined impact of the proposed Options</w:t>
      </w:r>
      <w:r>
        <w:t xml:space="preserve"> </w:t>
      </w:r>
      <w:r>
        <w:t xml:space="preserve">Taken together, the proposed preferred Options form a comprehensive and consistent</w:t>
      </w:r>
      <w:r>
        <w:t xml:space="preserve"> </w:t>
      </w:r>
      <w:r>
        <w:t xml:space="preserve">framework for State aid to SLT going forward. Being mutually reinforcing, their combined</w:t>
      </w:r>
      <w:r>
        <w:t xml:space="preserve"> </w:t>
      </w:r>
      <w:r>
        <w:t xml:space="preserve">impact is greater than the sum of the individual preferred Options taken one by one. The</w:t>
      </w:r>
      <w:r>
        <w:t xml:space="preserve"> </w:t>
      </w:r>
      <w:r>
        <w:t xml:space="preserve">preferred Options taken together will revamp the framework applicable to State aid measures</w:t>
      </w:r>
      <w:r>
        <w:t xml:space="preserve"> </w:t>
      </w:r>
      <w:r>
        <w:t xml:space="preserve">to SLT both in terms of form/procedure (simplification by codification of applicable rules in</w:t>
      </w:r>
      <w:r>
        <w:t xml:space="preserve"> </w:t>
      </w:r>
      <w:r>
        <w:t xml:space="preserve">one text and block exemption respectively) and on substance (incentivising SLT by further</w:t>
      </w:r>
      <w:r>
        <w:t xml:space="preserve"> </w:t>
      </w:r>
      <w:r>
        <w:t xml:space="preserve">facilitating aid which is well targeted to identified market failures) and will together contribute</w:t>
      </w:r>
      <w:r>
        <w:t xml:space="preserve"> </w:t>
      </w:r>
      <w:r>
        <w:t xml:space="preserve">to achieving the modal shift objective set by the Green Deal, i.e. shifting as a “matter of</w:t>
      </w:r>
      <w:r>
        <w:t xml:space="preserve"> </w:t>
      </w:r>
      <w:r>
        <w:t xml:space="preserve">priority” a substantial part of the 75% of inland freight carried today by road to rail and IWW.</w:t>
      </w:r>
      <w:r>
        <w:t xml:space="preserve"> </w:t>
      </w:r>
      <w:r>
        <w:t xml:space="preserve">By way of example to illustrate:</w:t>
      </w:r>
      <w:r>
        <w:t xml:space="preserve"> </w:t>
      </w:r>
      <w:r>
        <w:t xml:space="preserve">• The expansion of the scope of the new rules to include IWW and multimodal transport</w:t>
      </w:r>
      <w:r>
        <w:t xml:space="preserve"> </w:t>
      </w:r>
      <w:r>
        <w:t xml:space="preserve">constitutes a consolidation of many years of case practice as well as a recognition of the</w:t>
      </w:r>
      <w:r>
        <w:t xml:space="preserve"> </w:t>
      </w:r>
      <w:r>
        <w:t xml:space="preserve">fact that road transport is still by far the dominant mode of transportation. Depending</w:t>
      </w:r>
      <w:r>
        <w:t xml:space="preserve"> </w:t>
      </w:r>
      <w:r>
        <w:t xml:space="preserve">on their geographic characteristics and the Member State concerned, IWW and</w:t>
      </w:r>
      <w:r>
        <w:t xml:space="preserve"> </w:t>
      </w:r>
      <w:r>
        <w:t xml:space="preserve">multimodal transport can be a superior alternative to rail transport in terms of cost</w:t>
      </w:r>
      <w:r>
        <w:t xml:space="preserve"> </w:t>
      </w:r>
      <w:r>
        <w:t xml:space="preserve">effectiveness, enabling those modes to compete with road transport more strongly,</w:t>
      </w:r>
      <w:r>
        <w:t xml:space="preserve"> </w:t>
      </w:r>
      <w:r>
        <w:t xml:space="preserve">especially in the freight segment. The more generous compatibility conditions under the</w:t>
      </w:r>
      <w:r>
        <w:t xml:space="preserve"> </w:t>
      </w:r>
      <w:r>
        <w:t xml:space="preserve">preferred Options of Option Bundles B and C in conjunction with the enlargement of</w:t>
      </w:r>
      <w:r>
        <w:t xml:space="preserve"> </w:t>
      </w:r>
      <w:r>
        <w:t xml:space="preserve">the scope under the preferred Option A3 compared to the baseline will overall</w:t>
      </w:r>
      <w:r>
        <w:t xml:space="preserve"> </w:t>
      </w:r>
      <w:r>
        <w:t xml:space="preserve">strengthen the positive impacts on administrative burden, competition, the single</w:t>
      </w:r>
      <w:r>
        <w:t xml:space="preserve"> </w:t>
      </w:r>
      <w:r>
        <w:t xml:space="preserve">market, the environment and SMEs.</w:t>
      </w:r>
      <w:r>
        <w:t xml:space="preserve"> </w:t>
      </w:r>
      <w:r>
        <w:t xml:space="preserve">• There is a synergy between the more formal and the more substantial aspects of the</w:t>
      </w:r>
      <w:r>
        <w:t xml:space="preserve"> </w:t>
      </w:r>
      <w:r>
        <w:t xml:space="preserve">preferred options, i.e. the fact that the initiative marries environmental benefits with</w:t>
      </w:r>
      <w:r>
        <w:t xml:space="preserve"> </w:t>
      </w:r>
      <w:r>
        <w:t xml:space="preserve">administrative simplification. Indeed, in some cases the revised compatibility conditions</w:t>
      </w:r>
      <w:r>
        <w:t xml:space="preserve"> </w:t>
      </w:r>
      <w:r>
        <w:t xml:space="preserve">entail in themselves administrative simplification, in that previous requirements which</w:t>
      </w:r>
      <w:r>
        <w:t xml:space="preserve"> </w:t>
      </w:r>
      <w:r>
        <w:t xml:space="preserve">were unclear or cumbersome to demonstrate are now dropped. This is the case for</w:t>
      </w:r>
      <w:r>
        <w:t xml:space="preserve"> </w:t>
      </w:r>
      <w:r>
        <w:t xml:space="preserve">example as regards the capping of operating aid to 30% of total transport costs, a notion</w:t>
      </w:r>
      <w:r>
        <w:t xml:space="preserve"> </w:t>
      </w:r>
      <w:r>
        <w:t xml:space="preserve">which was not defined, unclear and inconsistently applied in the case practice, and</w:t>
      </w:r>
      <w:r>
        <w:t xml:space="preserve"> </w:t>
      </w:r>
      <w:r>
        <w:t xml:space="preserve">which will be dropped in the preferred option (Option B2). This reinforces the</w:t>
      </w:r>
      <w:r>
        <w:t xml:space="preserve"> </w:t>
      </w:r>
      <w:r>
        <w:t xml:space="preserve">simplification entailed by the wide scope of both the new Guidelines and in particular</w:t>
      </w:r>
      <w:r>
        <w:t xml:space="preserve"> </w:t>
      </w:r>
      <w:r>
        <w:t xml:space="preserve">the block exemption (Option A3).</w:t>
      </w:r>
      <w:r>
        <w:br/>
      </w:r>
      <w:r>
        <w:t xml:space="preserve">• The introduction of start-up aid for passenger night trains and rail freight transport (A</w:t>
      </w:r>
      <w:r>
        <w:t xml:space="preserve"> </w:t>
      </w:r>
      <w:r>
        <w:t xml:space="preserve">options) will reinforce the competitiveness of new entrants also promoted by the</w:t>
      </w:r>
      <w:r>
        <w:t xml:space="preserve"> </w:t>
      </w:r>
      <w:r>
        <w:t xml:space="preserve">improved access to finance for vehicles (Option C1).</w:t>
      </w:r>
      <w:r>
        <w:br/>
      </w:r>
      <w:r>
        <w:t xml:space="preserve">• Aid to finance interoperability investments (Option B2), which will make SLT</w:t>
      </w:r>
      <w:r>
        <w:t xml:space="preserve"> </w:t>
      </w:r>
      <w:r>
        <w:t xml:space="preserve">operations more secure and efficient, can be complemented for smaller and newer</w:t>
      </w:r>
      <w:r>
        <w:t xml:space="preserve"> </w:t>
      </w:r>
      <w:r>
        <w:t xml:space="preserve">operators with aid for the acquisition of vehicles (Option C1), thereby promoting overall</w:t>
      </w:r>
      <w:r>
        <w:t xml:space="preserve"> </w:t>
      </w:r>
      <w:r>
        <w:t xml:space="preserve">the development of a modernised fleet.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8.2.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The current initiative ensures a considerable degree of procedural simplification thanks to the</w:t>
      </w:r>
      <w:r>
        <w:t xml:space="preserve"> </w:t>
      </w:r>
      <w:r>
        <w:t xml:space="preserve">introduction of a block exemption, as described in Section 6.2. Expanding the scope of the RGL</w:t>
      </w:r>
      <w:r>
        <w:t xml:space="preserve"> </w:t>
      </w:r>
      <w:r>
        <w:t xml:space="preserve">to include other SLT modes and other types of investments will lead to further simplification</w:t>
      </w:r>
      <w:r>
        <w:t xml:space="preserve"> </w:t>
      </w:r>
      <w:r>
        <w:t xml:space="preserve">of the procedure: after a limited one-off effort to familiarise themselves with the revised GLs</w:t>
      </w:r>
      <w:r>
        <w:t xml:space="preserve"> </w:t>
      </w:r>
      <w:r>
        <w:t xml:space="preserve">and the TBER, Member States will have before them a clear legal framework. They will no</w:t>
      </w:r>
      <w:r>
        <w:t xml:space="preserve"> </w:t>
      </w:r>
      <w:r>
        <w:t xml:space="preserve">longer have to study the Commission’s approach on a case-by-case basis, researching a body</w:t>
      </w:r>
      <w:r>
        <w:t xml:space="preserve"> </w:t>
      </w:r>
      <w:r>
        <w:t xml:space="preserve">of decisions to identify the conditions under which they can grant aid. Moreover, in case a</w:t>
      </w:r>
      <w:r>
        <w:t xml:space="preserve"> </w:t>
      </w:r>
      <w:r>
        <w:t xml:space="preserve">measure is covered by the block exemption, there is no administrative burden linked to</w:t>
      </w:r>
      <w:r>
        <w:t xml:space="preserve"> </w:t>
      </w:r>
      <w:r>
        <w:t xml:space="preserve">notification. The annual estimated administrative burden reduction of the proposed Option A3</w:t>
      </w:r>
      <w:r>
        <w:t xml:space="preserve"> </w:t>
      </w:r>
      <w:r>
        <w:t xml:space="preserve">amounts to EUR 83 518-178 171 for Member States and EUR 53 016-113 100 for the</w:t>
      </w:r>
      <w:r>
        <w:t xml:space="preserve"> </w:t>
      </w:r>
      <w:r>
        <w:t xml:space="preserve">Commission. The related savings for businesses (corresponding to the opportunity costs</w:t>
      </w:r>
      <w:r>
        <w:t xml:space="preserve"> </w:t>
      </w:r>
      <w:r>
        <w:t xml:space="preserve">avoided due to earlier availability of the support which does not need to be notified and</w:t>
      </w:r>
      <w:r>
        <w:t xml:space="preserve"> </w:t>
      </w:r>
      <w:r>
        <w:t xml:space="preserve">approved) are estimated to be EUR 7.6-43.4 million annually. The compatibility conditions</w:t>
      </w:r>
      <w:r>
        <w:t xml:space="preserve"> </w:t>
      </w:r>
      <w:r>
        <w:t xml:space="preserve">proposed will also entail administrative simplification. Notably, the conditions applying to</w:t>
      </w:r>
      <w:r>
        <w:t xml:space="preserve"> </w:t>
      </w:r>
      <w:r>
        <w:t xml:space="preserve">operating aid are simplified, so that Member States only have to demonstrate that State aid</w:t>
      </w:r>
      <w:r>
        <w:t xml:space="preserve"> </w:t>
      </w:r>
      <w:r>
        <w:t xml:space="preserve">granted does not exceed an external cost ceiling and not, in addition, a total cost ceiling, as is</w:t>
      </w:r>
      <w:r>
        <w:t xml:space="preserve"> </w:t>
      </w:r>
      <w:r>
        <w:t xml:space="preserve">currently the case.</w:t>
      </w:r>
      <w:r>
        <w:br/>
      </w:r>
      <w:r>
        <w:t xml:space="preserve">8.3.</w:t>
      </w:r>
      <w:r>
        <w:t xml:space="preserve"> </w:t>
      </w:r>
      <w:r>
        <w:t xml:space="preserve">Application of the ‘one in, one out’ approach</w:t>
      </w:r>
      <w:r>
        <w:t xml:space="preserve"> </w:t>
      </w:r>
      <w:r>
        <w:t xml:space="preserve">This initiative is out of scope of the ‘one in, one out’ approach, as it does not give rise to</w:t>
      </w:r>
      <w:r>
        <w:t xml:space="preserve"> </w:t>
      </w:r>
      <w:r>
        <w:t xml:space="preserve">administrative costs for businesses or citizens, only for Member States’ authorities.</w:t>
      </w:r>
      <w:r>
        <w:t xml:space="preserve"> </w:t>
      </w:r>
      <w:r>
        <w:t xml:space="preserve">Administrative costs for Member States’ authorities deriving from this initiative, as well as</w:t>
      </w:r>
      <w:r>
        <w:t xml:space="preserve"> </w:t>
      </w:r>
      <w:r>
        <w:t xml:space="preserve">possible indirect effects on businesses, have been assessed and as far as possible quantified in</w:t>
      </w:r>
      <w:r>
        <w:t xml:space="preserve"> </w:t>
      </w:r>
      <w:r>
        <w:t xml:space="preserve">Sections 6.2.1, 6.3.1, 6.4.1, 7 and 8.1 and 8.2 above, as well as Annex 8.</w:t>
      </w:r>
      <w:r>
        <w:br/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monitoring and evaluation of the initiative will be based on publicly available indicators,</w:t>
      </w:r>
      <w:r>
        <w:t xml:space="preserve"> </w:t>
      </w:r>
      <w:r>
        <w:t xml:space="preserve">notably by including data from the mandatory State aid control system, which this initiative</w:t>
      </w:r>
      <w:r>
        <w:t xml:space="preserve"> </w:t>
      </w:r>
      <w:r>
        <w:t xml:space="preserve">implements for the SLT sector, as it exists for State aid in general. This ensures that basic</w:t>
      </w:r>
      <w:r>
        <w:t xml:space="preserve"> </w:t>
      </w:r>
      <w:r>
        <w:t xml:space="preserve">characteristics of aid schemes and aid awards are made public and that periodic reviews are</w:t>
      </w:r>
      <w:r>
        <w:t xml:space="preserve"> </w:t>
      </w:r>
      <w:r>
        <w:t xml:space="preserve">conducted to identify the effectiveness and the level of compliance of selected measures. This</w:t>
      </w:r>
      <w:r>
        <w:t xml:space="preserve"> </w:t>
      </w:r>
      <w:r>
        <w:t xml:space="preserve">data can be used to measure the impact of the initiative on the general and specific objectives</w:t>
      </w:r>
      <w:r>
        <w:t xml:space="preserve"> </w:t>
      </w:r>
      <w:r>
        <w:t xml:space="preserve">set out in Section 4.</w:t>
      </w:r>
      <w:r>
        <w:br/>
      </w:r>
      <w:r>
        <w:t xml:space="preserve">9.1.</w:t>
      </w:r>
      <w:r>
        <w:t xml:space="preserve"> </w:t>
      </w:r>
      <w:r>
        <w:t xml:space="preserve">The mandatory control system for State aid measures</w:t>
      </w:r>
      <w:r>
        <w:t xml:space="preserve"> </w:t>
      </w:r>
      <w:r>
        <w:t xml:space="preserve">In accordance with Article 108 TFEU, ‘the Commission shall, in cooperation, with Member</w:t>
      </w:r>
      <w:r>
        <w:t xml:space="preserve"> </w:t>
      </w:r>
      <w:r>
        <w:t xml:space="preserve">States, keep under constant review all systems of existing aid in those Member States’. The</w:t>
      </w:r>
      <w:r>
        <w:t xml:space="preserve"> </w:t>
      </w:r>
      <w:r>
        <w:t xml:space="preserve">European Commission Directorate-General for Competition (DG COMP) implements a State</w:t>
      </w:r>
      <w:r>
        <w:t xml:space="preserve"> </w:t>
      </w:r>
      <w:r>
        <w:t xml:space="preserve">aid control system based on three main elements: transparency, monitoring, and ex post</w:t>
      </w:r>
      <w:r>
        <w:t xml:space="preserve"> </w:t>
      </w:r>
      <w:r>
        <w:t xml:space="preserve">evaluation.</w:t>
      </w:r>
      <w:r>
        <w:br/>
      </w:r>
      <w:r>
        <w:t xml:space="preserve">Transparency: Transparency under State aid rules ensures the publication of individual aid</w:t>
      </w:r>
      <w:r>
        <w:t xml:space="preserve"> </w:t>
      </w:r>
      <w:r>
        <w:t xml:space="preserve">awards to allow for peer review, public control and greater accountability. While the details of</w:t>
      </w:r>
      <w:r>
        <w:t xml:space="preserve"> </w:t>
      </w:r>
      <w:r>
        <w:t xml:space="preserve">the State aid measures themselves have been published so far also for SLT in the form of non-</w:t>
      </w:r>
      <w:r>
        <w:t xml:space="preserve"> </w:t>
      </w:r>
      <w:r>
        <w:t xml:space="preserve">confidential versions of Commission decisions, more granular data related to aid granted per</w:t>
      </w:r>
      <w:r>
        <w:t xml:space="preserve"> </w:t>
      </w:r>
      <w:r>
        <w:t xml:space="preserve">beneficiary or reporting on SLT in the framework of the State aid Scoreboard are currently not</w:t>
      </w:r>
      <w:r>
        <w:t xml:space="preserve"> </w:t>
      </w:r>
      <w:r>
        <w:t xml:space="preserve">available. This initiative introduces those transparency requirements for the SLT sector,</w:t>
      </w:r>
      <w:r>
        <w:t xml:space="preserve"> </w:t>
      </w:r>
      <w:r>
        <w:t xml:space="preserve">aligning them with what is required for other types of aid. Thus, Member States will be required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to publish all individual aid awards exceeding a specified threshold in a publicly accessible</w:t>
      </w:r>
      <w:r>
        <w:t xml:space="preserve"> </w:t>
      </w:r>
      <w:r>
        <w:t xml:space="preserve">repository. Publication requirements are introduced also for the block exempted measures.</w:t>
      </w:r>
      <w:r>
        <w:br/>
      </w:r>
      <w:r>
        <w:t xml:space="preserve">Ongoing annual monitoring of selected State aid cases: DG COMP monitors every year a</w:t>
      </w:r>
      <w:r>
        <w:t xml:space="preserve"> </w:t>
      </w:r>
      <w:r>
        <w:t xml:space="preserve">sample of existing aid schemes covering both notified and block exempted aid schemes. This</w:t>
      </w:r>
      <w:r>
        <w:t xml:space="preserve"> </w:t>
      </w:r>
      <w:r>
        <w:t xml:space="preserve">ex post monitoring exercise involves a check of the national legal basis for consistency with the</w:t>
      </w:r>
      <w:r>
        <w:t xml:space="preserve"> </w:t>
      </w:r>
      <w:r>
        <w:t xml:space="preserve">approval Commission decision or applicable block exemption, and a review of the</w:t>
      </w:r>
      <w:r>
        <w:t xml:space="preserve"> </w:t>
      </w:r>
      <w:r>
        <w:t xml:space="preserve">implementation of the scheme for a sample of beneficiaries. This makes it possible to monitor</w:t>
      </w:r>
      <w:r>
        <w:t xml:space="preserve"> </w:t>
      </w:r>
      <w:r>
        <w:t xml:space="preserve">Member States’ respect of the State aid rules and detect difficulties with the implementation of</w:t>
      </w:r>
      <w:r>
        <w:t xml:space="preserve"> </w:t>
      </w:r>
      <w:r>
        <w:t xml:space="preserve">specific rules. The SLT sector is and will continue to form part of such monitoring exercises.</w:t>
      </w:r>
      <w:r>
        <w:t xml:space="preserve"> </w:t>
      </w:r>
      <w:r>
        <w:t xml:space="preserve">Ex post evaluation of certain State aid measures: Ex post evaluation provides an analysis of</w:t>
      </w:r>
      <w:r>
        <w:t xml:space="preserve"> </w:t>
      </w:r>
      <w:r>
        <w:t xml:space="preserve">the effectiveness and efficiency of selected aid measures to enable Member States to improve</w:t>
      </w:r>
      <w:r>
        <w:t xml:space="preserve"> </w:t>
      </w:r>
      <w:r>
        <w:t xml:space="preserve">the design of future schemes. State aid evaluation in particular makes it possible (i) to verify</w:t>
      </w:r>
      <w:r>
        <w:t xml:space="preserve"> </w:t>
      </w:r>
      <w:r>
        <w:t xml:space="preserve">that the assumptions underlying the approval of the scheme are still valid; (ii) to assess whether</w:t>
      </w:r>
      <w:r>
        <w:t xml:space="preserve"> </w:t>
      </w:r>
      <w:r>
        <w:t xml:space="preserve">the scheme is effective in achieving the objective for which it was introduced; and (iii) to cater</w:t>
      </w:r>
      <w:r>
        <w:t xml:space="preserve"> </w:t>
      </w:r>
      <w:r>
        <w:t xml:space="preserve">for unforeseeable negative effects. This initiative introduces the principle of ex post evaluation</w:t>
      </w:r>
      <w:r>
        <w:t xml:space="preserve"> </w:t>
      </w:r>
      <w:r>
        <w:t xml:space="preserve">to the revised GLs and the TBER. The intention is to make use of this tool in the future, where</w:t>
      </w:r>
      <w:r>
        <w:t xml:space="preserve"> </w:t>
      </w:r>
      <w:r>
        <w:t xml:space="preserve">appropriate, i.e. in particular for large aid measures with novel characteristics.</w:t>
      </w:r>
      <w:r>
        <w:br/>
      </w:r>
      <w:r>
        <w:t xml:space="preserve">9.2.</w:t>
      </w:r>
      <w:r>
        <w:t xml:space="preserve"> </w:t>
      </w:r>
      <w:r>
        <w:t xml:space="preserve">Measuring the success of the initiative against its objectives</w:t>
      </w:r>
      <w:r>
        <w:br/>
      </w:r>
      <w:r>
        <w:t xml:space="preserve">The success of State aid GLs and block exemptions depends on the extent to which they are</w:t>
      </w:r>
      <w:r>
        <w:t xml:space="preserve"> </w:t>
      </w:r>
      <w:r>
        <w:t xml:space="preserve">effective at inducing Member States to design aid measures that can achieve the desired policy</w:t>
      </w:r>
      <w:r>
        <w:t xml:space="preserve"> </w:t>
      </w:r>
      <w:r>
        <w:t xml:space="preserve">objectives in a cost-efficient manner, while minimising distortions of competition. In the case</w:t>
      </w:r>
      <w:r>
        <w:t xml:space="preserve"> </w:t>
      </w:r>
      <w:r>
        <w:t xml:space="preserve">of the revised GLs and the TBER, measuring success will involve examining inter alia the</w:t>
      </w:r>
      <w:r>
        <w:t xml:space="preserve"> </w:t>
      </w:r>
      <w:r>
        <w:t xml:space="preserve">effects on the general objective of encouraging modal shift towards SLT modes, as well the</w:t>
      </w:r>
      <w:r>
        <w:t xml:space="preserve"> </w:t>
      </w:r>
      <w:r>
        <w:t xml:space="preserve">specific objectives set out in Section 4 (reducing the external cost gap between road and SLT,</w:t>
      </w:r>
      <w:r>
        <w:t xml:space="preserve"> </w:t>
      </w:r>
      <w:r>
        <w:t xml:space="preserve">accelerating the rollout of interoperability technologies, improving access to finance for SMEs</w:t>
      </w:r>
      <w:r>
        <w:t xml:space="preserve"> </w:t>
      </w:r>
      <w:r>
        <w:t xml:space="preserve">and new entrants and improving access to facilities and private sidings).</w:t>
      </w:r>
      <w:r>
        <w:t xml:space="preserve"> </w:t>
      </w:r>
      <w:r>
        <w:t xml:space="preserve">Success of the initiative would mean: First, an increasing trend in the amounts of State aid</w:t>
      </w:r>
      <w:r>
        <w:t xml:space="preserve"> </w:t>
      </w:r>
      <w:r>
        <w:t xml:space="preserve">granted by Member States for SLT203 would indicate a contribution to the general objective of</w:t>
      </w:r>
      <w:r>
        <w:t xml:space="preserve"> </w:t>
      </w:r>
      <w:r>
        <w:t xml:space="preserve">increasing the modal share of SLT. Second, the number of measures and amounts of aid under</w:t>
      </w:r>
      <w:r>
        <w:t xml:space="preserve"> </w:t>
      </w:r>
      <w:r>
        <w:t xml:space="preserve">the TBER should follow an increasing trend, indicating that State aid rules allow Member</w:t>
      </w:r>
      <w:r>
        <w:t xml:space="preserve"> </w:t>
      </w:r>
      <w:r>
        <w:t xml:space="preserve">States to allocate larger aid amounts faster. Third, the duration of the notification process</w:t>
      </w:r>
      <w:r>
        <w:t xml:space="preserve"> </w:t>
      </w:r>
      <w:r>
        <w:t xml:space="preserve">should show a decreasing trend. Finally, success of the initiative would ideally entail an</w:t>
      </w:r>
      <w:r>
        <w:t xml:space="preserve"> </w:t>
      </w:r>
      <w:r>
        <w:t xml:space="preserve">increasing trend in the share of SLT modes in passenger and freight transport204. However,</w:t>
      </w:r>
      <w:r>
        <w:t xml:space="preserve"> </w:t>
      </w:r>
      <w:r>
        <w:t xml:space="preserve">this can only be a secondary indicator as the evolution of the indicator is influenced by several</w:t>
      </w:r>
      <w:r>
        <w:t xml:space="preserve"> </w:t>
      </w:r>
      <w:r>
        <w:t xml:space="preserve">other factors. These include consumer choices between transport modes, the evolution of the</w:t>
      </w:r>
      <w:r>
        <w:t xml:space="preserve"> </w:t>
      </w:r>
      <w:r>
        <w:t xml:space="preserve">costs of different inputs or of the fuels used for providing each transport mode, the difficulty</w:t>
      </w:r>
      <w:r>
        <w:t xml:space="preserve"> </w:t>
      </w:r>
      <w:r>
        <w:t xml:space="preserve">users have to access different transport modes depending on location, the importance users</w:t>
      </w:r>
      <w:r>
        <w:t xml:space="preserve"> </w:t>
      </w:r>
      <w:r>
        <w:t xml:space="preserve">attribute to the duration of the journey, etc.</w:t>
      </w:r>
      <w:r>
        <w:br/>
      </w:r>
      <w:r>
        <w:t xml:space="preserve">For the specific objective of reducing the external cost gap between road and SLT (SO1), the</w:t>
      </w:r>
      <w:r>
        <w:t xml:space="preserve"> </w:t>
      </w:r>
      <w:r>
        <w:t xml:space="preserve">initiative would be considered successful if, following the adoption of the new rules, the</w:t>
      </w:r>
    </w:p>
    <w:p>
      <w:pPr>
        <w:pStyle w:val="BodyText"/>
      </w:pPr>
      <w:r>
        <w:t xml:space="preserve">203 Available from the database of State aid cases, administered by the Commission based on Member States’</w:t>
      </w:r>
      <w:r>
        <w:t xml:space="preserve"> </w:t>
      </w:r>
      <w:r>
        <w:t xml:space="preserve">notifications and information sheets (for block exempted measures):</w:t>
      </w:r>
      <w:r>
        <w:br/>
      </w:r>
      <w:r>
        <w:t xml:space="preserve">https://competition-cases.ec.europa.eu/search?caseInstrument=SA.</w:t>
      </w:r>
      <w:r>
        <w:br/>
      </w:r>
      <w:r>
        <w:t xml:space="preserve">204 Eurostat statistics related to the share of SLT modes in passenger and freight transport (tran_hv_psmod,</w:t>
      </w:r>
      <w:r>
        <w:t xml:space="preserve"> </w:t>
      </w:r>
      <w:r>
        <w:t xml:space="preserve">tran_hv_frmod).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amount of operating aid granted to cover external costs increases, along with the average</w:t>
      </w:r>
      <w:r>
        <w:t xml:space="preserve"> </w:t>
      </w:r>
      <w:r>
        <w:t xml:space="preserve">intensity of aid. A secondary indicator could be a decline in prices for rail or IWW transport</w:t>
      </w:r>
      <w:r>
        <w:t xml:space="preserve"> </w:t>
      </w:r>
      <w:r>
        <w:t xml:space="preserve">compared to those of road and air transport (available from Eurostat205 and different market</w:t>
      </w:r>
      <w:r>
        <w:t xml:space="preserve"> </w:t>
      </w:r>
      <w:r>
        <w:t xml:space="preserve">reports), though the evolution is affected also by changes in prices of energy and other input</w:t>
      </w:r>
      <w:r>
        <w:t xml:space="preserve"> </w:t>
      </w:r>
      <w:r>
        <w:t xml:space="preserve">costs. For the specific objective of accelerating the rollout of interoperability technologies</w:t>
      </w:r>
      <w:r>
        <w:t xml:space="preserve"> </w:t>
      </w:r>
      <w:r>
        <w:t xml:space="preserve">(SO2) success will be achieved if the deployment of ERTMS206 shows an increasing trend.</w:t>
      </w:r>
      <w:r>
        <w:br/>
      </w:r>
      <w:r>
        <w:t xml:space="preserve">Improving access to finance for SMEs and new entrants (SO3) would be achieved primarily by</w:t>
      </w:r>
      <w:r>
        <w:t xml:space="preserve"> </w:t>
      </w:r>
      <w:r>
        <w:t xml:space="preserve">an increase of the aid granted to new entrants and SMEs (available from the State aid</w:t>
      </w:r>
      <w:r>
        <w:t xml:space="preserve"> </w:t>
      </w:r>
      <w:r>
        <w:t xml:space="preserve">transparency database207) while a secondary indicator would be the increase in the market</w:t>
      </w:r>
      <w:r>
        <w:t xml:space="preserve"> </w:t>
      </w:r>
      <w:r>
        <w:t xml:space="preserve">shares of SMEs and new entrants in the SLT208. The objective of improving access to</w:t>
      </w:r>
      <w:r>
        <w:t xml:space="preserve"> </w:t>
      </w:r>
      <w:r>
        <w:t xml:space="preserve">facilities and private sidings (SO4) will be achieved if the number of multimodal terminals209</w:t>
      </w:r>
      <w:r>
        <w:t xml:space="preserve"> </w:t>
      </w:r>
      <w:r>
        <w:t xml:space="preserve">shows an increasing trend, in particular those modernised to handle trains of 750m, if the</w:t>
      </w:r>
      <w:r>
        <w:t xml:space="preserve"> </w:t>
      </w:r>
      <w:r>
        <w:t xml:space="preserve">number and length of private sidings increases, and if the use of multimodal transport</w:t>
      </w:r>
      <w:r>
        <w:t xml:space="preserve"> </w:t>
      </w:r>
      <w:r>
        <w:t xml:space="preserve">containers in rail transport increases210.</w:t>
      </w:r>
      <w:r>
        <w:br/>
      </w:r>
      <w:r>
        <w:t xml:space="preserve">Annex 12 shows a full list of envisaged indicators, as well as the relevant sources of data.</w:t>
      </w:r>
      <w:r>
        <w:t xml:space="preserve"> </w:t>
      </w:r>
      <w:r>
        <w:t xml:space="preserve">Besides the State aid control system, other indicators will be based on publicly available data</w:t>
      </w:r>
      <w:r>
        <w:t xml:space="preserve"> </w:t>
      </w:r>
      <w:r>
        <w:t xml:space="preserve">sources, such as Eurostat or regular Commission reports, avoiding additional administrative</w:t>
      </w:r>
      <w:r>
        <w:t xml:space="preserve"> </w:t>
      </w:r>
      <w:r>
        <w:t xml:space="preserve">burden on companies and Member States.</w:t>
      </w:r>
    </w:p>
    <w:p>
      <w:pPr>
        <w:pStyle w:val="BodyText"/>
      </w:pPr>
      <w:r>
        <w:t xml:space="preserve">205 Eurostat datasets on HICP and the detailed decompositions (prc_hicp_aind).</w:t>
      </w:r>
      <w:r>
        <w:t xml:space="preserve"> </w:t>
      </w:r>
      <w:r>
        <w:t xml:space="preserve">206 The Commission publishes regular updated on the state of play of on-board ERTMS deployment at:</w:t>
      </w:r>
      <w:r>
        <w:t xml:space="preserve"> </w:t>
      </w:r>
      <w:r>
        <w:t xml:space="preserve">https://transport.ec.europa.eu/transport-modes/rail/ertms/state-play_en.</w:t>
      </w:r>
      <w:r>
        <w:t xml:space="preserve"> </w:t>
      </w:r>
      <w:r>
        <w:t xml:space="preserve">207 State aid transparency award module: https://webgate.ec.europa.eu/competition/transparency/public?lang=en.</w:t>
      </w:r>
      <w:r>
        <w:t xml:space="preserve"> </w:t>
      </w:r>
      <w:r>
        <w:t xml:space="preserve">208 Monitoring report on the development of the rail market under Article 15(4) of Directive 2012/34/EU</w:t>
      </w:r>
      <w:r>
        <w:br/>
      </w:r>
      <w:r>
        <w:t xml:space="preserve">https://transport.ec.europa.eu/transport-modes/rail/market/rail-market-monitoring-rmms_en.</w:t>
      </w:r>
      <w:r>
        <w:br/>
      </w:r>
      <w:r>
        <w:t xml:space="preserve">209 https://webgate.ec.europa.eu/tentec-maps/web/public/screen/home.</w:t>
      </w:r>
      <w:r>
        <w:br/>
      </w:r>
      <w:r>
        <w:t xml:space="preserve">210 Eurostat statistics related to the use of ITUs in rail transport (tran_im_urail, tran_im_umod).</w:t>
      </w:r>
    </w:p>
    <w:p>
      <w:pPr>
        <w:pStyle w:val="BodyText"/>
      </w:pPr>
      <w:r>
        <w:t xml:space="preserve">A-1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Lead DG: European Commission Directorate-General for Competition (DG COMP)</w:t>
      </w:r>
      <w:r>
        <w:t xml:space="preserve"> </w:t>
      </w:r>
      <w:r>
        <w:t xml:space="preserve">Decide Planning References:</w:t>
      </w:r>
      <w:r>
        <w:br/>
      </w:r>
      <w:r>
        <w:t xml:space="preserve">• PLAN/2021/11193 - Revision of the State aid Railway Guidelines</w:t>
      </w:r>
      <w:r>
        <w:t xml:space="preserve"> </w:t>
      </w:r>
      <w:r>
        <w:t xml:space="preserve">• PLAN/2021/11577 - Block exemption regulation on the application of Articles 93 and</w:t>
      </w:r>
      <w:r>
        <w:t xml:space="preserve"> </w:t>
      </w:r>
      <w:r>
        <w:t xml:space="preserve">108 of the Treaty to State aid for transport coordination</w:t>
      </w:r>
    </w:p>
    <w:p>
      <w:pPr>
        <w:pStyle w:val="Compact"/>
        <w:numPr>
          <w:ilvl w:val="0"/>
          <w:numId w:val="1003"/>
        </w:numPr>
      </w:pPr>
      <w:r>
        <w:t xml:space="preserve">Organisation and timing</w:t>
      </w:r>
      <w:r>
        <w:t xml:space="preserve"> </w:t>
      </w:r>
      <w:r>
        <w:t xml:space="preserve">The Inter-Service Steering Group (‘ISSG’) was set up in July 2021 and gathered representatives</w:t>
      </w:r>
      <w:r>
        <w:t xml:space="preserve"> </w:t>
      </w:r>
      <w:r>
        <w:t xml:space="preserve">from the Commission’s Secretariat General, Legal Service and 12 other Directorates-General:</w:t>
      </w:r>
      <w:r>
        <w:t xml:space="preserve"> </w:t>
      </w:r>
      <w:r>
        <w:t xml:space="preserve">CLIMA, CNECT, DEFIS, ECFIN, ENER, ENV, ESTAT, GROW, MOVE, REGIO, RTD and</w:t>
      </w:r>
      <w:r>
        <w:t xml:space="preserve"> </w:t>
      </w:r>
      <w:r>
        <w:t xml:space="preserve">TRADE. The ISSG was consulted on the IIA, the terms of reference for the study and the</w:t>
      </w:r>
      <w:r>
        <w:t xml:space="preserve"> </w:t>
      </w:r>
      <w:r>
        <w:t xml:space="preserve">questionnaire for the public consultation, as well as the CfE for the TBER. Furthermore, the</w:t>
      </w:r>
      <w:r>
        <w:t xml:space="preserve"> </w:t>
      </w:r>
      <w:r>
        <w:t xml:space="preserve">ISSG received a debrief of the results of the public and targeted consultations, the final study,</w:t>
      </w:r>
      <w:r>
        <w:t xml:space="preserve"> </w:t>
      </w:r>
      <w:r>
        <w:t xml:space="preserve">as well as a preview of the proposals developed for the draft GLs and TBER and the Impact</w:t>
      </w:r>
      <w:r>
        <w:t xml:space="preserve"> </w:t>
      </w:r>
      <w:r>
        <w:t xml:space="preserve">Assessment Report.</w:t>
      </w:r>
      <w:r>
        <w:br/>
      </w:r>
      <w:r>
        <w:t xml:space="preserve">DG COMP organised 8 ISSG meetings on 10 September 2021, 3 December 2021, 6 September</w:t>
      </w:r>
      <w:r>
        <w:t xml:space="preserve"> </w:t>
      </w:r>
      <w:r>
        <w:t xml:space="preserve">2022, 12 October 2023, 23 February 2024, 24 January 2025, 4 July 2025, and 11 September</w:t>
      </w:r>
    </w:p>
    <w:p>
      <w:pPr>
        <w:pStyle w:val="Compact"/>
        <w:numPr>
          <w:ilvl w:val="0"/>
          <w:numId w:val="1003"/>
        </w:numPr>
      </w:pPr>
      <w:r>
        <w:t xml:space="preserve">On a number of deliverables, the group was consulted in writing (details in Table 14</w:t>
      </w:r>
      <w:r>
        <w:t xml:space="preserve"> </w:t>
      </w:r>
      <w:r>
        <w:t xml:space="preserve">below).</w:t>
      </w:r>
      <w:r>
        <w:br/>
      </w:r>
      <w:r>
        <w:t xml:space="preserve">Table 14: Overview of the timing</w:t>
      </w:r>
      <w:r>
        <w:t xml:space="preserve"> </w:t>
      </w:r>
      <w:r>
        <w:t xml:space="preserve">Date</w:t>
      </w:r>
      <w:r>
        <w:t xml:space="preserve"> </w:t>
      </w:r>
      <w:r>
        <w:t xml:space="preserve">Description of the activities</w:t>
      </w:r>
      <w:r>
        <w:t xml:space="preserve"> </w:t>
      </w:r>
      <w:r>
        <w:t xml:space="preserve">30 July 2021</w:t>
      </w:r>
      <w:r>
        <w:t xml:space="preserve"> </w:t>
      </w:r>
      <w:r>
        <w:t xml:space="preserve">Setting up of ISSG and invitation to first ISSG meeting</w:t>
      </w:r>
      <w:r>
        <w:t xml:space="preserve"> </w:t>
      </w:r>
      <w:r>
        <w:t xml:space="preserve">10</w:t>
      </w:r>
      <w:r>
        <w:t xml:space="preserve"> </w:t>
      </w:r>
      <w:r>
        <w:t xml:space="preserve">September</w:t>
      </w:r>
      <w:r>
        <w:t xml:space="preserve"> </w:t>
      </w:r>
      <w:r>
        <w:t xml:space="preserve">2021</w:t>
      </w:r>
      <w:r>
        <w:br/>
      </w:r>
      <w:r>
        <w:t xml:space="preserve">(virtual meeting)</w:t>
      </w:r>
      <w:r>
        <w:t xml:space="preserve"> </w:t>
      </w:r>
      <w:r>
        <w:t xml:space="preserve">1st ISSG meeting:</w:t>
      </w:r>
      <w:r>
        <w:t xml:space="preserve"> </w:t>
      </w:r>
      <w:r>
        <w:t xml:space="preserve">• Overview of the project and timeline</w:t>
      </w:r>
      <w:r>
        <w:t xml:space="preserve"> </w:t>
      </w:r>
      <w:r>
        <w:t xml:space="preserve">• Discussion of the IIA</w:t>
      </w:r>
      <w:r>
        <w:t xml:space="preserve"> </w:t>
      </w:r>
      <w:r>
        <w:t xml:space="preserve">• Discussion of the roadmap for the Commission proposal for a</w:t>
      </w:r>
      <w:r>
        <w:t xml:space="preserve"> </w:t>
      </w:r>
      <w:r>
        <w:t xml:space="preserve">Council land transport enabling regulation</w:t>
      </w:r>
      <w:r>
        <w:t xml:space="preserve"> </w:t>
      </w:r>
      <w:r>
        <w:t xml:space="preserve">• Discussion of the terms of reference for the study</w:t>
      </w:r>
      <w:r>
        <w:t xml:space="preserve"> </w:t>
      </w:r>
      <w:r>
        <w:t xml:space="preserve">1 October 2021</w:t>
      </w:r>
      <w:r>
        <w:t xml:space="preserve"> </w:t>
      </w:r>
      <w:r>
        <w:t xml:space="preserve">until 29 October</w:t>
      </w:r>
      <w:r>
        <w:t xml:space="preserve"> </w:t>
      </w:r>
      <w:r>
        <w:t xml:space="preserve">2021</w:t>
      </w:r>
      <w:r>
        <w:t xml:space="preserve"> </w:t>
      </w:r>
      <w:r>
        <w:t xml:space="preserve">Publication of the IIA for the revision of the GLs</w:t>
      </w:r>
      <w:r>
        <w:t xml:space="preserve"> </w:t>
      </w:r>
      <w:r>
        <w:t xml:space="preserve">3 December 2021</w:t>
      </w:r>
      <w:r>
        <w:t xml:space="preserve"> </w:t>
      </w:r>
      <w:r>
        <w:t xml:space="preserve">(virtual meeting)</w:t>
      </w:r>
      <w:r>
        <w:t xml:space="preserve"> </w:t>
      </w:r>
      <w:r>
        <w:t xml:space="preserve">2nd ISSG meeting:</w:t>
      </w:r>
      <w:r>
        <w:t xml:space="preserve"> </w:t>
      </w:r>
      <w:r>
        <w:t xml:space="preserve">• Feedback from the consultation on the IIA</w:t>
      </w:r>
      <w:r>
        <w:t xml:space="preserve"> </w:t>
      </w:r>
      <w:r>
        <w:t xml:space="preserve">• Discussion of the draft consultation strategy and questionnaire</w:t>
      </w:r>
      <w:r>
        <w:t xml:space="preserve"> </w:t>
      </w:r>
      <w:r>
        <w:t xml:space="preserve">for public consultation</w:t>
      </w:r>
    </w:p>
    <w:p>
      <w:pPr>
        <w:pStyle w:val="FirstParagraph"/>
      </w:pPr>
      <w:r>
        <w:t xml:space="preserve">A-2</w:t>
      </w:r>
    </w:p>
    <w:p>
      <w:pPr>
        <w:pStyle w:val="BodyText"/>
      </w:pPr>
      <w:r>
        <w:t xml:space="preserve">22 December 2021</w:t>
      </w:r>
      <w:r>
        <w:t xml:space="preserve"> </w:t>
      </w:r>
      <w:r>
        <w:t xml:space="preserve">– 16 March 2022</w:t>
      </w:r>
      <w:r>
        <w:t xml:space="preserve"> </w:t>
      </w:r>
      <w:r>
        <w:t xml:space="preserve">Open public consultation</w:t>
      </w:r>
      <w:r>
        <w:t xml:space="preserve"> </w:t>
      </w:r>
      <w:r>
        <w:t xml:space="preserve">6 September 2022</w:t>
      </w:r>
      <w:r>
        <w:t xml:space="preserve"> </w:t>
      </w:r>
      <w:r>
        <w:t xml:space="preserve">(virtual meeting)</w:t>
      </w:r>
      <w:r>
        <w:t xml:space="preserve"> </w:t>
      </w:r>
      <w:r>
        <w:t xml:space="preserve">3rd ISSG meeting:</w:t>
      </w:r>
      <w:r>
        <w:t xml:space="preserve"> </w:t>
      </w:r>
      <w:r>
        <w:t xml:space="preserve">• Discuss draft final report of the study</w:t>
      </w:r>
      <w:r>
        <w:t xml:space="preserve"> </w:t>
      </w:r>
      <w:r>
        <w:t xml:space="preserve">• Feedback from the public consultation</w:t>
      </w:r>
      <w:r>
        <w:t xml:space="preserve"> </w:t>
      </w:r>
      <w:r>
        <w:t xml:space="preserve">• Next steps</w:t>
      </w:r>
      <w:r>
        <w:t xml:space="preserve"> </w:t>
      </w:r>
      <w:r>
        <w:t xml:space="preserve">30</w:t>
      </w:r>
      <w:r>
        <w:t xml:space="preserve"> </w:t>
      </w:r>
      <w:r>
        <w:t xml:space="preserve">September</w:t>
      </w:r>
      <w:r>
        <w:t xml:space="preserve"> </w:t>
      </w:r>
      <w:r>
        <w:t xml:space="preserve">2022</w:t>
      </w:r>
      <w:r>
        <w:t xml:space="preserve"> </w:t>
      </w:r>
      <w:r>
        <w:t xml:space="preserve">(virtual meeting)</w:t>
      </w:r>
      <w:r>
        <w:t xml:space="preserve"> </w:t>
      </w:r>
      <w:r>
        <w:t xml:space="preserve">Upstream meeting with the Regulatory Scrutiny Board (‘RSB’)</w:t>
      </w:r>
      <w:r>
        <w:t xml:space="preserve"> </w:t>
      </w:r>
      <w:r>
        <w:t xml:space="preserve">12 October 2023</w:t>
      </w:r>
      <w:r>
        <w:t xml:space="preserve"> </w:t>
      </w:r>
      <w:r>
        <w:t xml:space="preserve">(virtual meeting)</w:t>
      </w:r>
      <w:r>
        <w:t xml:space="preserve"> </w:t>
      </w:r>
      <w:r>
        <w:t xml:space="preserve">4th ISSG meeting:</w:t>
      </w:r>
      <w:r>
        <w:t xml:space="preserve"> </w:t>
      </w:r>
      <w:r>
        <w:t xml:space="preserve">• Discuss Sections 1-4 of the Impact Assessment Report</w:t>
      </w:r>
      <w:r>
        <w:t xml:space="preserve"> </w:t>
      </w:r>
      <w:r>
        <w:t xml:space="preserve">• Overview of the content of the draft revised GLs and TBER</w:t>
      </w:r>
      <w:r>
        <w:t xml:space="preserve"> </w:t>
      </w:r>
      <w:r>
        <w:t xml:space="preserve">16 February 2024</w:t>
      </w:r>
      <w:r>
        <w:t xml:space="preserve"> </w:t>
      </w:r>
      <w:r>
        <w:t xml:space="preserve">– 8 March 2024</w:t>
      </w:r>
      <w:r>
        <w:t xml:space="preserve"> </w:t>
      </w:r>
      <w:r>
        <w:t xml:space="preserve">1st ISC on the revised GLs and the TBER</w:t>
      </w:r>
      <w:r>
        <w:t xml:space="preserve"> </w:t>
      </w:r>
      <w:r>
        <w:t xml:space="preserve">23 February 2024</w:t>
      </w:r>
      <w:r>
        <w:t xml:space="preserve"> </w:t>
      </w:r>
      <w:r>
        <w:t xml:space="preserve">(virtual meeting)</w:t>
      </w:r>
      <w:r>
        <w:t xml:space="preserve"> </w:t>
      </w:r>
      <w:r>
        <w:t xml:space="preserve">5th ISSG meeting:</w:t>
      </w:r>
      <w:r>
        <w:t xml:space="preserve"> </w:t>
      </w:r>
      <w:r>
        <w:t xml:space="preserve">• Discuss the draft texts for the revised GLs and TBER during</w:t>
      </w:r>
      <w:r>
        <w:t xml:space="preserve"> </w:t>
      </w:r>
      <w:r>
        <w:t xml:space="preserve">ISC</w:t>
      </w:r>
      <w:r>
        <w:t xml:space="preserve"> </w:t>
      </w:r>
      <w:r>
        <w:t xml:space="preserve">6 March 2024 – 3</w:t>
      </w:r>
      <w:r>
        <w:t xml:space="preserve"> </w:t>
      </w:r>
      <w:r>
        <w:t xml:space="preserve">April 2024</w:t>
      </w:r>
      <w:r>
        <w:t xml:space="preserve"> </w:t>
      </w:r>
      <w:r>
        <w:t xml:space="preserve">Publication of the CfE for the introduction of the TBER (following</w:t>
      </w:r>
      <w:r>
        <w:t xml:space="preserve"> </w:t>
      </w:r>
      <w:r>
        <w:t xml:space="preserve">consultation of the ISSG in writing)</w:t>
      </w:r>
      <w:r>
        <w:t xml:space="preserve"> </w:t>
      </w:r>
      <w:r>
        <w:t xml:space="preserve">18 June 2024 – 20</w:t>
      </w:r>
      <w:r>
        <w:t xml:space="preserve"> </w:t>
      </w:r>
      <w:r>
        <w:t xml:space="preserve">September 2024</w:t>
      </w:r>
      <w:r>
        <w:t xml:space="preserve"> </w:t>
      </w:r>
      <w:r>
        <w:t xml:space="preserve">Targeted consultation of national/regional aid granting authorities on</w:t>
      </w:r>
      <w:r>
        <w:t xml:space="preserve"> </w:t>
      </w:r>
      <w:r>
        <w:t xml:space="preserve">the administrative burden reduction of the TBER</w:t>
      </w:r>
      <w:r>
        <w:t xml:space="preserve"> </w:t>
      </w:r>
      <w:r>
        <w:t xml:space="preserve">10</w:t>
      </w:r>
      <w:r>
        <w:t xml:space="preserve"> </w:t>
      </w:r>
      <w:r>
        <w:t xml:space="preserve">September</w:t>
      </w:r>
      <w:r>
        <w:t xml:space="preserve"> </w:t>
      </w:r>
      <w:r>
        <w:t xml:space="preserve">2024</w:t>
      </w:r>
      <w:r>
        <w:t xml:space="preserve"> </w:t>
      </w:r>
      <w:r>
        <w:t xml:space="preserve">(virtual meeting)</w:t>
      </w:r>
      <w:r>
        <w:t xml:space="preserve"> </w:t>
      </w:r>
      <w:r>
        <w:t xml:space="preserve">Advisory committee and multilateral meeting with Member States’</w:t>
      </w:r>
      <w:r>
        <w:t xml:space="preserve"> </w:t>
      </w:r>
      <w:r>
        <w:t xml:space="preserve">authorities on the revised GLs and TBER</w:t>
      </w:r>
      <w:r>
        <w:t xml:space="preserve"> </w:t>
      </w:r>
      <w:r>
        <w:t xml:space="preserve">24 June 2024 – 20</w:t>
      </w:r>
      <w:r>
        <w:t xml:space="preserve"> </w:t>
      </w:r>
      <w:r>
        <w:t xml:space="preserve">September 2024</w:t>
      </w:r>
      <w:r>
        <w:t xml:space="preserve"> </w:t>
      </w:r>
      <w:r>
        <w:t xml:space="preserve">Targeted consultation of stakeholders on the draft texts for the revised</w:t>
      </w:r>
      <w:r>
        <w:t xml:space="preserve"> </w:t>
      </w:r>
      <w:r>
        <w:t xml:space="preserve">GLs and TBER</w:t>
      </w:r>
      <w:r>
        <w:t xml:space="preserve"> </w:t>
      </w:r>
      <w:r>
        <w:t xml:space="preserve">24 January 2025</w:t>
      </w:r>
      <w:r>
        <w:t xml:space="preserve"> </w:t>
      </w:r>
      <w:r>
        <w:t xml:space="preserve">(virtual meeting)</w:t>
      </w:r>
      <w:r>
        <w:t xml:space="preserve"> </w:t>
      </w:r>
      <w:r>
        <w:t xml:space="preserve">6th ISSG meeting:</w:t>
      </w:r>
      <w:r>
        <w:t xml:space="preserve"> </w:t>
      </w:r>
      <w:r>
        <w:t xml:space="preserve">• Present stakeholders’ feedback from the targeted consultation</w:t>
      </w:r>
      <w:r>
        <w:t xml:space="preserve"> </w:t>
      </w:r>
      <w:r>
        <w:t xml:space="preserve">• Present main orientations for the upcoming ISC on the TBER</w:t>
      </w:r>
      <w:r>
        <w:t xml:space="preserve"> </w:t>
      </w:r>
      <w:r>
        <w:t xml:space="preserve">• Present and discuss SME test</w:t>
      </w:r>
      <w:r>
        <w:t xml:space="preserve"> </w:t>
      </w:r>
      <w:r>
        <w:t xml:space="preserve">• Consult ISSG on Sections 1-5 of the Impact Assessment Report</w:t>
      </w:r>
      <w:r>
        <w:t xml:space="preserve"> </w:t>
      </w:r>
      <w:r>
        <w:t xml:space="preserve">(sent after the meeting)</w:t>
      </w:r>
      <w:r>
        <w:t xml:space="preserve"> </w:t>
      </w:r>
      <w:r>
        <w:t xml:space="preserve">10 – 21 February</w:t>
      </w:r>
      <w:r>
        <w:t xml:space="preserve"> </w:t>
      </w:r>
      <w:r>
        <w:t xml:space="preserve">2025</w:t>
      </w:r>
      <w:r>
        <w:t xml:space="preserve"> </w:t>
      </w:r>
      <w:r>
        <w:t xml:space="preserve">2nd ISC on the TBER</w:t>
      </w:r>
    </w:p>
    <w:p>
      <w:pPr>
        <w:pStyle w:val="BodyText"/>
      </w:pPr>
      <w:r>
        <w:t xml:space="preserve">A-3</w:t>
      </w:r>
    </w:p>
    <w:p>
      <w:pPr>
        <w:pStyle w:val="BodyText"/>
      </w:pPr>
      <w:r>
        <w:t xml:space="preserve">2 June 2025</w:t>
      </w:r>
      <w:r>
        <w:t xml:space="preserve"> </w:t>
      </w:r>
      <w:r>
        <w:t xml:space="preserve">(virtual meeting)</w:t>
      </w:r>
      <w:r>
        <w:t xml:space="preserve"> </w:t>
      </w:r>
      <w:r>
        <w:t xml:space="preserve">Second complimentary Upstream meeting with the RSB</w:t>
      </w:r>
      <w:r>
        <w:t xml:space="preserve"> </w:t>
      </w:r>
      <w:r>
        <w:t xml:space="preserve">18</w:t>
      </w:r>
      <w:r>
        <w:t xml:space="preserve"> </w:t>
      </w:r>
      <w:r>
        <w:t xml:space="preserve">June</w:t>
      </w:r>
      <w:r>
        <w:t xml:space="preserve"> </w:t>
      </w:r>
      <w:r>
        <w:t xml:space="preserve">2025</w:t>
      </w:r>
      <w:r>
        <w:t xml:space="preserve"> </w:t>
      </w:r>
      <w:r>
        <w:t xml:space="preserve">(virtual meeting)</w:t>
      </w:r>
      <w:r>
        <w:t xml:space="preserve"> </w:t>
      </w:r>
      <w:r>
        <w:t xml:space="preserve">2nd Advisory committee meeting with Member States’ authorities on</w:t>
      </w:r>
      <w:r>
        <w:t xml:space="preserve"> </w:t>
      </w:r>
      <w:r>
        <w:t xml:space="preserve">the TBER</w:t>
      </w:r>
      <w:r>
        <w:t xml:space="preserve"> </w:t>
      </w:r>
      <w:r>
        <w:t xml:space="preserve">4 July 2025</w:t>
      </w:r>
      <w:r>
        <w:t xml:space="preserve"> </w:t>
      </w:r>
      <w:r>
        <w:t xml:space="preserve">(virtual meeting)</w:t>
      </w:r>
      <w:r>
        <w:t xml:space="preserve"> </w:t>
      </w:r>
      <w:r>
        <w:t xml:space="preserve">7th ISSG meeting:</w:t>
      </w:r>
      <w:r>
        <w:t xml:space="preserve"> </w:t>
      </w:r>
      <w:r>
        <w:t xml:space="preserve">• Second Upstream meeting with RSB</w:t>
      </w:r>
      <w:r>
        <w:t xml:space="preserve"> </w:t>
      </w:r>
      <w:r>
        <w:t xml:space="preserve">• Full draft Impact Assessment Report</w:t>
      </w:r>
      <w:r>
        <w:t xml:space="preserve"> </w:t>
      </w:r>
      <w:r>
        <w:t xml:space="preserve">• Debrief from the 2nd Advisory committee meeting</w:t>
      </w:r>
      <w:r>
        <w:t xml:space="preserve"> </w:t>
      </w:r>
      <w:r>
        <w:t xml:space="preserve">11</w:t>
      </w:r>
      <w:r>
        <w:t xml:space="preserve"> </w:t>
      </w:r>
      <w:r>
        <w:t xml:space="preserve">September</w:t>
      </w:r>
      <w:r>
        <w:t xml:space="preserve"> </w:t>
      </w:r>
      <w:r>
        <w:t xml:space="preserve">2025</w:t>
      </w:r>
      <w:r>
        <w:t xml:space="preserve"> </w:t>
      </w:r>
      <w:r>
        <w:t xml:space="preserve">(virtual meeting)</w:t>
      </w:r>
      <w:r>
        <w:t xml:space="preserve"> </w:t>
      </w:r>
      <w:r>
        <w:t xml:space="preserve">8th ISSG meeting:</w:t>
      </w:r>
      <w:r>
        <w:t xml:space="preserve"> </w:t>
      </w:r>
      <w:r>
        <w:t xml:space="preserve">• Second consultation of full draft Impact Assessment Report</w:t>
      </w:r>
      <w:r>
        <w:t xml:space="preserve"> </w:t>
      </w:r>
      <w:r>
        <w:t xml:space="preserve">• Debrief of the orientation given by EVP Ribera on the key</w:t>
      </w:r>
      <w:r>
        <w:t xml:space="preserve"> </w:t>
      </w:r>
      <w:r>
        <w:t xml:space="preserve">issues</w:t>
      </w:r>
      <w:r>
        <w:t xml:space="preserve"> </w:t>
      </w:r>
      <w:r>
        <w:t xml:space="preserve">12 December 2025</w:t>
      </w:r>
      <w:r>
        <w:br/>
      </w:r>
      <w:r>
        <w:t xml:space="preserve">(virtual meeting)</w:t>
      </w:r>
      <w:r>
        <w:t xml:space="preserve"> </w:t>
      </w:r>
      <w:r>
        <w:t xml:space="preserve">9th ISSG meeting:</w:t>
      </w:r>
      <w:r>
        <w:t xml:space="preserve"> </w:t>
      </w:r>
      <w:r>
        <w:t xml:space="preserve">• Presentation of the RSB opinion and revision of the IAR</w:t>
      </w:r>
      <w:r>
        <w:t xml:space="preserve"> </w:t>
      </w:r>
      <w:r>
        <w:t xml:space="preserve">• Any other business</w:t>
      </w:r>
      <w:r>
        <w:t xml:space="preserve"> </w:t>
      </w:r>
      <w:r>
        <w:t xml:space="preserve">The following exception was made to the Better Regulation Guidelines during this impact</w:t>
      </w:r>
      <w:r>
        <w:t xml:space="preserve"> </w:t>
      </w:r>
      <w:r>
        <w:t xml:space="preserve">assessment211:</w:t>
      </w:r>
      <w:r>
        <w:t xml:space="preserve"> </w:t>
      </w:r>
      <w:r>
        <w:t xml:space="preserve">• No additional public consultation on a questionnaire was carried out for the TBER, as</w:t>
      </w:r>
      <w:r>
        <w:t xml:space="preserve"> </w:t>
      </w:r>
      <w:r>
        <w:t xml:space="preserve">the questionnaire of the public consultation on the revised GLs covered the most</w:t>
      </w:r>
      <w:r>
        <w:t xml:space="preserve"> </w:t>
      </w:r>
      <w:r>
        <w:t xml:space="preserve">relevant aspects of the TBER as well.</w:t>
      </w:r>
    </w:p>
    <w:p>
      <w:pPr>
        <w:pStyle w:val="Compact"/>
        <w:numPr>
          <w:ilvl w:val="0"/>
          <w:numId w:val="1004"/>
        </w:numPr>
      </w:pPr>
      <w:r>
        <w:t xml:space="preserve">Consultation of the RSB</w:t>
      </w:r>
      <w:r>
        <w:t xml:space="preserve"> </w:t>
      </w:r>
      <w:r>
        <w:t xml:space="preserve">An Upstream meeting with the RSB took place on 30 September 2022 to discuss DG COMP’s</w:t>
      </w:r>
      <w:r>
        <w:t xml:space="preserve"> </w:t>
      </w:r>
      <w:r>
        <w:t xml:space="preserve">Impact Assessment for the revised GLs and new TBER. The RSB members and DG COMP</w:t>
      </w:r>
      <w:r>
        <w:t xml:space="preserve"> </w:t>
      </w:r>
      <w:r>
        <w:t xml:space="preserve">discussed the scope of the Impact Assessment, i.e. the focus on the main choices to inform</w:t>
      </w:r>
      <w:r>
        <w:t xml:space="preserve"> </w:t>
      </w:r>
      <w:r>
        <w:t xml:space="preserve">policy makers on the key political decisions. In this respect, the RSB made clear that the</w:t>
      </w:r>
      <w:r>
        <w:t xml:space="preserve"> </w:t>
      </w:r>
      <w:r>
        <w:t xml:space="preserve">intervention logic was of utmost importance, as it constitutes the backbone of the Impact</w:t>
      </w:r>
      <w:r>
        <w:t xml:space="preserve"> </w:t>
      </w:r>
      <w:r>
        <w:t xml:space="preserve">Assessment. Particular attention should be paid to defining the specific objectives, against</w:t>
      </w:r>
      <w:r>
        <w:t xml:space="preserve"> </w:t>
      </w:r>
      <w:r>
        <w:t xml:space="preserve">which options are assessed, and to finding the supporting evidence. The RSB reminded DG</w:t>
      </w:r>
      <w:r>
        <w:t xml:space="preserve"> </w:t>
      </w:r>
      <w:r>
        <w:t xml:space="preserve">COMP that possible negative consequences of the revised GLs and new TBER should be clearly</w:t>
      </w:r>
      <w:r>
        <w:t xml:space="preserve"> </w:t>
      </w:r>
      <w:r>
        <w:t xml:space="preserve">spelled out and assessed as well. An important point raised by DG COMP and taken up by</w:t>
      </w:r>
      <w:r>
        <w:t xml:space="preserve"> </w:t>
      </w:r>
      <w:r>
        <w:t xml:space="preserve">several RSB members was coherence with other Green Deal initiatives. Several RSB members</w:t>
      </w:r>
      <w:r>
        <w:t xml:space="preserve"> </w:t>
      </w:r>
      <w:r>
        <w:t xml:space="preserve">stressed the need for DG COMP to stay in close contact with other DGs, because decisions</w:t>
      </w:r>
      <w:r>
        <w:t xml:space="preserve"> </w:t>
      </w:r>
      <w:r>
        <w:t xml:space="preserve">taken in other Commission initiatives can affect the initiative at hand, but also to spell out the</w:t>
      </w:r>
      <w:r>
        <w:t xml:space="preserve"> </w:t>
      </w:r>
      <w:r>
        <w:t xml:space="preserve">contribution of the initiative at hand to achieving the objectives of the Green Deal.</w:t>
      </w:r>
      <w:r>
        <w:br/>
      </w:r>
      <w:r>
        <w:t xml:space="preserve">A second complementary Upstream meeting with the RSB took place on 2 June 2025. It focused</w:t>
      </w:r>
      <w:r>
        <w:t xml:space="preserve"> </w:t>
      </w:r>
      <w:r>
        <w:t xml:space="preserve">on the approach to analysing impacts and specifically the level of detail required for analysing</w:t>
      </w:r>
      <w:r>
        <w:t xml:space="preserve"> </w:t>
      </w:r>
      <w:r>
        <w:t xml:space="preserve">environmental, social and competitiveness impacts, as well as the methodology for estimating</w:t>
      </w:r>
    </w:p>
    <w:p>
      <w:pPr>
        <w:pStyle w:val="FirstParagraph"/>
      </w:pPr>
      <w:r>
        <w:t xml:space="preserve">211 https://ec.europa.eu/info/better-regulation-guidelines-and-toolbox_en.</w:t>
      </w:r>
    </w:p>
    <w:p>
      <w:pPr>
        <w:pStyle w:val="BodyText"/>
      </w:pPr>
      <w:r>
        <w:t xml:space="preserve">A-4</w:t>
      </w:r>
    </w:p>
    <w:p>
      <w:pPr>
        <w:pStyle w:val="BodyText"/>
      </w:pPr>
      <w:r>
        <w:t xml:space="preserve">administrative costs. RSB members emphasised that the future report should assess to what</w:t>
      </w:r>
      <w:r>
        <w:t xml:space="preserve"> </w:t>
      </w:r>
      <w:r>
        <w:t xml:space="preserve">extent the intervention would likely impact each problem identified. Additionally, they</w:t>
      </w:r>
      <w:r>
        <w:t xml:space="preserve"> </w:t>
      </w:r>
      <w:r>
        <w:t xml:space="preserve">underscored the importance of using modelling techniques to support the Impact Assessment,</w:t>
      </w:r>
      <w:r>
        <w:t xml:space="preserve"> </w:t>
      </w:r>
      <w:r>
        <w:t xml:space="preserve">such as scenario analysis, and to explicitly outline key assumptions and uncertainties. RSB</w:t>
      </w:r>
      <w:r>
        <w:t xml:space="preserve"> </w:t>
      </w:r>
      <w:r>
        <w:t xml:space="preserve">members recommended the approach of disaggregating key environmental impacts. The</w:t>
      </w:r>
      <w:r>
        <w:t xml:space="preserve"> </w:t>
      </w:r>
      <w:r>
        <w:t xml:space="preserve">competitiveness assessment should be tied to the overarching economic analysis. Similarly, the</w:t>
      </w:r>
      <w:r>
        <w:t xml:space="preserve"> </w:t>
      </w:r>
      <w:r>
        <w:t xml:space="preserve">future report should provide a clear assessment of the potential impacts on SMEs. RSB</w:t>
      </w:r>
      <w:r>
        <w:t xml:space="preserve"> </w:t>
      </w:r>
      <w:r>
        <w:t xml:space="preserve">members noted the value of active participation by Member States and economic operators in</w:t>
      </w:r>
      <w:r>
        <w:t xml:space="preserve"> </w:t>
      </w:r>
      <w:r>
        <w:t xml:space="preserve">consultation activities, particularly in estimating costs, to ensure accurate and reliable data.</w:t>
      </w:r>
      <w:r>
        <w:t xml:space="preserve"> </w:t>
      </w:r>
      <w:r>
        <w:t xml:space="preserve">The RSB meeting took place on 12 November 2025. In summary, the Board gave a positive</w:t>
      </w:r>
      <w:r>
        <w:t xml:space="preserve"> </w:t>
      </w:r>
      <w:r>
        <w:t xml:space="preserve">opinion with reservations, stating that the following aspects had to be rectified:</w:t>
      </w:r>
      <w:r>
        <w:t xml:space="preserve"> </w:t>
      </w:r>
      <w:r>
        <w:t xml:space="preserve">• The intervention logic does not present sufficiently clear problems, problem drivers as</w:t>
      </w:r>
      <w:r>
        <w:t xml:space="preserve"> </w:t>
      </w:r>
      <w:r>
        <w:t xml:space="preserve">well as the expected contribution of State aid to the uptake of SLT and its interplay with</w:t>
      </w:r>
      <w:r>
        <w:t xml:space="preserve"> </w:t>
      </w:r>
      <w:r>
        <w:t xml:space="preserve">other initiatives aimed at addressing market failures in the transport sector.</w:t>
      </w:r>
      <w:r>
        <w:t xml:space="preserve"> </w:t>
      </w:r>
      <w:r>
        <w:t xml:space="preserve">• The report does not provide a sufficient economic analysis, including for the</w:t>
      </w:r>
      <w:r>
        <w:t xml:space="preserve"> </w:t>
      </w:r>
      <w:r>
        <w:t xml:space="preserve">specification of options.</w:t>
      </w:r>
      <w:r>
        <w:t xml:space="preserve"> </w:t>
      </w:r>
      <w:r>
        <w:t xml:space="preserve">RSB comment</w:t>
      </w:r>
      <w:r>
        <w:t xml:space="preserve"> </w:t>
      </w:r>
      <w:r>
        <w:t xml:space="preserve">Action taken</w:t>
      </w:r>
      <w:r>
        <w:t xml:space="preserve"> </w:t>
      </w:r>
      <w:r>
        <w:t xml:space="preserve">(1) The intervention logic should better</w:t>
      </w:r>
      <w:r>
        <w:t xml:space="preserve"> </w:t>
      </w:r>
      <w:r>
        <w:t xml:space="preserve">identify the underlying causes of the</w:t>
      </w:r>
      <w:r>
        <w:t xml:space="preserve"> </w:t>
      </w:r>
      <w:r>
        <w:t xml:space="preserve">problems, such as alleged market failures,</w:t>
      </w:r>
      <w:r>
        <w:t xml:space="preserve"> </w:t>
      </w:r>
      <w:r>
        <w:t xml:space="preserve">regulatory failures, including the root causes</w:t>
      </w:r>
      <w:r>
        <w:t xml:space="preserve"> </w:t>
      </w:r>
      <w:r>
        <w:t xml:space="preserve">of slow processing of state aid, or</w:t>
      </w:r>
      <w:r>
        <w:t xml:space="preserve"> </w:t>
      </w:r>
      <w:r>
        <w:t xml:space="preserve">behavioural biases; and describe how the</w:t>
      </w:r>
      <w:r>
        <w:t xml:space="preserve"> </w:t>
      </w:r>
      <w:r>
        <w:t xml:space="preserve">intervention will contribute to the increase of</w:t>
      </w:r>
      <w:r>
        <w:t xml:space="preserve"> </w:t>
      </w:r>
      <w:r>
        <w:t xml:space="preserve">the share of sustainable land transports. The</w:t>
      </w:r>
      <w:r>
        <w:t xml:space="preserve"> </w:t>
      </w:r>
      <w:r>
        <w:t xml:space="preserve">report needs to articulate the relationship</w:t>
      </w:r>
      <w:r>
        <w:t xml:space="preserve"> </w:t>
      </w:r>
      <w:r>
        <w:t xml:space="preserve">between this intervention and other EU</w:t>
      </w:r>
      <w:r>
        <w:t xml:space="preserve"> </w:t>
      </w:r>
      <w:r>
        <w:t xml:space="preserve">policies in the area of sustainable land</w:t>
      </w:r>
      <w:r>
        <w:t xml:space="preserve"> </w:t>
      </w:r>
      <w:r>
        <w:t xml:space="preserve">transport, including analysis of ETS2.</w:t>
      </w:r>
      <w:r>
        <w:t xml:space="preserve"> </w:t>
      </w:r>
      <w:r>
        <w:t xml:space="preserve">Sections 2.1, 2.2 and 2.3 were redrafted to</w:t>
      </w:r>
      <w:r>
        <w:t xml:space="preserve"> </w:t>
      </w:r>
      <w:r>
        <w:t xml:space="preserve">reflect a reconceptualised intervention logic.</w:t>
      </w:r>
      <w:r>
        <w:t xml:space="preserve"> </w:t>
      </w:r>
      <w:r>
        <w:t xml:space="preserve">In addition, Section 4 was also redrafted to be</w:t>
      </w:r>
      <w:r>
        <w:t xml:space="preserve"> </w:t>
      </w:r>
      <w:r>
        <w:t xml:space="preserve">coherent with the problems and problem</w:t>
      </w:r>
      <w:r>
        <w:t xml:space="preserve"> </w:t>
      </w:r>
      <w:r>
        <w:t xml:space="preserve">drivers. Section 1.2 was expanded as regards</w:t>
      </w:r>
      <w:r>
        <w:t xml:space="preserve"> </w:t>
      </w:r>
      <w:r>
        <w:t xml:space="preserve">the relation with other initiatives, and in</w:t>
      </w:r>
      <w:r>
        <w:t xml:space="preserve"> </w:t>
      </w:r>
      <w:r>
        <w:t xml:space="preserve">particular to also address ETS2.</w:t>
      </w:r>
      <w:r>
        <w:br/>
      </w:r>
      <w:r>
        <w:t xml:space="preserve">(2) The report should better capture upfront</w:t>
      </w:r>
      <w:r>
        <w:t xml:space="preserve"> </w:t>
      </w:r>
      <w:r>
        <w:t xml:space="preserve">the magnitude and scale of State aid in these</w:t>
      </w:r>
      <w:r>
        <w:t xml:space="preserve"> </w:t>
      </w:r>
      <w:r>
        <w:t xml:space="preserve">sectors, and its share of the total volume of</w:t>
      </w:r>
      <w:r>
        <w:t xml:space="preserve"> </w:t>
      </w:r>
      <w:r>
        <w:t xml:space="preserve">State aid. The experience gained from the</w:t>
      </w:r>
      <w:r>
        <w:t xml:space="preserve"> </w:t>
      </w:r>
      <w:r>
        <w:t xml:space="preserve">State aid implementation and modernisation</w:t>
      </w:r>
      <w:r>
        <w:t xml:space="preserve"> </w:t>
      </w:r>
      <w:r>
        <w:t xml:space="preserve">should be used more in the report to underpin</w:t>
      </w:r>
      <w:r>
        <w:t xml:space="preserve"> </w:t>
      </w:r>
      <w:r>
        <w:t xml:space="preserve">this analysis. The analysis of the case practice</w:t>
      </w:r>
      <w:r>
        <w:t xml:space="preserve"> </w:t>
      </w:r>
      <w:r>
        <w:t xml:space="preserve">that is at the basis of the proposed</w:t>
      </w:r>
      <w:r>
        <w:t xml:space="preserve"> </w:t>
      </w:r>
      <w:r>
        <w:t xml:space="preserve">modification of the State aid Railway</w:t>
      </w:r>
      <w:r>
        <w:t xml:space="preserve"> </w:t>
      </w:r>
      <w:r>
        <w:t xml:space="preserve">Guidelines, should be included in the report.</w:t>
      </w:r>
      <w:r>
        <w:t xml:space="preserve"> </w:t>
      </w:r>
      <w:r>
        <w:t xml:space="preserve">Section 1.1 was redrafted to reflect an</w:t>
      </w:r>
      <w:r>
        <w:t xml:space="preserve"> </w:t>
      </w:r>
      <w:r>
        <w:t xml:space="preserve">analysis of the information in Annex 7 and</w:t>
      </w:r>
      <w:r>
        <w:t xml:space="preserve"> </w:t>
      </w:r>
      <w:r>
        <w:t xml:space="preserve">further additional analysis of case practice. In</w:t>
      </w:r>
      <w:r>
        <w:t xml:space="preserve"> </w:t>
      </w:r>
      <w:r>
        <w:t xml:space="preserve">addition, Section 1.3 was expanded and</w:t>
      </w:r>
      <w:r>
        <w:t xml:space="preserve"> </w:t>
      </w:r>
      <w:r>
        <w:t xml:space="preserve">clarified. Finally, further analysis of the case</w:t>
      </w:r>
      <w:r>
        <w:t xml:space="preserve"> </w:t>
      </w:r>
      <w:r>
        <w:t xml:space="preserve">practice was also added in Sections 5.2 – 5.5.</w:t>
      </w:r>
      <w:r>
        <w:br/>
      </w:r>
      <w:r>
        <w:t xml:space="preserve">(3) The economic analysis should be more</w:t>
      </w:r>
      <w:r>
        <w:t xml:space="preserve"> </w:t>
      </w:r>
      <w:r>
        <w:t xml:space="preserve">robust, using quantitative data to substantiate</w:t>
      </w:r>
      <w:r>
        <w:t xml:space="preserve"> </w:t>
      </w:r>
      <w:r>
        <w:t xml:space="preserve">the expected impacts of the intervention. It</w:t>
      </w:r>
      <w:r>
        <w:t xml:space="preserve"> </w:t>
      </w:r>
      <w:r>
        <w:t xml:space="preserve">should analyse, to the extent possible, the</w:t>
      </w:r>
      <w:r>
        <w:t xml:space="preserve"> </w:t>
      </w:r>
      <w:r>
        <w:t xml:space="preserve">substitution but also the income effects of the</w:t>
      </w:r>
      <w:r>
        <w:t xml:space="preserve"> </w:t>
      </w:r>
      <w:r>
        <w:t xml:space="preserve">additional State aid measures.</w:t>
      </w:r>
      <w:r>
        <w:t xml:space="preserve"> </w:t>
      </w:r>
      <w:r>
        <w:t xml:space="preserve">A new Section 6.1.1 was added to address</w:t>
      </w:r>
      <w:r>
        <w:t xml:space="preserve"> </w:t>
      </w:r>
      <w:r>
        <w:t xml:space="preserve">this point.</w:t>
      </w:r>
    </w:p>
    <w:p>
      <w:pPr>
        <w:pStyle w:val="BodyText"/>
      </w:pPr>
      <w:r>
        <w:t xml:space="preserve">A-5</w:t>
      </w:r>
    </w:p>
    <w:p>
      <w:pPr>
        <w:pStyle w:val="Compact"/>
        <w:numPr>
          <w:ilvl w:val="0"/>
          <w:numId w:val="1005"/>
        </w:numPr>
      </w:pPr>
      <w:r>
        <w:t xml:space="preserve">The potential risks of distortions to</w:t>
      </w:r>
      <w:r>
        <w:t xml:space="preserve"> </w:t>
      </w:r>
      <w:r>
        <w:t xml:space="preserve">competition need to be better analysed. The</w:t>
      </w:r>
      <w:r>
        <w:t xml:space="preserve"> </w:t>
      </w:r>
      <w:r>
        <w:t xml:space="preserve">report should assess safeguards which could</w:t>
      </w:r>
      <w:r>
        <w:t xml:space="preserve"> </w:t>
      </w:r>
      <w:r>
        <w:t xml:space="preserve">mitigate these risks. The report should better</w:t>
      </w:r>
      <w:r>
        <w:t xml:space="preserve"> </w:t>
      </w:r>
      <w:r>
        <w:t xml:space="preserve">account for different levels of fiscal</w:t>
      </w:r>
      <w:r>
        <w:t xml:space="preserve"> </w:t>
      </w:r>
      <w:r>
        <w:t xml:space="preserve">constraints in the Member States that would</w:t>
      </w:r>
      <w:r>
        <w:t xml:space="preserve"> </w:t>
      </w:r>
      <w:r>
        <w:t xml:space="preserve">affect implementation of the framework. It</w:t>
      </w:r>
      <w:r>
        <w:t xml:space="preserve"> </w:t>
      </w:r>
      <w:r>
        <w:t xml:space="preserve">should also provide a more detail on the</w:t>
      </w:r>
      <w:r>
        <w:t xml:space="preserve"> </w:t>
      </w:r>
      <w:r>
        <w:t xml:space="preserve">funding gap analysis.</w:t>
      </w:r>
      <w:r>
        <w:t xml:space="preserve"> </w:t>
      </w:r>
      <w:r>
        <w:t xml:space="preserve">Additional analysis of fiscal constraints was</w:t>
      </w:r>
      <w:r>
        <w:t xml:space="preserve"> </w:t>
      </w:r>
      <w:r>
        <w:t xml:space="preserve">added in Section 6.1.1. In addition, the</w:t>
      </w:r>
      <w:r>
        <w:t xml:space="preserve"> </w:t>
      </w:r>
      <w:r>
        <w:t xml:space="preserve">funding gap and its impact was better</w:t>
      </w:r>
      <w:r>
        <w:t xml:space="preserve"> </w:t>
      </w:r>
      <w:r>
        <w:t xml:space="preserve">explained in Sections 5.2 and 6.3.1.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The report should more clearly spell out</w:t>
      </w:r>
      <w:r>
        <w:t xml:space="preserve"> </w:t>
      </w:r>
      <w:r>
        <w:t xml:space="preserve">the impacts of different policy options. The</w:t>
      </w:r>
      <w:r>
        <w:t xml:space="preserve"> </w:t>
      </w:r>
      <w:r>
        <w:t xml:space="preserve">environmental impacts of options bundle C,</w:t>
      </w:r>
      <w:r>
        <w:t xml:space="preserve"> </w:t>
      </w:r>
      <w:r>
        <w:t xml:space="preserve">for example, should look into the effects of</w:t>
      </w:r>
      <w:r>
        <w:t xml:space="preserve"> </w:t>
      </w:r>
      <w:r>
        <w:t xml:space="preserve">the</w:t>
      </w:r>
      <w:r>
        <w:t xml:space="preserve"> </w:t>
      </w:r>
      <w:r>
        <w:t xml:space="preserve">implicit</w:t>
      </w:r>
      <w:r>
        <w:t xml:space="preserve"> </w:t>
      </w:r>
      <w:r>
        <w:t xml:space="preserve">guarantees</w:t>
      </w:r>
      <w:r>
        <w:t xml:space="preserve"> </w:t>
      </w:r>
      <w:r>
        <w:t xml:space="preserve">enjoyed</w:t>
      </w:r>
      <w:r>
        <w:t xml:space="preserve"> </w:t>
      </w:r>
      <w:r>
        <w:t xml:space="preserve">by</w:t>
      </w:r>
      <w:r>
        <w:t xml:space="preserve"> </w:t>
      </w:r>
      <w:r>
        <w:t xml:space="preserve">incumbents</w:t>
      </w:r>
      <w:r>
        <w:t xml:space="preserve"> </w:t>
      </w:r>
      <w:r>
        <w:t xml:space="preserve">and</w:t>
      </w:r>
      <w:r>
        <w:t xml:space="preserve"> </w:t>
      </w:r>
      <w:r>
        <w:t xml:space="preserve">how</w:t>
      </w:r>
      <w:r>
        <w:t xml:space="preserve"> </w:t>
      </w:r>
      <w:r>
        <w:t xml:space="preserve">excluding</w:t>
      </w:r>
      <w:r>
        <w:t xml:space="preserve"> </w:t>
      </w:r>
      <w:r>
        <w:t xml:space="preserve">large</w:t>
      </w:r>
      <w:r>
        <w:t xml:space="preserve"> </w:t>
      </w:r>
      <w:r>
        <w:t xml:space="preserve">enterprises</w:t>
      </w:r>
      <w:r>
        <w:t xml:space="preserve"> </w:t>
      </w:r>
      <w:r>
        <w:t xml:space="preserve">would</w:t>
      </w:r>
      <w:r>
        <w:t xml:space="preserve"> </w:t>
      </w:r>
      <w:r>
        <w:t xml:space="preserve">incentivise</w:t>
      </w:r>
      <w:r>
        <w:t xml:space="preserve"> </w:t>
      </w:r>
      <w:r>
        <w:t xml:space="preserve">different</w:t>
      </w:r>
      <w:r>
        <w:t xml:space="preserve"> </w:t>
      </w:r>
      <w:r>
        <w:t xml:space="preserve">commercial</w:t>
      </w:r>
      <w:r>
        <w:t xml:space="preserve"> </w:t>
      </w:r>
      <w:r>
        <w:t xml:space="preserve">behaviours.</w:t>
      </w:r>
      <w:r>
        <w:t xml:space="preserve"> </w:t>
      </w:r>
      <w:r>
        <w:t xml:space="preserve">Similarly,</w:t>
      </w:r>
      <w:r>
        <w:t xml:space="preserve"> </w:t>
      </w:r>
      <w:r>
        <w:t xml:space="preserve">the</w:t>
      </w:r>
      <w:r>
        <w:t xml:space="preserve"> </w:t>
      </w:r>
      <w:r>
        <w:t xml:space="preserve">different environmental impacts of options</w:t>
      </w:r>
      <w:r>
        <w:t xml:space="preserve"> </w:t>
      </w:r>
      <w:r>
        <w:t xml:space="preserve">within bundle B should be more clearly</w:t>
      </w:r>
      <w:r>
        <w:t xml:space="preserve"> </w:t>
      </w:r>
      <w:r>
        <w:t xml:space="preserve">explained.</w:t>
      </w:r>
      <w:r>
        <w:t xml:space="preserve"> </w:t>
      </w:r>
      <w:r>
        <w:t xml:space="preserve">Sections 6 and 7 were reviewed; in particular,</w:t>
      </w:r>
      <w:r>
        <w:t xml:space="preserve"> </w:t>
      </w:r>
      <w:r>
        <w:t xml:space="preserve">changes were made to Sections 6.4.2 on the</w:t>
      </w:r>
      <w:r>
        <w:t xml:space="preserve"> </w:t>
      </w:r>
      <w:r>
        <w:t xml:space="preserve">C options and Sections 6.3.2 and 7 on the B</w:t>
      </w:r>
      <w:r>
        <w:t xml:space="preserve"> </w:t>
      </w:r>
      <w:r>
        <w:t xml:space="preserve">options to take into account the examples.</w:t>
      </w:r>
    </w:p>
    <w:p>
      <w:pPr>
        <w:pStyle w:val="Compact"/>
        <w:numPr>
          <w:ilvl w:val="0"/>
          <w:numId w:val="1005"/>
        </w:numPr>
      </w:pPr>
      <w:r>
        <w:t xml:space="preserve">The monitoring framework, as presented</w:t>
      </w:r>
      <w:r>
        <w:t xml:space="preserve"> </w:t>
      </w:r>
      <w:r>
        <w:t xml:space="preserve">in the report and detailed in Annex 12, does</w:t>
      </w:r>
      <w:r>
        <w:t xml:space="preserve"> </w:t>
      </w:r>
      <w:r>
        <w:t xml:space="preserve">not include sufficiently RACER indicators.</w:t>
      </w:r>
      <w:r>
        <w:t xml:space="preserve"> </w:t>
      </w:r>
      <w:r>
        <w:t xml:space="preserve">Section 9 was revised in line with the</w:t>
      </w:r>
      <w:r>
        <w:t xml:space="preserve"> </w:t>
      </w:r>
      <w:r>
        <w:t xml:space="preserve">reconceptualised intervention logic and with</w:t>
      </w:r>
      <w:r>
        <w:t xml:space="preserve"> </w:t>
      </w:r>
      <w:r>
        <w:t xml:space="preserve">information from Annex 12. Annex 12 was</w:t>
      </w:r>
      <w:r>
        <w:t xml:space="preserve"> </w:t>
      </w:r>
      <w:r>
        <w:t xml:space="preserve">equally updated.</w:t>
      </w:r>
    </w:p>
    <w:p>
      <w:pPr>
        <w:pStyle w:val="Compact"/>
        <w:numPr>
          <w:ilvl w:val="0"/>
          <w:numId w:val="1006"/>
        </w:numPr>
      </w:pPr>
      <w:r>
        <w:t xml:space="preserve">Evidence, sources and quality</w:t>
      </w:r>
      <w:r>
        <w:t xml:space="preserve"> </w:t>
      </w:r>
      <w:r>
        <w:t xml:space="preserve">The Impact Assessment for the revision of the RGL and the new TBER was supported by an</w:t>
      </w:r>
      <w:r>
        <w:t xml:space="preserve"> </w:t>
      </w:r>
      <w:r>
        <w:t xml:space="preserve">external study212. The study was procured under the Framework contract COMP/2017/013 for</w:t>
      </w:r>
      <w:r>
        <w:t xml:space="preserve"> </w:t>
      </w:r>
      <w:r>
        <w:t xml:space="preserve">the provision of support studies for evaluations and impact assessments in the area of State aid</w:t>
      </w:r>
      <w:r>
        <w:t xml:space="preserve"> </w:t>
      </w:r>
      <w:r>
        <w:t xml:space="preserve">policy signed on 24 May 2018. The request for services was accepted by a consortium of DIW</w:t>
      </w:r>
      <w:r>
        <w:t xml:space="preserve"> </w:t>
      </w:r>
      <w:r>
        <w:t xml:space="preserve">Berlin, E.CA Economics, LEAR, Sheppard Mullin Richter &amp; Hampton LLP, and the University</w:t>
      </w:r>
      <w:r>
        <w:t xml:space="preserve"> </w:t>
      </w:r>
      <w:r>
        <w:t xml:space="preserve">of East Anglia, who made an offer on 9 December 2021. The contract was awarded and signed</w:t>
      </w:r>
      <w:r>
        <w:t xml:space="preserve"> </w:t>
      </w:r>
      <w:r>
        <w:t xml:space="preserve">on 16 and 22 December 2021 respectively. The study mainly covered four areas of interest:</w:t>
      </w:r>
      <w:r>
        <w:t xml:space="preserve"> </w:t>
      </w:r>
      <w:r>
        <w:t xml:space="preserve">status of rail infrastructure, accessibility and costs (including modernisation) pertaining to</w:t>
      </w:r>
      <w:r>
        <w:t xml:space="preserve"> </w:t>
      </w:r>
      <w:r>
        <w:t xml:space="preserve">rolling stock, profitability and demand elasticity of rail freight services and effectiveness of</w:t>
      </w:r>
      <w:r>
        <w:t xml:space="preserve"> </w:t>
      </w:r>
      <w:r>
        <w:t xml:space="preserve">State aid.</w:t>
      </w:r>
      <w:r>
        <w:br/>
      </w:r>
      <w:r>
        <w:t xml:space="preserve">The analysis is based on a multiple sources: academic literature, databases (including those</w:t>
      </w:r>
      <w:r>
        <w:t xml:space="preserve"> </w:t>
      </w:r>
      <w:r>
        <w:t xml:space="preserve">developed by EU Bodies (Eurostat, European Railway Agency) and national Registration</w:t>
      </w:r>
      <w:r>
        <w:t xml:space="preserve"> </w:t>
      </w:r>
      <w:r>
        <w:t xml:space="preserve">Entities of the EU Member States, surveys and interviews targeting stakeholders in twelve</w:t>
      </w:r>
      <w:r>
        <w:t xml:space="preserve"> </w:t>
      </w:r>
      <w:r>
        <w:t xml:space="preserve">Member States and Switzerland, including European umbrella associations, infrastructure</w:t>
      </w:r>
      <w:r>
        <w:t xml:space="preserve"> </w:t>
      </w:r>
      <w:r>
        <w:t xml:space="preserve">managers, national market regulators, IWW operators, rolling stock leasing companies,</w:t>
      </w:r>
      <w:r>
        <w:t xml:space="preserve"> </w:t>
      </w:r>
      <w:r>
        <w:t xml:space="preserve">granting authorities, railway undertakings and intermodal operators.</w:t>
      </w:r>
    </w:p>
    <w:p>
      <w:pPr>
        <w:pStyle w:val="FirstParagraph"/>
      </w:pPr>
      <w:r>
        <w:t xml:space="preserve">212 See footnote 50.</w:t>
      </w:r>
    </w:p>
    <w:p>
      <w:pPr>
        <w:pStyle w:val="BodyText"/>
      </w:pPr>
      <w:r>
        <w:t xml:space="preserve">A-6</w:t>
      </w:r>
    </w:p>
    <w:p>
      <w:pPr>
        <w:pStyle w:val="BodyText"/>
      </w:pPr>
      <w:r>
        <w:t xml:space="preserve">The project was also supported by several consultation activities, including two advisory</w:t>
      </w:r>
      <w:r>
        <w:t xml:space="preserve"> </w:t>
      </w:r>
      <w:r>
        <w:t xml:space="preserve">committees and a multilateral meeting with Member States and the European Economic Area</w:t>
      </w:r>
      <w:r>
        <w:t xml:space="preserve"> </w:t>
      </w:r>
      <w:r>
        <w:t xml:space="preserve">(‘EEA’) States. More details on this are provided in Annex 2.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Significant consultation work was carried out to collect information and data for the revision of</w:t>
      </w:r>
      <w:r>
        <w:t xml:space="preserve"> </w:t>
      </w:r>
      <w:r>
        <w:t xml:space="preserve">the RGL and design of the TBER.</w:t>
      </w:r>
      <w:r>
        <w:br/>
      </w:r>
      <w:r>
        <w:t xml:space="preserve">2. Outline of the consultation strategy</w:t>
      </w:r>
      <w:r>
        <w:t xml:space="preserve"> </w:t>
      </w:r>
      <w:r>
        <w:t xml:space="preserve">The Commission promoted the initiative on the Better Regulation Portal (“Have your say”)213.</w:t>
      </w:r>
      <w:r>
        <w:t xml:space="preserve"> </w:t>
      </w:r>
      <w:r>
        <w:t xml:space="preserve">The aim of the consultation activities was to collect supporting information and data on SLT so</w:t>
      </w:r>
      <w:r>
        <w:t xml:space="preserve"> </w:t>
      </w:r>
      <w:r>
        <w:t xml:space="preserve">that the rules could be simplified, updated in line with key EU priorities and adapted to the</w:t>
      </w:r>
      <w:r>
        <w:t xml:space="preserve"> </w:t>
      </w:r>
      <w:r>
        <w:t xml:space="preserve">sector’s needs, and to support the Impact Assessment for the revised GLs as well as the new</w:t>
      </w:r>
      <w:r>
        <w:t xml:space="preserve"> </w:t>
      </w:r>
      <w:r>
        <w:t xml:space="preserve">TBER. In particular, the consultation activities were designed to allow interested parties to</w:t>
      </w:r>
      <w:r>
        <w:t xml:space="preserve"> </w:t>
      </w:r>
      <w:r>
        <w:t xml:space="preserve">provide their feedback as regards the potential policy options.</w:t>
      </w:r>
      <w:r>
        <w:t xml:space="preserve"> </w:t>
      </w:r>
      <w:r>
        <w:t xml:space="preserve">2.1. Stakeholders</w:t>
      </w:r>
      <w:r>
        <w:t xml:space="preserve"> </w:t>
      </w:r>
      <w:r>
        <w:t xml:space="preserve">The primary stakeholders are Member States’ granting authorities and transport regulators</w:t>
      </w:r>
      <w:r>
        <w:t xml:space="preserve"> </w:t>
      </w:r>
      <w:r>
        <w:t xml:space="preserve">(yellow), and all possible beneficiaries of State aid measures that support SLT and their</w:t>
      </w:r>
      <w:r>
        <w:t xml:space="preserve"> </w:t>
      </w:r>
      <w:r>
        <w:t xml:space="preserve">competitors (green). Attention has been given to business associations and organisations of the</w:t>
      </w:r>
      <w:r>
        <w:t xml:space="preserve"> </w:t>
      </w:r>
      <w:r>
        <w:t xml:space="preserve">above categories, as well as to stakeholders possessing detailed expertise.</w:t>
      </w:r>
      <w:r>
        <w:br/>
      </w:r>
      <w:r>
        <w:t xml:space="preserve">Specific stakeholder categories, selected in function of the impact the revision of the RGL and</w:t>
      </w:r>
      <w:r>
        <w:t xml:space="preserve"> </w:t>
      </w:r>
      <w:r>
        <w:t xml:space="preserve">the new TBER will have on them (from most to least impacted), include:</w:t>
      </w:r>
      <w:r>
        <w:t xml:space="preserve"> </w:t>
      </w:r>
      <w:r>
        <w:t xml:space="preserve">-</w:t>
      </w:r>
      <w:r>
        <w:t xml:space="preserve"> </w:t>
      </w:r>
      <w:r>
        <w:t xml:space="preserve">Local and national aid granting authorities</w:t>
      </w:r>
      <w:r>
        <w:t xml:space="preserve"> </w:t>
      </w:r>
      <w:r>
        <w:t xml:space="preserve">-</w:t>
      </w:r>
      <w:r>
        <w:t xml:space="preserve"> </w:t>
      </w:r>
      <w:r>
        <w:t xml:space="preserve">National and EU regulatory bodies</w:t>
      </w:r>
      <w:r>
        <w:t xml:space="preserve"> </w:t>
      </w:r>
      <w:r>
        <w:t xml:space="preserve">-</w:t>
      </w:r>
      <w:r>
        <w:t xml:space="preserve"> </w:t>
      </w:r>
      <w:r>
        <w:t xml:space="preserve">Railway undertakings</w:t>
      </w:r>
      <w:r>
        <w:t xml:space="preserve"> </w:t>
      </w:r>
      <w:r>
        <w:t xml:space="preserve">-</w:t>
      </w:r>
      <w:r>
        <w:t xml:space="preserve"> </w:t>
      </w:r>
      <w:r>
        <w:t xml:space="preserve">Terminal owners and operators</w:t>
      </w:r>
      <w:r>
        <w:t xml:space="preserve"> </w:t>
      </w:r>
      <w:r>
        <w:t xml:space="preserve">-</w:t>
      </w:r>
      <w:r>
        <w:t xml:space="preserve"> </w:t>
      </w:r>
      <w:r>
        <w:t xml:space="preserve">Multimodal transport operators</w:t>
      </w:r>
      <w:r>
        <w:br/>
      </w:r>
      <w:r>
        <w:t xml:space="preserve">-</w:t>
      </w:r>
      <w:r>
        <w:t xml:space="preserve"> </w:t>
      </w:r>
      <w:r>
        <w:t xml:space="preserve">Organisers of multimodal freight transport</w:t>
      </w:r>
      <w:r>
        <w:t xml:space="preserve"> </w:t>
      </w:r>
      <w:r>
        <w:t xml:space="preserve">-</w:t>
      </w:r>
      <w:r>
        <w:t xml:space="preserve"> </w:t>
      </w:r>
      <w:r>
        <w:t xml:space="preserve">Freight forwarders</w:t>
      </w:r>
      <w:r>
        <w:t xml:space="preserve"> </w:t>
      </w:r>
      <w:r>
        <w:t xml:space="preserve">-</w:t>
      </w:r>
      <w:r>
        <w:t xml:space="preserve"> </w:t>
      </w:r>
      <w:r>
        <w:t xml:space="preserve">Logistics operators</w:t>
      </w:r>
      <w:r>
        <w:br/>
      </w:r>
      <w:r>
        <w:t xml:space="preserve">-</w:t>
      </w:r>
      <w:r>
        <w:t xml:space="preserve"> </w:t>
      </w:r>
      <w:r>
        <w:t xml:space="preserve">Shippers</w:t>
      </w:r>
      <w:r>
        <w:t xml:space="preserve"> </w:t>
      </w:r>
      <w:r>
        <w:t xml:space="preserve">-</w:t>
      </w:r>
      <w:r>
        <w:t xml:space="preserve"> </w:t>
      </w:r>
      <w:r>
        <w:t xml:space="preserve">Rolling stock leasing companies</w:t>
      </w:r>
      <w:r>
        <w:t xml:space="preserve"> </w:t>
      </w:r>
      <w:r>
        <w:t xml:space="preserve">-</w:t>
      </w:r>
      <w:r>
        <w:t xml:space="preserve"> </w:t>
      </w:r>
      <w:r>
        <w:t xml:space="preserve">IWW and maritime freight transport operators</w:t>
      </w:r>
      <w:r>
        <w:t xml:space="preserve"> </w:t>
      </w:r>
      <w:r>
        <w:t xml:space="preserve">-</w:t>
      </w:r>
      <w:r>
        <w:t xml:space="preserve"> </w:t>
      </w:r>
      <w:r>
        <w:t xml:space="preserve">Railway infrastructure managers</w:t>
      </w:r>
      <w:r>
        <w:t xml:space="preserve"> </w:t>
      </w:r>
      <w:r>
        <w:t xml:space="preserve">-</w:t>
      </w:r>
      <w:r>
        <w:t xml:space="preserve"> </w:t>
      </w:r>
      <w:r>
        <w:t xml:space="preserve">Road hauliers</w:t>
      </w:r>
    </w:p>
    <w:p>
      <w:pPr>
        <w:pStyle w:val="BodyText"/>
      </w:pPr>
      <w:r>
        <w:t xml:space="preserve">213</w:t>
      </w:r>
      <w:r>
        <w:t xml:space="preserve"> </w:t>
      </w:r>
      <w:r>
        <w:t xml:space="preserve">https://ec.europa.eu/info/law/better-regulation/have-your-say/initiatives/13154-Rail-transport-revision-of-</w:t>
      </w:r>
      <w:r>
        <w:t xml:space="preserve"> </w:t>
      </w:r>
      <w:r>
        <w:t xml:space="preserve">State-aid-guidelines_en</w:t>
      </w:r>
      <w:r>
        <w:t xml:space="preserve"> </w:t>
      </w:r>
      <w:r>
        <w:t xml:space="preserve">and</w:t>
      </w:r>
      <w:r>
        <w:t xml:space="preserve"> </w:t>
      </w:r>
      <w:r>
        <w:t xml:space="preserve">https://ec.europa.eu/info/law/better-regulation/have-your-say/initiatives/14184-</w:t>
      </w:r>
      <w:r>
        <w:t xml:space="preserve"> </w:t>
      </w:r>
      <w:r>
        <w:t xml:space="preserve">Block exemption-regulation-on-the-application-of-Articles-93-and-108-of-the-Treaty-to-State-aid-for-the-land-</w:t>
      </w:r>
      <w:r>
        <w:t xml:space="preserve"> </w:t>
      </w:r>
      <w:r>
        <w:t xml:space="preserve">transport-sector_en.</w:t>
      </w:r>
    </w:p>
    <w:p>
      <w:pPr>
        <w:pStyle w:val="BodyText"/>
      </w:pPr>
      <w:r>
        <w:t xml:space="preserve">A-7</w:t>
      </w:r>
    </w:p>
    <w:p>
      <w:pPr>
        <w:pStyle w:val="Compact"/>
        <w:numPr>
          <w:ilvl w:val="0"/>
          <w:numId w:val="1007"/>
        </w:numPr>
      </w:pPr>
      <w:r>
        <w:t xml:space="preserve">Industry associations representing the different categories above at EU and national</w:t>
      </w:r>
      <w:r>
        <w:t xml:space="preserve"> </w:t>
      </w:r>
      <w:r>
        <w:t xml:space="preserve">level</w:t>
      </w:r>
    </w:p>
    <w:p>
      <w:pPr>
        <w:pStyle w:val="Compact"/>
        <w:numPr>
          <w:ilvl w:val="0"/>
          <w:numId w:val="1007"/>
        </w:numPr>
      </w:pPr>
      <w:r>
        <w:t xml:space="preserve">Sectoral think tanks, platforms and networks, environmental non-governmental</w:t>
      </w:r>
      <w:r>
        <w:t xml:space="preserve"> </w:t>
      </w:r>
      <w:r>
        <w:t xml:space="preserve">organisations (‘NGOs’)</w:t>
      </w:r>
    </w:p>
    <w:p>
      <w:pPr>
        <w:pStyle w:val="Compact"/>
        <w:numPr>
          <w:ilvl w:val="0"/>
          <w:numId w:val="1007"/>
        </w:numPr>
      </w:pPr>
      <w:r>
        <w:t xml:space="preserve">Sectoral manufacturers</w:t>
      </w:r>
    </w:p>
    <w:p>
      <w:pPr>
        <w:pStyle w:val="Compact"/>
        <w:numPr>
          <w:ilvl w:val="0"/>
          <w:numId w:val="1007"/>
        </w:numPr>
      </w:pPr>
      <w:r>
        <w:t xml:space="preserve">Consultancies</w:t>
      </w:r>
    </w:p>
    <w:p>
      <w:pPr>
        <w:pStyle w:val="Compact"/>
        <w:numPr>
          <w:ilvl w:val="0"/>
          <w:numId w:val="1007"/>
        </w:numPr>
      </w:pPr>
      <w:r>
        <w:t xml:space="preserve">Researchers and academics</w:t>
      </w:r>
    </w:p>
    <w:p>
      <w:pPr>
        <w:pStyle w:val="Compact"/>
        <w:numPr>
          <w:ilvl w:val="0"/>
          <w:numId w:val="1007"/>
        </w:numPr>
      </w:pPr>
      <w:r>
        <w:t xml:space="preserve">Consumers and consumers’ associations</w:t>
      </w:r>
    </w:p>
    <w:p>
      <w:pPr>
        <w:pStyle w:val="FirstParagraph"/>
      </w:pPr>
      <w:r>
        <w:t xml:space="preserve">2.2. Methods of engagement</w:t>
      </w:r>
      <w:r>
        <w:t xml:space="preserve"> </w:t>
      </w:r>
      <w:r>
        <w:t xml:space="preserve">A balanced and comprehensive coverage of stakeholder views has been ensured through open</w:t>
      </w:r>
      <w:r>
        <w:t xml:space="preserve"> </w:t>
      </w:r>
      <w:r>
        <w:t xml:space="preserve">and targeted consultation methods. A set of different consultation tools has been used, each</w:t>
      </w:r>
      <w:r>
        <w:t xml:space="preserve"> </w:t>
      </w:r>
      <w:r>
        <w:t xml:space="preserve">focusing on different types of stakeholders. While Member States’ authorities and relevant</w:t>
      </w:r>
      <w:r>
        <w:t xml:space="preserve"> </w:t>
      </w:r>
      <w:r>
        <w:t xml:space="preserve">stakeholder associations have been consulted via targeted interviews and meetings, the online</w:t>
      </w:r>
      <w:r>
        <w:t xml:space="preserve"> </w:t>
      </w:r>
      <w:r>
        <w:t xml:space="preserve">public consultation reached out to them in a more formalised way, but also to a wider audience,</w:t>
      </w:r>
      <w:r>
        <w:t xml:space="preserve"> </w:t>
      </w:r>
      <w:r>
        <w:t xml:space="preserve">e.g. industry, as well as sectoral think-tanks, academics and researchers and individual citizens.</w:t>
      </w:r>
      <w:r>
        <w:t xml:space="preserve"> </w:t>
      </w:r>
      <w:r>
        <w:t xml:space="preserve">Given the scope and the stakeholder base, the following activities have been carried out in the</w:t>
      </w:r>
      <w:r>
        <w:t xml:space="preserve"> </w:t>
      </w:r>
      <w:r>
        <w:t xml:space="preserve">consultation process:</w:t>
      </w:r>
      <w:r>
        <w:br/>
      </w:r>
      <w:r>
        <w:t xml:space="preserve">• Four-week feedback period on the IIA214 on the revised GLs and the CfE for the</w:t>
      </w:r>
      <w:r>
        <w:t xml:space="preserve"> </w:t>
      </w:r>
      <w:r>
        <w:t xml:space="preserve">TBER215;</w:t>
      </w:r>
      <w:r>
        <w:t xml:space="preserve"> </w:t>
      </w:r>
      <w:r>
        <w:t xml:space="preserve">• Public consultation (12 weeks) through a questionnaire216. It was published in</w:t>
      </w:r>
      <w:r>
        <w:t xml:space="preserve"> </w:t>
      </w:r>
      <w:r>
        <w:t xml:space="preserve">English, French and German;</w:t>
      </w:r>
      <w:r>
        <w:br/>
      </w:r>
      <w:r>
        <w:t xml:space="preserve">• Targeted consultations conducted by the contractor of the study by way of survey</w:t>
      </w:r>
      <w:r>
        <w:t xml:space="preserve"> </w:t>
      </w:r>
      <w:r>
        <w:t xml:space="preserve">questionnaires and interviews of key stakeholders;</w:t>
      </w:r>
      <w:r>
        <w:t xml:space="preserve"> </w:t>
      </w:r>
      <w:r>
        <w:t xml:space="preserve">• Targeted consultation on the proposed revised GLs and TBER available on DG</w:t>
      </w:r>
      <w:r>
        <w:t xml:space="preserve"> </w:t>
      </w:r>
      <w:r>
        <w:t xml:space="preserve">COMP’s website217;</w:t>
      </w:r>
      <w:r>
        <w:t xml:space="preserve"> </w:t>
      </w:r>
      <w:r>
        <w:t xml:space="preserve">• Meeting with the Member States on 10 September 2024 during the consultation on</w:t>
      </w:r>
      <w:r>
        <w:t xml:space="preserve"> </w:t>
      </w:r>
      <w:r>
        <w:t xml:space="preserve">the proposed revised GLs and TBER drafts and on 18 June 2025 during the second</w:t>
      </w:r>
      <w:r>
        <w:t xml:space="preserve"> </w:t>
      </w:r>
      <w:r>
        <w:t xml:space="preserve">consultation of Member States on the TBER draft;</w:t>
      </w:r>
      <w:r>
        <w:br/>
      </w:r>
      <w:r>
        <w:t xml:space="preserve">• Targeted consultation of relevant national and regional authorities regarding the</w:t>
      </w:r>
      <w:r>
        <w:t xml:space="preserve"> </w:t>
      </w:r>
      <w:r>
        <w:t xml:space="preserve">administrative burden reduction entailed by the TBER; and</w:t>
      </w:r>
      <w:r>
        <w:t xml:space="preserve"> </w:t>
      </w:r>
      <w:r>
        <w:t xml:space="preserve">• Bilateral meetings with Member States, representatives of the sector, stakeholder</w:t>
      </w:r>
      <w:r>
        <w:t xml:space="preserve"> </w:t>
      </w:r>
      <w:r>
        <w:t xml:space="preserve">associations, and other interested stakeholders.</w:t>
      </w:r>
    </w:p>
    <w:p>
      <w:pPr>
        <w:pStyle w:val="BodyText"/>
      </w:pPr>
      <w:r>
        <w:t xml:space="preserve">214 See footnote 213.</w:t>
      </w:r>
      <w:r>
        <w:br/>
      </w:r>
      <w:r>
        <w:t xml:space="preserve">215 See footnote 213.</w:t>
      </w:r>
      <w:r>
        <w:br/>
      </w:r>
      <w:r>
        <w:t xml:space="preserve">216 See footnote 213.</w:t>
      </w:r>
      <w:r>
        <w:br/>
      </w:r>
      <w:r>
        <w:t xml:space="preserve">217 See footnote 53</w:t>
      </w:r>
    </w:p>
    <w:p>
      <w:pPr>
        <w:pStyle w:val="BodyText"/>
      </w:pPr>
      <w:r>
        <w:t xml:space="preserve">A-8</w:t>
      </w:r>
    </w:p>
    <w:p>
      <w:pPr>
        <w:pStyle w:val="BodyText"/>
      </w:pPr>
      <w:r>
        <w:t xml:space="preserve">Moreover, the revision of the RGL and introduction of the TBER also benefitted from the</w:t>
      </w:r>
      <w:r>
        <w:t xml:space="preserve"> </w:t>
      </w:r>
      <w:r>
        <w:t xml:space="preserve">results of a consultation already carried out in the framework of the Fitness Check of the SAM</w:t>
      </w:r>
      <w:r>
        <w:t xml:space="preserve"> </w:t>
      </w:r>
      <w:r>
        <w:t xml:space="preserve">package, during which further submissions also regarding the specific GLs were received.</w:t>
      </w:r>
      <w:r>
        <w:t xml:space="preserve"> </w:t>
      </w:r>
      <w:r>
        <w:t xml:space="preserve">3. Methodology and tools used to process the data</w:t>
      </w:r>
      <w:r>
        <w:t xml:space="preserve"> </w:t>
      </w:r>
      <w:r>
        <w:t xml:space="preserve">The Commission used a combination of questionnaires, meetings with interested stakeholders,</w:t>
      </w:r>
      <w:r>
        <w:t xml:space="preserve"> </w:t>
      </w:r>
      <w:r>
        <w:t xml:space="preserve">public consultations and working groups with Member States, to ensure a transparent and</w:t>
      </w:r>
      <w:r>
        <w:t xml:space="preserve"> </w:t>
      </w:r>
      <w:r>
        <w:t xml:space="preserve">comprehensive methodology for the assessment of the data collected.</w:t>
      </w:r>
      <w:r>
        <w:t xml:space="preserve"> </w:t>
      </w:r>
      <w:r>
        <w:t xml:space="preserve">In particular, one public consultation and two targeted consultations were launched to provide</w:t>
      </w:r>
      <w:r>
        <w:t xml:space="preserve"> </w:t>
      </w:r>
      <w:r>
        <w:t xml:space="preserve">all stakeholders the possibility to contribute to the initiative submitting backward-looking data</w:t>
      </w:r>
      <w:r>
        <w:t xml:space="preserve"> </w:t>
      </w:r>
      <w:r>
        <w:t xml:space="preserve">and forward-looking feedback. More specifically, the feedback from the consultations, as well</w:t>
      </w:r>
      <w:r>
        <w:t xml:space="preserve"> </w:t>
      </w:r>
      <w:r>
        <w:t xml:space="preserve">as the feedback to the IIA and CfE were analysed internally by the Commission.</w:t>
      </w:r>
      <w:r>
        <w:br/>
      </w:r>
      <w:r>
        <w:t xml:space="preserve">4. The results of the stakeholder consultations</w:t>
      </w:r>
      <w:r>
        <w:t xml:space="preserve"> </w:t>
      </w:r>
      <w:r>
        <w:t xml:space="preserve">This Point summarises the views and evidence collected from the different categories of</w:t>
      </w:r>
      <w:r>
        <w:t xml:space="preserve"> </w:t>
      </w:r>
      <w:r>
        <w:t xml:space="preserve">stakeholders during the consultation activities. The fact that for all consultation activities a large</w:t>
      </w:r>
      <w:r>
        <w:t xml:space="preserve"> </w:t>
      </w:r>
      <w:r>
        <w:t xml:space="preserve">share of the replies comes from businesses and business associations has significantly affected</w:t>
      </w:r>
      <w:r>
        <w:t xml:space="preserve"> </w:t>
      </w:r>
      <w:r>
        <w:t xml:space="preserve">the representativeness of the outcome. The nature of these replies reveals a general bias towards</w:t>
      </w:r>
      <w:r>
        <w:t xml:space="preserve"> </w:t>
      </w:r>
      <w:r>
        <w:t xml:space="preserve">a wider scope and increased level of State aid by the likely affected stakeholders, even though</w:t>
      </w:r>
      <w:r>
        <w:t xml:space="preserve"> </w:t>
      </w:r>
      <w:r>
        <w:t xml:space="preserve">there are diverging views on specific topics and by sectors competing with the targeted</w:t>
      </w:r>
      <w:r>
        <w:t xml:space="preserve"> </w:t>
      </w:r>
      <w:r>
        <w:t xml:space="preserve">beneficiaries. To this extent, Member States and NGOs, albeit outnumbered by the former</w:t>
      </w:r>
      <w:r>
        <w:t xml:space="preserve"> </w:t>
      </w:r>
      <w:r>
        <w:t xml:space="preserve">categories, added alternative insights.</w:t>
      </w:r>
      <w:r>
        <w:t xml:space="preserve"> </w:t>
      </w:r>
      <w:r>
        <w:t xml:space="preserve">4.1. The feedback on the IIA for the revised GLs</w:t>
      </w:r>
      <w:r>
        <w:t xml:space="preserve"> </w:t>
      </w:r>
      <w:r>
        <w:t xml:space="preserve">From 1 to 29 October 2021, the Commission published the IIA for the revision of the RGL in</w:t>
      </w:r>
      <w:r>
        <w:t xml:space="preserve"> </w:t>
      </w:r>
      <w:r>
        <w:t xml:space="preserve">order to allow stakeholders to provide their feedback on the initiative. 15 stakeholders provided</w:t>
      </w:r>
      <w:r>
        <w:t xml:space="preserve"> </w:t>
      </w:r>
      <w:r>
        <w:t xml:space="preserve">a response, of which 3 were companies and 7 were business associations. Moreover, 1 academic</w:t>
      </w:r>
      <w:r>
        <w:t xml:space="preserve"> </w:t>
      </w:r>
      <w:r>
        <w:t xml:space="preserve">association, 2 EU citizens, 1 navigation authority and 1 regional public entity provided</w:t>
      </w:r>
      <w:r>
        <w:t xml:space="preserve"> </w:t>
      </w:r>
      <w:r>
        <w:t xml:space="preserve">feedback.</w:t>
      </w:r>
      <w:r>
        <w:br/>
      </w:r>
      <w:r>
        <w:t xml:space="preserve">The relevance of the RGL was not questioned. Moreover, two thirds of the respondents</w:t>
      </w:r>
      <w:r>
        <w:t xml:space="preserve"> </w:t>
      </w:r>
      <w:r>
        <w:t xml:space="preserve">specifically welcomed the revision of the RGL or the introduction of a TBER in their reply218.</w:t>
      </w:r>
      <w:r>
        <w:t xml:space="preserve"> </w:t>
      </w:r>
      <w:r>
        <w:t xml:space="preserve">Feedback touched on the following points in particular:</w:t>
      </w:r>
      <w:r>
        <w:br/>
      </w:r>
      <w:r>
        <w:t xml:space="preserve">• SLT and decarbonisation:</w:t>
      </w:r>
      <w:r>
        <w:t xml:space="preserve"> </w:t>
      </w:r>
      <w:r>
        <w:t xml:space="preserve">Three contributors suggested being more generous as regards operating aid for external</w:t>
      </w:r>
      <w:r>
        <w:t xml:space="preserve"> </w:t>
      </w:r>
      <w:r>
        <w:t xml:space="preserve">costs to support sustainable transport and particularly the decarbonisation of rail</w:t>
      </w:r>
      <w:r>
        <w:t xml:space="preserve"> </w:t>
      </w:r>
      <w:r>
        <w:t xml:space="preserve">transport219.</w:t>
      </w:r>
      <w:r>
        <w:t xml:space="preserve"> </w:t>
      </w:r>
      <w:r>
        <w:t xml:space="preserve">• Level playing field:</w:t>
      </w:r>
      <w:r>
        <w:t xml:space="preserve"> </w:t>
      </w:r>
      <w:r>
        <w:t xml:space="preserve">Three respondents highlighted the need to develop a fair, non-discriminatory and</w:t>
      </w:r>
      <w:r>
        <w:t xml:space="preserve"> </w:t>
      </w:r>
      <w:r>
        <w:t xml:space="preserve">transparent distribution of State aid, arguing that entry barriers for new entrants are high,</w:t>
      </w:r>
      <w:r>
        <w:t xml:space="preserve"> </w:t>
      </w:r>
      <w:r>
        <w:t xml:space="preserve">and that market entry needs to be facilitated220.</w:t>
      </w:r>
    </w:p>
    <w:p>
      <w:pPr>
        <w:pStyle w:val="BodyText"/>
      </w:pPr>
      <w:r>
        <w:t xml:space="preserve">218 6 business associations out of 7 (85.7%), 3 companies out of 3 (100%), 1 regional public entity out of 1 (100%).</w:t>
      </w:r>
      <w:r>
        <w:t xml:space="preserve"> </w:t>
      </w:r>
      <w:r>
        <w:t xml:space="preserve">219 1 business association out of 7 (14.3%), 1 company out of 3 (33.3%), 1 regional public entity out of 1 (100%).</w:t>
      </w:r>
      <w:r>
        <w:t xml:space="preserve"> </w:t>
      </w:r>
      <w:r>
        <w:t xml:space="preserve">220 1 business association out of 7 (14.3%), 1 company out of 3 (33.3%), 1 academic institution out of 1 (100%).</w:t>
      </w:r>
    </w:p>
    <w:p>
      <w:pPr>
        <w:pStyle w:val="BodyText"/>
      </w:pPr>
      <w:r>
        <w:t xml:space="preserve">A-9</w:t>
      </w:r>
    </w:p>
    <w:p>
      <w:pPr>
        <w:pStyle w:val="BodyText"/>
      </w:pPr>
      <w:r>
        <w:t xml:space="preserve">• Access to rolling stock:</w:t>
      </w:r>
      <w:r>
        <w:t xml:space="preserve"> </w:t>
      </w:r>
      <w:r>
        <w:t xml:space="preserve">6 respondents provided comments on the acquisition of rolling stock, with half being</w:t>
      </w:r>
      <w:r>
        <w:t xml:space="preserve"> </w:t>
      </w:r>
      <w:r>
        <w:t xml:space="preserve">rather against and half rather in favour. Three respondents considered that aid in the</w:t>
      </w:r>
      <w:r>
        <w:t xml:space="preserve"> </w:t>
      </w:r>
      <w:r>
        <w:t xml:space="preserve">form of lump sums should be prohibited221 across the sector or in the freight segment</w:t>
      </w:r>
      <w:r>
        <w:t xml:space="preserve"> </w:t>
      </w:r>
      <w:r>
        <w:t xml:space="preserve">only, while another three respondents considered that ambitious measures are</w:t>
      </w:r>
      <w:r>
        <w:t xml:space="preserve"> </w:t>
      </w:r>
      <w:r>
        <w:t xml:space="preserve">necessary222 either for all vehicles or for clean vehicles only.</w:t>
      </w:r>
      <w:r>
        <w:br/>
      </w:r>
      <w:r>
        <w:t xml:space="preserve">• New technologies:</w:t>
      </w:r>
      <w:r>
        <w:t xml:space="preserve"> </w:t>
      </w:r>
      <w:r>
        <w:t xml:space="preserve">Four respondents highlighted the importance of State aid for new technologies,</w:t>
      </w:r>
      <w:r>
        <w:t xml:space="preserve"> </w:t>
      </w:r>
      <w:r>
        <w:t xml:space="preserve">including in particular interoperability technologies as well as, in one case, R&amp;D223.</w:t>
      </w:r>
      <w:r>
        <w:t xml:space="preserve"> </w:t>
      </w:r>
      <w:r>
        <w:t xml:space="preserve">4.2. The feedback on the CfE for the TBER</w:t>
      </w:r>
      <w:r>
        <w:t xml:space="preserve"> </w:t>
      </w:r>
      <w:r>
        <w:t xml:space="preserve">From 6 March to 3 April 2024, the Commission published the CfE on the introduction of the</w:t>
      </w:r>
      <w:r>
        <w:t xml:space="preserve"> </w:t>
      </w:r>
      <w:r>
        <w:t xml:space="preserve">TBER in order to allow stakeholders to provide their feedback. 31 stakeholders provided a</w:t>
      </w:r>
      <w:r>
        <w:t xml:space="preserve"> </w:t>
      </w:r>
      <w:r>
        <w:t xml:space="preserve">response (of which 8 via e-mail shortly after the deadline for responses on the “Have your Say”</w:t>
      </w:r>
      <w:r>
        <w:t xml:space="preserve"> </w:t>
      </w:r>
      <w:r>
        <w:t xml:space="preserve">portal expired), of which 14 business associations and 2 businesses, 9 public authorities, 4 EU</w:t>
      </w:r>
      <w:r>
        <w:t xml:space="preserve"> </w:t>
      </w:r>
      <w:r>
        <w:t xml:space="preserve">citizens and 2 NGOs. Business associations relayed also the views of SMEs, with one business</w:t>
      </w:r>
      <w:r>
        <w:t xml:space="preserve"> </w:t>
      </w:r>
      <w:r>
        <w:t xml:space="preserve">association representing SMEs only and two business associations representing parts of the</w:t>
      </w:r>
      <w:r>
        <w:t xml:space="preserve"> </w:t>
      </w:r>
      <w:r>
        <w:t xml:space="preserve">IWW sector, which is dominated by SMEs.</w:t>
      </w:r>
      <w:r>
        <w:t xml:space="preserve"> </w:t>
      </w:r>
      <w:r>
        <w:t xml:space="preserve">The respondents welcomed the introduction of a TBER. More concretely, feedback touched on</w:t>
      </w:r>
      <w:r>
        <w:t xml:space="preserve"> </w:t>
      </w:r>
      <w:r>
        <w:t xml:space="preserve">the following points:</w:t>
      </w:r>
      <w:r>
        <w:t xml:space="preserve"> </w:t>
      </w:r>
      <w:r>
        <w:t xml:space="preserve">• 13 respondents224 consider that the TBER would considerably simplify and streamline</w:t>
      </w:r>
      <w:r>
        <w:t xml:space="preserve"> </w:t>
      </w:r>
      <w:r>
        <w:t xml:space="preserve">the granting of aid while decreasing the administrative burden for Member States and</w:t>
      </w:r>
      <w:r>
        <w:t xml:space="preserve"> </w:t>
      </w:r>
      <w:r>
        <w:t xml:space="preserve">accelerate the implementation of State aid measures. 6 stakeholders highlighted the</w:t>
      </w:r>
      <w:r>
        <w:t xml:space="preserve"> </w:t>
      </w:r>
      <w:r>
        <w:t xml:space="preserve">importance of the TBER besides the rail sector also for the IWW sector225.</w:t>
      </w:r>
      <w:r>
        <w:t xml:space="preserve"> </w:t>
      </w:r>
      <w:r>
        <w:t xml:space="preserve">• Respondents proposed to block exempt operating aid226 and investment aid for</w:t>
      </w:r>
      <w:r>
        <w:t xml:space="preserve"> </w:t>
      </w:r>
      <w:r>
        <w:t xml:space="preserve">interoperability227. In addition, many also suggested block exempting investment aid for</w:t>
      </w:r>
      <w:r>
        <w:t xml:space="preserve"> </w:t>
      </w:r>
      <w:r>
        <w:t xml:space="preserve">facilities and infrastructure228. Views were divided regarding aid for the acquisition of</w:t>
      </w:r>
      <w:r>
        <w:t xml:space="preserve"> </w:t>
      </w:r>
      <w:r>
        <w:t xml:space="preserve">rolling stock, where market failures were invoked by some stakeholders as a reason to</w:t>
      </w:r>
      <w:r>
        <w:t xml:space="preserve"> </w:t>
      </w:r>
      <w:r>
        <w:t xml:space="preserve">include such aid measures in the TBER229, while others pointed to a high distortive risk</w:t>
      </w:r>
      <w:r>
        <w:t xml:space="preserve"> </w:t>
      </w:r>
      <w:r>
        <w:t xml:space="preserve">for such aid, warranting a notification230. Few stakeholders also mentioned PSOs for</w:t>
      </w:r>
      <w:r>
        <w:t xml:space="preserve"> </w:t>
      </w:r>
      <w:r>
        <w:t xml:space="preserve">rail freight as a candidate for block exemption231.</w:t>
      </w:r>
    </w:p>
    <w:p>
      <w:pPr>
        <w:pStyle w:val="BodyText"/>
      </w:pPr>
      <w:r>
        <w:t xml:space="preserve">221 3 business associations out of 7 (42.9%).</w:t>
      </w:r>
      <w:r>
        <w:br/>
      </w:r>
      <w:r>
        <w:t xml:space="preserve">222 2 business associations out of 7 (28.6%), 1 regional public entity out of 1 (100%).</w:t>
      </w:r>
      <w:r>
        <w:br/>
      </w:r>
      <w:r>
        <w:t xml:space="preserve">223 3 business associations out of 7 (42.9%), 1 company out of 3 (33.3%).</w:t>
      </w:r>
      <w:r>
        <w:br/>
      </w:r>
      <w:r>
        <w:t xml:space="preserve">224 7 businesses or business associations out of 16 (43.8%), 5 public authorities out of 9 (55.6%), 1 NGO out of 2</w:t>
      </w:r>
      <w:r>
        <w:t xml:space="preserve"> </w:t>
      </w:r>
      <w:r>
        <w:t xml:space="preserve">(50%).</w:t>
      </w:r>
      <w:r>
        <w:t xml:space="preserve"> </w:t>
      </w:r>
      <w:r>
        <w:t xml:space="preserve">225 2 businesses or business associations out of 16 (12.5%), 4 public authorities out of 9 (44.44%).</w:t>
      </w:r>
      <w:r>
        <w:t xml:space="preserve"> </w:t>
      </w:r>
      <w:r>
        <w:t xml:space="preserve">226 5 businesses or business associations out of 16 (31.3%), 5 public authorities out of 9 (55.56%).</w:t>
      </w:r>
      <w:r>
        <w:t xml:space="preserve"> </w:t>
      </w:r>
      <w:r>
        <w:t xml:space="preserve">227 2 businesses or business associations out of 16 (12.5%), 4 public authorities out of 9 (44.4%), 1 NGO out of 2</w:t>
      </w:r>
      <w:r>
        <w:t xml:space="preserve"> </w:t>
      </w:r>
      <w:r>
        <w:t xml:space="preserve">(50%).</w:t>
      </w:r>
      <w:r>
        <w:t xml:space="preserve"> </w:t>
      </w:r>
      <w:r>
        <w:t xml:space="preserve">228 4 businesses or business associations out of 16 (25%), 3 public authorities out of 9 (33.3%), 1 NGO out of 2</w:t>
      </w:r>
      <w:r>
        <w:t xml:space="preserve"> </w:t>
      </w:r>
      <w:r>
        <w:t xml:space="preserve">(50%).</w:t>
      </w:r>
      <w:r>
        <w:t xml:space="preserve"> </w:t>
      </w:r>
      <w:r>
        <w:t xml:space="preserve">229 2 businesses or business associations out of 16 (12.5%), 3 public authorities out of 9 (33.3%), 1 NGO out of 2</w:t>
      </w:r>
      <w:r>
        <w:t xml:space="preserve"> </w:t>
      </w:r>
      <w:r>
        <w:t xml:space="preserve">(50%).</w:t>
      </w:r>
      <w:r>
        <w:t xml:space="preserve"> </w:t>
      </w:r>
      <w:r>
        <w:t xml:space="preserve">230 3 businesses or business associations out of 16 (18.75%).</w:t>
      </w:r>
      <w:r>
        <w:t xml:space="preserve"> </w:t>
      </w:r>
      <w:r>
        <w:t xml:space="preserve">231 1 business association out of 14 (7.1%), 1 public authority out of 9 (11.1%), 1 NGO out of 2 (50%).</w:t>
      </w:r>
    </w:p>
    <w:p>
      <w:pPr>
        <w:pStyle w:val="BodyText"/>
      </w:pPr>
      <w:r>
        <w:t xml:space="preserve">A-10</w:t>
      </w:r>
    </w:p>
    <w:p>
      <w:pPr>
        <w:pStyle w:val="BodyText"/>
      </w:pPr>
      <w:r>
        <w:t xml:space="preserve">• In general, 6 stakeholders advocated for higher aid intensities in the TBER than in the</w:t>
      </w:r>
      <w:r>
        <w:t xml:space="preserve"> </w:t>
      </w:r>
      <w:r>
        <w:t xml:space="preserve">RGL in particular for operating aid232, some up to 100% of eligible cost. For investment</w:t>
      </w:r>
      <w:r>
        <w:t xml:space="preserve"> </w:t>
      </w:r>
      <w:r>
        <w:t xml:space="preserve">aid in facilities and infrastructure, the funding gap approach was put forward by one</w:t>
      </w:r>
      <w:r>
        <w:t xml:space="preserve"> </w:t>
      </w:r>
      <w:r>
        <w:t xml:space="preserve">business association and one public authority.</w:t>
      </w:r>
      <w:r>
        <w:br/>
      </w:r>
      <w:r>
        <w:t xml:space="preserve">• 7 respondents233 emphasized the need to limit any distortion and to let the market</w:t>
      </w:r>
      <w:r>
        <w:t xml:space="preserve"> </w:t>
      </w:r>
      <w:r>
        <w:t xml:space="preserve">deliver, where this is most efficient. Three respondents234 specifically mentioned open</w:t>
      </w:r>
      <w:r>
        <w:t xml:space="preserve"> </w:t>
      </w:r>
      <w:r>
        <w:t xml:space="preserve">and non-discriminatory allocation of aid and the use of aid schemes under the TBER.</w:t>
      </w:r>
    </w:p>
    <w:p>
      <w:pPr>
        <w:pStyle w:val="BodyText"/>
      </w:pPr>
      <w:r>
        <w:t xml:space="preserve">4.3. The public consultation on the basis of a questionnaire</w:t>
      </w:r>
      <w:r>
        <w:t xml:space="preserve"> </w:t>
      </w:r>
      <w:r>
        <w:t xml:space="preserve">The public consultation was carried out through a questionnaire published on EU Survey, which</w:t>
      </w:r>
      <w:r>
        <w:t xml:space="preserve"> </w:t>
      </w:r>
      <w:r>
        <w:t xml:space="preserve">ran from 22 December 2021 until 16 March 2022. The objective of the consultation was to</w:t>
      </w:r>
      <w:r>
        <w:t xml:space="preserve"> </w:t>
      </w:r>
      <w:r>
        <w:t xml:space="preserve">gather input from all interested stakeholders on problems existing in the field of SLT, and on</w:t>
      </w:r>
      <w:r>
        <w:t xml:space="preserve"> </w:t>
      </w:r>
      <w:r>
        <w:t xml:space="preserve">the way a review of the RGL and the introduction of the TBER could help address these</w:t>
      </w:r>
      <w:r>
        <w:t xml:space="preserve"> </w:t>
      </w:r>
      <w:r>
        <w:t xml:space="preserve">problems in line with the Green Deal and the SSMS. The consultation contained 26 questions</w:t>
      </w:r>
      <w:r>
        <w:t xml:space="preserve"> </w:t>
      </w:r>
      <w:r>
        <w:t xml:space="preserve">on different topics of relevance, with the additional possibility for the contributors to elaborate</w:t>
      </w:r>
      <w:r>
        <w:t xml:space="preserve"> </w:t>
      </w:r>
      <w:r>
        <w:t xml:space="preserve">on their answers. The questionnaire was answered to by 70 stakeholders235, divided as follows:</w:t>
      </w:r>
      <w:r>
        <w:t xml:space="preserve"> </w:t>
      </w:r>
      <w:r>
        <w:t xml:space="preserve">• 41 replies (58% of the respondents) were received from the business sector, of which</w:t>
      </w:r>
      <w:r>
        <w:t xml:space="preserve"> </w:t>
      </w:r>
      <w:r>
        <w:t xml:space="preserve">26 replies by companies236 (37%), 12 replies (17%) by business associations, and 3</w:t>
      </w:r>
      <w:r>
        <w:t xml:space="preserve"> </w:t>
      </w:r>
      <w:r>
        <w:t xml:space="preserve">replies (4%) by trade unions.</w:t>
      </w:r>
      <w:r>
        <w:t xml:space="preserve"> </w:t>
      </w:r>
      <w:r>
        <w:t xml:space="preserve">• 15 replies came from public authorities (21%), 5 from NGOs (7%), 3 from EU citizens</w:t>
      </w:r>
      <w:r>
        <w:t xml:space="preserve"> </w:t>
      </w:r>
      <w:r>
        <w:t xml:space="preserve">(4%) and 1 from an academic institution (1%).</w:t>
      </w:r>
      <w:r>
        <w:br/>
      </w:r>
      <w:r>
        <w:t xml:space="preserve">• 5 respondents identified themselves as not belonging to any of the above categories</w:t>
      </w:r>
      <w:r>
        <w:t xml:space="preserve"> </w:t>
      </w:r>
      <w:r>
        <w:t xml:space="preserve">(‘other’).</w:t>
      </w:r>
      <w:r>
        <w:t xml:space="preserve"> </w:t>
      </w:r>
      <w:r>
        <w:t xml:space="preserve">In terms of geographical distribution, answers were received from 20 countries. The Member</w:t>
      </w:r>
      <w:r>
        <w:t xml:space="preserve"> </w:t>
      </w:r>
      <w:r>
        <w:t xml:space="preserve">States in which most respondents are based were Italy (11 replies), Belgium (11), France (9),</w:t>
      </w:r>
      <w:r>
        <w:t xml:space="preserve"> </w:t>
      </w:r>
      <w:r>
        <w:t xml:space="preserve">Austria (6) and Germany (5). Among the 20 countries, 4 countries are not members of the EU</w:t>
      </w:r>
      <w:r>
        <w:t xml:space="preserve"> </w:t>
      </w:r>
      <w:r>
        <w:t xml:space="preserve">(the UK, the US, Norway and Switzerland).</w:t>
      </w:r>
      <w:r>
        <w:t xml:space="preserve"> </w:t>
      </w:r>
      <w:r>
        <w:t xml:space="preserve">From a thematic point of view, the questionnaire was divided in eight sections, in regard of</w:t>
      </w:r>
      <w:r>
        <w:t xml:space="preserve"> </w:t>
      </w:r>
      <w:r>
        <w:t xml:space="preserve">which the stakeholders took the following positions:</w:t>
      </w:r>
    </w:p>
    <w:p>
      <w:pPr>
        <w:pStyle w:val="BodyText"/>
      </w:pPr>
      <w:r>
        <w:t xml:space="preserve">232 3 businesses or business associations out of 16 (18.8%), 2 public authorities out of 9 (22.2%) and one NGO out</w:t>
      </w:r>
      <w:r>
        <w:t xml:space="preserve"> </w:t>
      </w:r>
      <w:r>
        <w:t xml:space="preserve">of 2 (50%).</w:t>
      </w:r>
      <w:r>
        <w:t xml:space="preserve"> </w:t>
      </w:r>
      <w:r>
        <w:t xml:space="preserve">233 4 business associations out of 14 (28.6%), 1 citizen out of 4 (25%), 2 public authorities out of 9 (22.2%).</w:t>
      </w:r>
      <w:r>
        <w:t xml:space="preserve"> </w:t>
      </w:r>
      <w:r>
        <w:t xml:space="preserve">234 2 business associations out of 14 (14.3%), 1 public authority out of 9 (11.1%).</w:t>
      </w:r>
      <w:r>
        <w:t xml:space="preserve"> </w:t>
      </w:r>
      <w:r>
        <w:t xml:space="preserve">235 The Commission received 10 additional responses after the official deadline for submitting the replies to the</w:t>
      </w:r>
      <w:r>
        <w:t xml:space="preserve"> </w:t>
      </w:r>
      <w:r>
        <w:t xml:space="preserve">questionnaire. 8 of these were sent by stakeholders other than the 70 taken into account for the present analysis; 2</w:t>
      </w:r>
      <w:r>
        <w:t xml:space="preserve"> </w:t>
      </w:r>
      <w:r>
        <w:t xml:space="preserve">other comments were submitted by stakeholders who replied to the questionnaire but wanted to further elaborate</w:t>
      </w:r>
      <w:r>
        <w:t xml:space="preserve"> </w:t>
      </w:r>
      <w:r>
        <w:t xml:space="preserve">on some issues. For reasons of clarity and simplicity, the data taken into consideration in this document represent</w:t>
      </w:r>
      <w:r>
        <w:t xml:space="preserve"> </w:t>
      </w:r>
      <w:r>
        <w:t xml:space="preserve">only those replies that were submitted via EU Survey. However, where additional qualitative remarks were made</w:t>
      </w:r>
      <w:r>
        <w:t xml:space="preserve"> </w:t>
      </w:r>
      <w:r>
        <w:t xml:space="preserve">in the responses received later, those are included in the presentation in this Point.</w:t>
      </w:r>
      <w:r>
        <w:t xml:space="preserve"> </w:t>
      </w:r>
      <w:r>
        <w:t xml:space="preserve">236 Including business organisations.</w:t>
      </w:r>
    </w:p>
    <w:p>
      <w:pPr>
        <w:pStyle w:val="BodyText"/>
      </w:pPr>
      <w:r>
        <w:t xml:space="preserve">A-11</w:t>
      </w:r>
    </w:p>
    <w:p>
      <w:pPr>
        <w:pStyle w:val="Compact"/>
        <w:numPr>
          <w:ilvl w:val="0"/>
          <w:numId w:val="1008"/>
        </w:numPr>
      </w:pPr>
      <w:r>
        <w:t xml:space="preserve">Support to modal shift towards less polluting and more sustainable transport modes</w:t>
      </w:r>
      <w:r>
        <w:t xml:space="preserve"> </w:t>
      </w:r>
      <w:r>
        <w:t xml:space="preserve">Stakeholders were of the view that the rules of the RGL were not sufficiently generous, with</w:t>
      </w:r>
      <w:r>
        <w:t xml:space="preserve"> </w:t>
      </w:r>
      <w:r>
        <w:t xml:space="preserve">66% of respondents (46 out of 70)237 considering that the existing operating aid rules were</w:t>
      </w:r>
      <w:r>
        <w:t xml:space="preserve"> </w:t>
      </w:r>
      <w:r>
        <w:t xml:space="preserve">insufficient to support a sustainable transfer of traffic, including all responding companies238,</w:t>
      </w:r>
      <w:r>
        <w:t xml:space="preserve"> </w:t>
      </w:r>
      <w:r>
        <w:t xml:space="preserve">regardless of their size and date of market entry, and all responding relevant business</w:t>
      </w:r>
      <w:r>
        <w:t xml:space="preserve"> </w:t>
      </w:r>
      <w:r>
        <w:t xml:space="preserve">associations.239 11% (8 out of 70)240 thought they were sufficient, and the remaining 23% (16)241</w:t>
      </w:r>
      <w:r>
        <w:t xml:space="preserve"> </w:t>
      </w:r>
      <w:r>
        <w:t xml:space="preserve">were unsure. Public authorities were particularly divided, without any identifiable pattern based</w:t>
      </w:r>
      <w:r>
        <w:t xml:space="preserve"> </w:t>
      </w:r>
      <w:r>
        <w:t xml:space="preserve">on the level of governance (e.g. regional or national) of the authority, its geographical location,</w:t>
      </w:r>
      <w:r>
        <w:t xml:space="preserve"> </w:t>
      </w:r>
      <w:r>
        <w:t xml:space="preserve">its size or its budgetary expenditure: FR, HU, CZ, LV as well as two IT regions indicated that</w:t>
      </w:r>
      <w:r>
        <w:t xml:space="preserve"> </w:t>
      </w:r>
      <w:r>
        <w:t xml:space="preserve">the existing operating rules were insufficient, while NL, FI, IT and an IT port authority</w:t>
      </w:r>
      <w:r>
        <w:t xml:space="preserve"> </w:t>
      </w:r>
      <w:r>
        <w:t xml:space="preserve">considered them sufficient, and RO, LT, a FR region and two IWW authorities did not know.</w:t>
      </w:r>
      <w:r>
        <w:t xml:space="preserve"> </w:t>
      </w:r>
      <w:r>
        <w:t xml:space="preserve">The respondents who replied that the RGL rules on operating aid are not sufficient specified</w:t>
      </w:r>
      <w:r>
        <w:t xml:space="preserve"> </w:t>
      </w:r>
      <w:r>
        <w:t xml:space="preserve">the sectors that in their opinion would require more far-reaching public measures: 80% (37</w:t>
      </w:r>
      <w:r>
        <w:t xml:space="preserve"> </w:t>
      </w:r>
      <w:r>
        <w:t xml:space="preserve">replies)242 indicated intermodal freight services, another 78% (36 replies)243 indicated first</w:t>
      </w:r>
      <w:r>
        <w:t xml:space="preserve"> </w:t>
      </w:r>
      <w:r>
        <w:t xml:space="preserve">mile/last mile only rail services and 63% (29 replies)244 indicated SWL services. The reasons</w:t>
      </w:r>
      <w:r>
        <w:t xml:space="preserve"> </w:t>
      </w:r>
      <w:r>
        <w:t xml:space="preserve">for widening the public support to these services, according to the stakeholders, lie mainly with</w:t>
      </w:r>
      <w:r>
        <w:t xml:space="preserve"> </w:t>
      </w:r>
      <w:r>
        <w:t xml:space="preserve">the unprofitability of the service (54% - 38 out of 70)245, the insufficiency of available</w:t>
      </w:r>
      <w:r>
        <w:t xml:space="preserve"> </w:t>
      </w:r>
      <w:r>
        <w:t xml:space="preserve">infrastructure (51% - 36 out of 70)246 and its inadequacy (49% - 34 out of 70)247. As to the</w:t>
      </w:r>
      <w:r>
        <w:t xml:space="preserve"> </w:t>
      </w:r>
      <w:r>
        <w:t xml:space="preserve">current level of the total costs of rail transport threshold (30%), a large majority of 80% of</w:t>
      </w:r>
      <w:r>
        <w:t xml:space="preserve"> </w:t>
      </w:r>
      <w:r>
        <w:t xml:space="preserve">respondents (56 out of 70)248 considered that this threshold was too low, while only 3% (2 out</w:t>
      </w:r>
      <w:r>
        <w:t xml:space="preserve"> </w:t>
      </w:r>
      <w:r>
        <w:t xml:space="preserve">of 70)249 deemed it appropriate and the remaining 17% (12 out of 70)250 were unsure. Similarly,</w:t>
      </w:r>
    </w:p>
    <w:p>
      <w:pPr>
        <w:pStyle w:val="FirstParagraph"/>
      </w:pPr>
      <w:r>
        <w:t xml:space="preserve">237 20 companies out of 26 (76.9%), 10 business associations out of 12 (83.3%), 6 public authorities out of 15</w:t>
      </w:r>
      <w:r>
        <w:t xml:space="preserve"> </w:t>
      </w:r>
      <w:r>
        <w:t xml:space="preserve">(40%), 5 NGOs out of 5 (100%), 2 trade unions out of 3 (66.7%), 3 other respondents out of 5 (60%).</w:t>
      </w:r>
      <w:r>
        <w:t xml:space="preserve"> </w:t>
      </w:r>
      <w:r>
        <w:t xml:space="preserve">238 Excluding the companies which replied that they did not know.</w:t>
      </w:r>
      <w:r>
        <w:t xml:space="preserve"> </w:t>
      </w:r>
      <w:r>
        <w:t xml:space="preserve">239 Excluding one business association which replied that they did not know, and one reply stemming from a</w:t>
      </w:r>
      <w:r>
        <w:t xml:space="preserve"> </w:t>
      </w:r>
      <w:r>
        <w:t xml:space="preserve">business association with sectoral activities falling outside of the scope of the present initiative.</w:t>
      </w:r>
      <w:r>
        <w:t xml:space="preserve"> </w:t>
      </w:r>
      <w:r>
        <w:t xml:space="preserve">240 1 business association out of 12 (8.3%), 4 public authorities out of 15 (26.7%), 1 academic institution out of 1</w:t>
      </w:r>
      <w:r>
        <w:t xml:space="preserve"> </w:t>
      </w:r>
      <w:r>
        <w:t xml:space="preserve">(100%), 2 EU citizens out of 3 (66.7%).</w:t>
      </w:r>
      <w:r>
        <w:t xml:space="preserve"> </w:t>
      </w:r>
      <w:r>
        <w:t xml:space="preserve">241 6 companies out of 26 (23.1%), 1 business association out of 12 (8.3%), 5 public authorities out of 15 (33.3%),</w:t>
      </w:r>
      <w:r>
        <w:t xml:space="preserve"> </w:t>
      </w:r>
      <w:r>
        <w:t xml:space="preserve">1 trade union out of 3 (33.3%), 1 EU citizen out of 3 (33.3%), 3 other respondents out of 5 (60.0%).</w:t>
      </w:r>
      <w:r>
        <w:t xml:space="preserve"> </w:t>
      </w:r>
      <w:r>
        <w:t xml:space="preserve">242 18 companies out of 26 (69.2%), 8 business associations out of 12 (66.7%), 4 public authorities out of 15</w:t>
      </w:r>
      <w:r>
        <w:t xml:space="preserve"> </w:t>
      </w:r>
      <w:r>
        <w:t xml:space="preserve">(26.7%), 2 trade unions out of 3 (66.7%), 2 NGOs out of 5 (40.0%), 3 other respondents out of 5 (60.0%).</w:t>
      </w:r>
      <w:r>
        <w:t xml:space="preserve"> </w:t>
      </w:r>
      <w:r>
        <w:t xml:space="preserve">243 14 companies out of 26 (53.8%), 9 business associations out of 12 (75.0%), 5 public authorities out of 15</w:t>
      </w:r>
      <w:r>
        <w:t xml:space="preserve"> </w:t>
      </w:r>
      <w:r>
        <w:t xml:space="preserve">(33.3%), 2 NGOs out of 5 (40.0%), 2 trade unions out of 3 (66.7%), 3 other respondents out of 5 (60.0%).</w:t>
      </w:r>
      <w:r>
        <w:t xml:space="preserve"> </w:t>
      </w:r>
      <w:r>
        <w:t xml:space="preserve">244 12 companies out of 26 (46.2%), 9 business associations out of 12 (75.0%), 3 public authorities out of 15</w:t>
      </w:r>
      <w:r>
        <w:t xml:space="preserve"> </w:t>
      </w:r>
      <w:r>
        <w:t xml:space="preserve">(20.0%), 1 NGO out of 5 (20.0%), 2 trade unions out of 3 (66.7%), 3 other respondents out of 5 (60.0%).</w:t>
      </w:r>
      <w:r>
        <w:t xml:space="preserve"> </w:t>
      </w:r>
      <w:r>
        <w:t xml:space="preserve">245 16 companies out of 26 (61.5%), 10 business associations out of 12 (83.3%), 6 public authorities out of 15</w:t>
      </w:r>
      <w:r>
        <w:t xml:space="preserve"> </w:t>
      </w:r>
      <w:r>
        <w:t xml:space="preserve">(40.0%), 2 NGOs out of 5 (40.0%), 2 trade unions out of 3 (66.7%), 2 other respondents out of 5 (40.0%).</w:t>
      </w:r>
      <w:r>
        <w:br/>
      </w:r>
      <w:r>
        <w:t xml:space="preserve">246 18 companies out of 26 (69.2%), 9 business associations out of 12 (75.0%), 3 public authorities out of 15</w:t>
      </w:r>
      <w:r>
        <w:t xml:space="preserve"> </w:t>
      </w:r>
      <w:r>
        <w:t xml:space="preserve">(20.0%), 2 NGOs out of 5 (40.0%), 2 trade unions out of 3 (66.7%), 2 other respondents out of 5 (40.0%).</w:t>
      </w:r>
      <w:r>
        <w:br/>
      </w:r>
      <w:r>
        <w:t xml:space="preserve">247 15 companies out of 26 (57.7%), 9 business associations out of 12 (75.0%), 4 public authorities out of 15</w:t>
      </w:r>
      <w:r>
        <w:t xml:space="preserve"> </w:t>
      </w:r>
      <w:r>
        <w:t xml:space="preserve">(26.7%), 2 NGOs out of 5 (40.0%), 2 trade unions out of 3 (66.7%), 2 other respondents out of 5 (40.0%) .</w:t>
      </w:r>
      <w:r>
        <w:br/>
      </w:r>
      <w:r>
        <w:t xml:space="preserve">248 22 companies out of 26 (84.6%), 9 business associations out of 12 (75.0%), 10 public authorities out of 15</w:t>
      </w:r>
      <w:r>
        <w:t xml:space="preserve"> </w:t>
      </w:r>
      <w:r>
        <w:t xml:space="preserve">(66.7%), 1 academic institution out of 1 (100%), 5 NGOs out of 5 (100%), 2 EU citizens out of 3 (66.7%), 2 trade</w:t>
      </w:r>
      <w:r>
        <w:t xml:space="preserve"> </w:t>
      </w:r>
      <w:r>
        <w:t xml:space="preserve">unions out of 3 (66.7%), 5 other respondents out of 5 (100%) .</w:t>
      </w:r>
      <w:r>
        <w:t xml:space="preserve"> </w:t>
      </w:r>
      <w:r>
        <w:t xml:space="preserve">249 1 business association out of 12 (8.3%), 1 public authority out of 15 (6.7%) .</w:t>
      </w:r>
      <w:r>
        <w:t xml:space="preserve"> </w:t>
      </w:r>
      <w:r>
        <w:t xml:space="preserve">250 3 companies out of 26 (11.5%), 2 business associations out of 12 (16.7%), 4 public authorities out of 15 (26.7%),</w:t>
      </w:r>
      <w:r>
        <w:t xml:space="preserve"> </w:t>
      </w:r>
      <w:r>
        <w:t xml:space="preserve">1 trade union out of 3 (33.3%), 1 EU citizen out of 3 (33.3%), 1 other respondent out of 5 (20.0%) .</w:t>
      </w:r>
    </w:p>
    <w:p>
      <w:pPr>
        <w:pStyle w:val="BodyText"/>
      </w:pPr>
      <w:r>
        <w:t xml:space="preserve">A-12</w:t>
      </w:r>
    </w:p>
    <w:p>
      <w:pPr>
        <w:pStyle w:val="BodyText"/>
      </w:pPr>
      <w:r>
        <w:t xml:space="preserve">concerning State aid to incentivise interoperability, 67% of the respondents (47 out of 70)251</w:t>
      </w:r>
      <w:r>
        <w:t xml:space="preserve"> </w:t>
      </w:r>
      <w:r>
        <w:t xml:space="preserve">considered the current threshold of 50% of the eligible costs too low, including undertakings of</w:t>
      </w:r>
      <w:r>
        <w:t xml:space="preserve"> </w:t>
      </w:r>
      <w:r>
        <w:t xml:space="preserve">all sizes (14 large, 1 medium and 3 micro-undertakings), while only 19% (13 out of 70)252</w:t>
      </w:r>
      <w:r>
        <w:t xml:space="preserve"> </w:t>
      </w:r>
      <w:r>
        <w:t xml:space="preserve">deemed it adequate, also including undertakings of all sizes (2 large, 1 medium, 1 small and 1</w:t>
      </w:r>
      <w:r>
        <w:t xml:space="preserve"> </w:t>
      </w:r>
      <w:r>
        <w:t xml:space="preserve">micro-undertakings).</w:t>
      </w:r>
      <w:r>
        <w:t xml:space="preserve"> </w:t>
      </w:r>
      <w:r>
        <w:t xml:space="preserve">Stakeholders pronounced themselves against any additional conditions with 62% of</w:t>
      </w:r>
      <w:r>
        <w:t xml:space="preserve"> </w:t>
      </w:r>
      <w:r>
        <w:t xml:space="preserve">stakeholders (43 out of 70)253 against making the award of State aid conditional on proof that</w:t>
      </w:r>
      <w:r>
        <w:t xml:space="preserve"> </w:t>
      </w:r>
      <w:r>
        <w:t xml:space="preserve">the supported transport services are not cost covering (against 38% (27 out of 70)254in</w:t>
      </w:r>
      <w:r>
        <w:t xml:space="preserve"> </w:t>
      </w:r>
      <w:r>
        <w:t xml:space="preserve">favour).Public authorities were particularly divided, without identifiable pattern amongst this</w:t>
      </w:r>
      <w:r>
        <w:t xml:space="preserve"> </w:t>
      </w:r>
      <w:r>
        <w:t xml:space="preserve">group of respondents: LT, FR, HU, LV, NL, a FR region, a FR IWW authority and an IT region</w:t>
      </w:r>
      <w:r>
        <w:t xml:space="preserve"> </w:t>
      </w:r>
      <w:r>
        <w:t xml:space="preserve">were against, while RO, CZ, FI, IT, a BE IWW authority, an IT region and an IT port authority</w:t>
      </w:r>
      <w:r>
        <w:t xml:space="preserve"> </w:t>
      </w:r>
      <w:r>
        <w:t xml:space="preserve">were in favour. 55.5% of SMEs were in favour, while only 25% of large undertakings were in</w:t>
      </w:r>
      <w:r>
        <w:t xml:space="preserve"> </w:t>
      </w:r>
      <w:r>
        <w:t xml:space="preserve">favour. 64% of respondents (45 out of 70)255 expressed themselves against the establishment of</w:t>
      </w:r>
      <w:r>
        <w:t xml:space="preserve"> </w:t>
      </w:r>
      <w:r>
        <w:t xml:space="preserve">a cap to the maximum aid amount to incentivise beneficiaries to contribute financially with</w:t>
      </w:r>
      <w:r>
        <w:t xml:space="preserve"> </w:t>
      </w:r>
      <w:r>
        <w:t xml:space="preserve">their own resources (against 36% (25 out of 70)256 in favour). The size of the responding</w:t>
      </w:r>
      <w:r>
        <w:t xml:space="preserve"> </w:t>
      </w:r>
      <w:r>
        <w:t xml:space="preserve">companies had a limited influence on this point, with respectively 66.6% of SMEs and 81.2%</w:t>
      </w:r>
      <w:r>
        <w:t xml:space="preserve"> </w:t>
      </w:r>
      <w:r>
        <w:t xml:space="preserve">of large undertakings against.</w:t>
      </w:r>
      <w:r>
        <w:t xml:space="preserve"> </w:t>
      </w:r>
      <w:r>
        <w:t xml:space="preserve">There was a slight majority for maintaining the calculation of the aid amounts in relation to the</w:t>
      </w:r>
      <w:r>
        <w:t xml:space="preserve"> </w:t>
      </w:r>
      <w:r>
        <w:t xml:space="preserve">avoided external cost with 54% of stakeholders (38 out of 70)257 against considering external</w:t>
      </w:r>
      <w:r>
        <w:t xml:space="preserve"> </w:t>
      </w:r>
      <w:r>
        <w:t xml:space="preserve">cost savings as eligibility condition only, while calculating the aid amount as a share of the</w:t>
      </w:r>
      <w:r>
        <w:t xml:space="preserve"> </w:t>
      </w:r>
      <w:r>
        <w:t xml:space="preserve">actual cost of the transport solution alternative to road. A majority of SMEs was in favour</w:t>
      </w:r>
      <w:r>
        <w:t xml:space="preserve"> </w:t>
      </w:r>
      <w:r>
        <w:t xml:space="preserve">(66.6%), while a majority of large undertakings was against (75%). Respondents were divided</w:t>
      </w:r>
      <w:r>
        <w:t xml:space="preserve"> </w:t>
      </w:r>
      <w:r>
        <w:t xml:space="preserve">on whether determining the maximum grantable aid amount in relation to the avoided external</w:t>
      </w:r>
      <w:r>
        <w:t xml:space="preserve"> </w:t>
      </w:r>
      <w:r>
        <w:t xml:space="preserve">costs and total cost of rail transport is an appropriate methodology to provide sufficient</w:t>
      </w:r>
      <w:r>
        <w:t xml:space="preserve"> </w:t>
      </w:r>
      <w:r>
        <w:t xml:space="preserve">incentives for modal shift: 39% of the stakeholders (27 out of 70)258 considered that the</w:t>
      </w:r>
    </w:p>
    <w:p>
      <w:pPr>
        <w:pStyle w:val="BodyText"/>
      </w:pPr>
      <w:r>
        <w:t xml:space="preserve">251 9 business associations out of 12 (75.0%), 18 companies out of 26 (69.2%), 9 public authorities out of 15</w:t>
      </w:r>
      <w:r>
        <w:t xml:space="preserve"> </w:t>
      </w:r>
      <w:r>
        <w:t xml:space="preserve">(60.0%), 1 academic institution out of 1 (100%), 2 EU citizens out of 3 (66.7%), 2 NGOs out of 5 (40.0%), 2 trade</w:t>
      </w:r>
      <w:r>
        <w:t xml:space="preserve"> </w:t>
      </w:r>
      <w:r>
        <w:t xml:space="preserve">unions out of 3 (66.7%), 4 other respondents out of 5 (80.0%) .</w:t>
      </w:r>
      <w:r>
        <w:t xml:space="preserve"> </w:t>
      </w:r>
      <w:r>
        <w:t xml:space="preserve">252 6 companies out of 26 (23.1%), 3 public authorities out of 15 (20.0%), 2 NGOs out of 5 (40.0%), 1 EU citizen</w:t>
      </w:r>
      <w:r>
        <w:t xml:space="preserve"> </w:t>
      </w:r>
      <w:r>
        <w:t xml:space="preserve">out of 3 (33.3%), 1 other respondent out of 5 (20.0%) .</w:t>
      </w:r>
      <w:r>
        <w:t xml:space="preserve"> </w:t>
      </w:r>
      <w:r>
        <w:t xml:space="preserve">253 16 companies out of 26 (61.5%), 9 business associations out of 12 (75.0%), 8 public authorities out of 15</w:t>
      </w:r>
      <w:r>
        <w:t xml:space="preserve"> </w:t>
      </w:r>
      <w:r>
        <w:t xml:space="preserve">(53.3%), 1 academic institution out of 1 (100%), 1 NGO out of 5 (20.0%), 2 trade unions out of 3 (66.7%), 1 EU</w:t>
      </w:r>
      <w:r>
        <w:t xml:space="preserve"> </w:t>
      </w:r>
      <w:r>
        <w:t xml:space="preserve">citizen out of 3 (33.3%), 5 other respondents out of 5 (100%) .</w:t>
      </w:r>
      <w:r>
        <w:t xml:space="preserve"> </w:t>
      </w:r>
      <w:r>
        <w:t xml:space="preserve">254 9 companies out of 26 (34.6%), 3 business associations out of 12 (25.0%), 7 public authorities out of 15 (46.7%),</w:t>
      </w:r>
      <w:r>
        <w:t xml:space="preserve"> </w:t>
      </w:r>
      <w:r>
        <w:t xml:space="preserve">4 NGOs out of 5 (80.0%), 1 trade union out of 3 (33.3%), 1 other respondent out of 5 (20.0%), 2 EU citizens out</w:t>
      </w:r>
      <w:r>
        <w:t xml:space="preserve"> </w:t>
      </w:r>
      <w:r>
        <w:t xml:space="preserve">of 3 (66.7%) .</w:t>
      </w:r>
      <w:r>
        <w:t xml:space="preserve"> </w:t>
      </w:r>
      <w:r>
        <w:t xml:space="preserve">255 14 companies out of 26 (53.8%), 8 business associations out of 12 (66.7%), 11 public authorities out of 15</w:t>
      </w:r>
      <w:r>
        <w:t xml:space="preserve"> </w:t>
      </w:r>
      <w:r>
        <w:t xml:space="preserve">(73.3%), 5 NGOs out of 5 (100%), 1 academic institution out of 1 (100%), 1 trade union out of 3 (33.3%), 2 EU</w:t>
      </w:r>
      <w:r>
        <w:t xml:space="preserve"> </w:t>
      </w:r>
      <w:r>
        <w:t xml:space="preserve">citizens out of 3 (66.7%), 3 other respondents out of 5 (60.0%).</w:t>
      </w:r>
      <w:r>
        <w:t xml:space="preserve"> </w:t>
      </w:r>
      <w:r>
        <w:t xml:space="preserve">256 11 companies out of 26 (42.3%), 4 business associations out of 12 (33.3%), 4 public authorities out of 15</w:t>
      </w:r>
      <w:r>
        <w:t xml:space="preserve"> </w:t>
      </w:r>
      <w:r>
        <w:t xml:space="preserve">(26.7%), 2 trade unions out of 3 (66.7%), 1 EU citizen out of 3 (33.3%), 3 other respondents out of 5 (60.0%).</w:t>
      </w:r>
      <w:r>
        <w:t xml:space="preserve"> </w:t>
      </w:r>
      <w:r>
        <w:t xml:space="preserve">257 15 companies out of 26 (57.7%), 7 business associations out of 12 (58.3%), 5 public authorities out of 15</w:t>
      </w:r>
      <w:r>
        <w:t xml:space="preserve"> </w:t>
      </w:r>
      <w:r>
        <w:t xml:space="preserve">(33.3%), 1 academic institution out of 1 (100%), 2 NGOs out of 5 (40.0%), 2 trade unions out of 3 (66.7%), 1 EU</w:t>
      </w:r>
      <w:r>
        <w:t xml:space="preserve"> </w:t>
      </w:r>
      <w:r>
        <w:t xml:space="preserve">citizen out of 3 (33.3%), 5 other respondents out of 5 (100%).</w:t>
      </w:r>
      <w:r>
        <w:t xml:space="preserve"> </w:t>
      </w:r>
      <w:r>
        <w:t xml:space="preserve">258 10 companies out of 26 (38.5%), 5 business associations out of 12 (41.7%), 5 public authorities out of 15</w:t>
      </w:r>
      <w:r>
        <w:t xml:space="preserve"> </w:t>
      </w:r>
      <w:r>
        <w:t xml:space="preserve">(33.3%), 1 academic institution out of 1 (100%), 1 NGO out of 5 (20.0%), 1 trade union out of 3 (33.3%), 1 EU</w:t>
      </w:r>
      <w:r>
        <w:t xml:space="preserve"> </w:t>
      </w:r>
      <w:r>
        <w:t xml:space="preserve">citizen out of 3 (33.3%), 3 other respondents out of 5 (60.0%).</w:t>
      </w:r>
    </w:p>
    <w:p>
      <w:pPr>
        <w:pStyle w:val="BodyText"/>
      </w:pPr>
      <w:r>
        <w:t xml:space="preserve">A-13</w:t>
      </w:r>
    </w:p>
    <w:p>
      <w:pPr>
        <w:pStyle w:val="BodyText"/>
      </w:pPr>
      <w:r>
        <w:t xml:space="preserve">methodology was not appropriate, while 37% (26 out of 70)259 considered the methodology</w:t>
      </w:r>
      <w:r>
        <w:t xml:space="preserve"> </w:t>
      </w:r>
      <w:r>
        <w:t xml:space="preserve">appropriate. 55% of SMEs considered it not appropriate, while only 31% of large undertakings</w:t>
      </w:r>
      <w:r>
        <w:t xml:space="preserve"> </w:t>
      </w:r>
      <w:r>
        <w:t xml:space="preserve">shared this view.</w:t>
      </w:r>
      <w:r>
        <w:t xml:space="preserve"> </w:t>
      </w:r>
      <w:r>
        <w:t xml:space="preserve">Finally, stakeholders expressed a preference for schemes as compared to individual ad hoc aid</w:t>
      </w:r>
      <w:r>
        <w:t xml:space="preserve"> </w:t>
      </w:r>
      <w:r>
        <w:t xml:space="preserve">awards. 93% of the respondents260 (65 out of 70) considered that aid should be granted under</w:t>
      </w:r>
      <w:r>
        <w:t xml:space="preserve"> </w:t>
      </w:r>
      <w:r>
        <w:t xml:space="preserve">schemes based on transparent and non-discriminatory principles, to provide undertakings with</w:t>
      </w:r>
      <w:r>
        <w:t xml:space="preserve"> </w:t>
      </w:r>
      <w:r>
        <w:t xml:space="preserve">equal financial opportunities and to ensure a level playing field (against 7% (5)261 against). All</w:t>
      </w:r>
      <w:r>
        <w:t xml:space="preserve"> </w:t>
      </w:r>
      <w:r>
        <w:t xml:space="preserve">undertakings, regardless of their size, except one incumbent supported this position. In the same</w:t>
      </w:r>
      <w:r>
        <w:t xml:space="preserve"> </w:t>
      </w:r>
      <w:r>
        <w:t xml:space="preserve">vein, 66% of the stakeholders (46 out of 70)262 considered that individual ad hoc aid should</w:t>
      </w:r>
      <w:r>
        <w:t xml:space="preserve"> </w:t>
      </w:r>
      <w:r>
        <w:t xml:space="preserve">only be granted in exceptional cases and be duly justified, in order to reduce the higher</w:t>
      </w:r>
      <w:r>
        <w:t xml:space="preserve"> </w:t>
      </w:r>
      <w:r>
        <w:t xml:space="preserve">competition distortion of ad hoc aid compared to schemes.</w:t>
      </w:r>
      <w:r>
        <w:br/>
      </w:r>
      <w:r>
        <w:t xml:space="preserve">B) Infrastructure for rail and intermodal transport (facilities)</w:t>
      </w:r>
      <w:r>
        <w:t xml:space="preserve"> </w:t>
      </w:r>
      <w:r>
        <w:t xml:space="preserve">There was a strong majority in favour of the introduction of specific rules for aid to rail service</w:t>
      </w:r>
      <w:r>
        <w:t xml:space="preserve"> </w:t>
      </w:r>
      <w:r>
        <w:t xml:space="preserve">facilities with 83% of stakeholders (58 out of 70)263 in favour. 9% (6 out of 70)264 did not</w:t>
      </w:r>
      <w:r>
        <w:t xml:space="preserve"> </w:t>
      </w:r>
      <w:r>
        <w:t xml:space="preserve">consider it necessary to have specific rules, and the remaining 9% (6 out of 70)265 were unsure.</w:t>
      </w:r>
      <w:r>
        <w:t xml:space="preserve"> </w:t>
      </w:r>
      <w:r>
        <w:t xml:space="preserve">As regards the aid amount, a majority of 71% (41 out of 58)266 were in favour of State aid</w:t>
      </w:r>
      <w:r>
        <w:t xml:space="preserve"> </w:t>
      </w:r>
      <w:r>
        <w:t xml:space="preserve">measures covering the full funding gap.</w:t>
      </w:r>
      <w:r>
        <w:br/>
      </w:r>
      <w:r>
        <w:t xml:space="preserve">Moreover, 62% (36 out of 58)267 were in favour of making the granting of State aid for the</w:t>
      </w:r>
      <w:r>
        <w:t xml:space="preserve"> </w:t>
      </w:r>
      <w:r>
        <w:t xml:space="preserve">construction of facilities subject to conditions, while 24% (14)268 were against. Conditions</w:t>
      </w:r>
      <w:r>
        <w:t xml:space="preserve"> </w:t>
      </w:r>
      <w:r>
        <w:t xml:space="preserve">supported were for example requesting open and non-discriminatory access to publicly</w:t>
      </w:r>
    </w:p>
    <w:p>
      <w:pPr>
        <w:pStyle w:val="BodyText"/>
      </w:pPr>
      <w:r>
        <w:t xml:space="preserve">259 11 companies out of 26 (42.3%), 6 business associations out of 12 (50.0%), 6 public authorities out of 15</w:t>
      </w:r>
      <w:r>
        <w:t xml:space="preserve"> </w:t>
      </w:r>
      <w:r>
        <w:t xml:space="preserve">(40.0%), 1 NGO out of 5 (20.0%), 1 EU citizen out of 3 (33.3%), 1 other respondent out of 5 (20.0%) .</w:t>
      </w:r>
      <w:r>
        <w:t xml:space="preserve"> </w:t>
      </w:r>
      <w:r>
        <w:t xml:space="preserve">260 25 companies out of 26 (96.2%), 14 business associations out of 12 (116.7%), 14 public authorities out of 15</w:t>
      </w:r>
      <w:r>
        <w:t xml:space="preserve"> </w:t>
      </w:r>
      <w:r>
        <w:t xml:space="preserve">(93.3%), 3 trade unions out of 3 (100%), 1 academic institution out of 1 (100%), 5 NGOs out of 5 (100%), 3 EU</w:t>
      </w:r>
      <w:r>
        <w:t xml:space="preserve"> </w:t>
      </w:r>
      <w:r>
        <w:t xml:space="preserve">citizens out of 3 (100%), 5 other respondents out of 5 (100%).</w:t>
      </w:r>
      <w:r>
        <w:t xml:space="preserve"> </w:t>
      </w:r>
      <w:r>
        <w:t xml:space="preserve">261 1 company out of 26 (3.8%), 2 business associations out of 12 (16.7%), 2 public authorities out of 15 (13.3%),</w:t>
      </w:r>
      <w:r>
        <w:t xml:space="preserve"> </w:t>
      </w:r>
      <w:r>
        <w:t xml:space="preserve">1 other respondent out of 5 (20.0%).</w:t>
      </w:r>
      <w:r>
        <w:t xml:space="preserve"> </w:t>
      </w:r>
      <w:r>
        <w:t xml:space="preserve">262 20 companies out of 26 (76.9%), 8 business associations out of 12 (66.7%), 12 public authorities out of 15</w:t>
      </w:r>
      <w:r>
        <w:t xml:space="preserve"> </w:t>
      </w:r>
      <w:r>
        <w:t xml:space="preserve">(80.0%), 1 trade union out of 3 (33.3%), 4 NGOs out of 5 (80.0%), 1 EU citizen out of 3 (33.3%), 2 other</w:t>
      </w:r>
      <w:r>
        <w:t xml:space="preserve"> </w:t>
      </w:r>
      <w:r>
        <w:t xml:space="preserve">respondents out of 5 (40.0%).</w:t>
      </w:r>
      <w:r>
        <w:t xml:space="preserve"> </w:t>
      </w:r>
      <w:r>
        <w:t xml:space="preserve">263 11 business associations out of 12 (91.7%), 23 companies out of 26 (88.5%), 9 public authorities out of 15</w:t>
      </w:r>
      <w:r>
        <w:t xml:space="preserve"> </w:t>
      </w:r>
      <w:r>
        <w:t xml:space="preserve">(60.0%), 5 NGOs out of 5 (100%), 3 trade unions out of 3 (100%), 1 academic institution out of 1 (100%), 3 EU</w:t>
      </w:r>
      <w:r>
        <w:t xml:space="preserve"> </w:t>
      </w:r>
      <w:r>
        <w:t xml:space="preserve">citizens out of 3 (100%), 3 other respondents out of 5 (60.0%).</w:t>
      </w:r>
      <w:r>
        <w:t xml:space="preserve"> </w:t>
      </w:r>
      <w:r>
        <w:t xml:space="preserve">264 1 company out of 26 (3.8%), 4 public authorities out of 15 (26.7%), 1 other respondent out of 5 (20.0%).</w:t>
      </w:r>
      <w:r>
        <w:t xml:space="preserve"> </w:t>
      </w:r>
      <w:r>
        <w:t xml:space="preserve">265 1 business association out of 12 (8.3%), 1 company out of 26 (3.8%), 2 public authorities out of 15 (13.3%), 2</w:t>
      </w:r>
      <w:r>
        <w:t xml:space="preserve"> </w:t>
      </w:r>
      <w:r>
        <w:t xml:space="preserve">other respondents out of 5 (40.0%) .</w:t>
      </w:r>
      <w:r>
        <w:t xml:space="preserve"> </w:t>
      </w:r>
      <w:r>
        <w:t xml:space="preserve">266 19 companies out of 26 (73.1%), 7 business associations out of 12 (58.3%), 6 public authorities out of 15</w:t>
      </w:r>
      <w:r>
        <w:t xml:space="preserve"> </w:t>
      </w:r>
      <w:r>
        <w:t xml:space="preserve">(40.0%), 3 NGOs out of 5 (60.0%), 2 trade unions out of 3 (66.7%), 2 EU citizens out of 3 (66.7%), 2 other</w:t>
      </w:r>
      <w:r>
        <w:t xml:space="preserve"> </w:t>
      </w:r>
      <w:r>
        <w:t xml:space="preserve">respondents out of 5 (40.0%).</w:t>
      </w:r>
      <w:r>
        <w:t xml:space="preserve"> </w:t>
      </w:r>
      <w:r>
        <w:t xml:space="preserve">267 9 business associations out of 12 (75.0%), 14 companies out of 26 (53.8%), 7 public authorities out of 15</w:t>
      </w:r>
      <w:r>
        <w:t xml:space="preserve"> </w:t>
      </w:r>
      <w:r>
        <w:t xml:space="preserve">(46.7%), 1 academic institution out of 1 (100%), 2 EU citizens out of 3 (66.7%), 3 other respondents out of 5</w:t>
      </w:r>
      <w:r>
        <w:t xml:space="preserve"> </w:t>
      </w:r>
      <w:r>
        <w:t xml:space="preserve">(60.0%).</w:t>
      </w:r>
      <w:r>
        <w:t xml:space="preserve"> </w:t>
      </w:r>
      <w:r>
        <w:t xml:space="preserve">268 2 business associations out of 12 (16.7%), 9 companies out of 26 (34.6%), 1 NGO out of 5 (20.0%), 2 trade</w:t>
      </w:r>
      <w:r>
        <w:t xml:space="preserve"> </w:t>
      </w:r>
      <w:r>
        <w:t xml:space="preserve">unions out of 3 (66.7%).</w:t>
      </w:r>
    </w:p>
    <w:p>
      <w:pPr>
        <w:pStyle w:val="BodyText"/>
      </w:pPr>
      <w:r>
        <w:t xml:space="preserve">A-14</w:t>
      </w:r>
    </w:p>
    <w:p>
      <w:pPr>
        <w:pStyle w:val="BodyText"/>
      </w:pPr>
      <w:r>
        <w:t xml:space="preserve">subsidised facilities (86% (31 out of 36)269 with 14% (5 out of 36 )270 against). On the contrary,</w:t>
      </w:r>
      <w:r>
        <w:t xml:space="preserve"> </w:t>
      </w:r>
      <w:r>
        <w:t xml:space="preserve">no clear preference emerged concerning the possibility for facility owners to engage also in</w:t>
      </w:r>
      <w:r>
        <w:t xml:space="preserve"> </w:t>
      </w:r>
      <w:r>
        <w:t xml:space="preserve">transport operations taking place in the same facility and the necessity to introduce</w:t>
      </w:r>
      <w:r>
        <w:t xml:space="preserve"> </w:t>
      </w:r>
      <w:r>
        <w:t xml:space="preserve">differentiated State aid rules for terminals at maritime and inland ports.</w:t>
      </w:r>
      <w:r>
        <w:t xml:space="preserve"> </w:t>
      </w:r>
      <w:r>
        <w:t xml:space="preserve">C) Access to rolling stock</w:t>
      </w:r>
      <w:r>
        <w:t xml:space="preserve"> </w:t>
      </w:r>
      <w:r>
        <w:t xml:space="preserve">A clear majority of respondents (69% (48 out of 70)271) considered that railway undertakings</w:t>
      </w:r>
      <w:r>
        <w:t xml:space="preserve"> </w:t>
      </w:r>
      <w:r>
        <w:t xml:space="preserve">face difficulties in accessing passenger rolling stock, including all relevant272 public authorities</w:t>
      </w:r>
      <w:r>
        <w:t xml:space="preserve"> </w:t>
      </w:r>
      <w:r>
        <w:t xml:space="preserve">except one, and all relevant273 undertakings, regardless of their size and date of market entry,</w:t>
      </w:r>
      <w:r>
        <w:t xml:space="preserve"> </w:t>
      </w:r>
      <w:r>
        <w:t xml:space="preserve">except one incumbent. The main difficulties cited were the purchase or renewal of electric</w:t>
      </w:r>
      <w:r>
        <w:t xml:space="preserve"> </w:t>
      </w:r>
      <w:r>
        <w:t xml:space="preserve">multiple units, locomotives and coaches, particularly due to price levels (including leasing</w:t>
      </w:r>
      <w:r>
        <w:t xml:space="preserve"> </w:t>
      </w:r>
      <w:r>
        <w:t xml:space="preserve">costs) and the technical barriers hindering interoperability and preventing railway undertakings</w:t>
      </w:r>
      <w:r>
        <w:t xml:space="preserve"> </w:t>
      </w:r>
      <w:r>
        <w:t xml:space="preserve">from freely operating in different parts of the European railway network. In line with these</w:t>
      </w:r>
      <w:r>
        <w:t xml:space="preserve"> </w:t>
      </w:r>
      <w:r>
        <w:t xml:space="preserve">concerns, a majority of 61% of the stakeholders (43 out of 70)274 expressed their support for</w:t>
      </w:r>
      <w:r>
        <w:t xml:space="preserve"> </w:t>
      </w:r>
      <w:r>
        <w:t xml:space="preserve">State aid rules favouring the purchase or lease of passenger rolling stock, particularly through</w:t>
      </w:r>
      <w:r>
        <w:t xml:space="preserve"> </w:t>
      </w:r>
      <w:r>
        <w:t xml:space="preserve">grants (34 out of 70275 or 49%) and guarantees (28 out of 70276 or 40%). Conversely, 4% (3)277</w:t>
      </w:r>
      <w:r>
        <w:t xml:space="preserve"> </w:t>
      </w:r>
      <w:r>
        <w:t xml:space="preserve">were not in favour of such rules and the remaining 34% (24)278 were unsure.</w:t>
      </w:r>
      <w:r>
        <w:br/>
      </w:r>
      <w:r>
        <w:t xml:space="preserve">Similar positions were expressed with regard to freight rolling stock. Once again, price levels</w:t>
      </w:r>
      <w:r>
        <w:t xml:space="preserve"> </w:t>
      </w:r>
      <w:r>
        <w:t xml:space="preserve">represented the main source of concern for respondents, together with access to finance (loans</w:t>
      </w:r>
      <w:r>
        <w:t xml:space="preserve"> </w:t>
      </w:r>
      <w:r>
        <w:t xml:space="preserve">and guarantees) and the lack of suitable offer from the railway supply industry. Accordingly, a</w:t>
      </w:r>
      <w:r>
        <w:t xml:space="preserve"> </w:t>
      </w:r>
      <w:r>
        <w:t xml:space="preserve">majority of 54% of the stakeholders (38 out of 70)279 supported the introduction of State aid</w:t>
      </w:r>
      <w:r>
        <w:t xml:space="preserve"> </w:t>
      </w:r>
      <w:r>
        <w:t xml:space="preserve">rules favouring the purchase or lease of freight rolling stock, including all relevant280 companies</w:t>
      </w:r>
    </w:p>
    <w:p>
      <w:pPr>
        <w:pStyle w:val="BodyText"/>
      </w:pPr>
      <w:r>
        <w:t xml:space="preserve">269 10 companies out of 26 (38.5%), 8 business associations out of 12 (66.7%), 7 public authorities out of 15</w:t>
      </w:r>
      <w:r>
        <w:t xml:space="preserve"> </w:t>
      </w:r>
      <w:r>
        <w:t xml:space="preserve">(46.7%), 1 academic institution out of 1 (100%), 2 EU citizens out of 3 (66.7%), 3 other respondents out of 5</w:t>
      </w:r>
      <w:r>
        <w:t xml:space="preserve"> </w:t>
      </w:r>
      <w:r>
        <w:t xml:space="preserve">(60.0%).</w:t>
      </w:r>
      <w:r>
        <w:br/>
      </w:r>
      <w:r>
        <w:t xml:space="preserve">270 4 companies out of 26 (15.4%), 1 business association out of 12 (8.3%).</w:t>
      </w:r>
      <w:r>
        <w:t xml:space="preserve"> </w:t>
      </w:r>
      <w:r>
        <w:t xml:space="preserve">271 16 companies out of 26 (61.5%), 8 business associations out of 12 (66.7%), 12 public authorities out of 15</w:t>
      </w:r>
      <w:r>
        <w:t xml:space="preserve"> </w:t>
      </w:r>
      <w:r>
        <w:t xml:space="preserve">(80.0%), 4 NGOs out of 5 (80.0%), 3 trade unions out of 3 (100%), 2 EU citizens out of 3 (66.7%), 3 other</w:t>
      </w:r>
      <w:r>
        <w:t xml:space="preserve"> </w:t>
      </w:r>
      <w:r>
        <w:t xml:space="preserve">respondents out of 5 (60.0%).</w:t>
      </w:r>
      <w:r>
        <w:t xml:space="preserve"> </w:t>
      </w:r>
      <w:r>
        <w:t xml:space="preserve">272 Excluding public authorities focusing on sectors other than rail.</w:t>
      </w:r>
      <w:r>
        <w:t xml:space="preserve"> </w:t>
      </w:r>
      <w:r>
        <w:t xml:space="preserve">273 Excluding undertakings with activities in sectors other than passenger rail transport.</w:t>
      </w:r>
      <w:r>
        <w:t xml:space="preserve"> </w:t>
      </w:r>
      <w:r>
        <w:t xml:space="preserve">274 16 companies out of 26 (61.5%), 6 business associations out of 12 (50.0%), 11 public authorities out of 15</w:t>
      </w:r>
      <w:r>
        <w:t xml:space="preserve"> </w:t>
      </w:r>
      <w:r>
        <w:t xml:space="preserve">(73.3%), 4 NGOs out of 5 (80.0%), 2 trade unions out of 3 (66.7%), 2 EU citizens out of 3 (66.7%), 3 other</w:t>
      </w:r>
      <w:r>
        <w:t xml:space="preserve"> </w:t>
      </w:r>
      <w:r>
        <w:t xml:space="preserve">respondents out of 5 (60.0%).</w:t>
      </w:r>
      <w:r>
        <w:t xml:space="preserve"> </w:t>
      </w:r>
      <w:r>
        <w:t xml:space="preserve">275 15 companies out of 26 (57.7%), 8 business associations out of 12 (66.7%), 7 public authorities out of 15</w:t>
      </w:r>
      <w:r>
        <w:t xml:space="preserve"> </w:t>
      </w:r>
      <w:r>
        <w:t xml:space="preserve">(46.7%), 2 NGOs out of 5 (40.0%), 1 trade union out of 3 (33.3%), 1 EU citizen out of 3 (33.3%).</w:t>
      </w:r>
      <w:r>
        <w:br/>
      </w:r>
      <w:r>
        <w:t xml:space="preserve">276 10 companies out of 26 (38.5%), 8 business associations out of 12 (66.7%), 5 public authorities out of 15</w:t>
      </w:r>
      <w:r>
        <w:t xml:space="preserve"> </w:t>
      </w:r>
      <w:r>
        <w:t xml:space="preserve">(33.3%), 2 NGOs out of 5 (40.0%), 2 EU citizens out of 3 (66.7%), 1 trade union out of 3 (33.3%).</w:t>
      </w:r>
      <w:r>
        <w:br/>
      </w:r>
      <w:r>
        <w:t xml:space="preserve">277 1 business association out of 12 (8.3%), 1 public authority out of 15 (6.7%), 1 EU citizen out of 3 (33.3%).</w:t>
      </w:r>
      <w:r>
        <w:t xml:space="preserve"> </w:t>
      </w:r>
      <w:r>
        <w:t xml:space="preserve">278 5 companies out of 26 (19.2%), 9 business associations out of 12 (75.0%), 1 NGO out of 5 (20.0%), 4 public</w:t>
      </w:r>
      <w:r>
        <w:t xml:space="preserve"> </w:t>
      </w:r>
      <w:r>
        <w:t xml:space="preserve">authorities out of 15 (26.7%), 1 academic institution out of 1 (100%), 1 trade union out of 3 (33.3%), 3 other</w:t>
      </w:r>
      <w:r>
        <w:t xml:space="preserve"> </w:t>
      </w:r>
      <w:r>
        <w:t xml:space="preserve">respondents out of 5 (60.0%).</w:t>
      </w:r>
      <w:r>
        <w:t xml:space="preserve"> </w:t>
      </w:r>
      <w:r>
        <w:t xml:space="preserve">279 17 companies out of 26 (65.4%), 7 business associations out of 12 (58.3%), 7 public authorities out of 15</w:t>
      </w:r>
      <w:r>
        <w:t xml:space="preserve"> </w:t>
      </w:r>
      <w:r>
        <w:t xml:space="preserve">(46.7%), 2 NGOs out of 5 (40.0%), 1 trade union out of 3 (33.3%), 2 EU citizens out of 3 (66.7%), 2 other</w:t>
      </w:r>
      <w:r>
        <w:t xml:space="preserve"> </w:t>
      </w:r>
      <w:r>
        <w:t xml:space="preserve">respondents out of 5 (40.0%).</w:t>
      </w:r>
      <w:r>
        <w:t xml:space="preserve"> </w:t>
      </w:r>
      <w:r>
        <w:t xml:space="preserve">280 Excluding undertakings with activities in sectors other than rail freight transport.</w:t>
      </w:r>
    </w:p>
    <w:p>
      <w:pPr>
        <w:pStyle w:val="BodyText"/>
      </w:pPr>
      <w:r>
        <w:t xml:space="preserve">A-15</w:t>
      </w:r>
    </w:p>
    <w:p>
      <w:pPr>
        <w:pStyle w:val="BodyText"/>
      </w:pPr>
      <w:r>
        <w:t xml:space="preserve">except two intermodal rail freight operators. Stakeholders expressed a preference for grants (32</w:t>
      </w:r>
      <w:r>
        <w:t xml:space="preserve"> </w:t>
      </w:r>
      <w:r>
        <w:t xml:space="preserve">out of 70281 or 46%) or loans (22 out of 70282 or 31%).</w:t>
      </w:r>
      <w:r>
        <w:br/>
      </w:r>
      <w:r>
        <w:t xml:space="preserve">A significant minority of respondents advocated additional conditions with 39% of stakeholders</w:t>
      </w:r>
      <w:r>
        <w:t xml:space="preserve"> </w:t>
      </w:r>
      <w:r>
        <w:t xml:space="preserve">(27 out of 70)283 in favour of requiring beneficiaries to put old rolling stock up for sale or lease</w:t>
      </w:r>
      <w:r>
        <w:t xml:space="preserve"> </w:t>
      </w:r>
      <w:r>
        <w:t xml:space="preserve">(with 29% (20)284 against). In particular, all public authorities were in favour, or did not know.</w:t>
      </w:r>
      <w:r>
        <w:t xml:space="preserve"> </w:t>
      </w:r>
      <w:r>
        <w:t xml:space="preserve">Companies in favour of the proposal included undertakings of all sizes (all SMEs were in favour</w:t>
      </w:r>
      <w:r>
        <w:t xml:space="preserve"> </w:t>
      </w:r>
      <w:r>
        <w:t xml:space="preserve">of this approach and some large undertakings also supported it), including 4 new entrants. All</w:t>
      </w:r>
      <w:r>
        <w:t xml:space="preserve"> </w:t>
      </w:r>
      <w:r>
        <w:t xml:space="preserve">companies against were large companies, including 6 undertakings related to incumbents.</w:t>
      </w:r>
      <w:r>
        <w:t xml:space="preserve"> </w:t>
      </w:r>
      <w:r>
        <w:t xml:space="preserve">D) Other sectors that contribute to multimodal transport solutions</w:t>
      </w:r>
      <w:r>
        <w:t xml:space="preserve"> </w:t>
      </w:r>
      <w:r>
        <w:t xml:space="preserve">Respondents were generally in favour of extending the scope of the rules:</w:t>
      </w:r>
      <w:r>
        <w:t xml:space="preserve"> </w:t>
      </w:r>
      <w:r>
        <w:t xml:space="preserve">• 64% of respondents (45 out of 70)285 supported the extension of the scope to the</w:t>
      </w:r>
      <w:r>
        <w:t xml:space="preserve"> </w:t>
      </w:r>
      <w:r>
        <w:t xml:space="preserve">different actors of the intermodal chain such as IWW transport operators and logistics</w:t>
      </w:r>
      <w:r>
        <w:t xml:space="preserve"> </w:t>
      </w:r>
      <w:r>
        <w:t xml:space="preserve">undertakings (with 9% (6 out of 70)286against, and the rest unsure).</w:t>
      </w:r>
      <w:r>
        <w:br/>
      </w:r>
      <w:r>
        <w:t xml:space="preserve">• 53% of respondents (37 out of 70)287 were in favour of extending interoperability aid to</w:t>
      </w:r>
      <w:r>
        <w:t xml:space="preserve"> </w:t>
      </w:r>
      <w:r>
        <w:t xml:space="preserve">sectors other than railway, including all responding public authorities288 and all</w:t>
      </w:r>
      <w:r>
        <w:t xml:space="preserve"> </w:t>
      </w:r>
      <w:r>
        <w:t xml:space="preserve">responding289 companies, except 1 group. 10% (7 out of 70)290 of the respondents were</w:t>
      </w:r>
      <w:r>
        <w:t xml:space="preserve"> </w:t>
      </w:r>
      <w:r>
        <w:t xml:space="preserve">against and the rest were unsure.</w:t>
      </w:r>
      <w:r>
        <w:t xml:space="preserve"> </w:t>
      </w:r>
      <w:r>
        <w:t xml:space="preserve">E) Services of general economic interest in the rail sector</w:t>
      </w:r>
      <w:r>
        <w:t xml:space="preserve"> </w:t>
      </w:r>
      <w:r>
        <w:t xml:space="preserve">Of the 46 of the respondents having answered the question, 35% (16 respondents)291 were in</w:t>
      </w:r>
      <w:r>
        <w:t xml:space="preserve"> </w:t>
      </w:r>
      <w:r>
        <w:t xml:space="preserve">favour of allowing Member States to grant public support beyond what is provided in the RGL</w:t>
      </w:r>
      <w:r>
        <w:t xml:space="preserve"> </w:t>
      </w:r>
      <w:r>
        <w:t xml:space="preserve">by setting up PSOs for the provision of certain freight transport services, while 48% (22</w:t>
      </w:r>
    </w:p>
    <w:p>
      <w:pPr>
        <w:pStyle w:val="BodyText"/>
      </w:pPr>
      <w:r>
        <w:t xml:space="preserve">281 15 companies out of 26 (57.7%), 8 business associations out of 12 (66.7%), 5 public authorities out of 15</w:t>
      </w:r>
      <w:r>
        <w:t xml:space="preserve"> </w:t>
      </w:r>
      <w:r>
        <w:t xml:space="preserve">(33.3%), 2 EU citizens out of 3 (66.7%), 1 NGO out of 5 (20.0%), 1 trade union out of 3 (33.3%).</w:t>
      </w:r>
      <w:r>
        <w:t xml:space="preserve"> </w:t>
      </w:r>
      <w:r>
        <w:t xml:space="preserve">282 9 companies out of 26 (34.6%), 5 business associations out of 12 (41.7%), 5 public authorities out of 15 (33.3%),</w:t>
      </w:r>
      <w:r>
        <w:t xml:space="preserve"> </w:t>
      </w:r>
      <w:r>
        <w:t xml:space="preserve">2 EU citizens out of 3 (66.7%), 1 NGO out of 5 (20.0%).</w:t>
      </w:r>
      <w:r>
        <w:br/>
      </w:r>
      <w:r>
        <w:t xml:space="preserve">283 7 companies out of 26 (26.9%), 5 business associations out of 12 (41.7%), 9 public authorities out of 15 (60.0%),</w:t>
      </w:r>
      <w:r>
        <w:t xml:space="preserve"> </w:t>
      </w:r>
      <w:r>
        <w:t xml:space="preserve">2 NGOs out of 5 (40.0%), 2 EU citizens out of 3 (66.7%), 2 other respondents out of 5 (40.0%).</w:t>
      </w:r>
      <w:r>
        <w:t xml:space="preserve"> </w:t>
      </w:r>
      <w:r>
        <w:t xml:space="preserve">284 9 companies out of 26 (34.6%), 5 business associations out of 12 (41.7%), 2 NGOs out of 5 (40.0%), 2 trade</w:t>
      </w:r>
      <w:r>
        <w:t xml:space="preserve"> </w:t>
      </w:r>
      <w:r>
        <w:t xml:space="preserve">unions out of 3 (66.7%), 2 other respondents out of 5 (40.0%).</w:t>
      </w:r>
      <w:r>
        <w:t xml:space="preserve"> </w:t>
      </w:r>
      <w:r>
        <w:t xml:space="preserve">285 8 public authorities out of 15 (53.3%), 6 business associations out of 12 (50.0%), 18 companies out of 26</w:t>
      </w:r>
      <w:r>
        <w:t xml:space="preserve"> </w:t>
      </w:r>
      <w:r>
        <w:t xml:space="preserve">(69.2%), 3 EU citizens out of 3 (100%), 4 NGOs out of 5 (80.0%), 1 academic institution out of 1 (100%), 1 trade</w:t>
      </w:r>
      <w:r>
        <w:t xml:space="preserve"> </w:t>
      </w:r>
      <w:r>
        <w:t xml:space="preserve">union out of 3 (33.3%), 4 other respondents out of 5 (80.0%).</w:t>
      </w:r>
      <w:r>
        <w:t xml:space="preserve"> </w:t>
      </w:r>
      <w:r>
        <w:t xml:space="preserve">286 3 companies out of 26 (11.5%), 1 business association out of 12 (8.3%), 2 public authorities out of 15 (13.3%).</w:t>
      </w:r>
      <w:r>
        <w:t xml:space="preserve"> </w:t>
      </w:r>
      <w:r>
        <w:t xml:space="preserve">287 4 business associations out of 12 (33.3%), 12 companies out of 26 (46.2%), 12 public authorities out of 15</w:t>
      </w:r>
      <w:r>
        <w:t xml:space="preserve"> </w:t>
      </w:r>
      <w:r>
        <w:t xml:space="preserve">(80.0%), 1 academic institution out of 1 (100%), 2 EU citizens out of 3 (66.7%), 3 NGOs out of 5 (60.0%), 2 other</w:t>
      </w:r>
      <w:r>
        <w:t xml:space="preserve"> </w:t>
      </w:r>
      <w:r>
        <w:t xml:space="preserve">respondents out of 5 (40.0%).</w:t>
      </w:r>
      <w:r>
        <w:t xml:space="preserve"> </w:t>
      </w:r>
      <w:r>
        <w:t xml:space="preserve">288 Excluding public authorities that replied that they did not know.</w:t>
      </w:r>
      <w:r>
        <w:t xml:space="preserve"> </w:t>
      </w:r>
      <w:r>
        <w:t xml:space="preserve">289 Excluding companies that replied that they did not know, which are all active in the rail sector and thus not</w:t>
      </w:r>
      <w:r>
        <w:t xml:space="preserve"> </w:t>
      </w:r>
      <w:r>
        <w:t xml:space="preserve">concerned by the question, as they may benefit from interoperability aid under the RGL.</w:t>
      </w:r>
      <w:r>
        <w:t xml:space="preserve"> </w:t>
      </w:r>
      <w:r>
        <w:t xml:space="preserve">290 2 business associations out of 12 (16.7%), 2 companies out of 26 (7.7%), 1 NGO out of 5 (20.0%), 2 trade</w:t>
      </w:r>
      <w:r>
        <w:t xml:space="preserve"> </w:t>
      </w:r>
      <w:r>
        <w:t xml:space="preserve">unions out of 3 (66.7%).</w:t>
      </w:r>
      <w:r>
        <w:t xml:space="preserve"> </w:t>
      </w:r>
      <w:r>
        <w:t xml:space="preserve">291 8 companies out of 26 (30.8%), 3 business associations out of 12 (25.0%), 2 public authorities out of 15 (13.3%),</w:t>
      </w:r>
      <w:r>
        <w:t xml:space="preserve"> </w:t>
      </w:r>
      <w:r>
        <w:t xml:space="preserve">1 NGO out of 5 (20.0%), 1 trade union out of 3 (33.3%), 1 other respondent out of 5 (20.0%).</w:t>
      </w:r>
    </w:p>
    <w:p>
      <w:pPr>
        <w:pStyle w:val="BodyText"/>
      </w:pPr>
      <w:r>
        <w:t xml:space="preserve">A-16</w:t>
      </w:r>
    </w:p>
    <w:p>
      <w:pPr>
        <w:pStyle w:val="BodyText"/>
      </w:pPr>
      <w:r>
        <w:t xml:space="preserve">respondents)292 were against.293 Finally, respondents did not provide homogeneous answers</w:t>
      </w:r>
      <w:r>
        <w:t xml:space="preserve"> </w:t>
      </w:r>
      <w:r>
        <w:t xml:space="preserve">concerning the possible duration of rail freight PSOs.</w:t>
      </w:r>
      <w:r>
        <w:br/>
      </w:r>
      <w:r>
        <w:t xml:space="preserve">Stakeholders did not take a clear-cut position with regard to the possibility of including rules</w:t>
      </w:r>
      <w:r>
        <w:t xml:space="preserve"> </w:t>
      </w:r>
      <w:r>
        <w:t xml:space="preserve">on aid having a social character (Article 107 (2) (a) TFEU) for the benefit of rail passengers294.</w:t>
      </w:r>
      <w:r>
        <w:t xml:space="preserve"> </w:t>
      </w:r>
      <w:r>
        <w:t xml:space="preserve">F) Rescue and Restructuring aid to railway undertaking</w:t>
      </w:r>
      <w:r>
        <w:t xml:space="preserve"> </w:t>
      </w:r>
      <w:r>
        <w:t xml:space="preserve">Asked about whether the revised GLs should include specific rules for railway undertakings in</w:t>
      </w:r>
      <w:r>
        <w:t xml:space="preserve"> </w:t>
      </w:r>
      <w:r>
        <w:t xml:space="preserve">difficulty to cater for the specificity of the rail sector, less than half of the stakeholders expressed</w:t>
      </w:r>
      <w:r>
        <w:t xml:space="preserve"> </w:t>
      </w:r>
      <w:r>
        <w:t xml:space="preserve">a position and the feedback received was split: 26% of the stakeholders (18 out of 70)295 were</w:t>
      </w:r>
      <w:r>
        <w:t xml:space="preserve"> </w:t>
      </w:r>
      <w:r>
        <w:t xml:space="preserve">against specific rules, while 23% (16 out of 70)296 were in favour. Public authorities were</w:t>
      </w:r>
      <w:r>
        <w:t xml:space="preserve"> </w:t>
      </w:r>
      <w:r>
        <w:t xml:space="preserve">particularly divided, as an equal number of authorities from Member States of all sizes and</w:t>
      </w:r>
      <w:r>
        <w:t xml:space="preserve"> </w:t>
      </w:r>
      <w:r>
        <w:t xml:space="preserve">geographical locations expressed themselves in favour and against such rules.</w:t>
      </w:r>
      <w:r>
        <w:t xml:space="preserve"> </w:t>
      </w:r>
      <w:r>
        <w:t xml:space="preserve">Stakeholders were consulted to understand whether the provisions contained in the R&amp;R</w:t>
      </w:r>
      <w:r>
        <w:t xml:space="preserve"> </w:t>
      </w:r>
      <w:r>
        <w:t xml:space="preserve">Guidelines are suitable for the railway sector. The majority of stakeholders (76% or 53 out of</w:t>
      </w:r>
      <w:r>
        <w:t xml:space="preserve"> </w:t>
      </w:r>
      <w:r>
        <w:t xml:space="preserve">70)297 supported the possibility for the Commission to apply the flexibility provided in the R&amp;R</w:t>
      </w:r>
      <w:r>
        <w:t xml:space="preserve"> </w:t>
      </w:r>
      <w:r>
        <w:t xml:space="preserve">Guidelines to limit the potential negative systemic impact of R&amp;R aid on the regions where the</w:t>
      </w:r>
      <w:r>
        <w:t xml:space="preserve"> </w:t>
      </w:r>
      <w:r>
        <w:t xml:space="preserve">aid is granted, while 24% (17 out of 70)298 were against:</w:t>
      </w:r>
      <w:r>
        <w:t xml:space="preserve"> </w:t>
      </w:r>
      <w:r>
        <w:t xml:space="preserve">• 80% of stakeholders (56 out of 70)299 considered that the Commission should continue</w:t>
      </w:r>
      <w:r>
        <w:t xml:space="preserve"> </w:t>
      </w:r>
      <w:r>
        <w:t xml:space="preserve">to accept contributions below 50% of the restructuring costs, while 20% (14 out of 70)300</w:t>
      </w:r>
      <w:r>
        <w:t xml:space="preserve"> </w:t>
      </w:r>
      <w:r>
        <w:t xml:space="preserve">were not in favour.</w:t>
      </w:r>
    </w:p>
    <w:p>
      <w:pPr>
        <w:pStyle w:val="BodyText"/>
      </w:pPr>
      <w:r>
        <w:t xml:space="preserve">292 11 companies out of 26 (42.3%), 6 business associations out of 12 (50.0%), 3 public authorities out of 15</w:t>
      </w:r>
      <w:r>
        <w:t xml:space="preserve"> </w:t>
      </w:r>
      <w:r>
        <w:t xml:space="preserve">(20.0%), 1 NGO out of 5 (20.0%), 1 other respondent out of 5 (20.0%).</w:t>
      </w:r>
      <w:r>
        <w:br/>
      </w:r>
      <w:r>
        <w:t xml:space="preserve">293 Intra-group comparisons for this question would not be meaningful, as many respondents (10 public authorities</w:t>
      </w:r>
      <w:r>
        <w:t xml:space="preserve"> </w:t>
      </w:r>
      <w:r>
        <w:t xml:space="preserve">out of 16 (62.5%) and 7 companies out of 26 (27.0%)) did not reply or replied that they did not know.</w:t>
      </w:r>
      <w:r>
        <w:br/>
      </w:r>
      <w:r>
        <w:t xml:space="preserve">294 18 stakeholders out of 70 (26%) did not support the introduction of such rules (6 companies out of 26 (23.1%),</w:t>
      </w:r>
      <w:r>
        <w:t xml:space="preserve"> </w:t>
      </w:r>
      <w:r>
        <w:t xml:space="preserve">2 business associations out of 12 (16.7%), 6 public authorities out of 15 (40.0%), 4 other respondents out of 5</w:t>
      </w:r>
      <w:r>
        <w:t xml:space="preserve"> </w:t>
      </w:r>
      <w:r>
        <w:t xml:space="preserve">(80.0%)), 23 stakeholders out of 70 (23%) supported it (5 companies out of 26 (19.2%), 4 business associations</w:t>
      </w:r>
      <w:r>
        <w:t xml:space="preserve"> </w:t>
      </w:r>
      <w:r>
        <w:t xml:space="preserve">out of 12 (33.3%), 5 public authorities out of 15 (33.3%), 3 trade unions out of 3 (100%), 4 NGOs out of 5 (80.0%),</w:t>
      </w:r>
      <w:r>
        <w:t xml:space="preserve"> </w:t>
      </w:r>
      <w:r>
        <w:t xml:space="preserve">2 EU citizens out of 3 (66.7%)), 30 out of 70 (43%) did not know.</w:t>
      </w:r>
      <w:r>
        <w:t xml:space="preserve"> </w:t>
      </w:r>
      <w:r>
        <w:t xml:space="preserve">295 8 companies out of 26 (30.8%), 5 business associations out of 12 (41.7%), 4 public authorities out of 15 (26.7%),</w:t>
      </w:r>
      <w:r>
        <w:t xml:space="preserve"> </w:t>
      </w:r>
      <w:r>
        <w:t xml:space="preserve">1 EU citizen out of 3 (33.3%).</w:t>
      </w:r>
      <w:r>
        <w:br/>
      </w:r>
      <w:r>
        <w:t xml:space="preserve">296 6 companies out of 26 (23.1%), 4 business associations out of 12 (33.3%), 4 public authorities out of 15 (26.7%),</w:t>
      </w:r>
      <w:r>
        <w:t xml:space="preserve"> </w:t>
      </w:r>
      <w:r>
        <w:t xml:space="preserve">2 trade unions out of 3 (66.7%).</w:t>
      </w:r>
      <w:r>
        <w:br/>
      </w:r>
      <w:r>
        <w:t xml:space="preserve">297 20 companies out of 26 (76.9%), 10 business associations out of 12 (83.3%), 12 public authorities out of 15</w:t>
      </w:r>
      <w:r>
        <w:t xml:space="preserve"> </w:t>
      </w:r>
      <w:r>
        <w:t xml:space="preserve">(80.0%), 4 NGOs out of 5 (80.0%), 3 trade unions out of 3 (100%), 1 EU citizen out of 3 (33.3%), 3 other</w:t>
      </w:r>
      <w:r>
        <w:t xml:space="preserve"> </w:t>
      </w:r>
      <w:r>
        <w:t xml:space="preserve">respondents out of 5 (60.0%).</w:t>
      </w:r>
      <w:r>
        <w:br/>
      </w:r>
      <w:r>
        <w:t xml:space="preserve">298 6 companies out of 26 (23.1%), 2 business associations out of 12 (16.7%), 3 public authorities out of 15 (20.0%),</w:t>
      </w:r>
      <w:r>
        <w:t xml:space="preserve"> </w:t>
      </w:r>
      <w:r>
        <w:t xml:space="preserve">1 NGO out of 5 (20.0%), 1 academic institution out of 1 (100%), 2 EU citizens out of 3 (66.7%), 2 other</w:t>
      </w:r>
      <w:r>
        <w:t xml:space="preserve"> </w:t>
      </w:r>
      <w:r>
        <w:t xml:space="preserve">respondents out of 5 (40.0%).</w:t>
      </w:r>
      <w:r>
        <w:br/>
      </w:r>
      <w:r>
        <w:t xml:space="preserve">299 22 companies out of 26 (84.6%), 10 business associations out of 12 (83.3%), 13 public authorities out of 15</w:t>
      </w:r>
      <w:r>
        <w:t xml:space="preserve"> </w:t>
      </w:r>
      <w:r>
        <w:t xml:space="preserve">(86.7%), 4 NGOs out of 5 (80.0%), 2 trade unions out of 3 (66.7%), 2 EU citizens out of 3 (66.7%), 3 other</w:t>
      </w:r>
      <w:r>
        <w:t xml:space="preserve"> </w:t>
      </w:r>
      <w:r>
        <w:t xml:space="preserve">respondents out of 5 (60.0%).</w:t>
      </w:r>
      <w:r>
        <w:br/>
      </w:r>
      <w:r>
        <w:t xml:space="preserve">300 4 companies out of 26 (15.4%), 2 business associations out of 12 (16.7%), 2 public authorities out of 15 (13.3%),</w:t>
      </w:r>
      <w:r>
        <w:t xml:space="preserve"> </w:t>
      </w:r>
      <w:r>
        <w:t xml:space="preserve">1 NGO out of 5 (20.0%), 1 trade union out of 3 (33.3%), 1 academic institution out of 1 (100%), 1 EU citizen out</w:t>
      </w:r>
      <w:r>
        <w:t xml:space="preserve"> </w:t>
      </w:r>
      <w:r>
        <w:t xml:space="preserve">of 3 (33.3%), 2 other respondents out of 5 (40.0%).</w:t>
      </w:r>
    </w:p>
    <w:p>
      <w:pPr>
        <w:pStyle w:val="BodyText"/>
      </w:pPr>
      <w:r>
        <w:t xml:space="preserve">A-17</w:t>
      </w:r>
    </w:p>
    <w:p>
      <w:pPr>
        <w:pStyle w:val="BodyText"/>
      </w:pPr>
      <w:r>
        <w:t xml:space="preserve">• 66% of stakeholders (46 out of 70)301 were unsure about the suitability of the</w:t>
      </w:r>
      <w:r>
        <w:t xml:space="preserve"> </w:t>
      </w:r>
      <w:r>
        <w:t xml:space="preserve">derogations foreseen by the R&amp;R Guidelines for R&amp;R aid to undertakings in difficulty</w:t>
      </w:r>
      <w:r>
        <w:t xml:space="preserve"> </w:t>
      </w:r>
      <w:r>
        <w:t xml:space="preserve">providing SGEIs to the specificities of railway undertakings. Among the rest, a majority</w:t>
      </w:r>
      <w:r>
        <w:t xml:space="preserve"> </w:t>
      </w:r>
      <w:r>
        <w:t xml:space="preserve">of 71% (17 out of 24)302 deemed the derogations fit for railway undertakings, and 29%</w:t>
      </w:r>
      <w:r>
        <w:t xml:space="preserve"> </w:t>
      </w:r>
      <w:r>
        <w:t xml:space="preserve">(7 out of 24)303 deemed the opposite.</w:t>
      </w:r>
      <w:r>
        <w:t xml:space="preserve"> </w:t>
      </w:r>
      <w:r>
        <w:t xml:space="preserve">G) Financial transactions concerning railway undertakings</w:t>
      </w:r>
      <w:r>
        <w:t xml:space="preserve"> </w:t>
      </w:r>
      <w:r>
        <w:t xml:space="preserve">With regard to State aid granted to vertically integrated railway undertakings, 37% of</w:t>
      </w:r>
      <w:r>
        <w:t xml:space="preserve"> </w:t>
      </w:r>
      <w:r>
        <w:t xml:space="preserve">stakeholders (26 out of 70)304 considered that there is a risk of cross-subsidisation between</w:t>
      </w:r>
      <w:r>
        <w:t xml:space="preserve"> </w:t>
      </w:r>
      <w:r>
        <w:t xml:space="preserve">commercial and non-commercial activities, whereas 36% (25 out of 70)305 did not see such risk.</w:t>
      </w:r>
      <w:r>
        <w:t xml:space="preserve"> </w:t>
      </w:r>
      <w:r>
        <w:t xml:space="preserve">Amongst public authorities, all responding306 Member States except one indicated that they did</w:t>
      </w:r>
      <w:r>
        <w:t xml:space="preserve"> </w:t>
      </w:r>
      <w:r>
        <w:t xml:space="preserve">not see such risk. Furthermore, amongst the 12 companies replying that they did not see such</w:t>
      </w:r>
      <w:r>
        <w:t xml:space="preserve"> </w:t>
      </w:r>
      <w:r>
        <w:t xml:space="preserve">risk, 10 were publicly owned. By contrast, amongst the 9 companies seeing such risk, 6 were</w:t>
      </w:r>
      <w:r>
        <w:t xml:space="preserve"> </w:t>
      </w:r>
      <w:r>
        <w:t xml:space="preserve">independent railway undertakings. As regards the identification of State aid in their practical</w:t>
      </w:r>
      <w:r>
        <w:t xml:space="preserve"> </w:t>
      </w:r>
      <w:r>
        <w:t xml:space="preserve">experience, 47% of the respondents (33 out of 70)307 stated not to have had issues and only 13%</w:t>
      </w:r>
      <w:r>
        <w:t xml:space="preserve"> </w:t>
      </w:r>
      <w:r>
        <w:t xml:space="preserve">(9 out of 70)308, including only 1 Member State, stated that they had encountered issues.</w:t>
      </w:r>
      <w:r>
        <w:t xml:space="preserve"> </w:t>
      </w:r>
      <w:r>
        <w:t xml:space="preserve">H) Regional bonuses</w:t>
      </w:r>
      <w:r>
        <w:t xml:space="preserve"> </w:t>
      </w:r>
      <w:r>
        <w:t xml:space="preserve">Finally, some stakeholders (44% or 31 out of 70)309 considered that the revised rules should</w:t>
      </w:r>
      <w:r>
        <w:t xml:space="preserve"> </w:t>
      </w:r>
      <w:r>
        <w:t xml:space="preserve">contain aid intensity bonuses, for example to investments in assisted areas, while 20% (14 out</w:t>
      </w:r>
      <w:r>
        <w:t xml:space="preserve"> </w:t>
      </w:r>
      <w:r>
        <w:t xml:space="preserve">of 70)310 were against. Amongst public authorities, no clear pattern can be identified based on</w:t>
      </w:r>
      <w:r>
        <w:t xml:space="preserve"> </w:t>
      </w:r>
      <w:r>
        <w:t xml:space="preserve">the level of governance (e.g. regional or national) of the authority, its geographical location, its</w:t>
      </w:r>
      <w:r>
        <w:t xml:space="preserve"> </w:t>
      </w:r>
      <w:r>
        <w:t xml:space="preserve">size or its budgetary expenditure. For instance, amongst public authorities active at national</w:t>
      </w:r>
      <w:r>
        <w:t xml:space="preserve"> </w:t>
      </w:r>
      <w:r>
        <w:t xml:space="preserve">level, 3 expressed themselves against regional bonuses (FI, HU and CZ), while IT, RO and LV</w:t>
      </w:r>
      <w:r>
        <w:t xml:space="preserve"> </w:t>
      </w:r>
      <w:r>
        <w:t xml:space="preserve">expressed themselves in favour, and FR, NL and LT did not know, evidencing a disparity of</w:t>
      </w:r>
      <w:r>
        <w:t xml:space="preserve"> </w:t>
      </w:r>
      <w:r>
        <w:t xml:space="preserve">views not linked to geographical location or budgetary expenditure. Similarly, one IT region</w:t>
      </w:r>
    </w:p>
    <w:p>
      <w:pPr>
        <w:pStyle w:val="BodyText"/>
      </w:pPr>
      <w:r>
        <w:t xml:space="preserve">301 17 companies out of 26 (65.4%), 7 business associations out of 12 (58.3%), 9 public authorities out of 15</w:t>
      </w:r>
      <w:r>
        <w:t xml:space="preserve"> </w:t>
      </w:r>
      <w:r>
        <w:t xml:space="preserve">(60.0%), 3 NGOs out of 5 (60.0%), 3 trade unions out of 3 (100%), 1 academic institution out of 1 (100%), 2 EU</w:t>
      </w:r>
      <w:r>
        <w:t xml:space="preserve"> </w:t>
      </w:r>
      <w:r>
        <w:t xml:space="preserve">citizens out of 3 (66.7%), 4 other respondents out of 5 (80.0%).</w:t>
      </w:r>
      <w:r>
        <w:br/>
      </w:r>
      <w:r>
        <w:t xml:space="preserve">302 6 companies out of 26 (23.1%), 3 business associations out of 12 (25.0%), 4 public authorities out of 15 (26.7%),</w:t>
      </w:r>
      <w:r>
        <w:t xml:space="preserve"> </w:t>
      </w:r>
      <w:r>
        <w:t xml:space="preserve">2 NGOs out of 5 (40.0%), 1 EU citizen out of 3 (33.3%), 1 other respondent out of 5 (20.0%).</w:t>
      </w:r>
      <w:r>
        <w:br/>
      </w:r>
      <w:r>
        <w:t xml:space="preserve">303 3 companies out of 26 (11.5%), 2 business associations out of 12 (16.7%), 2 public authorities out of 15 (13.3%).</w:t>
      </w:r>
      <w:r>
        <w:t xml:space="preserve"> </w:t>
      </w:r>
      <w:r>
        <w:t xml:space="preserve">304 9 companies out of 26 (34.6%), 6 business associations out of 12 (50.0%), 3 public authorities out of 15 (20.0%),</w:t>
      </w:r>
      <w:r>
        <w:t xml:space="preserve"> </w:t>
      </w:r>
      <w:r>
        <w:t xml:space="preserve">3 NGOs out of 5 (60.0%), 2 EU citizens out of 3 (66.7%), 3 other respondents out of 5 (60.0%).</w:t>
      </w:r>
      <w:r>
        <w:br/>
      </w:r>
      <w:r>
        <w:t xml:space="preserve">305 13 companies out of 26 (50.0%), 1 business association out of 12 (8.3%), 7 public authorities out of 15 (46.7%),</w:t>
      </w:r>
      <w:r>
        <w:t xml:space="preserve"> </w:t>
      </w:r>
      <w:r>
        <w:t xml:space="preserve">1 NGO out of 5 (20.0%), 2 trade unions out of 3 (66.7%), 1 other respondent out of 5 (20.0%).</w:t>
      </w:r>
      <w:r>
        <w:br/>
      </w:r>
      <w:r>
        <w:t xml:space="preserve">306 Excluding the two Member States who replied that they did not know.</w:t>
      </w:r>
      <w:r>
        <w:t xml:space="preserve"> </w:t>
      </w:r>
      <w:r>
        <w:t xml:space="preserve">307 13 companies out of 26 (50.0%), 6 business associations out of 12 (50.0%), 9 public authorities out of 15</w:t>
      </w:r>
      <w:r>
        <w:t xml:space="preserve"> </w:t>
      </w:r>
      <w:r>
        <w:t xml:space="preserve">(60.0%), 1 NGO out of 5 (20.0%), 2 trade unions out of 3 (66.7%), 1 EU citizen out of 3 (33.3%), 1 other</w:t>
      </w:r>
      <w:r>
        <w:t xml:space="preserve"> </w:t>
      </w:r>
      <w:r>
        <w:t xml:space="preserve">respondent out of 5 (20.0%).</w:t>
      </w:r>
      <w:r>
        <w:t xml:space="preserve"> </w:t>
      </w:r>
      <w:r>
        <w:t xml:space="preserve">308 2 companies out of 26 (7.7%), 4 business associations out of 12 (33.3%), 1 public authority out of 15 (6.7%),</w:t>
      </w:r>
      <w:r>
        <w:t xml:space="preserve"> </w:t>
      </w:r>
      <w:r>
        <w:t xml:space="preserve">1 NGO out of 5 (20.0%), 1 other respondent out of 5 (20.0%).</w:t>
      </w:r>
      <w:r>
        <w:t xml:space="preserve"> </w:t>
      </w:r>
      <w:r>
        <w:t xml:space="preserve">309 14 companies out of 26 (53.8%), 3 business associations out of 12 (25.0%), 5 public authorities out of 15</w:t>
      </w:r>
      <w:r>
        <w:t xml:space="preserve"> </w:t>
      </w:r>
      <w:r>
        <w:t xml:space="preserve">(33.3%), 3 NGOs out of 5 (60.0%), 2 trade unions out of 3 (66.7%), 1 academic institution out of 1 (100%), 2 EU</w:t>
      </w:r>
      <w:r>
        <w:t xml:space="preserve"> </w:t>
      </w:r>
      <w:r>
        <w:t xml:space="preserve">citizens out of 3 (66.7%), 1 other respondent out of 5 (20.0%).</w:t>
      </w:r>
      <w:r>
        <w:br/>
      </w:r>
      <w:r>
        <w:t xml:space="preserve">310 2 companies out of 26 (7.7%), 7 business associations out of 12 (58.3%), 4 public authorities out of 15 (26.7%),</w:t>
      </w:r>
      <w:r>
        <w:t xml:space="preserve"> </w:t>
      </w:r>
      <w:r>
        <w:t xml:space="preserve">1 other respondent out of 5 (20.0%).</w:t>
      </w:r>
    </w:p>
    <w:p>
      <w:pPr>
        <w:pStyle w:val="BodyText"/>
      </w:pPr>
      <w:r>
        <w:t xml:space="preserve">A-18</w:t>
      </w:r>
    </w:p>
    <w:p>
      <w:pPr>
        <w:pStyle w:val="BodyText"/>
      </w:pPr>
      <w:r>
        <w:t xml:space="preserve">(Emilia-Romagna) expressed itself in favour, while a neighbouring IT region (Liguria) was</w:t>
      </w:r>
      <w:r>
        <w:t xml:space="preserve"> </w:t>
      </w:r>
      <w:r>
        <w:t xml:space="preserve">against, and a FR region (Nouvelle-Aquitaine) indicated that it did not know.</w:t>
      </w:r>
      <w:r>
        <w:t xml:space="preserve"> </w:t>
      </w:r>
      <w:r>
        <w:t xml:space="preserve">4.4. The targeted consultation on the draft revised GLs and TBER (including the</w:t>
      </w:r>
      <w:r>
        <w:t xml:space="preserve"> </w:t>
      </w:r>
      <w:r>
        <w:t xml:space="preserve">meeting with Member States on these draft texts)</w:t>
      </w:r>
      <w:r>
        <w:t xml:space="preserve"> </w:t>
      </w:r>
      <w:r>
        <w:t xml:space="preserve">From 18 June to 20 September 2024, the draft revised GLs and TBER were published on the</w:t>
      </w:r>
      <w:r>
        <w:t xml:space="preserve"> </w:t>
      </w:r>
      <w:r>
        <w:t xml:space="preserve">DG COMP website for comments311. 87 stakeholders provided a response on these draft texts,</w:t>
      </w:r>
      <w:r>
        <w:t xml:space="preserve"> </w:t>
      </w:r>
      <w:r>
        <w:t xml:space="preserve">of which 41 business associations and 12 companies, 29 EU public authorities (including 19</w:t>
      </w:r>
      <w:r>
        <w:t xml:space="preserve"> </w:t>
      </w:r>
      <w:r>
        <w:t xml:space="preserve">Member States authorities)312, 1 EFTA authority, 1 EU citizen, 1 foundation and 2 trade unions.</w:t>
      </w:r>
      <w:r>
        <w:t xml:space="preserve"> </w:t>
      </w:r>
      <w:r>
        <w:t xml:space="preserve">Business associations relayed also the views of SMEs, with some business associations</w:t>
      </w:r>
      <w:r>
        <w:t xml:space="preserve"> </w:t>
      </w:r>
      <w:r>
        <w:t xml:space="preserve">specifically representing new entrants in the rail sector or parts of the IWW sector that are</w:t>
      </w:r>
      <w:r>
        <w:t xml:space="preserve"> </w:t>
      </w:r>
      <w:r>
        <w:t xml:space="preserve">dominated by SMEs.</w:t>
      </w:r>
      <w:r>
        <w:t xml:space="preserve"> </w:t>
      </w:r>
      <w:r>
        <w:t xml:space="preserve">On Tuesday, 10 September 2024, DG COMP held an Advisory Committee and Multilateral</w:t>
      </w:r>
      <w:r>
        <w:t xml:space="preserve"> </w:t>
      </w:r>
      <w:r>
        <w:t xml:space="preserve">Meeting on the draft texts. Participants came from all 27 EU Member States and Norway, the</w:t>
      </w:r>
      <w:r>
        <w:t xml:space="preserve"> </w:t>
      </w:r>
      <w:r>
        <w:t xml:space="preserve">EFTA Surveillance Authority and the Commission (General Secretariat, DG REGIO, DG</w:t>
      </w:r>
      <w:r>
        <w:t xml:space="preserve"> </w:t>
      </w:r>
      <w:r>
        <w:t xml:space="preserve">MOVE, DG AGRI, DG CLIMA, DG ENV, DG CNECT, DG NEAR, DG JUST and DG</w:t>
      </w:r>
      <w:r>
        <w:t xml:space="preserve"> </w:t>
      </w:r>
      <w:r>
        <w:t xml:space="preserve">MARE.</w:t>
      </w:r>
      <w:r>
        <w:t xml:space="preserve"> </w:t>
      </w:r>
      <w:r>
        <w:t xml:space="preserve">After a presentation of the proposals by DG COMP, several Member States313 intervened to</w:t>
      </w:r>
      <w:r>
        <w:t xml:space="preserve"> </w:t>
      </w:r>
      <w:r>
        <w:t xml:space="preserve">present first reactions and questions. The comments echoed the comments provided in writing</w:t>
      </w:r>
      <w:r>
        <w:t xml:space="preserve"> </w:t>
      </w:r>
      <w:r>
        <w:t xml:space="preserve">as part of the targeted consultation and are therefore presented together with the summary of</w:t>
      </w:r>
      <w:r>
        <w:t xml:space="preserve"> </w:t>
      </w:r>
      <w:r>
        <w:t xml:space="preserve">the written responses provided below.</w:t>
      </w:r>
      <w:r>
        <w:t xml:space="preserve"> </w:t>
      </w:r>
      <w:r>
        <w:t xml:space="preserve">General comments</w:t>
      </w:r>
      <w:r>
        <w:t xml:space="preserve"> </w:t>
      </w:r>
      <w:r>
        <w:t xml:space="preserve">10 Member States314 expressly welcomed the new package, in particular the broadening of the</w:t>
      </w:r>
      <w:r>
        <w:t xml:space="preserve"> </w:t>
      </w:r>
      <w:r>
        <w:t xml:space="preserve">scope and the consolidation of the case practice in the field of land transport.</w:t>
      </w:r>
      <w:r>
        <w:br/>
      </w:r>
      <w:r>
        <w:t xml:space="preserve">8 stakeholders315 asked for clarifications about the interplay between the texts and other State</w:t>
      </w:r>
      <w:r>
        <w:t xml:space="preserve"> </w:t>
      </w:r>
      <w:r>
        <w:t xml:space="preserve">aid instruments (General Block Exemption Regulation or ‘GBER’316. / Guidelines on State aid</w:t>
      </w:r>
      <w:r>
        <w:t xml:space="preserve"> </w:t>
      </w:r>
      <w:r>
        <w:t xml:space="preserve">for climate, environmental protection and energy 2022 or ‘CEEAG’317, / Regulation (EC)</w:t>
      </w:r>
      <w:r>
        <w:t xml:space="preserve"> </w:t>
      </w:r>
      <w:r>
        <w:t xml:space="preserve">1370/2007 of 23 October 2007 on public passenger transport services by rail and by road or</w:t>
      </w:r>
      <w:r>
        <w:t xml:space="preserve"> </w:t>
      </w:r>
      <w:r>
        <w:t xml:space="preserve">‘Regulation 1370/2007’)318.), particularly in terms of aid cumulation. Moreover, 11</w:t>
      </w:r>
    </w:p>
    <w:p>
      <w:pPr>
        <w:pStyle w:val="BodyText"/>
      </w:pPr>
      <w:r>
        <w:t xml:space="preserve">311 See footnote 53.</w:t>
      </w:r>
      <w:r>
        <w:t xml:space="preserve"> </w:t>
      </w:r>
      <w:r>
        <w:t xml:space="preserve">312 AT, BE, BG, CZ, DE, DK, EL, ES, IE, FI, FR, IT, LT, LU, NL, PL, PT, RO, SE.</w:t>
      </w:r>
      <w:r>
        <w:t xml:space="preserve"> </w:t>
      </w:r>
      <w:r>
        <w:t xml:space="preserve">313 15 EU Member States out of 27 (55.6%): NL, FI, DK, DE, ES, IT, LV, LU, BE, AT, CY, PL, IE, SE, BG.</w:t>
      </w:r>
      <w:r>
        <w:t xml:space="preserve"> </w:t>
      </w:r>
      <w:r>
        <w:t xml:space="preserve">314 10 EU Member States out of 19 (52.6%): AT, BE, BG, DE, DK, IE, FI, LV, PL, NL.</w:t>
      </w:r>
      <w:r>
        <w:t xml:space="preserve"> </w:t>
      </w:r>
      <w:r>
        <w:t xml:space="preserve">315 3 Member States out of 19 (15.8%): DE, FI, IT, 3 business associations out of 41 (7.3%), 2 companies out of</w:t>
      </w:r>
      <w:r>
        <w:t xml:space="preserve"> </w:t>
      </w:r>
      <w:r>
        <w:t xml:space="preserve">12 (16.7%).</w:t>
      </w:r>
      <w:r>
        <w:t xml:space="preserve"> </w:t>
      </w:r>
      <w:r>
        <w:t xml:space="preserve">316 Commission Regulation (EU) No 651/2014 of 17 June 2014 declaring certain categories of aid compatible with</w:t>
      </w:r>
      <w:r>
        <w:t xml:space="preserve"> </w:t>
      </w:r>
      <w:r>
        <w:t xml:space="preserve">the internal market in application of Articles 107 and 108 of the Treaty, OJ L 187, 26.6.2014.</w:t>
      </w:r>
      <w:r>
        <w:t xml:space="preserve"> </w:t>
      </w:r>
      <w:r>
        <w:t xml:space="preserve">317 Communication from the Commission, Guidelines on State aid for climate, environmental protection and</w:t>
      </w:r>
      <w:r>
        <w:t xml:space="preserve"> </w:t>
      </w:r>
      <w:r>
        <w:t xml:space="preserve">energy 2022, OJ C 80, 18.2.2022.</w:t>
      </w:r>
      <w:r>
        <w:t xml:space="preserve"> </w:t>
      </w:r>
      <w:r>
        <w:t xml:space="preserve">318 Regulation (EC) 1370/2007 of the European Parliament and of the Council of 23 October 2007 on public</w:t>
      </w:r>
      <w:r>
        <w:t xml:space="preserve"> </w:t>
      </w:r>
      <w:r>
        <w:t xml:space="preserve">passenger transport services by rail and by road and repealing Council Regulations (EEC) Nos 1191/69 and</w:t>
      </w:r>
      <w:r>
        <w:t xml:space="preserve"> </w:t>
      </w:r>
      <w:r>
        <w:t xml:space="preserve">1107/70, OJ L 315, 3.12.2007.</w:t>
      </w:r>
    </w:p>
    <w:p>
      <w:pPr>
        <w:pStyle w:val="BodyText"/>
      </w:pPr>
      <w:r>
        <w:t xml:space="preserve">A-19</w:t>
      </w:r>
    </w:p>
    <w:p>
      <w:pPr>
        <w:pStyle w:val="BodyText"/>
      </w:pPr>
      <w:r>
        <w:t xml:space="preserve">stakeholders319 raised concerns about the obligation foreseen in the revised GLs to adjust</w:t>
      </w:r>
      <w:r>
        <w:t xml:space="preserve"> </w:t>
      </w:r>
      <w:r>
        <w:t xml:space="preserve">existing aid schemes to the new rules within 1 year from their entering into force and asked</w:t>
      </w:r>
      <w:r>
        <w:t xml:space="preserve"> </w:t>
      </w:r>
      <w:r>
        <w:t xml:space="preserve">either for its deletion or amendment (e.g. allowing for a transition period of 18 months or two</w:t>
      </w:r>
      <w:r>
        <w:t xml:space="preserve"> </w:t>
      </w:r>
      <w:r>
        <w:t xml:space="preserve">years instead).</w:t>
      </w:r>
      <w:r>
        <w:t xml:space="preserve"> </w:t>
      </w:r>
      <w:r>
        <w:t xml:space="preserve">Operating aid to cover part of the difference in external costs (GHG emissions, pollution,</w:t>
      </w:r>
      <w:r>
        <w:t xml:space="preserve"> </w:t>
      </w:r>
      <w:r>
        <w:t xml:space="preserve">congestion, etc.) between road transport and sustainable land transport modes</w:t>
      </w:r>
      <w:r>
        <w:t xml:space="preserve"> </w:t>
      </w:r>
      <w:r>
        <w:t xml:space="preserve">Stakeholders expressed concerns regarding the introduction of certain conditions which, in their</w:t>
      </w:r>
      <w:r>
        <w:t xml:space="preserve"> </w:t>
      </w:r>
      <w:r>
        <w:t xml:space="preserve">view, would create an administrative burden and called on the Commission to consider higher</w:t>
      </w:r>
      <w:r>
        <w:t xml:space="preserve"> </w:t>
      </w:r>
      <w:r>
        <w:t xml:space="preserve">aid intensities.</w:t>
      </w:r>
      <w:r>
        <w:t xml:space="preserve"> </w:t>
      </w:r>
      <w:r>
        <w:t xml:space="preserve">The inclusion of break-even distances in the draft texts was the single-most commented issue.</w:t>
      </w:r>
      <w:r>
        <w:t xml:space="preserve"> </w:t>
      </w:r>
      <w:r>
        <w:t xml:space="preserve">41 stakeholders (47.1%) opposed the use of break-even limits, with 26 (30%) stakeholders</w:t>
      </w:r>
      <w:r>
        <w:t xml:space="preserve"> </w:t>
      </w:r>
      <w:r>
        <w:t xml:space="preserve">calling for them to be abolished320, and 15 (17.2%) stakeholders calling for them to be</w:t>
      </w:r>
      <w:r>
        <w:t xml:space="preserve"> </w:t>
      </w:r>
      <w:r>
        <w:t xml:space="preserve">increased321. No stakeholder expressed support. Among other arguments, stakeholders</w:t>
      </w:r>
      <w:r>
        <w:t xml:space="preserve"> </w:t>
      </w:r>
      <w:r>
        <w:t xml:space="preserve">considered that identifying the distance travelled for every single operation would present a</w:t>
      </w:r>
      <w:r>
        <w:t xml:space="preserve"> </w:t>
      </w:r>
      <w:r>
        <w:t xml:space="preserve">considerable administrative burden, that there was no “one size fits all” break-even distance</w:t>
      </w:r>
      <w:r>
        <w:t xml:space="preserve"> </w:t>
      </w:r>
      <w:r>
        <w:t xml:space="preserve">since the cost of an operation depended on many factors unrelated to distance, such as the</w:t>
      </w:r>
      <w:r>
        <w:t xml:space="preserve"> </w:t>
      </w:r>
      <w:r>
        <w:t xml:space="preserve">capacity of the network and the availability of terminals, and that break-even distances would</w:t>
      </w:r>
      <w:r>
        <w:t xml:space="preserve"> </w:t>
      </w:r>
      <w:r>
        <w:t xml:space="preserve">discriminate between Member States based on the size of their territories.</w:t>
      </w:r>
      <w:r>
        <w:br/>
      </w:r>
      <w:r>
        <w:t xml:space="preserve">DE and a rail association considered that the proposed provision on capacity constraints should</w:t>
      </w:r>
      <w:r>
        <w:t xml:space="preserve"> </w:t>
      </w:r>
      <w:r>
        <w:t xml:space="preserve">be abolished because the Single European Railway Area Directive already sets rules for</w:t>
      </w:r>
      <w:r>
        <w:t xml:space="preserve"> </w:t>
      </w:r>
      <w:r>
        <w:t xml:space="preserve">enhancing capacity in case of congested infrastructure. Stakeholders also raised questions on</w:t>
      </w:r>
      <w:r>
        <w:t xml:space="preserve"> </w:t>
      </w:r>
      <w:r>
        <w:t xml:space="preserve">how capacity constraints would be assessed and what kind of measures Member States could</w:t>
      </w:r>
      <w:r>
        <w:t xml:space="preserve"> </w:t>
      </w:r>
      <w:r>
        <w:t xml:space="preserve">take to address such constraints.</w:t>
      </w:r>
      <w:r>
        <w:t xml:space="preserve"> </w:t>
      </w:r>
      <w:r>
        <w:t xml:space="preserve">18 stakeholders, including DE, FR, AT, a rail association and two railway undertakings, called</w:t>
      </w:r>
      <w:r>
        <w:t xml:space="preserve"> </w:t>
      </w:r>
      <w:r>
        <w:t xml:space="preserve">for the aid intensities in the draft texts to be increased, particularly under the TBER. Among</w:t>
      </w:r>
      <w:r>
        <w:t xml:space="preserve"> </w:t>
      </w:r>
      <w:r>
        <w:t xml:space="preserve">the 18 stakeholders, 6 also called for a separate category for operating aid for infrastructure use</w:t>
      </w:r>
      <w:r>
        <w:t xml:space="preserve"> </w:t>
      </w:r>
      <w:r>
        <w:t xml:space="preserve">to be introduced. ES expressed support for the proposed 50% TBER ceiling. A rail association</w:t>
      </w:r>
      <w:r>
        <w:t xml:space="preserve"> </w:t>
      </w:r>
      <w:r>
        <w:t xml:space="preserve">noted that operating aid should not be the primary method to support the modal shift and that it</w:t>
      </w:r>
      <w:r>
        <w:t xml:space="preserve"> </w:t>
      </w:r>
      <w:r>
        <w:t xml:space="preserve">would be better to focus on aid for infrastructure use.</w:t>
      </w:r>
    </w:p>
    <w:p>
      <w:pPr>
        <w:pStyle w:val="BodyText"/>
      </w:pPr>
      <w:r>
        <w:t xml:space="preserve">319 5 Member States out of 19 (26.3%): AT, CZ, DE, LU, SE, 1 other EU public authority out of 10 (10%) in FR,</w:t>
      </w:r>
      <w:r>
        <w:t xml:space="preserve"> </w:t>
      </w:r>
      <w:r>
        <w:t xml:space="preserve">3 business associations out of 41 (7.3%), 2 companies out of 12 (16.7%).</w:t>
      </w:r>
      <w:r>
        <w:t xml:space="preserve"> </w:t>
      </w:r>
      <w:r>
        <w:t xml:space="preserve">320 14 business associations out of 41 (34.1%), 3 companies out of 12 (25.0%), 1 trade union out of 2 (50.0%), 7</w:t>
      </w:r>
      <w:r>
        <w:t xml:space="preserve"> </w:t>
      </w:r>
      <w:r>
        <w:t xml:space="preserve">public authorities out of 29 (24.1%) from AT, BE, DE, FR, IT, PT, LU, SE.</w:t>
      </w:r>
      <w:r>
        <w:t xml:space="preserve"> </w:t>
      </w:r>
      <w:r>
        <w:t xml:space="preserve">321 9 business associations out of 41 (22.0%), 2 companies out of 12 (16.7%), 3 public authorities out of 29 (10.3%)</w:t>
      </w:r>
      <w:r>
        <w:t xml:space="preserve"> </w:t>
      </w:r>
      <w:r>
        <w:t xml:space="preserve">from BE, FR, NL.</w:t>
      </w:r>
    </w:p>
    <w:p>
      <w:pPr>
        <w:pStyle w:val="BodyText"/>
      </w:pPr>
      <w:r>
        <w:t xml:space="preserve">A-20</w:t>
      </w:r>
    </w:p>
    <w:p>
      <w:pPr>
        <w:pStyle w:val="BodyText"/>
      </w:pPr>
      <w:r>
        <w:t xml:space="preserve">Operating aid that covers part of the operating losses of operators starting new routes, in the</w:t>
      </w:r>
      <w:r>
        <w:t xml:space="preserve"> </w:t>
      </w:r>
      <w:r>
        <w:t xml:space="preserve">first years of operation</w:t>
      </w:r>
      <w:r>
        <w:br/>
      </w:r>
      <w:r>
        <w:t xml:space="preserve">6 Stakeholders322 had questions or comments about the eligible operations and the kinds of</w:t>
      </w:r>
      <w:r>
        <w:t xml:space="preserve"> </w:t>
      </w:r>
      <w:r>
        <w:t xml:space="preserve">costs that would be considered eligible. Several stakeholders also expressed concerns about</w:t>
      </w:r>
      <w:r>
        <w:t xml:space="preserve"> </w:t>
      </w:r>
      <w:r>
        <w:t xml:space="preserve">possible abuse of the rules to grant aid for operations that are not genuinely “new”.</w:t>
      </w:r>
      <w:r>
        <w:br/>
      </w:r>
      <w:r>
        <w:t xml:space="preserve">A rail association called for this aid category to be limited to new entrants. Two other rail</w:t>
      </w:r>
      <w:r>
        <w:t xml:space="preserve"> </w:t>
      </w:r>
      <w:r>
        <w:t xml:space="preserve">associations argued that the aid should be strictly controlled, and a railway undertaking called</w:t>
      </w:r>
      <w:r>
        <w:t xml:space="preserve"> </w:t>
      </w:r>
      <w:r>
        <w:t xml:space="preserve">for start-up aid to be allowed under the revised GLs only. On the other hand, DE and a business</w:t>
      </w:r>
      <w:r>
        <w:t xml:space="preserve"> </w:t>
      </w:r>
      <w:r>
        <w:t xml:space="preserve">association representing the IWW sector expressed support for the block exemption of this</w:t>
      </w:r>
      <w:r>
        <w:t xml:space="preserve"> </w:t>
      </w:r>
      <w:r>
        <w:t xml:space="preserve">category of aid.</w:t>
      </w:r>
      <w:r>
        <w:t xml:space="preserve"> </w:t>
      </w:r>
      <w:r>
        <w:t xml:space="preserve">Five stakeholders323 called for start-up aid in the passenger segment to also be available to new</w:t>
      </w:r>
      <w:r>
        <w:t xml:space="preserve"> </w:t>
      </w:r>
      <w:r>
        <w:t xml:space="preserve">services connecting passenger stations less than 400 km apart even if they would not be cross-</w:t>
      </w:r>
      <w:r>
        <w:t xml:space="preserve"> </w:t>
      </w:r>
      <w:r>
        <w:t xml:space="preserve">border. Some stakeholders called for the extension of the eligible costs to situations in which</w:t>
      </w:r>
      <w:r>
        <w:t xml:space="preserve"> </w:t>
      </w:r>
      <w:r>
        <w:t xml:space="preserve">the new commercial connection would be contemplated but ultimately not launched, to</w:t>
      </w:r>
      <w:r>
        <w:t xml:space="preserve"> </w:t>
      </w:r>
      <w:r>
        <w:t xml:space="preserve">compensate operators for costs related to feasibility studies or experimentation.</w:t>
      </w:r>
      <w:r>
        <w:t xml:space="preserve"> </w:t>
      </w:r>
      <w:r>
        <w:t xml:space="preserve">RO and organisations representing the IWW sector called for the IWW sector to be included in</w:t>
      </w:r>
      <w:r>
        <w:t xml:space="preserve"> </w:t>
      </w:r>
      <w:r>
        <w:t xml:space="preserve">the scope for passenger start-up aid.</w:t>
      </w:r>
      <w:r>
        <w:t xml:space="preserve"> </w:t>
      </w:r>
      <w:r>
        <w:t xml:space="preserve">Operating aid for public services in the rail freight sector</w:t>
      </w:r>
      <w:r>
        <w:br/>
      </w:r>
      <w:r>
        <w:t xml:space="preserve">Four stakeholders324 expressly welcomed the inclusion of freight PSO compensation in the draft</w:t>
      </w:r>
      <w:r>
        <w:t xml:space="preserve"> </w:t>
      </w:r>
      <w:r>
        <w:t xml:space="preserve">revised GLs.</w:t>
      </w:r>
      <w:r>
        <w:t xml:space="preserve"> </w:t>
      </w:r>
      <w:r>
        <w:t xml:space="preserve">Only a few stakeholders asked for changes, notably:</w:t>
      </w:r>
    </w:p>
    <w:p>
      <w:pPr>
        <w:pStyle w:val="BodyText"/>
      </w:pPr>
      <w:r>
        <w:t xml:space="preserve">• Four stakeholders325 asked for a block-exemption of PSO compensation in rail freight</w:t>
      </w:r>
      <w:r>
        <w:t xml:space="preserve"> </w:t>
      </w:r>
      <w:r>
        <w:t xml:space="preserve">transport, without however providing any specific arguments in support.</w:t>
      </w:r>
    </w:p>
    <w:p>
      <w:pPr>
        <w:pStyle w:val="BodyText"/>
      </w:pPr>
      <w:r>
        <w:t xml:space="preserve">• Three stakeholders326 asked to remove PSO compensation from the draft revised GLs</w:t>
      </w:r>
      <w:r>
        <w:t xml:space="preserve"> </w:t>
      </w:r>
      <w:r>
        <w:t xml:space="preserve">considering that market forces should be the main driver of market growth in the rail</w:t>
      </w:r>
      <w:r>
        <w:t xml:space="preserve"> </w:t>
      </w:r>
      <w:r>
        <w:t xml:space="preserve">freight transport sector. FI indicated to be open to accept PSO compensation in the case</w:t>
      </w:r>
      <w:r>
        <w:t xml:space="preserve"> </w:t>
      </w:r>
      <w:r>
        <w:t xml:space="preserve">of very specific market failures (e.g. SWL).</w:t>
      </w:r>
    </w:p>
    <w:p>
      <w:pPr>
        <w:pStyle w:val="BodyText"/>
      </w:pPr>
      <w:r>
        <w:t xml:space="preserve">322 3 business associations out of 41 (7.3%), 2 companies out of 12 (16.7%), 1 public authority out of 29 (3.4%)</w:t>
      </w:r>
      <w:r>
        <w:t xml:space="preserve"> </w:t>
      </w:r>
      <w:r>
        <w:t xml:space="preserve">from NL.</w:t>
      </w:r>
      <w:r>
        <w:t xml:space="preserve"> </w:t>
      </w:r>
      <w:r>
        <w:t xml:space="preserve">323 2 rail associations out of 41 business associations (4.9%), 1 company out of 12 (8.3%), 2 public authorities out</w:t>
      </w:r>
      <w:r>
        <w:t xml:space="preserve"> </w:t>
      </w:r>
      <w:r>
        <w:t xml:space="preserve">of 29 (6.9%) from PL, FR.</w:t>
      </w:r>
      <w:r>
        <w:t xml:space="preserve"> </w:t>
      </w:r>
      <w:r>
        <w:t xml:space="preserve">324 3 public authorities out of 29 (10.3%) from SE, LT, RO, 1 trade union out of 2 (50.0%).</w:t>
      </w:r>
      <w:r>
        <w:t xml:space="preserve"> </w:t>
      </w:r>
      <w:r>
        <w:t xml:space="preserve">325 1 public authority from FR and 3 PL stakeholders, including the PL Office of Competition and Consumer</w:t>
      </w:r>
      <w:r>
        <w:t xml:space="preserve"> </w:t>
      </w:r>
      <w:r>
        <w:t xml:space="preserve">Protection (i.e. 2 public authorities out of 29 (6.9%)), 1 PL business association (out of 41 business associations</w:t>
      </w:r>
      <w:r>
        <w:t xml:space="preserve"> </w:t>
      </w:r>
      <w:r>
        <w:t xml:space="preserve">(2.4%)) and 1 PL foundation (out of 1 foundation (100%)).</w:t>
      </w:r>
      <w:r>
        <w:t xml:space="preserve"> </w:t>
      </w:r>
      <w:r>
        <w:t xml:space="preserve">326 1 public authority out of 29 (3.4%) from FI, 1 business association out of 41 (2.4%), 1 company out of 12</w:t>
      </w:r>
      <w:r>
        <w:t xml:space="preserve"> </w:t>
      </w:r>
      <w:r>
        <w:t xml:space="preserve">(8.3%) .</w:t>
      </w:r>
    </w:p>
    <w:p>
      <w:pPr>
        <w:pStyle w:val="BodyText"/>
      </w:pPr>
      <w:r>
        <w:t xml:space="preserve">A-21</w:t>
      </w:r>
    </w:p>
    <w:p>
      <w:pPr>
        <w:pStyle w:val="BodyText"/>
      </w:pPr>
      <w:r>
        <w:t xml:space="preserve">Investment aid for the construction, upgrade and renewal of rail and IWW facilities such as</w:t>
      </w:r>
      <w:r>
        <w:t xml:space="preserve"> </w:t>
      </w:r>
      <w:r>
        <w:t xml:space="preserve">freight terminals or maintenance facilities</w:t>
      </w:r>
      <w:r>
        <w:br/>
      </w:r>
      <w:r>
        <w:t xml:space="preserve">Reactions to the proposed conditions were generally positive.</w:t>
      </w:r>
      <w:r>
        <w:t xml:space="preserve"> </w:t>
      </w:r>
      <w:r>
        <w:t xml:space="preserve">6 stakeholders327 asked for an increase in the notification thresholds to further reduce</w:t>
      </w:r>
      <w:r>
        <w:t xml:space="preserve"> </w:t>
      </w:r>
      <w:r>
        <w:t xml:space="preserve">administrative burden. PL and FR proposed EUR 20 million for ad hoc aid and DE, PL and FR</w:t>
      </w:r>
      <w:r>
        <w:t xml:space="preserve"> </w:t>
      </w:r>
      <w:r>
        <w:t xml:space="preserve">proposed EUR 30 million or even EUR 50 million for awards under aid schemes.</w:t>
      </w:r>
      <w:r>
        <w:t xml:space="preserve"> </w:t>
      </w:r>
      <w:r>
        <w:t xml:space="preserve">There was a call for further simplification of proportionality rules, with stakeholders asking</w:t>
      </w:r>
      <w:r>
        <w:t xml:space="preserve"> </w:t>
      </w:r>
      <w:r>
        <w:t xml:space="preserve">either (i) to remove the funding gap requirement328 or to increase the aid amount below which</w:t>
      </w:r>
      <w:r>
        <w:t xml:space="preserve"> </w:t>
      </w:r>
      <w:r>
        <w:t xml:space="preserve">only an aid intensity applies - i.e. for small projects329 or (ii) to increase the aid intensity</w:t>
      </w:r>
      <w:r>
        <w:t xml:space="preserve"> </w:t>
      </w:r>
      <w:r>
        <w:t xml:space="preserve">threshold330 .</w:t>
      </w:r>
      <w:r>
        <w:t xml:space="preserve"> </w:t>
      </w:r>
      <w:r>
        <w:t xml:space="preserve">Investment aid for the construction, upgrade and renewal of private sidings, i.e. privately</w:t>
      </w:r>
      <w:r>
        <w:t xml:space="preserve"> </w:t>
      </w:r>
      <w:r>
        <w:t xml:space="preserve">owned and operated pieces of rail infrastructure, such as rail tracks, which connect to the</w:t>
      </w:r>
      <w:r>
        <w:t xml:space="preserve"> </w:t>
      </w:r>
      <w:r>
        <w:t xml:space="preserve">public rail network</w:t>
      </w:r>
      <w:r>
        <w:br/>
      </w:r>
      <w:r>
        <w:t xml:space="preserve">Reactions to the proposed conditions were generally positive.</w:t>
      </w:r>
      <w:r>
        <w:t xml:space="preserve"> </w:t>
      </w:r>
      <w:r>
        <w:t xml:space="preserve">Both FR and AT asked to include loading and unloading facilities and equipment as eligible</w:t>
      </w:r>
      <w:r>
        <w:t xml:space="preserve"> </w:t>
      </w:r>
      <w:r>
        <w:t xml:space="preserve">costs. FR in particular pointed to the fact that these costs were eligible for support under an</w:t>
      </w:r>
      <w:r>
        <w:t xml:space="preserve"> </w:t>
      </w:r>
      <w:r>
        <w:t xml:space="preserve">approved scheme (SA.107140).</w:t>
      </w:r>
      <w:r>
        <w:t xml:space="preserve"> </w:t>
      </w:r>
      <w:r>
        <w:t xml:space="preserve">4 stakeholders asked for an increase of notification thresholds to further reduce administrative</w:t>
      </w:r>
      <w:r>
        <w:t xml:space="preserve"> </w:t>
      </w:r>
      <w:r>
        <w:t xml:space="preserve">burden: FR and a railway undertaking asked for an increase to EUR 2.5 million, a business</w:t>
      </w:r>
      <w:r>
        <w:t xml:space="preserve"> </w:t>
      </w:r>
      <w:r>
        <w:t xml:space="preserve">association to EUR 4 million and DE to EUR 5 million.</w:t>
      </w:r>
      <w:r>
        <w:t xml:space="preserve"> </w:t>
      </w:r>
      <w:r>
        <w:t xml:space="preserve">There was a call for further simplification of proportionality rules, with stakeholders asking</w:t>
      </w:r>
      <w:r>
        <w:t xml:space="preserve"> </w:t>
      </w:r>
      <w:r>
        <w:t xml:space="preserve">either i) to remove the funding gap requirement331 or to increase the aid amount for small</w:t>
      </w:r>
      <w:r>
        <w:t xml:space="preserve"> </w:t>
      </w:r>
      <w:r>
        <w:t xml:space="preserve">projects below which only an aid intensity applies332 or ii) to increase the aid intensity</w:t>
      </w:r>
      <w:r>
        <w:t xml:space="preserve"> </w:t>
      </w:r>
      <w:r>
        <w:t xml:space="preserve">threshold333.</w:t>
      </w:r>
      <w:r>
        <w:t xml:space="preserve"> </w:t>
      </w:r>
      <w:r>
        <w:t xml:space="preserve">Investment aid for the acquisition of vehicles for rail or IWW transport</w:t>
      </w:r>
      <w:r>
        <w:t xml:space="preserve"> </w:t>
      </w:r>
      <w:r>
        <w:t xml:space="preserve">Around a quarter of stakeholders334 advocated in favour of enlarging the scope of this type of</w:t>
      </w:r>
      <w:r>
        <w:t xml:space="preserve"> </w:t>
      </w:r>
      <w:r>
        <w:t xml:space="preserve">aid to all undertakings, including large undertakings and incumbents. Companies sharing this</w:t>
      </w:r>
      <w:r>
        <w:t xml:space="preserve"> </w:t>
      </w:r>
      <w:r>
        <w:t xml:space="preserve">view were only incumbent railway undertakings and a publicly owned local transport company.</w:t>
      </w:r>
      <w:r>
        <w:t xml:space="preserve"> </w:t>
      </w:r>
      <w:r>
        <w:t xml:space="preserve">In the same vein, business organisations representing incumbent railway undertakings and the</w:t>
      </w:r>
    </w:p>
    <w:p>
      <w:pPr>
        <w:pStyle w:val="BodyText"/>
      </w:pPr>
      <w:r>
        <w:t xml:space="preserve">327 5 public authorities out of 29 (17.2%) from LT, DE, PL, FR, IE, 1 business association out of 41 (2.4%).</w:t>
      </w:r>
      <w:r>
        <w:t xml:space="preserve"> </w:t>
      </w:r>
      <w:r>
        <w:t xml:space="preserve">328 1 public authority out of 29 (3.4%) from DE, 1 business association out of 41 (2.4%). .</w:t>
      </w:r>
      <w:r>
        <w:t xml:space="preserve"> </w:t>
      </w:r>
      <w:r>
        <w:t xml:space="preserve">329 1 public authority out of 29 (3.4%) from AT, 1 business association out of 41 (2.4%).</w:t>
      </w:r>
      <w:r>
        <w:t xml:space="preserve"> </w:t>
      </w:r>
      <w:r>
        <w:t xml:space="preserve">330 2 public authorities out of 29 (6.9%) from RO and DE, 3 business associations out of 41 (7.3%) .</w:t>
      </w:r>
      <w:r>
        <w:t xml:space="preserve"> </w:t>
      </w:r>
      <w:r>
        <w:t xml:space="preserve">331 1 public authority out of 29 (3.4%) from DE, 1 company out of 12 (8.3%) (a railway undertaking).</w:t>
      </w:r>
      <w:r>
        <w:t xml:space="preserve"> </w:t>
      </w:r>
      <w:r>
        <w:t xml:space="preserve">332 2 public authorities out of 29 (6.9%) from FR, AT.</w:t>
      </w:r>
      <w:r>
        <w:t xml:space="preserve"> </w:t>
      </w:r>
      <w:r>
        <w:t xml:space="preserve">333 1 public authority out of 29 (3.4%) from RO, 1 company out of 12 (8.3%) (a railway undertaking), 1 trade union</w:t>
      </w:r>
      <w:r>
        <w:t xml:space="preserve"> </w:t>
      </w:r>
      <w:r>
        <w:t xml:space="preserve">out 2 (50%).</w:t>
      </w:r>
      <w:r>
        <w:t xml:space="preserve"> </w:t>
      </w:r>
      <w:r>
        <w:t xml:space="preserve">334 6 public authorities out of 29 (20.72%): BE, DE, FR, PL, RO, Flanders, 12 business associations out of 41</w:t>
      </w:r>
      <w:r>
        <w:t xml:space="preserve"> </w:t>
      </w:r>
      <w:r>
        <w:t xml:space="preserve">(29.3%), 4 companies out of 12 (33.3%), 1 foundation out of 1 (100%).</w:t>
      </w:r>
    </w:p>
    <w:p>
      <w:pPr>
        <w:pStyle w:val="BodyText"/>
      </w:pPr>
      <w:r>
        <w:t xml:space="preserve">A-22</w:t>
      </w:r>
    </w:p>
    <w:p>
      <w:pPr>
        <w:pStyle w:val="BodyText"/>
      </w:pPr>
      <w:r>
        <w:t xml:space="preserve">rail supply industry supported this view. 6 business organisations (i.e. 50% of the business</w:t>
      </w:r>
      <w:r>
        <w:t xml:space="preserve"> </w:t>
      </w:r>
      <w:r>
        <w:t xml:space="preserve">organisations expressing support) were exclusively linked to AT or DE undertakings. The main</w:t>
      </w:r>
      <w:r>
        <w:t xml:space="preserve"> </w:t>
      </w:r>
      <w:r>
        <w:t xml:space="preserve">arguments raised in support of this claim pertained to (i) the contribution of large undertakings</w:t>
      </w:r>
      <w:r>
        <w:t xml:space="preserve"> </w:t>
      </w:r>
      <w:r>
        <w:t xml:space="preserve">and incumbents to the achievement of the Green Deal objectives, (ii) an alleged difficulty to</w:t>
      </w:r>
      <w:r>
        <w:t xml:space="preserve"> </w:t>
      </w:r>
      <w:r>
        <w:t xml:space="preserve">access finance experienced by undertakings of all sizes in the land transport sector (due to high</w:t>
      </w:r>
      <w:r>
        <w:t xml:space="preserve"> </w:t>
      </w:r>
      <w:r>
        <w:t xml:space="preserve">upfront investment costs, low profitability, long depreciation), (iii) the need to modernise the</w:t>
      </w:r>
      <w:r>
        <w:t xml:space="preserve"> </w:t>
      </w:r>
      <w:r>
        <w:t xml:space="preserve">rail fleet to adapt it to interoperability technologies, (iv) the “arm’s-length conditions” of loans</w:t>
      </w:r>
      <w:r>
        <w:t xml:space="preserve"> </w:t>
      </w:r>
      <w:r>
        <w:t xml:space="preserve">between incumbents and their subsidiaries, allegedly excluding any advantage over new</w:t>
      </w:r>
      <w:r>
        <w:t xml:space="preserve"> </w:t>
      </w:r>
      <w:r>
        <w:t xml:space="preserve">entrants, and (v) an allegation that the proposed rules would infringe Article 345 TFEU, which</w:t>
      </w:r>
      <w:r>
        <w:t xml:space="preserve"> </w:t>
      </w:r>
      <w:r>
        <w:t xml:space="preserve">prohibits discrimination between public and private ownership. Three respondents335 expressed</w:t>
      </w:r>
      <w:r>
        <w:t xml:space="preserve"> </w:t>
      </w:r>
      <w:r>
        <w:t xml:space="preserve">themselves in favour of the proposed limitation of this type of aid to SMEs and new entrants,</w:t>
      </w:r>
      <w:r>
        <w:t xml:space="preserve"> </w:t>
      </w:r>
      <w:r>
        <w:t xml:space="preserve">namely one public authority, one business association representing new entrants and a new</w:t>
      </w:r>
      <w:r>
        <w:t xml:space="preserve"> </w:t>
      </w:r>
      <w:r>
        <w:t xml:space="preserve">entrant.</w:t>
      </w:r>
      <w:r>
        <w:t xml:space="preserve"> </w:t>
      </w:r>
      <w:r>
        <w:t xml:space="preserve">One business association representing rail freight wagon keepers suggested distinguishing</w:t>
      </w:r>
      <w:r>
        <w:t xml:space="preserve"> </w:t>
      </w:r>
      <w:r>
        <w:t xml:space="preserve">between freight and passenger transport services, and to abolish any aid to freight transport. To</w:t>
      </w:r>
      <w:r>
        <w:t xml:space="preserve"> </w:t>
      </w:r>
      <w:r>
        <w:t xml:space="preserve">support that claim, the stakeholder held that the two markets had not been liberalised at the</w:t>
      </w:r>
      <w:r>
        <w:t xml:space="preserve"> </w:t>
      </w:r>
      <w:r>
        <w:t xml:space="preserve">same time and were factually in a different situation. It also argued that the rail freight market</w:t>
      </w:r>
      <w:r>
        <w:t xml:space="preserve"> </w:t>
      </w:r>
      <w:r>
        <w:t xml:space="preserve">functioned well without aid to rolling stock: railway undertakings and leasing companies</w:t>
      </w:r>
      <w:r>
        <w:t xml:space="preserve"> </w:t>
      </w:r>
      <w:r>
        <w:t xml:space="preserve">worked together satisfactorily, irrespective of their size. By contrast, an incumbent railway</w:t>
      </w:r>
      <w:r>
        <w:t xml:space="preserve"> </w:t>
      </w:r>
      <w:r>
        <w:t xml:space="preserve">undertaking requested that all undertakings providing commercial rail passenger services would</w:t>
      </w:r>
      <w:r>
        <w:t xml:space="preserve"> </w:t>
      </w:r>
      <w:r>
        <w:t xml:space="preserve">be excluded from the benefit of the aid, alleging that new entrants recently managed to raise</w:t>
      </w:r>
      <w:r>
        <w:t xml:space="preserve"> </w:t>
      </w:r>
      <w:r>
        <w:t xml:space="preserve">capital to acquire rolling stock and that the proposed rules would thus create a mere deadweight</w:t>
      </w:r>
      <w:r>
        <w:t xml:space="preserve"> </w:t>
      </w:r>
      <w:r>
        <w:t xml:space="preserve">effect.</w:t>
      </w:r>
      <w:r>
        <w:t xml:space="preserve"> </w:t>
      </w:r>
      <w:r>
        <w:t xml:space="preserve">Around a quarter of stakeholders336 (showing significant overlap with the stakeholders who</w:t>
      </w:r>
      <w:r>
        <w:t xml:space="preserve"> </w:t>
      </w:r>
      <w:r>
        <w:t xml:space="preserve">expressed a view on the scope of beneficiaries) called for not limiting the form of the aid to</w:t>
      </w:r>
      <w:r>
        <w:t xml:space="preserve"> </w:t>
      </w:r>
      <w:r>
        <w:t xml:space="preserve">guarantees and allowing direct grants and loans. Companies sharing this view were, here also,</w:t>
      </w:r>
      <w:r>
        <w:t xml:space="preserve"> </w:t>
      </w:r>
      <w:r>
        <w:t xml:space="preserve">only incumbent railway undertakings and a publicly owned local transport company. In the</w:t>
      </w:r>
      <w:r>
        <w:t xml:space="preserve"> </w:t>
      </w:r>
      <w:r>
        <w:t xml:space="preserve">same vein, business organisations representing incumbent railway undertakings and the rail</w:t>
      </w:r>
      <w:r>
        <w:t xml:space="preserve"> </w:t>
      </w:r>
      <w:r>
        <w:t xml:space="preserve">supply industry supported this view. 5 business organisations (i.e. 41.7% of the business</w:t>
      </w:r>
      <w:r>
        <w:t xml:space="preserve"> </w:t>
      </w:r>
      <w:r>
        <w:t xml:space="preserve">organisations expressing support) were exclusively linked to AT or DE undertakings. 25% of</w:t>
      </w:r>
      <w:r>
        <w:t xml:space="preserve"> </w:t>
      </w:r>
      <w:r>
        <w:t xml:space="preserve">the business organisations expressing support were active in the IWW sector. The arguments</w:t>
      </w:r>
      <w:r>
        <w:t xml:space="preserve"> </w:t>
      </w:r>
      <w:r>
        <w:t xml:space="preserve">raised pertained to the fact that (i) other aid categories within the revised GLs and the TBER</w:t>
      </w:r>
      <w:r>
        <w:t xml:space="preserve"> </w:t>
      </w:r>
      <w:r>
        <w:t xml:space="preserve">(in particular interoperability aid) and within the CEEAG/GBER (in particular aid for the</w:t>
      </w:r>
      <w:r>
        <w:t xml:space="preserve"> </w:t>
      </w:r>
      <w:r>
        <w:t xml:space="preserve">greening of the fleet) were not limited in terms of form; (ii) the absence of limitation in terms</w:t>
      </w:r>
      <w:r>
        <w:t xml:space="preserve"> </w:t>
      </w:r>
      <w:r>
        <w:t xml:space="preserve">of form would bring flexibility and reduce administrative burden for Member States; and (iii)</w:t>
      </w:r>
      <w:r>
        <w:t xml:space="preserve"> </w:t>
      </w:r>
      <w:r>
        <w:t xml:space="preserve">guarantees were not sufficient to foster the acquisition of vehicles by new entrants and SMEs.</w:t>
      </w:r>
      <w:r>
        <w:t xml:space="preserve"> </w:t>
      </w:r>
      <w:r>
        <w:t xml:space="preserve">Three respondents337, namely one public authority; a new entrant and a business organisation</w:t>
      </w:r>
      <w:r>
        <w:t xml:space="preserve"> </w:t>
      </w:r>
      <w:r>
        <w:t xml:space="preserve">representing rolling stock lessors, supported the limitation in the form of the aid.</w:t>
      </w:r>
      <w:r>
        <w:t xml:space="preserve"> </w:t>
      </w:r>
      <w:r>
        <w:t xml:space="preserve">France was the only stakeholder, with Ireland, to express a view on the proportionality of the</w:t>
      </w:r>
      <w:r>
        <w:t xml:space="preserve"> </w:t>
      </w:r>
      <w:r>
        <w:t xml:space="preserve">guarantee conditions. FR requested that the maximum duration of the guarantee be extended</w:t>
      </w:r>
    </w:p>
    <w:p>
      <w:pPr>
        <w:pStyle w:val="BodyText"/>
      </w:pPr>
      <w:r>
        <w:t xml:space="preserve">335 1 public authority out of 29 (3.4%) from FI, 1 business association out of 41 (2.4%) (a rail association), 1</w:t>
      </w:r>
      <w:r>
        <w:t xml:space="preserve"> </w:t>
      </w:r>
      <w:r>
        <w:t xml:space="preserve">company out of 12 (8.3%) (a railway undertaking).</w:t>
      </w:r>
      <w:r>
        <w:t xml:space="preserve"> </w:t>
      </w:r>
      <w:r>
        <w:t xml:space="preserve">336 5 public authorities out of 29 (17.28%) from BE (including Flanders), DE, FR and NL, 12 business associations</w:t>
      </w:r>
      <w:r>
        <w:t xml:space="preserve"> </w:t>
      </w:r>
      <w:r>
        <w:t xml:space="preserve">out of 41 (29.3%), 5 companies out of 12 (41.2%).</w:t>
      </w:r>
      <w:r>
        <w:t xml:space="preserve"> </w:t>
      </w:r>
      <w:r>
        <w:t xml:space="preserve">337 1 public authority out of 29 (3.4%) from FI, 1 business association out of 41 (2.4%), 1 company out of 12</w:t>
      </w:r>
      <w:r>
        <w:t xml:space="preserve"> </w:t>
      </w:r>
      <w:r>
        <w:t xml:space="preserve">(8.3%) (a railway undertaking).</w:t>
      </w:r>
    </w:p>
    <w:p>
      <w:pPr>
        <w:pStyle w:val="BodyText"/>
      </w:pPr>
      <w:r>
        <w:t xml:space="preserve">A-23</w:t>
      </w:r>
    </w:p>
    <w:p>
      <w:pPr>
        <w:pStyle w:val="BodyText"/>
      </w:pPr>
      <w:r>
        <w:t xml:space="preserve">from 15 to 20 years in light of the long lifetime of the assets, while Ireland requested to increase</w:t>
      </w:r>
      <w:r>
        <w:t xml:space="preserve"> </w:t>
      </w:r>
      <w:r>
        <w:t xml:space="preserve">the guarantee coverage to 100% of the underlying loan for isolated rail networks.</w:t>
      </w:r>
      <w:r>
        <w:t xml:space="preserve"> </w:t>
      </w:r>
      <w:r>
        <w:t xml:space="preserve">Investment aid for the acquisition of Intermodal Loading Units (ILUs), such as containers, and</w:t>
      </w:r>
      <w:r>
        <w:t xml:space="preserve"> </w:t>
      </w:r>
      <w:r>
        <w:t xml:space="preserve">cranes on board vessels</w:t>
      </w:r>
      <w:r>
        <w:t xml:space="preserve"> </w:t>
      </w:r>
      <w:r>
        <w:t xml:space="preserve">Three stakeholders asked for higher aid intensities338 justifying this with the significance of</w:t>
      </w:r>
      <w:r>
        <w:t xml:space="preserve"> </w:t>
      </w:r>
      <w:r>
        <w:t xml:space="preserve">investments that would have to be made to make loading units suitable for rail transport, e.g. </w:t>
      </w:r>
      <w:r>
        <w:t xml:space="preserve"> </w:t>
      </w:r>
      <w:r>
        <w:t xml:space="preserve">fireproofing due to ignition risk from electrified tracks, reinforcement for transhipment.</w:t>
      </w:r>
      <w:r>
        <w:br/>
      </w:r>
      <w:r>
        <w:t xml:space="preserve">Investment aid that supports investments contributing to uninterrupted traffic flows between</w:t>
      </w:r>
      <w:r>
        <w:t xml:space="preserve"> </w:t>
      </w:r>
      <w:r>
        <w:t xml:space="preserve">national networks or transport modes (interoperability), such as the adaptation of rolling stock</w:t>
      </w:r>
      <w:r>
        <w:t xml:space="preserve"> </w:t>
      </w:r>
      <w:r>
        <w:t xml:space="preserve">to different electrical systems</w:t>
      </w:r>
      <w:r>
        <w:t xml:space="preserve"> </w:t>
      </w:r>
      <w:r>
        <w:t xml:space="preserve">8 stakeholders339 explicitly expressed support for the proposed streamlining of this category of</w:t>
      </w:r>
      <w:r>
        <w:t xml:space="preserve"> </w:t>
      </w:r>
      <w:r>
        <w:t xml:space="preserve">aid and highlighted its importance to support modal shift and digitalisation of transport. The</w:t>
      </w:r>
      <w:r>
        <w:t xml:space="preserve"> </w:t>
      </w:r>
      <w:r>
        <w:t xml:space="preserve">only company expressly welcoming the proposed streamlining was a new entrant.</w:t>
      </w:r>
      <w:r>
        <w:t xml:space="preserve"> </w:t>
      </w:r>
      <w:r>
        <w:t xml:space="preserve">10 stakeholders340 asked for the extension of the list of eligible investments to include additional</w:t>
      </w:r>
      <w:r>
        <w:t xml:space="preserve"> </w:t>
      </w:r>
      <w:r>
        <w:t xml:space="preserve">technologies. In particular, 3 stakeholders from PL341 advocated for the inclusion of GSM-R, a</w:t>
      </w:r>
      <w:r>
        <w:t xml:space="preserve"> </w:t>
      </w:r>
      <w:r>
        <w:t xml:space="preserve">communications technology that is still being deployed in certain Member States.</w:t>
      </w:r>
      <w:r>
        <w:t xml:space="preserve"> </w:t>
      </w:r>
      <w:r>
        <w:t xml:space="preserve">9 stakeholders342 called for an increase in the intensity of aid for the roll-out of priority</w:t>
      </w:r>
      <w:r>
        <w:t xml:space="preserve"> </w:t>
      </w:r>
      <w:r>
        <w:t xml:space="preserve">interoperability technologies, i.e. European Railway Traffic Management System (ERTMS)</w:t>
      </w:r>
      <w:r>
        <w:t xml:space="preserve"> </w:t>
      </w:r>
      <w:r>
        <w:t xml:space="preserve">and Digital Automatic Coupling (DAC). The suggested aid intensities varied between 90% and</w:t>
      </w:r>
      <w:r>
        <w:t xml:space="preserve"> </w:t>
      </w:r>
      <w:r>
        <w:t xml:space="preserve">100%.</w:t>
      </w:r>
      <w:r>
        <w:t xml:space="preserve"> </w:t>
      </w:r>
      <w:r>
        <w:t xml:space="preserve">Nine respondents343 also called for an increase of the aid intensity for other interoperability</w:t>
      </w:r>
      <w:r>
        <w:t xml:space="preserve"> </w:t>
      </w:r>
      <w:r>
        <w:t xml:space="preserve">technologies, such as the adaptation of IWW vessels to changing navigability conditions, up to</w:t>
      </w:r>
      <w:r>
        <w:t xml:space="preserve"> </w:t>
      </w:r>
      <w:r>
        <w:t xml:space="preserve">diverse ceilings. DE proposed that aid may reach up to 100% of the eligible costs in the TBER</w:t>
      </w:r>
      <w:r>
        <w:t xml:space="preserve"> </w:t>
      </w:r>
      <w:r>
        <w:t xml:space="preserve">in case of competitive bidding.</w:t>
      </w:r>
      <w:r>
        <w:t xml:space="preserve"> </w:t>
      </w:r>
      <w:r>
        <w:t xml:space="preserve">Investment aid for the technical adaptation and modernisation of vehicles and equipment</w:t>
      </w:r>
      <w:r>
        <w:t xml:space="preserve"> </w:t>
      </w:r>
      <w:r>
        <w:t xml:space="preserve">The main comment raised by stakeholders concerned the proportionality of the aid. Four</w:t>
      </w:r>
      <w:r>
        <w:t xml:space="preserve"> </w:t>
      </w:r>
      <w:r>
        <w:t xml:space="preserve">stakeholders344 called for an increase in the permissible aid intensity. The suggested aid</w:t>
      </w:r>
      <w:r>
        <w:t xml:space="preserve"> </w:t>
      </w:r>
      <w:r>
        <w:t xml:space="preserve">intensities ranged from 30% to 80%. DE proposed that aid may reach up to 100% of the eligible</w:t>
      </w:r>
      <w:r>
        <w:t xml:space="preserve"> </w:t>
      </w:r>
      <w:r>
        <w:t xml:space="preserve">costs in the TBER in case of competitive bidding.</w:t>
      </w:r>
    </w:p>
    <w:p>
      <w:pPr>
        <w:pStyle w:val="BodyText"/>
      </w:pPr>
      <w:r>
        <w:t xml:space="preserve">338 1 public authority out of 29 (3.4%) from PL (aid intensity of 50%), 1 trade union out of 2 (50%) (aid intensity</w:t>
      </w:r>
      <w:r>
        <w:t xml:space="preserve"> </w:t>
      </w:r>
      <w:r>
        <w:t xml:space="preserve">of 50%), 1 business association out of 41 (2.4%) (aid intensity of 30% also for cranes on board vessels).</w:t>
      </w:r>
      <w:r>
        <w:t xml:space="preserve"> </w:t>
      </w:r>
      <w:r>
        <w:t xml:space="preserve">339 1 public authority out of 29 (3.4%) from FI, 6 business associations out of 41 (14.6%), 1 company out of 12</w:t>
      </w:r>
      <w:r>
        <w:t xml:space="preserve"> </w:t>
      </w:r>
      <w:r>
        <w:t xml:space="preserve">(8.3%).</w:t>
      </w:r>
      <w:r>
        <w:t xml:space="preserve"> </w:t>
      </w:r>
      <w:r>
        <w:t xml:space="preserve">340 5 public authorities out of 29 (17.2%) from BE, ES, NL, IT, PL, 2 business associations out of 41 (4.9%), 1</w:t>
      </w:r>
      <w:r>
        <w:t xml:space="preserve"> </w:t>
      </w:r>
      <w:r>
        <w:t xml:space="preserve">foundation out of 1 (100.0%) 1 trade union out of 2 (50.0%).</w:t>
      </w:r>
      <w:r>
        <w:t xml:space="preserve"> </w:t>
      </w:r>
      <w:r>
        <w:t xml:space="preserve">341 The PL Office of Competition and Consumer Protection, 1 PL business association and 1 PL foundation.</w:t>
      </w:r>
      <w:r>
        <w:t xml:space="preserve"> </w:t>
      </w:r>
      <w:r>
        <w:t xml:space="preserve">342 4 public authorities out of 29 (13.8%) from DE, BE, NL, FR, 1 company out of 12 (8.3%), 2 business association</w:t>
      </w:r>
      <w:r>
        <w:t xml:space="preserve"> </w:t>
      </w:r>
      <w:r>
        <w:t xml:space="preserve">out of 41 (4.9%) (2 rail associations), 1 trade union out of 2 (50.0%).</w:t>
      </w:r>
      <w:r>
        <w:t xml:space="preserve"> </w:t>
      </w:r>
      <w:r>
        <w:t xml:space="preserve">343 2 public authorities out of 29 (6.9%) from RO, NL, 7 business associations out of 41 (17.1%).</w:t>
      </w:r>
      <w:r>
        <w:t xml:space="preserve"> </w:t>
      </w:r>
      <w:r>
        <w:t xml:space="preserve">344 4 public authorities out of 29 (13.8%) from NL, DE, RO, Flanders.</w:t>
      </w:r>
    </w:p>
    <w:p>
      <w:pPr>
        <w:pStyle w:val="BodyText"/>
      </w:pPr>
      <w:r>
        <w:t xml:space="preserve">A-24</w:t>
      </w:r>
    </w:p>
    <w:p>
      <w:pPr>
        <w:pStyle w:val="BodyText"/>
      </w:pPr>
      <w:r>
        <w:t xml:space="preserve">Financial Transparency: a chapter in the revised GLs recalling the principles governing</w:t>
      </w:r>
      <w:r>
        <w:t xml:space="preserve"> </w:t>
      </w:r>
      <w:r>
        <w:t xml:space="preserve">financial transactions of public and vertically integrated railway undertakings</w:t>
      </w:r>
      <w:r>
        <w:t xml:space="preserve"> </w:t>
      </w:r>
      <w:r>
        <w:t xml:space="preserve">Two stakeholders commented on this section. A company expressed general support for the</w:t>
      </w:r>
      <w:r>
        <w:t xml:space="preserve"> </w:t>
      </w:r>
      <w:r>
        <w:t xml:space="preserve">rules on financial transparency. Conversely, a business association saw no need to reiterate</w:t>
      </w:r>
      <w:r>
        <w:t xml:space="preserve"> </w:t>
      </w:r>
      <w:r>
        <w:t xml:space="preserve">existing provisions of EU law in the revised GLs.</w:t>
      </w:r>
      <w:r>
        <w:t xml:space="preserve"> </w:t>
      </w:r>
      <w:r>
        <w:t xml:space="preserve">4.5. The targeted consultation of Member States’ authorities concerning the</w:t>
      </w:r>
      <w:r>
        <w:t xml:space="preserve"> </w:t>
      </w:r>
      <w:r>
        <w:t xml:space="preserve">administrative burden reduction associated with the introduction of the TBER</w:t>
      </w:r>
      <w:r>
        <w:t xml:space="preserve"> </w:t>
      </w:r>
      <w:r>
        <w:t xml:space="preserve">To collect more specific data on the administrative burden of the different State aid procedures</w:t>
      </w:r>
      <w:r>
        <w:t xml:space="preserve"> </w:t>
      </w:r>
      <w:r>
        <w:t xml:space="preserve">in the SLT sector, the Commission carried out a targeted consultation between 24 June and 20</w:t>
      </w:r>
      <w:r>
        <w:t xml:space="preserve"> </w:t>
      </w:r>
      <w:r>
        <w:t xml:space="preserve">September 2024. Member State authorities were approached with a questionnaire and asked to</w:t>
      </w:r>
      <w:r>
        <w:t xml:space="preserve"> </w:t>
      </w:r>
      <w:r>
        <w:t xml:space="preserve">assess the time spent on the different steps of notification (including both the preparatory phase</w:t>
      </w:r>
      <w:r>
        <w:t xml:space="preserve"> </w:t>
      </w:r>
      <w:r>
        <w:t xml:space="preserve">ahead of formal notification and the phase following formal notification) and block exemption</w:t>
      </w:r>
      <w:r>
        <w:t xml:space="preserve"> </w:t>
      </w:r>
      <w:r>
        <w:t xml:space="preserve">procedures345, as well as the implied delays of the notification procedure on the implementation</w:t>
      </w:r>
      <w:r>
        <w:t xml:space="preserve"> </w:t>
      </w:r>
      <w:r>
        <w:t xml:space="preserve">of State aid measures.</w:t>
      </w:r>
      <w:r>
        <w:br/>
      </w:r>
      <w:r>
        <w:t xml:space="preserve">In total, the Commission received 15 replies from 10 different Member States (some sent</w:t>
      </w:r>
      <w:r>
        <w:t xml:space="preserve"> </w:t>
      </w:r>
      <w:r>
        <w:t xml:space="preserve">several replies from different regions or different authorities)346. The details of these responses,</w:t>
      </w:r>
      <w:r>
        <w:t xml:space="preserve"> </w:t>
      </w:r>
      <w:r>
        <w:t xml:space="preserve">as well as the analysis of administrative costs, which is based on the results of the targeted</w:t>
      </w:r>
      <w:r>
        <w:t xml:space="preserve"> </w:t>
      </w:r>
      <w:r>
        <w:t xml:space="preserve">consultation, is presented in Annex 8.</w:t>
      </w:r>
      <w:r>
        <w:t xml:space="preserve"> </w:t>
      </w:r>
      <w:r>
        <w:t xml:space="preserve">4.6. The second targeted consultation of Member States on the draft TBER (and</w:t>
      </w:r>
      <w:r>
        <w:t xml:space="preserve"> </w:t>
      </w:r>
      <w:r>
        <w:t xml:space="preserve">meeting with Member States on the draft TBER)</w:t>
      </w:r>
      <w:r>
        <w:t xml:space="preserve"> </w:t>
      </w:r>
      <w:r>
        <w:t xml:space="preserve">On Wednesday, 18 June 2025, DG COMP held a second Advisory Committee Meeting on the</w:t>
      </w:r>
      <w:r>
        <w:t xml:space="preserve"> </w:t>
      </w:r>
      <w:r>
        <w:t xml:space="preserve">revised draft TBER, which had been shared with Member States on 16 April 2025, and</w:t>
      </w:r>
      <w:r>
        <w:t xml:space="preserve"> </w:t>
      </w:r>
      <w:r>
        <w:t xml:space="preserve">presented the main changes that the Commission services planned to make to the revised GLs.</w:t>
      </w:r>
      <w:r>
        <w:t xml:space="preserve"> </w:t>
      </w:r>
      <w:r>
        <w:t xml:space="preserve">Participants came from all EU Member States, the EFTA Surveillance Authority and the</w:t>
      </w:r>
      <w:r>
        <w:t xml:space="preserve"> </w:t>
      </w:r>
      <w:r>
        <w:t xml:space="preserve">Commission (General Secretariat, DG REGIO, DG MOVE, DG ECFIN, DG CLIMA, DG</w:t>
      </w:r>
      <w:r>
        <w:t xml:space="preserve"> </w:t>
      </w:r>
      <w:r>
        <w:t xml:space="preserve">CNECT, DG RTD and ESTAT).</w:t>
      </w:r>
      <w:r>
        <w:t xml:space="preserve"> </w:t>
      </w:r>
      <w:r>
        <w:t xml:space="preserve">After a presentation of the proposals by DG COMP, several Member States intervened to</w:t>
      </w:r>
      <w:r>
        <w:t xml:space="preserve"> </w:t>
      </w:r>
      <w:r>
        <w:t xml:space="preserve">present first reactions and questions.</w:t>
      </w:r>
      <w:r>
        <w:t xml:space="preserve"> </w:t>
      </w:r>
      <w:r>
        <w:t xml:space="preserve">Operating aid</w:t>
      </w:r>
      <w:r>
        <w:t xml:space="preserve"> </w:t>
      </w:r>
      <w:r>
        <w:t xml:space="preserve">15 MS347 took the floor. They all supported the text. Some Member States made specific</w:t>
      </w:r>
      <w:r>
        <w:t xml:space="preserve"> </w:t>
      </w:r>
      <w:r>
        <w:t xml:space="preserve">comments.</w:t>
      </w:r>
      <w:r>
        <w:br/>
      </w:r>
      <w:r>
        <w:t xml:space="preserve">ES, CY and IT asked why the TBER covers operating aid to short-sea shipping only in the</w:t>
      </w:r>
      <w:r>
        <w:t xml:space="preserve"> </w:t>
      </w:r>
      <w:r>
        <w:t xml:space="preserve">context of multimodal transport, even though, in their view, short-sea shipping can play a</w:t>
      </w:r>
      <w:r>
        <w:t xml:space="preserve"> </w:t>
      </w:r>
      <w:r>
        <w:t xml:space="preserve">significant role (for ES in relation to the outermost regions such as the Canary Islands, CY in</w:t>
      </w:r>
      <w:r>
        <w:t xml:space="preserve"> </w:t>
      </w:r>
      <w:r>
        <w:t xml:space="preserve">relation to traffic with other States and IT in relation to the traffic between mainland and islands</w:t>
      </w:r>
    </w:p>
    <w:p>
      <w:pPr>
        <w:pStyle w:val="BodyText"/>
      </w:pPr>
      <w:r>
        <w:t xml:space="preserve">345 Block exemption procedures do have minimal reporting obligations, in particular the filling in of an information</w:t>
      </w:r>
      <w:r>
        <w:t xml:space="preserve"> </w:t>
      </w:r>
      <w:r>
        <w:t xml:space="preserve">sheet.</w:t>
      </w:r>
      <w:r>
        <w:t xml:space="preserve"> </w:t>
      </w:r>
      <w:r>
        <w:t xml:space="preserve">346 Public authorities from BE, CZ, DE, FR, HU, IT, LU, MT and NL. FI responded to the qualitative, but not the</w:t>
      </w:r>
      <w:r>
        <w:t xml:space="preserve"> </w:t>
      </w:r>
      <w:r>
        <w:t xml:space="preserve">quantitative questions.</w:t>
      </w:r>
      <w:r>
        <w:t xml:space="preserve"> </w:t>
      </w:r>
      <w:r>
        <w:t xml:space="preserve">347 FR, ES, IT, BE, BG, DE, LV, AT, CY, SK, PL, PT, NL, CZ, IE.</w:t>
      </w:r>
    </w:p>
    <w:p>
      <w:pPr>
        <w:pStyle w:val="BodyText"/>
      </w:pPr>
      <w:r>
        <w:t xml:space="preserve">A-25</w:t>
      </w:r>
    </w:p>
    <w:p>
      <w:pPr>
        <w:pStyle w:val="BodyText"/>
      </w:pPr>
      <w:r>
        <w:t xml:space="preserve">like Sardinia). ES and IT suggested modifying the TBER and LMTG to include short-sea</w:t>
      </w:r>
      <w:r>
        <w:t xml:space="preserve"> </w:t>
      </w:r>
      <w:r>
        <w:t xml:space="preserve">shipping more clearly.</w:t>
      </w:r>
      <w:r>
        <w:t xml:space="preserve"> </w:t>
      </w:r>
      <w:r>
        <w:t xml:space="preserve">BE welcomed the proposal but regretted that the combined transport bonus (foreseen in the</w:t>
      </w:r>
      <w:r>
        <w:t xml:space="preserve"> </w:t>
      </w:r>
      <w:r>
        <w:t xml:space="preserve">previous version of the TBER) has been dropped in the revised text. BE also asked why</w:t>
      </w:r>
      <w:r>
        <w:t xml:space="preserve"> </w:t>
      </w:r>
      <w:r>
        <w:t xml:space="preserve">passenger transport services are no longer eligible for aid to launch new commercial</w:t>
      </w:r>
      <w:r>
        <w:t xml:space="preserve"> </w:t>
      </w:r>
      <w:r>
        <w:t xml:space="preserve">connections in the new version of the TBER, while the possibility still exists for freight</w:t>
      </w:r>
      <w:r>
        <w:t xml:space="preserve"> </w:t>
      </w:r>
      <w:r>
        <w:t xml:space="preserve">transport.</w:t>
      </w:r>
      <w:r>
        <w:t xml:space="preserve"> </w:t>
      </w:r>
      <w:r>
        <w:t xml:space="preserve">DE and NL welcomed the removal of the break-even distances. DE asked whether the ‘unit of</w:t>
      </w:r>
      <w:r>
        <w:t xml:space="preserve"> </w:t>
      </w:r>
      <w:r>
        <w:t xml:space="preserve">production’ in the TBER allows Member States to use various metrics (for example train-</w:t>
      </w:r>
      <w:r>
        <w:t xml:space="preserve"> </w:t>
      </w:r>
      <w:r>
        <w:t xml:space="preserve">path.km). DE asked why lump-sum funding is not foreseen in the TBER, as it proved useful in</w:t>
      </w:r>
      <w:r>
        <w:t xml:space="preserve"> </w:t>
      </w:r>
      <w:r>
        <w:t xml:space="preserve">certain cases, such as for the first and last mile SWL transport. LV reiterated its previous request</w:t>
      </w:r>
      <w:r>
        <w:t xml:space="preserve"> </w:t>
      </w:r>
      <w:r>
        <w:t xml:space="preserve">to include in the TBER more possibilities to grant ad hoc aid, which is important for small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AT, PT, FR and IE reiterated their previous request that it should be possible to cover 100% of</w:t>
      </w:r>
      <w:r>
        <w:t xml:space="preserve"> </w:t>
      </w:r>
      <w:r>
        <w:t xml:space="preserve">the external cost difference between modes of land transport. PL asked whether it would be</w:t>
      </w:r>
      <w:r>
        <w:t xml:space="preserve"> </w:t>
      </w:r>
      <w:r>
        <w:t xml:space="preserve">possible to extend the duration of aid to new connections from 5 to 10 years (as it could provide</w:t>
      </w:r>
      <w:r>
        <w:t xml:space="preserve"> </w:t>
      </w:r>
      <w:r>
        <w:t xml:space="preserve">more stability for the beneficiary). CZ asked whether the eligible costs to calculate external</w:t>
      </w:r>
      <w:r>
        <w:t xml:space="preserve"> </w:t>
      </w:r>
      <w:r>
        <w:t xml:space="preserve">costs should be based on the Commission’s Handbook, given that the data used therein date</w:t>
      </w:r>
      <w:r>
        <w:t xml:space="preserve"> </w:t>
      </w:r>
      <w:r>
        <w:t xml:space="preserve">back to before 2019, and whether the Handbook will be updated.</w:t>
      </w:r>
      <w:r>
        <w:t xml:space="preserve"> </w:t>
      </w:r>
      <w:r>
        <w:t xml:space="preserve">Investment aid to facilities and private sidings</w:t>
      </w:r>
      <w:r>
        <w:t xml:space="preserve"> </w:t>
      </w:r>
      <w:r>
        <w:t xml:space="preserve">9 Member States348 took the floor.</w:t>
      </w:r>
      <w:r>
        <w:t xml:space="preserve"> </w:t>
      </w:r>
      <w:r>
        <w:t xml:space="preserve">PT and RO inquired whether the TBER covers facilities located in maritime ports that entail</w:t>
      </w:r>
      <w:r>
        <w:t xml:space="preserve"> </w:t>
      </w:r>
      <w:r>
        <w:t xml:space="preserve">connections to the rail network or IWW, in particular terminals and warehouses. BE made</w:t>
      </w:r>
      <w:r>
        <w:t xml:space="preserve"> </w:t>
      </w:r>
      <w:r>
        <w:t xml:space="preserve">several requests concerning whether there can be a radius/distance between ports or multimodal</w:t>
      </w:r>
      <w:r>
        <w:t xml:space="preserve"> </w:t>
      </w:r>
      <w:r>
        <w:t xml:space="preserve">facilities, on the one hand, and the actual IWW or sea, on the other hand, and a possible increase</w:t>
      </w:r>
      <w:r>
        <w:t xml:space="preserve"> </w:t>
      </w:r>
      <w:r>
        <w:t xml:space="preserve">of the eligible aid intensity above 50% of the investment cost, in particular if the financing at</w:t>
      </w:r>
      <w:r>
        <w:t xml:space="preserve"> </w:t>
      </w:r>
      <w:r>
        <w:t xml:space="preserve">hand is funded under the European Regional Development Fund.</w:t>
      </w:r>
      <w:r>
        <w:t xml:space="preserve"> </w:t>
      </w:r>
      <w:r>
        <w:t xml:space="preserve">IT suggested greater alignment of the TBER with aid for sport and cultural infrastructure</w:t>
      </w:r>
      <w:r>
        <w:t xml:space="preserve"> </w:t>
      </w:r>
      <w:r>
        <w:t xml:space="preserve">development under the GBER (for which 80% of the funding gap is considered eligible aid).</w:t>
      </w:r>
      <w:r>
        <w:t xml:space="preserve"> </w:t>
      </w:r>
      <w:r>
        <w:t xml:space="preserve">DE took note of the two methods to assess the proportionality of the aid but noted that the aid</w:t>
      </w:r>
      <w:r>
        <w:t xml:space="preserve"> </w:t>
      </w:r>
      <w:r>
        <w:t xml:space="preserve">intensity method is easier to manage. DE advocated that aid intensities be the primary method</w:t>
      </w:r>
      <w:r>
        <w:t xml:space="preserve"> </w:t>
      </w:r>
      <w:r>
        <w:t xml:space="preserve">to be used in the TBER. DE also asked whether the exception to the requirement to tender out</w:t>
      </w:r>
      <w:r>
        <w:t xml:space="preserve"> </w:t>
      </w:r>
      <w:r>
        <w:t xml:space="preserve">the operation of a facility in case of vertical integration (i.e. where the investment costs of a</w:t>
      </w:r>
      <w:r>
        <w:t xml:space="preserve"> </w:t>
      </w:r>
      <w:r>
        <w:t xml:space="preserve">facility’s upgrade over a period of at least five years do not exceed 10 % of the value of the</w:t>
      </w:r>
      <w:r>
        <w:t xml:space="preserve"> </w:t>
      </w:r>
      <w:r>
        <w:t xml:space="preserve">initial investment) only applies to ‘upgrades’, or whether renewal investments could also</w:t>
      </w:r>
      <w:r>
        <w:t xml:space="preserve"> </w:t>
      </w:r>
      <w:r>
        <w:t xml:space="preserve">benefit from that derogation. CZ requested that the notification thresholds for private sidings</w:t>
      </w:r>
      <w:r>
        <w:t xml:space="preserve"> </w:t>
      </w:r>
      <w:r>
        <w:t xml:space="preserve">should be higher.</w:t>
      </w:r>
    </w:p>
    <w:p>
      <w:pPr>
        <w:pStyle w:val="BodyText"/>
      </w:pPr>
      <w:r>
        <w:t xml:space="preserve">348 PT, LT, IT, RO, DE, LV, CZ, BE, PL.</w:t>
      </w:r>
    </w:p>
    <w:p>
      <w:pPr>
        <w:pStyle w:val="BodyText"/>
      </w:pPr>
      <w:r>
        <w:t xml:space="preserve">A-26</w:t>
      </w:r>
    </w:p>
    <w:p>
      <w:pPr>
        <w:pStyle w:val="BodyText"/>
      </w:pPr>
      <w:r>
        <w:t xml:space="preserve">PL inquired whether investments in technical rail facilities, such as rail rolling stock</w:t>
      </w:r>
      <w:r>
        <w:t xml:space="preserve"> </w:t>
      </w:r>
      <w:r>
        <w:t xml:space="preserve">maintenance facilities, repair facilities, washing facilities or administrative offices, are eligible</w:t>
      </w:r>
      <w:r>
        <w:t xml:space="preserve"> </w:t>
      </w:r>
      <w:r>
        <w:t xml:space="preserve">under the TBER.</w:t>
      </w:r>
      <w:r>
        <w:t xml:space="preserve"> </w:t>
      </w:r>
      <w:r>
        <w:t xml:space="preserve">Investment aid for the acquisition of vehicles for rail and IWW, interoperability aid and aid for</w:t>
      </w:r>
      <w:r>
        <w:t xml:space="preserve"> </w:t>
      </w:r>
      <w:r>
        <w:t xml:space="preserve">technical adaptation and modernisation</w:t>
      </w:r>
      <w:r>
        <w:t xml:space="preserve"> </w:t>
      </w:r>
      <w:r>
        <w:t xml:space="preserve">8 MS349 took the floor.</w:t>
      </w:r>
      <w:r>
        <w:br/>
      </w:r>
      <w:r>
        <w:t xml:space="preserve">IE, FR, PT and PL suggested expanding the scope and form of aid for the acquisition of</w:t>
      </w:r>
      <w:r>
        <w:t xml:space="preserve"> </w:t>
      </w:r>
      <w:r>
        <w:t xml:space="preserve">vehicles, to allow all IWW and railway undertakings to benefit from that type of aid while IE,</w:t>
      </w:r>
      <w:r>
        <w:t xml:space="preserve"> </w:t>
      </w:r>
      <w:r>
        <w:t xml:space="preserve">PL and PT asked to allow aid in the form of direct grants350 or ‘other financial instruments’351.</w:t>
      </w:r>
      <w:r>
        <w:t xml:space="preserve"> </w:t>
      </w:r>
      <w:r>
        <w:t xml:space="preserve">In addition, FR asked to include transport organisers in the scope of the eligible beneficiaries</w:t>
      </w:r>
      <w:r>
        <w:t xml:space="preserve"> </w:t>
      </w:r>
      <w:r>
        <w:t xml:space="preserve">and IE suggested increasing the guarantee coverage above 80% if the rolling stock concerned</w:t>
      </w:r>
      <w:r>
        <w:t xml:space="preserve"> </w:t>
      </w:r>
      <w:r>
        <w:t xml:space="preserve">is earmarked for public service activities.</w:t>
      </w:r>
      <w:r>
        <w:t xml:space="preserve"> </w:t>
      </w:r>
      <w:r>
        <w:t xml:space="preserve">IE and FR suggested lifting the intensity cap for ERTMS-related expenditure. DE welcomed</w:t>
      </w:r>
      <w:r>
        <w:t xml:space="preserve"> </w:t>
      </w:r>
      <w:r>
        <w:t xml:space="preserve">the aid intensity increases for ERTMS and DAC, which was one of DE’s main concerns on the</w:t>
      </w:r>
      <w:r>
        <w:t xml:space="preserve"> </w:t>
      </w:r>
      <w:r>
        <w:t xml:space="preserve">previous version of the TBER. DE reiterated that the current intensities for interoperability aid</w:t>
      </w:r>
      <w:r>
        <w:t xml:space="preserve"> </w:t>
      </w:r>
      <w:r>
        <w:t xml:space="preserve">and aid for technical adaptation and modernisation are still quite low in the IWW sector, despite</w:t>
      </w:r>
      <w:r>
        <w:t xml:space="preserve"> </w:t>
      </w:r>
      <w:r>
        <w:t xml:space="preserve">the increase in the new draft circulated. DE finally considered that competitive bidding should</w:t>
      </w:r>
      <w:r>
        <w:t xml:space="preserve"> </w:t>
      </w:r>
      <w:r>
        <w:t xml:space="preserve">also be inserted in the TBER, as it is a well-established method to ensure proportionality in</w:t>
      </w:r>
      <w:r>
        <w:t xml:space="preserve"> </w:t>
      </w:r>
      <w:r>
        <w:t xml:space="preserve">State aid control, e.g. under the GBER.</w:t>
      </w:r>
      <w:r>
        <w:t xml:space="preserve"> </w:t>
      </w:r>
      <w:r>
        <w:t xml:space="preserve">5. Contributions received outside the formal consultation context</w:t>
      </w:r>
      <w:r>
        <w:t xml:space="preserve"> </w:t>
      </w:r>
      <w:r>
        <w:t xml:space="preserve">The Commission services have been available to meet stakeholders during the entire period of</w:t>
      </w:r>
      <w:r>
        <w:t xml:space="preserve"> </w:t>
      </w:r>
      <w:r>
        <w:t xml:space="preserve">the initiative (2021-2025). In particular, the Commission services regularly met sector</w:t>
      </w:r>
      <w:r>
        <w:t xml:space="preserve"> </w:t>
      </w:r>
      <w:r>
        <w:t xml:space="preserve">representatives and companies affected by the initiative who provided arguments in favour of</w:t>
      </w:r>
      <w:r>
        <w:t xml:space="preserve"> </w:t>
      </w:r>
      <w:r>
        <w:t xml:space="preserve">their eligibility for aid and on the appropriate design of State aid schemes, as well as Member</w:t>
      </w:r>
      <w:r>
        <w:t xml:space="preserve"> </w:t>
      </w:r>
      <w:r>
        <w:t xml:space="preserve">States to take into account their experience with State aid measures. All presentations and</w:t>
      </w:r>
      <w:r>
        <w:t xml:space="preserve"> </w:t>
      </w:r>
      <w:r>
        <w:t xml:space="preserve">supporting studies provided on these occasions were taken into account in the context of the</w:t>
      </w:r>
      <w:r>
        <w:t xml:space="preserve"> </w:t>
      </w:r>
      <w:r>
        <w:t xml:space="preserve">initiative.</w:t>
      </w:r>
      <w:r>
        <w:t xml:space="preserve"> </w:t>
      </w:r>
      <w:r>
        <w:t xml:space="preserve">6. Use of the information gathered</w:t>
      </w:r>
      <w:r>
        <w:t xml:space="preserve"> </w:t>
      </w:r>
      <w:r>
        <w:t xml:space="preserve">The results of the consultations allowed the Commission to collect a very significant number</w:t>
      </w:r>
      <w:r>
        <w:t xml:space="preserve"> </w:t>
      </w:r>
      <w:r>
        <w:t xml:space="preserve">of views and opinions on the initiative. These may not be representative at a statistical level,</w:t>
      </w:r>
      <w:r>
        <w:t xml:space="preserve"> </w:t>
      </w:r>
      <w:r>
        <w:t xml:space="preserve">due to the relatively small number of answers from some categories of stakeholders, but are</w:t>
      </w:r>
      <w:r>
        <w:t xml:space="preserve"> </w:t>
      </w:r>
      <w:r>
        <w:t xml:space="preserve">significant in terms of quality.</w:t>
      </w:r>
    </w:p>
    <w:p>
      <w:pPr>
        <w:pStyle w:val="BodyText"/>
      </w:pPr>
      <w:r>
        <w:t xml:space="preserve">349 IE, FR, PT, DE, CZ, PL, PT, BE.</w:t>
      </w:r>
      <w:r>
        <w:t xml:space="preserve"> </w:t>
      </w:r>
      <w:r>
        <w:t xml:space="preserve">350 IE, PT.</w:t>
      </w:r>
      <w:r>
        <w:t xml:space="preserve"> </w:t>
      </w:r>
      <w:r>
        <w:t xml:space="preserve">351 PL.</w:t>
      </w:r>
    </w:p>
    <w:p>
      <w:pPr>
        <w:pStyle w:val="BodyText"/>
      </w:pPr>
      <w:r>
        <w:t xml:space="preserve">A-27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The revision of the GLs and introduction of the TBER aim at increasing the modal share of</w:t>
      </w:r>
      <w:r>
        <w:t xml:space="preserve"> </w:t>
      </w:r>
      <w:r>
        <w:t xml:space="preserve">SLT by making it more competitive compared to road transport. The costs and benefits of the</w:t>
      </w:r>
      <w:r>
        <w:t xml:space="preserve"> </w:t>
      </w:r>
      <w:r>
        <w:t xml:space="preserve">preferred options are expected to fall differently on different stakeholder groups. The initiative</w:t>
      </w:r>
      <w:r>
        <w:t xml:space="preserve"> </w:t>
      </w:r>
      <w:r>
        <w:t xml:space="preserve">will mainly affect the following stakeholders: State aid granting authorities in Member States,</w:t>
      </w:r>
      <w:r>
        <w:t xml:space="preserve"> </w:t>
      </w:r>
      <w:r>
        <w:t xml:space="preserve">operators of SLT, road hauliers, transport organisers, and passengers of SLT.</w:t>
      </w:r>
      <w:r>
        <w:br/>
      </w:r>
      <w:r>
        <w:t xml:space="preserve">1.1. Member States</w:t>
      </w:r>
      <w:r>
        <w:t xml:space="preserve"> </w:t>
      </w:r>
      <w:r>
        <w:t xml:space="preserve">Member States and European Free Trade Association (EFTA) States would have to take into</w:t>
      </w:r>
      <w:r>
        <w:t xml:space="preserve"> </w:t>
      </w:r>
      <w:r>
        <w:t xml:space="preserve">consideration the updated rules in the revised GLs and the new TBER. Public authorities would</w:t>
      </w:r>
      <w:r>
        <w:t xml:space="preserve"> </w:t>
      </w:r>
      <w:r>
        <w:t xml:space="preserve">have to comply with the standard reporting obligations introduced in line with the Procedural</w:t>
      </w:r>
      <w:r>
        <w:t xml:space="preserve"> </w:t>
      </w:r>
      <w:r>
        <w:t xml:space="preserve">Regulation352. In particular, Member States would be required to submit annual reports to the</w:t>
      </w:r>
      <w:r>
        <w:t xml:space="preserve"> </w:t>
      </w:r>
      <w:r>
        <w:t xml:space="preserve">Commission in respect of aid measures approved under the revised GLs. However, the initiative</w:t>
      </w:r>
      <w:r>
        <w:t xml:space="preserve"> </w:t>
      </w:r>
      <w:r>
        <w:t xml:space="preserve">is not expected to create significant additional administrative burdens on authorities since the</w:t>
      </w:r>
      <w:r>
        <w:t xml:space="preserve"> </w:t>
      </w:r>
      <w:r>
        <w:t xml:space="preserve">process is the same as under other State aid GLs and Member States are therefore already</w:t>
      </w:r>
      <w:r>
        <w:t xml:space="preserve"> </w:t>
      </w:r>
      <w:r>
        <w:t xml:space="preserve">familiar with it.</w:t>
      </w:r>
      <w:r>
        <w:br/>
      </w:r>
      <w:r>
        <w:t xml:space="preserve">The administrative burden linked to the obligation to notify to the Commission new or updated</w:t>
      </w:r>
      <w:r>
        <w:t xml:space="preserve"> </w:t>
      </w:r>
      <w:r>
        <w:t xml:space="preserve">schemes is an intrinsic feature of State aid control pursuant to Article 108 (2) TFEU. The</w:t>
      </w:r>
      <w:r>
        <w:t xml:space="preserve"> </w:t>
      </w:r>
      <w:r>
        <w:t xml:space="preserve">initiative would benefit Member States (and EFTA States), because it improves clarity and</w:t>
      </w:r>
      <w:r>
        <w:t xml:space="preserve"> </w:t>
      </w:r>
      <w:r>
        <w:t xml:space="preserve">consistency about the way national State aid schemes should be designed and it provides</w:t>
      </w:r>
      <w:r>
        <w:t xml:space="preserve"> </w:t>
      </w:r>
      <w:r>
        <w:t xml:space="preserve">necessary visibility as to the Commission’s State aid assessment for emerging aid designs and</w:t>
      </w:r>
      <w:r>
        <w:t xml:space="preserve"> </w:t>
      </w:r>
      <w:r>
        <w:t xml:space="preserve">aid to new technologies. In addition, administrative burdens would be significantly reduced</w:t>
      </w:r>
      <w:r>
        <w:t xml:space="preserve"> </w:t>
      </w:r>
      <w:r>
        <w:t xml:space="preserve">thanks to the introduction of the TBER, permitting State aid measures that present few</w:t>
      </w:r>
      <w:r>
        <w:t xml:space="preserve"> </w:t>
      </w:r>
      <w:r>
        <w:t xml:space="preserve">competition distortion risks to be exempted from notification.</w:t>
      </w:r>
      <w:r>
        <w:br/>
      </w:r>
      <w:r>
        <w:t xml:space="preserve">Member States (and EFTA States) have the choice, whether to implement a State aid scheme:</w:t>
      </w:r>
      <w:r>
        <w:t xml:space="preserve"> </w:t>
      </w:r>
      <w:r>
        <w:t xml:space="preserve">the initiative therefore would not introduce any mandatory costs. Any impact on Member</w:t>
      </w:r>
      <w:r>
        <w:t xml:space="preserve"> </w:t>
      </w:r>
      <w:r>
        <w:t xml:space="preserve">States’ budgets allocated to State aid for transport would result from a decision of the relevant</w:t>
      </w:r>
      <w:r>
        <w:t xml:space="preserve"> </w:t>
      </w:r>
      <w:r>
        <w:t xml:space="preserve">Member State.</w:t>
      </w:r>
      <w:r>
        <w:t xml:space="preserve"> </w:t>
      </w:r>
      <w:r>
        <w:t xml:space="preserve">1.2. SLT operators</w:t>
      </w:r>
      <w:r>
        <w:t xml:space="preserve"> </w:t>
      </w:r>
      <w:r>
        <w:t xml:space="preserve">SLT operators, such as railway undertakings, IWW vessel operators and maritime operators</w:t>
      </w:r>
      <w:r>
        <w:t xml:space="preserve"> </w:t>
      </w:r>
      <w:r>
        <w:t xml:space="preserve">participating in a multimodal transport operation would benefit from the increased scope,</w:t>
      </w:r>
      <w:r>
        <w:t xml:space="preserve"> </w:t>
      </w:r>
      <w:r>
        <w:t xml:space="preserve">additional legal certainty and generally higher aid intensities permitted by the revised GLs and</w:t>
      </w:r>
      <w:r>
        <w:t xml:space="preserve"> </w:t>
      </w:r>
      <w:r>
        <w:t xml:space="preserve">TBER, where they are taken up by Member States. An increase in modal shift would lead to</w:t>
      </w:r>
      <w:r>
        <w:t xml:space="preserve"> </w:t>
      </w:r>
      <w:r>
        <w:t xml:space="preserve">higher volumes and turnover, and create new investment opportunities.</w:t>
      </w:r>
      <w:r>
        <w:t xml:space="preserve"> </w:t>
      </w:r>
      <w:r>
        <w:t xml:space="preserve">The initiative does not introduce any mandatory costs for businesses. It does reduce indirect</w:t>
      </w:r>
      <w:r>
        <w:t xml:space="preserve"> </w:t>
      </w:r>
      <w:r>
        <w:t xml:space="preserve">opportunity costs for businesses, where Member States decide to introduce block exempted aid</w:t>
      </w:r>
      <w:r>
        <w:t xml:space="preserve"> </w:t>
      </w:r>
      <w:r>
        <w:t xml:space="preserve">schemes, as the aid can be granted quicker due to the exemption from the notification procedure.</w:t>
      </w:r>
    </w:p>
    <w:p>
      <w:pPr>
        <w:pStyle w:val="BodyText"/>
      </w:pPr>
      <w:r>
        <w:t xml:space="preserve">352 See footnote 45.</w:t>
      </w:r>
    </w:p>
    <w:p>
      <w:pPr>
        <w:pStyle w:val="BodyText"/>
      </w:pPr>
      <w:r>
        <w:t xml:space="preserve">A-28</w:t>
      </w:r>
    </w:p>
    <w:p>
      <w:pPr>
        <w:pStyle w:val="BodyText"/>
      </w:pPr>
      <w:r>
        <w:t xml:space="preserve">1.3. Transport organisers</w:t>
      </w:r>
      <w:r>
        <w:br/>
      </w:r>
      <w:r>
        <w:t xml:space="preserve">In freight transport, goods are owned and/or shipped by shippers, who have an interest to send</w:t>
      </w:r>
      <w:r>
        <w:t xml:space="preserve"> </w:t>
      </w:r>
      <w:r>
        <w:t xml:space="preserve">the goods from the place of departure to the place of arrival. The shippers may organise the</w:t>
      </w:r>
      <w:r>
        <w:t xml:space="preserve"> </w:t>
      </w:r>
      <w:r>
        <w:t xml:space="preserve">transport themselves or engage a logistics company or freight forwarder to do the organisation</w:t>
      </w:r>
      <w:r>
        <w:t xml:space="preserve"> </w:t>
      </w:r>
      <w:r>
        <w:t xml:space="preserve">for them. These transport organisers choose the transport mode for the operation based on</w:t>
      </w:r>
      <w:r>
        <w:t xml:space="preserve"> </w:t>
      </w:r>
      <w:r>
        <w:t xml:space="preserve">various considerations, such as cost, speed of delivery and flexibility.</w:t>
      </w:r>
      <w:r>
        <w:br/>
      </w:r>
      <w:r>
        <w:t xml:space="preserve">Transport organisers may benefit from the initiative, depending on the transport solutions they</w:t>
      </w:r>
      <w:r>
        <w:t xml:space="preserve"> </w:t>
      </w:r>
      <w:r>
        <w:t xml:space="preserve">use. Transport organisers who already use SLT for all or part of their operations would benefit</w:t>
      </w:r>
      <w:r>
        <w:t xml:space="preserve"> </w:t>
      </w:r>
      <w:r>
        <w:t xml:space="preserve">from the additional support that could be made available to the sector. Transport organisers who</w:t>
      </w:r>
      <w:r>
        <w:t xml:space="preserve"> </w:t>
      </w:r>
      <w:r>
        <w:t xml:space="preserve">would switch to SLT for all or part of their operations would enjoy the benefits of more</w:t>
      </w:r>
      <w:r>
        <w:t xml:space="preserve"> </w:t>
      </w:r>
      <w:r>
        <w:t xml:space="preserve">sustainable transport solutions at competitive terms with road transport. Transport organisers</w:t>
      </w:r>
      <w:r>
        <w:t xml:space="preserve"> </w:t>
      </w:r>
      <w:r>
        <w:t xml:space="preserve">who would continue using only road transport would not benefit from this initiative.</w:t>
      </w:r>
      <w:r>
        <w:br/>
      </w:r>
      <w:r>
        <w:t xml:space="preserve">1.4. Passengers of SLT</w:t>
      </w:r>
      <w:r>
        <w:t xml:space="preserve"> </w:t>
      </w:r>
      <w:r>
        <w:t xml:space="preserve">By enabling additional support in and facilitating implementation of e.g. operating aid and</w:t>
      </w:r>
      <w:r>
        <w:t xml:space="preserve"> </w:t>
      </w:r>
      <w:r>
        <w:t xml:space="preserve">interoperability aid, the initiative may benefit citizens using SLT, if Member States decide to</w:t>
      </w:r>
      <w:r>
        <w:t xml:space="preserve"> </w:t>
      </w:r>
      <w:r>
        <w:t xml:space="preserve">provide higher support. This could translate for example into rail passenger transport with lower</w:t>
      </w:r>
      <w:r>
        <w:t xml:space="preserve"> </w:t>
      </w:r>
      <w:r>
        <w:t xml:space="preserve">prices, faster travel times and increased safety.</w:t>
      </w:r>
      <w:r>
        <w:br/>
      </w:r>
      <w:r>
        <w:t xml:space="preserve">1.5. Road hauliers</w:t>
      </w:r>
      <w:r>
        <w:br/>
      </w:r>
      <w:r>
        <w:t xml:space="preserve">An increase in modal shift in the freight segment, if Member States take up the possibilities</w:t>
      </w:r>
      <w:r>
        <w:t xml:space="preserve"> </w:t>
      </w:r>
      <w:r>
        <w:t xml:space="preserve">offered under the initiative, would come at the expense of road only transport. Road hauliers</w:t>
      </w:r>
      <w:r>
        <w:t xml:space="preserve"> </w:t>
      </w:r>
      <w:r>
        <w:t xml:space="preserve">who currently carry out road only transport may thus experience relatively lower demand for</w:t>
      </w:r>
      <w:r>
        <w:t xml:space="preserve"> </w:t>
      </w:r>
      <w:r>
        <w:t xml:space="preserve">their services as a result of the initiative. Road hauliers would still be in a position to adapt to</w:t>
      </w:r>
      <w:r>
        <w:t xml:space="preserve"> </w:t>
      </w:r>
      <w:r>
        <w:t xml:space="preserve">the multimodal market and offer multimodal transport solutions, i.e. the transportation of goods</w:t>
      </w:r>
      <w:r>
        <w:t xml:space="preserve"> </w:t>
      </w:r>
      <w:r>
        <w:t xml:space="preserve">with both a SLT and a road leg.</w:t>
      </w:r>
      <w:r>
        <w:br/>
      </w:r>
      <w:r>
        <w:t xml:space="preserve">2. Summary of costs and benefits</w:t>
      </w:r>
      <w:r>
        <w:t xml:space="preserve"> </w:t>
      </w:r>
      <w:r>
        <w:t xml:space="preserve">For the preferred set of options, the tables below present the benefits (Table I) and costs (Table</w:t>
      </w:r>
      <w:r>
        <w:t xml:space="preserve"> </w:t>
      </w:r>
      <w:r>
        <w:t xml:space="preserve">II) that have been identified and assessed during the impact assessment process. Estimates</w:t>
      </w:r>
      <w:r>
        <w:t xml:space="preserve"> </w:t>
      </w:r>
      <w:r>
        <w:t xml:space="preserve">compare the baseline with the preferred options as a whole.</w:t>
      </w:r>
      <w:r>
        <w:t xml:space="preserve"> </w:t>
      </w:r>
      <w:r>
        <w:t xml:space="preserve">I. Overview of Benefits (total for all provisions) – Preferred Options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Administrative cost savings</w:t>
      </w:r>
      <w:r>
        <w:t xml:space="preserve"> </w:t>
      </w:r>
      <w:r>
        <w:t xml:space="preserve">The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A3</w:t>
      </w:r>
      <w:r>
        <w:t xml:space="preserve"> </w:t>
      </w:r>
      <w:r>
        <w:t xml:space="preserve">would</w:t>
      </w:r>
      <w:r>
        <w:t xml:space="preserve"> </w:t>
      </w:r>
      <w:r>
        <w:t xml:space="preserve">reduce</w:t>
      </w:r>
      <w:r>
        <w:t xml:space="preserve"> </w:t>
      </w:r>
      <w:r>
        <w:t xml:space="preserve">administrative costs for Member States by EUR</w:t>
      </w:r>
      <w:r>
        <w:t xml:space="preserve"> </w:t>
      </w:r>
      <w:r>
        <w:t xml:space="preserve">83 510 – 178 171 on an annual basis.</w:t>
      </w:r>
      <w:r>
        <w:t xml:space="preserve"> </w:t>
      </w:r>
      <w:r>
        <w:t xml:space="preserve">Administrative cost savings to Member</w:t>
      </w:r>
      <w:r>
        <w:t xml:space="preserve"> </w:t>
      </w:r>
      <w:r>
        <w:t xml:space="preserve">States’ authorities through the TBER.</w:t>
      </w:r>
      <w:r>
        <w:br/>
      </w:r>
      <w:r>
        <w:t xml:space="preserve">Faster implementation of</w:t>
      </w:r>
      <w:r>
        <w:t xml:space="preserve"> </w:t>
      </w:r>
      <w:r>
        <w:t xml:space="preserve">State aid measures</w:t>
      </w:r>
      <w:r>
        <w:t xml:space="preserve"> </w:t>
      </w:r>
      <w:r>
        <w:t xml:space="preserve">The opportunity cost savings for businesses under</w:t>
      </w:r>
      <w:r>
        <w:t xml:space="preserve"> </w:t>
      </w:r>
      <w:r>
        <w:t xml:space="preserve">preferred Option A3 have been estimated to</w:t>
      </w:r>
      <w:r>
        <w:t xml:space="preserve"> </w:t>
      </w:r>
      <w:r>
        <w:t xml:space="preserve">amount to EUR 7.6 – 43.4 million annually.</w:t>
      </w:r>
      <w:r>
        <w:br/>
      </w:r>
      <w:r>
        <w:t xml:space="preserve">Faster implementation of aid measures</w:t>
      </w:r>
      <w:r>
        <w:t xml:space="preserve"> </w:t>
      </w:r>
      <w:r>
        <w:t xml:space="preserve">benefits Member States and beneficiaries of</w:t>
      </w:r>
      <w:r>
        <w:t xml:space="preserve"> </w:t>
      </w:r>
      <w:r>
        <w:t xml:space="preserve">aid.</w:t>
      </w:r>
      <w:r>
        <w:br/>
      </w:r>
      <w:r>
        <w:t xml:space="preserve">Indirect benefits</w:t>
      </w:r>
      <w:r>
        <w:t xml:space="preserve"> </w:t>
      </w:r>
      <w:r>
        <w:t xml:space="preserve">Reduction in externalities</w:t>
      </w:r>
      <w:r>
        <w:br/>
      </w:r>
      <w:r>
        <w:t xml:space="preserve">Not quantified.</w:t>
      </w:r>
      <w:r>
        <w:t xml:space="preserve"> </w:t>
      </w:r>
      <w:r>
        <w:t xml:space="preserve">Indirect benefit to society at large, as the</w:t>
      </w:r>
      <w:r>
        <w:t xml:space="preserve"> </w:t>
      </w:r>
      <w:r>
        <w:t xml:space="preserve">initiative makes the granting of aid to</w:t>
      </w:r>
    </w:p>
    <w:p>
      <w:pPr>
        <w:pStyle w:val="BodyText"/>
      </w:pPr>
      <w:r>
        <w:t xml:space="preserve">A-29</w:t>
      </w:r>
    </w:p>
    <w:p>
      <w:pPr>
        <w:pStyle w:val="BodyText"/>
      </w:pPr>
      <w:r>
        <w:t xml:space="preserve">I. Overview of Benefits (total for all provisions) – Preferred Options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For each unit of modal shift achieved in the</w:t>
      </w:r>
      <w:r>
        <w:t xml:space="preserve"> </w:t>
      </w:r>
      <w:r>
        <w:t xml:space="preserve">passenger segment, GHG emissions would</w:t>
      </w:r>
      <w:r>
        <w:t xml:space="preserve"> </w:t>
      </w:r>
      <w:r>
        <w:t xml:space="preserve">decrease by 64.6%, air pollution decrease by</w:t>
      </w:r>
      <w:r>
        <w:t xml:space="preserve"> </w:t>
      </w:r>
      <w:r>
        <w:t xml:space="preserve">35.6% and noise would increase by 21.9%,</w:t>
      </w:r>
      <w:r>
        <w:t xml:space="preserve"> </w:t>
      </w:r>
      <w:r>
        <w:t xml:space="preserve">amounting to an overall 34% decrease of</w:t>
      </w:r>
      <w:r>
        <w:t xml:space="preserve"> </w:t>
      </w:r>
      <w:r>
        <w:t xml:space="preserve">environmental costs.</w:t>
      </w:r>
      <w:r>
        <w:t xml:space="preserve"> </w:t>
      </w:r>
      <w:r>
        <w:t xml:space="preserve">For each unit of modal shift achieved in the</w:t>
      </w:r>
      <w:r>
        <w:t xml:space="preserve"> </w:t>
      </w:r>
      <w:r>
        <w:t xml:space="preserve">freight segment, GHG emissions would decrease</w:t>
      </w:r>
      <w:r>
        <w:t xml:space="preserve"> </w:t>
      </w:r>
      <w:r>
        <w:t xml:space="preserve">by 66.5%, air pollution by 50.4% and noise by</w:t>
      </w:r>
      <w:r>
        <w:t xml:space="preserve"> </w:t>
      </w:r>
      <w:r>
        <w:t xml:space="preserve">7.1%, amounting to an overall 43.3% decrease of</w:t>
      </w:r>
      <w:r>
        <w:t xml:space="preserve"> </w:t>
      </w:r>
      <w:r>
        <w:t xml:space="preserve">environmental costs.</w:t>
      </w:r>
      <w:r>
        <w:br/>
      </w:r>
      <w:r>
        <w:t xml:space="preserve">promote a modal shift from road only</w:t>
      </w:r>
      <w:r>
        <w:t xml:space="preserve"> </w:t>
      </w:r>
      <w:r>
        <w:t xml:space="preserve">transport to more sustainable modes easier,</w:t>
      </w:r>
      <w:r>
        <w:t xml:space="preserve"> </w:t>
      </w:r>
      <w:r>
        <w:t xml:space="preserve">which reduces external costs such as air</w:t>
      </w:r>
      <w:r>
        <w:t xml:space="preserve"> </w:t>
      </w:r>
      <w:r>
        <w:t xml:space="preserve">pollution, congestion, accidents and GHG</w:t>
      </w:r>
      <w:r>
        <w:t xml:space="preserve"> </w:t>
      </w:r>
      <w:r>
        <w:t xml:space="preserve">emissions. However, the extent to which this</w:t>
      </w:r>
      <w:r>
        <w:t xml:space="preserve"> </w:t>
      </w:r>
      <w:r>
        <w:t xml:space="preserve">possibility will be taken up depends on</w:t>
      </w:r>
      <w:r>
        <w:t xml:space="preserve"> </w:t>
      </w:r>
      <w:r>
        <w:t xml:space="preserve">Member States’ decision to introduce aid</w:t>
      </w:r>
      <w:r>
        <w:t xml:space="preserve"> </w:t>
      </w:r>
      <w:r>
        <w:t xml:space="preserve">schemes.</w:t>
      </w:r>
      <w:r>
        <w:t xml:space="preserve"> </w:t>
      </w: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energy</w:t>
      </w:r>
      <w:r>
        <w:t xml:space="preserve"> </w:t>
      </w:r>
      <w:r>
        <w:t xml:space="preserve">consumption</w:t>
      </w:r>
      <w:r>
        <w:t xml:space="preserve"> </w:t>
      </w:r>
      <w:r>
        <w:t xml:space="preserve">Not quantified.</w:t>
      </w:r>
      <w:r>
        <w:t xml:space="preserve"> </w:t>
      </w:r>
      <w:r>
        <w:t xml:space="preserve">Indirect benefit to society at large, as the</w:t>
      </w:r>
      <w:r>
        <w:t xml:space="preserve"> </w:t>
      </w:r>
      <w:r>
        <w:t xml:space="preserve">initiative makes the granting of aid to</w:t>
      </w:r>
      <w:r>
        <w:t xml:space="preserve"> </w:t>
      </w:r>
      <w:r>
        <w:t xml:space="preserve">promote a modal shift from road only</w:t>
      </w:r>
      <w:r>
        <w:t xml:space="preserve"> </w:t>
      </w:r>
      <w:r>
        <w:t xml:space="preserve">transport to more sustainable modes with</w:t>
      </w:r>
      <w:r>
        <w:t xml:space="preserve"> </w:t>
      </w:r>
      <w:r>
        <w:t xml:space="preserve">lower energy consumption easier. However,</w:t>
      </w:r>
      <w:r>
        <w:t xml:space="preserve"> </w:t>
      </w:r>
      <w:r>
        <w:t xml:space="preserve">the extent to which this possibility will be</w:t>
      </w:r>
      <w:r>
        <w:t xml:space="preserve"> </w:t>
      </w:r>
      <w:r>
        <w:t xml:space="preserve">taken up depends on Member States’</w:t>
      </w:r>
      <w:r>
        <w:t xml:space="preserve"> </w:t>
      </w:r>
      <w:r>
        <w:t xml:space="preserve">decision to introduce aid schemes.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Recurrent (direct/indirect)</w:t>
      </w:r>
      <w:r>
        <w:br/>
      </w: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One-off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(1) Estimates are gross values relative to the baseline for the preferred option as a whole (i.e. the impact of</w:t>
      </w:r>
      <w:r>
        <w:t xml:space="preserve"> </w:t>
      </w:r>
      <w:r>
        <w:t xml:space="preserve">individual actions/obligations of the preferred option are aggregated together)</w:t>
      </w:r>
      <w:r>
        <w:br/>
      </w:r>
      <w:r>
        <w:t xml:space="preserve">II. Overview of costs – Preferred options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Limited cost</w:t>
      </w:r>
      <w:r>
        <w:t xml:space="preserve"> </w:t>
      </w:r>
      <w:r>
        <w:t xml:space="preserve">for Member</w:t>
      </w:r>
      <w:r>
        <w:t xml:space="preserve"> </w:t>
      </w:r>
      <w:r>
        <w:t xml:space="preserve">States’</w:t>
      </w:r>
      <w:r>
        <w:t xml:space="preserve"> </w:t>
      </w:r>
      <w:r>
        <w:t xml:space="preserve">administrati</w:t>
      </w:r>
      <w:r>
        <w:t xml:space="preserve"> </w:t>
      </w:r>
      <w:r>
        <w:t xml:space="preserve">ons</w:t>
      </w:r>
      <w:r>
        <w:t xml:space="preserve"> </w:t>
      </w:r>
      <w:r>
        <w:t xml:space="preserve">to</w:t>
      </w:r>
      <w:r>
        <w:t xml:space="preserve"> </w:t>
      </w:r>
      <w:r>
        <w:t xml:space="preserve">familiarise</w:t>
      </w:r>
      <w:r>
        <w:t xml:space="preserve"> </w:t>
      </w:r>
      <w:r>
        <w:t xml:space="preserve">themselves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rules,</w:t>
      </w:r>
      <w:r>
        <w:t xml:space="preserve"> </w:t>
      </w:r>
      <w:r>
        <w:t xml:space="preserve">as they are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RGL</w:t>
      </w:r>
      <w:r>
        <w:t xml:space="preserve"> </w:t>
      </w:r>
      <w:r>
        <w:t xml:space="preserve">and</w:t>
      </w:r>
      <w:r>
        <w:t xml:space="preserve"> </w:t>
      </w:r>
      <w:r>
        <w:t xml:space="preserve">case</w:t>
      </w:r>
      <w:r>
        <w:t xml:space="preserve"> </w:t>
      </w:r>
      <w:r>
        <w:t xml:space="preserve">practice.</w:t>
      </w:r>
      <w:r>
        <w:t xml:space="preserve"> </w:t>
      </w:r>
      <w:r>
        <w:t xml:space="preserve">0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0</w:t>
      </w:r>
      <w:r>
        <w:t xml:space="preserve"> </w:t>
      </w:r>
      <w:r>
        <w:t xml:space="preserve">Administrativ</w:t>
      </w:r>
      <w:r>
        <w:t xml:space="preserve"> </w:t>
      </w:r>
      <w:r>
        <w:t xml:space="preserve">e cost savings</w:t>
      </w:r>
      <w:r>
        <w:t xml:space="preserve"> </w:t>
      </w:r>
      <w:r>
        <w:t xml:space="preserve">estimated as</w:t>
      </w:r>
      <w:r>
        <w:t xml:space="preserve"> </w:t>
      </w:r>
      <w:r>
        <w:t xml:space="preserve">benefit</w:t>
      </w:r>
      <w:r>
        <w:t xml:space="preserve"> </w:t>
      </w:r>
      <w:r>
        <w:t xml:space="preserve">in</w:t>
      </w:r>
      <w:r>
        <w:t xml:space="preserve"> </w:t>
      </w:r>
      <w:r>
        <w:t xml:space="preserve">Table I.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A-30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 costs 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Opportunity</w:t>
      </w:r>
      <w:r>
        <w:t xml:space="preserve"> </w:t>
      </w:r>
      <w:r>
        <w:t xml:space="preserve">cost</w:t>
      </w:r>
      <w:r>
        <w:t xml:space="preserve"> </w:t>
      </w:r>
      <w:r>
        <w:t xml:space="preserve">savings</w:t>
      </w:r>
      <w:r>
        <w:t xml:space="preserve"> </w:t>
      </w:r>
      <w:r>
        <w:t xml:space="preserve">estimated</w:t>
      </w:r>
      <w:r>
        <w:t xml:space="preserve"> </w:t>
      </w:r>
      <w:r>
        <w:t xml:space="preserve">as</w:t>
      </w:r>
      <w:r>
        <w:t xml:space="preserve"> </w:t>
      </w:r>
      <w:r>
        <w:t xml:space="preserve">benefit in Table</w:t>
      </w:r>
      <w:r>
        <w:t xml:space="preserve"> </w:t>
      </w:r>
      <w:r>
        <w:t xml:space="preserve">I.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(1) Estimates (gross values) to be provided with respect to the baseline; (2) costs are provided for each</w:t>
      </w:r>
      <w:r>
        <w:t xml:space="preserve"> </w:t>
      </w:r>
      <w:r>
        <w:t xml:space="preserve">identifiable action/obligation of the preferred option otherwise for all retained options when no preferred</w:t>
      </w:r>
      <w:r>
        <w:t xml:space="preserve"> </w:t>
      </w:r>
      <w:r>
        <w:t xml:space="preserve">option is specified.</w:t>
      </w:r>
      <w:r>
        <w:br/>
      </w:r>
      <w:r>
        <w:t xml:space="preserve">III. Application of the ‘one in, one out’ approach – Preferred option(s)</w:t>
      </w:r>
      <w:r>
        <w:t xml:space="preserve"> </w:t>
      </w:r>
      <w:r>
        <w:t xml:space="preserve">[M€]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 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Removed 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Removed 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</w:p>
    <w:p>
      <w:pPr>
        <w:pStyle w:val="BodyText"/>
      </w:pPr>
      <w:r>
        <w:t xml:space="preserve">Total administrative</w:t>
      </w:r>
      <w:r>
        <w:t xml:space="preserve"> </w:t>
      </w:r>
      <w:r>
        <w:t xml:space="preserve">burdens***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Not applicable</w:t>
      </w:r>
      <w:r>
        <w:t xml:space="preserve"> </w:t>
      </w:r>
      <w:r>
        <w:t xml:space="preserve">(</w:t>
      </w:r>
      <w:r>
        <w:rPr>
          <w:i/>
          <w:iCs/>
        </w:rPr>
        <w:t xml:space="preserve">) Net administrative burdens = INs – OUTs;</w:t>
      </w:r>
      <w:r>
        <w:br/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) Adjustment costs falling under the scope of the OIOO approach are the same as reported in Table 2 above. Non-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annualised values;</w:t>
      </w:r>
      <w:r>
        <w:br/>
      </w:r>
      <w:r>
        <w:rPr>
          <w:b/>
          <w:bCs/>
          <w:i/>
          <w:iCs/>
        </w:rPr>
        <w:t xml:space="preserve">(</w:t>
      </w:r>
      <w:r>
        <w:t xml:space="preserve">) Total administrative burdens = Net administrative burdens for businesses + net administrative burdens for citizens.</w:t>
      </w:r>
    </w:p>
    <w:p>
      <w:pPr>
        <w:pStyle w:val="BodyText"/>
      </w:pPr>
      <w:r>
        <w:t xml:space="preserve">A-31</w:t>
      </w:r>
    </w:p>
    <w:p>
      <w:pPr>
        <w:pStyle w:val="Compact"/>
        <w:numPr>
          <w:ilvl w:val="0"/>
          <w:numId w:val="1009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10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7 – affordable and</w:t>
      </w:r>
      <w:r>
        <w:t xml:space="preserve"> </w:t>
      </w:r>
      <w:r>
        <w:t xml:space="preserve">clean energy.</w:t>
      </w:r>
    </w:p>
    <w:p>
      <w:pPr>
        <w:pStyle w:val="FirstParagraph"/>
      </w:pPr>
      <w:r>
        <w:t xml:space="preserve">Indicator</w:t>
      </w:r>
      <w:r>
        <w:t xml:space="preserve"> </w:t>
      </w:r>
      <w:r>
        <w:t xml:space="preserve">7.3.1:</w:t>
      </w:r>
      <w:r>
        <w:t xml:space="preserve"> </w:t>
      </w:r>
      <w:r>
        <w:t xml:space="preserve">energy</w:t>
      </w:r>
      <w:r>
        <w:t xml:space="preserve"> </w:t>
      </w:r>
      <w:r>
        <w:t xml:space="preserve">intensity measured in terms</w:t>
      </w:r>
      <w:r>
        <w:t xml:space="preserve"> </w:t>
      </w:r>
      <w:r>
        <w:t xml:space="preserve">of primary energy and GDP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The initiatives makes the granting of aid to</w:t>
      </w:r>
      <w:r>
        <w:t xml:space="preserve"> </w:t>
      </w:r>
      <w:r>
        <w:t xml:space="preserve">promote a modal shift from road only</w:t>
      </w:r>
      <w:r>
        <w:t xml:space="preserve"> </w:t>
      </w:r>
      <w:r>
        <w:t xml:space="preserve">transport to more sustainable modes easier</w:t>
      </w:r>
      <w:r>
        <w:t xml:space="preserve"> </w:t>
      </w:r>
      <w:r>
        <w:t xml:space="preserve">which reduces external costs such as air</w:t>
      </w:r>
      <w:r>
        <w:t xml:space="preserve"> </w:t>
      </w:r>
      <w:r>
        <w:t xml:space="preserve">pollution, congestion, accidents and GHG</w:t>
      </w:r>
      <w:r>
        <w:t xml:space="preserve"> </w:t>
      </w:r>
      <w:r>
        <w:t xml:space="preserve">emissions. However, the extent to which this</w:t>
      </w:r>
      <w:r>
        <w:t xml:space="preserve"> </w:t>
      </w:r>
      <w:r>
        <w:t xml:space="preserve">possibility will be taken up depends on</w:t>
      </w:r>
      <w:r>
        <w:t xml:space="preserve"> </w:t>
      </w:r>
      <w:r>
        <w:t xml:space="preserve">Member States’ decision to introduce aid</w:t>
      </w:r>
      <w:r>
        <w:t xml:space="preserve"> </w:t>
      </w:r>
      <w:r>
        <w:t xml:space="preserve">schemes.</w:t>
      </w:r>
      <w:r>
        <w:t xml:space="preserve"> </w:t>
      </w:r>
      <w:r>
        <w:t xml:space="preserve">A modal shift away from road only transport</w:t>
      </w:r>
      <w:r>
        <w:t xml:space="preserve"> </w:t>
      </w:r>
      <w:r>
        <w:t xml:space="preserve">reduces energy consumption, as rail, IWW</w:t>
      </w:r>
      <w:r>
        <w:t xml:space="preserve"> </w:t>
      </w:r>
      <w:r>
        <w:t xml:space="preserve">and short-sea shipping transport is more</w:t>
      </w:r>
      <w:r>
        <w:t xml:space="preserve"> </w:t>
      </w:r>
      <w:r>
        <w:t xml:space="preserve">energy efficient.</w:t>
      </w:r>
      <w:r>
        <w:br/>
      </w:r>
      <w:r>
        <w:t xml:space="preserve">SDG no. 9 – industry,</w:t>
      </w:r>
      <w:r>
        <w:t xml:space="preserve"> </w:t>
      </w:r>
      <w:r>
        <w:t xml:space="preserve">innovation</w:t>
      </w:r>
      <w:r>
        <w:t xml:space="preserve"> </w:t>
      </w:r>
      <w:r>
        <w:t xml:space="preserve">and</w:t>
      </w:r>
      <w:r>
        <w:t xml:space="preserve"> </w:t>
      </w:r>
      <w:r>
        <w:t xml:space="preserve">infrastructure.</w:t>
      </w:r>
    </w:p>
    <w:p>
      <w:pPr>
        <w:pStyle w:val="BodyText"/>
      </w:pPr>
      <w:r>
        <w:t xml:space="preserve">Indicator 9.1.2: passenger</w:t>
      </w:r>
      <w:r>
        <w:t xml:space="preserve"> </w:t>
      </w:r>
      <w:r>
        <w:t xml:space="preserve">and freight volumes, by</w:t>
      </w:r>
      <w:r>
        <w:t xml:space="preserve"> </w:t>
      </w:r>
      <w:r>
        <w:t xml:space="preserve">mode of transport</w:t>
      </w:r>
      <w:r>
        <w:br/>
      </w:r>
      <w:r>
        <w:t xml:space="preserve">Not quantified</w:t>
      </w:r>
      <w:r>
        <w:t xml:space="preserve"> </w:t>
      </w:r>
      <w:r>
        <w:t xml:space="preserve">Increasing</w:t>
      </w:r>
      <w:r>
        <w:t xml:space="preserve"> </w:t>
      </w:r>
      <w:r>
        <w:t xml:space="preserve">competition</w:t>
      </w:r>
      <w:r>
        <w:t xml:space="preserve"> </w:t>
      </w:r>
      <w:r>
        <w:t xml:space="preserve">and</w:t>
      </w:r>
      <w:r>
        <w:t xml:space="preserve"> </w:t>
      </w:r>
      <w:r>
        <w:t xml:space="preserve">thereby</w:t>
      </w:r>
      <w:r>
        <w:t xml:space="preserve"> </w:t>
      </w:r>
      <w:r>
        <w:t xml:space="preserve">improving the competitiveness of SLT is</w:t>
      </w:r>
      <w:r>
        <w:t xml:space="preserve"> </w:t>
      </w:r>
      <w:r>
        <w:t xml:space="preserve">likely to increase total passenger and freight</w:t>
      </w:r>
      <w:r>
        <w:t xml:space="preserve"> </w:t>
      </w:r>
      <w:r>
        <w:t xml:space="preserve">volumes overall, as well as driving a shift</w:t>
      </w:r>
      <w:r>
        <w:t xml:space="preserve"> </w:t>
      </w:r>
      <w:r>
        <w:t xml:space="preserve">away from road only transport.</w:t>
      </w:r>
      <w:r>
        <w:br/>
      </w:r>
      <w:r>
        <w:t xml:space="preserve">SDG no. 11 – sustainable</w:t>
      </w:r>
      <w:r>
        <w:t xml:space="preserve"> </w:t>
      </w:r>
      <w:r>
        <w:t xml:space="preserve">cities and communities.</w:t>
      </w:r>
    </w:p>
    <w:p>
      <w:pPr>
        <w:pStyle w:val="BodyText"/>
      </w:pPr>
      <w:r>
        <w:t xml:space="preserve">Indicator 11.2.1: proportion</w:t>
      </w:r>
      <w:r>
        <w:t xml:space="preserve"> </w:t>
      </w:r>
      <w:r>
        <w:t xml:space="preserve">of</w:t>
      </w:r>
      <w:r>
        <w:t xml:space="preserve"> </w:t>
      </w:r>
      <w:r>
        <w:t xml:space="preserve">population</w:t>
      </w:r>
      <w:r>
        <w:t xml:space="preserve"> </w:t>
      </w:r>
      <w:r>
        <w:t xml:space="preserve">that</w:t>
      </w:r>
      <w:r>
        <w:t xml:space="preserve"> </w:t>
      </w:r>
      <w:r>
        <w:t xml:space="preserve">has</w:t>
      </w:r>
      <w:r>
        <w:t xml:space="preserve"> </w:t>
      </w:r>
      <w:r>
        <w:t xml:space="preserve">convenient access to public</w:t>
      </w:r>
      <w:r>
        <w:t xml:space="preserve"> </w:t>
      </w:r>
      <w:r>
        <w:t xml:space="preserve">transport, by sex, age and</w:t>
      </w:r>
      <w:r>
        <w:t xml:space="preserve"> </w:t>
      </w:r>
      <w:r>
        <w:t xml:space="preserve">persons with disabilities</w:t>
      </w:r>
    </w:p>
    <w:p>
      <w:pPr>
        <w:pStyle w:val="BodyText"/>
      </w:pPr>
      <w:r>
        <w:t xml:space="preserve">Indicator</w:t>
      </w:r>
      <w:r>
        <w:t xml:space="preserve"> </w:t>
      </w:r>
      <w:r>
        <w:t xml:space="preserve">11.6.2:</w:t>
      </w:r>
      <w:r>
        <w:t xml:space="preserve"> </w:t>
      </w:r>
      <w:r>
        <w:t xml:space="preserve">Annual</w:t>
      </w:r>
      <w:r>
        <w:t xml:space="preserve"> </w:t>
      </w:r>
      <w:r>
        <w:t xml:space="preserve">mean</w:t>
      </w:r>
      <w:r>
        <w:t xml:space="preserve"> </w:t>
      </w:r>
      <w:r>
        <w:t xml:space="preserve">levels</w:t>
      </w:r>
      <w:r>
        <w:t xml:space="preserve"> </w:t>
      </w:r>
      <w:r>
        <w:t xml:space="preserve">of</w:t>
      </w:r>
      <w:r>
        <w:t xml:space="preserve"> </w:t>
      </w:r>
      <w:r>
        <w:t xml:space="preserve">fine</w:t>
      </w:r>
      <w:r>
        <w:t xml:space="preserve"> </w:t>
      </w:r>
      <w:r>
        <w:t xml:space="preserve">particulate</w:t>
      </w:r>
      <w:r>
        <w:t xml:space="preserve"> </w:t>
      </w:r>
      <w:r>
        <w:t xml:space="preserve">matter</w:t>
      </w:r>
      <w:r>
        <w:t xml:space="preserve"> </w:t>
      </w:r>
      <w:r>
        <w:t xml:space="preserve">(e.g. </w:t>
      </w:r>
      <w:r>
        <w:t xml:space="preserve"> </w:t>
      </w:r>
      <w:r>
        <w:t xml:space="preserve">PM2.5 and PM10) in cities</w:t>
      </w:r>
      <w:r>
        <w:t xml:space="preserve"> </w:t>
      </w:r>
      <w:r>
        <w:t xml:space="preserve">(population weighted)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A modal shift towards SLT would increase</w:t>
      </w:r>
      <w:r>
        <w:t xml:space="preserve"> </w:t>
      </w:r>
      <w:r>
        <w:t xml:space="preserve">accessibility of public transport and reduce</w:t>
      </w:r>
      <w:r>
        <w:t xml:space="preserve"> </w:t>
      </w:r>
      <w:r>
        <w:t xml:space="preserve">emissions of fine particulate matter, which is</w:t>
      </w:r>
      <w:r>
        <w:t xml:space="preserve"> </w:t>
      </w:r>
      <w:r>
        <w:t xml:space="preserve">higher in road only transport.</w:t>
      </w:r>
      <w:r>
        <w:br/>
      </w:r>
      <w:r>
        <w:t xml:space="preserve">SDG</w:t>
      </w:r>
      <w:r>
        <w:t xml:space="preserve"> </w:t>
      </w:r>
      <w:r>
        <w:t xml:space="preserve">no.</w:t>
      </w:r>
      <w:r>
        <w:t xml:space="preserve"> </w:t>
      </w:r>
      <w:r>
        <w:t xml:space="preserve">12</w:t>
      </w:r>
      <w:r>
        <w:t xml:space="preserve"> </w:t>
      </w:r>
      <w:r>
        <w:t xml:space="preserve">-</w:t>
      </w:r>
      <w:r>
        <w:t xml:space="preserve"> </w:t>
      </w:r>
      <w:r>
        <w:t xml:space="preserve">Ensure</w:t>
      </w:r>
      <w:r>
        <w:t xml:space="preserve"> </w:t>
      </w:r>
      <w:r>
        <w:t xml:space="preserve">sustainable consumption and</w:t>
      </w:r>
      <w:r>
        <w:t xml:space="preserve"> </w:t>
      </w:r>
      <w:r>
        <w:t xml:space="preserve">production patterns.</w:t>
      </w:r>
    </w:p>
    <w:p>
      <w:pPr>
        <w:pStyle w:val="BodyText"/>
      </w:pPr>
      <w:r>
        <w:t xml:space="preserve">Indicator 12.1.1: Number of</w:t>
      </w:r>
      <w:r>
        <w:t xml:space="preserve"> </w:t>
      </w:r>
      <w:r>
        <w:t xml:space="preserve">countries</w:t>
      </w:r>
      <w:r>
        <w:t xml:space="preserve"> </w:t>
      </w:r>
      <w:r>
        <w:t xml:space="preserve">developing,</w:t>
      </w:r>
      <w:r>
        <w:t xml:space="preserve"> </w:t>
      </w:r>
      <w:r>
        <w:t xml:space="preserve">adopting or implementing</w:t>
      </w:r>
      <w:r>
        <w:t xml:space="preserve"> </w:t>
      </w:r>
      <w:r>
        <w:t xml:space="preserve">policy instruments aimed at</w:t>
      </w:r>
      <w:r>
        <w:t xml:space="preserve"> </w:t>
      </w:r>
      <w:r>
        <w:t xml:space="preserve">supporting</w:t>
      </w:r>
      <w:r>
        <w:t xml:space="preserve"> </w:t>
      </w:r>
      <w:r>
        <w:t xml:space="preserve">the</w:t>
      </w:r>
      <w:r>
        <w:t xml:space="preserve"> </w:t>
      </w:r>
      <w:r>
        <w:t xml:space="preserve">shift</w:t>
      </w:r>
      <w:r>
        <w:t xml:space="preserve"> </w:t>
      </w:r>
      <w:r>
        <w:t xml:space="preserve">to</w:t>
      </w:r>
      <w:r>
        <w:t xml:space="preserve"> </w:t>
      </w:r>
      <w:r>
        <w:t xml:space="preserve">sustainable consumption and</w:t>
      </w:r>
      <w:r>
        <w:t xml:space="preserve"> </w:t>
      </w:r>
      <w:r>
        <w:t xml:space="preserve">production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The initiative would help more Member</w:t>
      </w:r>
      <w:r>
        <w:t xml:space="preserve"> </w:t>
      </w:r>
      <w:r>
        <w:t xml:space="preserve">States to implement State support for the</w:t>
      </w:r>
      <w:r>
        <w:t xml:space="preserve"> </w:t>
      </w:r>
      <w:r>
        <w:t xml:space="preserve">more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production</w:t>
      </w:r>
      <w:r>
        <w:t xml:space="preserve"> </w:t>
      </w:r>
      <w:r>
        <w:t xml:space="preserve">of</w:t>
      </w:r>
      <w:r>
        <w:t xml:space="preserve"> </w:t>
      </w:r>
      <w:r>
        <w:t xml:space="preserve">land</w:t>
      </w:r>
      <w:r>
        <w:t xml:space="preserve"> </w:t>
      </w:r>
      <w:r>
        <w:t xml:space="preserve">transport.</w:t>
      </w:r>
      <w:r>
        <w:t xml:space="preserve"> </w:t>
      </w:r>
      <w:r>
        <w:t xml:space="preserve">SDG no. 13 – Climate action.</w:t>
      </w:r>
    </w:p>
    <w:p>
      <w:pPr>
        <w:pStyle w:val="BodyText"/>
      </w:pPr>
      <w:r>
        <w:t xml:space="preserve">Indicator</w:t>
      </w:r>
      <w:r>
        <w:t xml:space="preserve"> </w:t>
      </w:r>
      <w:r>
        <w:t xml:space="preserve">13.2.2:</w:t>
      </w:r>
      <w:r>
        <w:t xml:space="preserve"> </w:t>
      </w:r>
      <w:r>
        <w:t xml:space="preserve">Total</w:t>
      </w:r>
      <w:r>
        <w:t xml:space="preserve"> </w:t>
      </w:r>
      <w:r>
        <w:t xml:space="preserve">greenhouse gas emissions per</w:t>
      </w:r>
      <w:r>
        <w:t xml:space="preserve"> </w:t>
      </w:r>
      <w:r>
        <w:t xml:space="preserve">year</w:t>
      </w:r>
      <w:r>
        <w:t xml:space="preserve"> </w:t>
      </w:r>
      <w:r>
        <w:t xml:space="preserve">Not quantified</w:t>
      </w:r>
      <w:r>
        <w:t xml:space="preserve"> </w:t>
      </w:r>
      <w:r>
        <w:t xml:space="preserve">For each unit of modal shift achieved in the</w:t>
      </w:r>
      <w:r>
        <w:t xml:space="preserve"> </w:t>
      </w:r>
      <w:r>
        <w:t xml:space="preserve">passenger segment, GHG emissions would</w:t>
      </w:r>
      <w:r>
        <w:t xml:space="preserve"> </w:t>
      </w:r>
      <w:r>
        <w:t xml:space="preserve">decrease by 64.6%.</w:t>
      </w:r>
      <w:r>
        <w:t xml:space="preserve"> </w:t>
      </w:r>
      <w:r>
        <w:t xml:space="preserve">A modal shift away from road only transport</w:t>
      </w:r>
      <w:r>
        <w:t xml:space="preserve"> </w:t>
      </w:r>
      <w:r>
        <w:t xml:space="preserve">to SLT modes would reduce GHG emissions.</w:t>
      </w:r>
    </w:p>
    <w:p>
      <w:pPr>
        <w:pStyle w:val="BodyText"/>
      </w:pPr>
      <w:r>
        <w:t xml:space="preserve">A-32</w:t>
      </w:r>
    </w:p>
    <w:p>
      <w:pPr>
        <w:pStyle w:val="Compact"/>
        <w:numPr>
          <w:ilvl w:val="0"/>
          <w:numId w:val="1011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For each unit of modal shift achieved in the freight</w:t>
      </w:r>
      <w:r>
        <w:t xml:space="preserve"> </w:t>
      </w:r>
      <w:r>
        <w:t xml:space="preserve">segment, GHG emissions would decrease by</w:t>
      </w:r>
      <w:r>
        <w:t xml:space="preserve"> </w:t>
      </w:r>
      <w:r>
        <w:t xml:space="preserve">66.5%.</w:t>
      </w:r>
    </w:p>
    <w:p>
      <w:pPr>
        <w:pStyle w:val="FirstParagraph"/>
      </w:pPr>
      <w:r>
        <w:t xml:space="preserve">A-33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The main analytical method used in this Impact Assessment Report is multi-criteria analysis,</w:t>
      </w:r>
      <w:r>
        <w:t xml:space="preserve"> </w:t>
      </w:r>
      <w:r>
        <w:t xml:space="preserve">based on stakeholder consultations, a study carried out specifically for the initiative, policy</w:t>
      </w:r>
      <w:r>
        <w:t xml:space="preserve"> </w:t>
      </w:r>
      <w:r>
        <w:t xml:space="preserve">documents from the EU and the Commission’s extensive case practice in State aid in the</w:t>
      </w:r>
      <w:r>
        <w:t xml:space="preserve"> </w:t>
      </w:r>
      <w:r>
        <w:t xml:space="preserve">transport sector. Administrative simplification made possible by the TBER has been quantified</w:t>
      </w:r>
      <w:r>
        <w:t xml:space="preserve"> </w:t>
      </w:r>
      <w:r>
        <w:t xml:space="preserve">through a specific and separate targeted consultation of Member States’ authorities.</w:t>
      </w:r>
      <w:r>
        <w:br/>
      </w:r>
      <w:r>
        <w:t xml:space="preserve">To assess the impacts of the changes in the scope of the RGL (Option Bundles A), the Impact</w:t>
      </w:r>
      <w:r>
        <w:t xml:space="preserve"> </w:t>
      </w:r>
      <w:r>
        <w:t xml:space="preserve">Assessment Report relies on the consultations and the study. The study compared the impacts</w:t>
      </w:r>
      <w:r>
        <w:t xml:space="preserve"> </w:t>
      </w:r>
      <w:r>
        <w:t xml:space="preserve">of demand-side schemes granting operating aid (those targeting transport organisers) to the</w:t>
      </w:r>
      <w:r>
        <w:t xml:space="preserve"> </w:t>
      </w:r>
      <w:r>
        <w:t xml:space="preserve">impacts of supply-side schemes (those targeting transport operators such as railway</w:t>
      </w:r>
      <w:r>
        <w:t xml:space="preserve"> </w:t>
      </w:r>
      <w:r>
        <w:t xml:space="preserve">undertakings). The study also looked into the availability and sufficiency of facilities in the EU</w:t>
      </w:r>
      <w:r>
        <w:t xml:space="preserve"> </w:t>
      </w:r>
      <w:r>
        <w:t xml:space="preserve">and analysed structurally loss-making rail freight services and the profitability of SWL</w:t>
      </w:r>
      <w:r>
        <w:t xml:space="preserve"> </w:t>
      </w:r>
      <w:r>
        <w:t xml:space="preserve">transport.</w:t>
      </w:r>
      <w:r>
        <w:br/>
      </w:r>
      <w:r>
        <w:t xml:space="preserve">To assess the impacts of the proposed compatibility conditions (Option Bundles B and C), the</w:t>
      </w:r>
      <w:r>
        <w:t xml:space="preserve"> </w:t>
      </w:r>
      <w:r>
        <w:t xml:space="preserve">Impact Assessment Report relies on the consultations, the study and the case practice in State</w:t>
      </w:r>
      <w:r>
        <w:t xml:space="preserve"> </w:t>
      </w:r>
      <w:r>
        <w:t xml:space="preserve">aid in the transport sector. In particular, the study assessed the degree of standardisation of</w:t>
      </w:r>
      <w:r>
        <w:t xml:space="preserve"> </w:t>
      </w:r>
      <w:r>
        <w:t xml:space="preserve">rolling stock between Member States, the costs and challenges faced in accessing rolling stock,</w:t>
      </w:r>
      <w:r>
        <w:t xml:space="preserve"> </w:t>
      </w:r>
      <w:r>
        <w:t xml:space="preserve">and the age and state of economic obsolescence of the rolling stock fleet in the EU. The study</w:t>
      </w:r>
      <w:r>
        <w:t xml:space="preserve"> </w:t>
      </w:r>
      <w:r>
        <w:t xml:space="preserve">further analysed the acuteness of market failures affecting interoperability technologies.</w:t>
      </w:r>
      <w:r>
        <w:br/>
      </w:r>
      <w:r>
        <w:t xml:space="preserve">To assess the impacts of the proposed TBER regarding administrative simplification (Option</w:t>
      </w:r>
      <w:r>
        <w:t xml:space="preserve"> </w:t>
      </w:r>
      <w:r>
        <w:t xml:space="preserve">Bundles A), in addition to information from the CfE and the further consultations, a dedicated</w:t>
      </w:r>
      <w:r>
        <w:t xml:space="preserve"> </w:t>
      </w:r>
      <w:r>
        <w:t xml:space="preserve">targeted consultation was sent to Member States’ authorities to quantify the administrative and</w:t>
      </w:r>
      <w:r>
        <w:t xml:space="preserve"> </w:t>
      </w:r>
      <w:r>
        <w:t xml:space="preserve">opportunity cost savings that may be realised. The details of the responses to the targeted</w:t>
      </w:r>
      <w:r>
        <w:t xml:space="preserve"> </w:t>
      </w:r>
      <w:r>
        <w:t xml:space="preserve">consultation, as well as the analysis of administrative costs, which is based on the results of the</w:t>
      </w:r>
      <w:r>
        <w:t xml:space="preserve"> </w:t>
      </w:r>
      <w:r>
        <w:t xml:space="preserve">targeted consultation, are presented in Annex 8.</w:t>
      </w:r>
      <w:r>
        <w:t xml:space="preserve"> </w:t>
      </w:r>
      <w:r>
        <w:t xml:space="preserve">For the consultation of stakeholders, the Commission used a combination of questionnaires,</w:t>
      </w:r>
      <w:r>
        <w:t xml:space="preserve"> </w:t>
      </w:r>
      <w:r>
        <w:t xml:space="preserve">meetings with interested stakeholders, conferences and public consultations, to ensure a</w:t>
      </w:r>
      <w:r>
        <w:t xml:space="preserve"> </w:t>
      </w:r>
      <w:r>
        <w:t xml:space="preserve">transparent and comprehensive methodology to collect data for the initiative. Stakeholders</w:t>
      </w:r>
      <w:r>
        <w:t xml:space="preserve"> </w:t>
      </w:r>
      <w:r>
        <w:t xml:space="preserve">representing the SLT sector also shared position papers and other assessments presenting their</w:t>
      </w:r>
      <w:r>
        <w:t xml:space="preserve"> </w:t>
      </w:r>
      <w:r>
        <w:t xml:space="preserve">views on the scope and compatibility conditions for the revised GLs and TBER to further</w:t>
      </w:r>
      <w:r>
        <w:t xml:space="preserve"> </w:t>
      </w:r>
      <w:r>
        <w:t xml:space="preserve">support modal shift.</w:t>
      </w:r>
    </w:p>
    <w:p>
      <w:pPr>
        <w:pStyle w:val="BodyText"/>
      </w:pPr>
      <w:r>
        <w:t xml:space="preserve">A-34</w:t>
      </w:r>
    </w:p>
    <w:p>
      <w:pPr>
        <w:pStyle w:val="BodyText"/>
      </w:pPr>
      <w:r>
        <w:t xml:space="preserve">ANNEX 5: COMPETITIVENESS CHECK</w:t>
      </w:r>
      <w:r>
        <w:t xml:space="preserve"> </w:t>
      </w:r>
      <w:r>
        <w:t xml:space="preserve">1. Overview of impacts on competitiveness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 / 0 / - / – / na)</w:t>
      </w:r>
      <w:r>
        <w:t xml:space="preserve"> </w:t>
      </w:r>
      <w:r>
        <w:t xml:space="preserve">References to sub-sections of</w:t>
      </w:r>
      <w:r>
        <w:t xml:space="preserve"> </w:t>
      </w:r>
      <w:r>
        <w:t xml:space="preserve">the main 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++</w:t>
      </w:r>
      <w:r>
        <w:t xml:space="preserve"> </w:t>
      </w:r>
      <w:r>
        <w:t xml:space="preserve">6.2.1, 6.3.1, 6.4.1</w:t>
      </w:r>
      <w:r>
        <w:t xml:space="preserve"> </w:t>
      </w:r>
      <w:r>
        <w:t xml:space="preserve">International competitiveness</w:t>
      </w:r>
      <w:r>
        <w:br/>
      </w:r>
      <w:r>
        <w:t xml:space="preserve">+</w:t>
      </w:r>
      <w:r>
        <w:t xml:space="preserve"> </w:t>
      </w:r>
      <w:r>
        <w:t xml:space="preserve">6.2.1, 6.3.1, 6.4.1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</w:t>
      </w:r>
      <w:r>
        <w:t xml:space="preserve"> </w:t>
      </w:r>
      <w:r>
        <w:t xml:space="preserve">2.1.2, 6.3.1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6.2.1, 6.3.1, 6.4.1</w:t>
      </w:r>
    </w:p>
    <w:p>
      <w:pPr>
        <w:pStyle w:val="Compact"/>
        <w:numPr>
          <w:ilvl w:val="0"/>
          <w:numId w:val="1012"/>
        </w:numPr>
      </w:pPr>
      <w:r>
        <w:t xml:space="preserve">Synthetic assessment</w:t>
      </w:r>
      <w:r>
        <w:br/>
      </w:r>
      <w:r>
        <w:t xml:space="preserve">2.1. Cost and price competitiveness</w:t>
      </w:r>
      <w:r>
        <w:t xml:space="preserve"> </w:t>
      </w:r>
      <w:r>
        <w:t xml:space="preserve">The objective of the initiative is to reduce negative externalities from transport through modal</w:t>
      </w:r>
      <w:r>
        <w:t xml:space="preserve"> </w:t>
      </w:r>
      <w:r>
        <w:t xml:space="preserve">shift, which is achieved in particular by increasing the cost and price competitiveness of the</w:t>
      </w:r>
      <w:r>
        <w:t xml:space="preserve"> </w:t>
      </w:r>
      <w:r>
        <w:t xml:space="preserve">SLT sector as compared to the road only sector in the EU. State aid, supported by the</w:t>
      </w:r>
      <w:r>
        <w:t xml:space="preserve"> </w:t>
      </w:r>
      <w:r>
        <w:t xml:space="preserve">administrative burden reduction in particular due to the TBER, can help to make SLT more</w:t>
      </w:r>
      <w:r>
        <w:t xml:space="preserve"> </w:t>
      </w:r>
      <w:r>
        <w:t xml:space="preserve">price competitive.</w:t>
      </w:r>
      <w:r>
        <w:br/>
      </w:r>
      <w:r>
        <w:t xml:space="preserve">The current initiative would not only improve the competitiveness of SLT directly, e.g. by</w:t>
      </w:r>
      <w:r>
        <w:t xml:space="preserve"> </w:t>
      </w:r>
      <w:r>
        <w:t xml:space="preserve">allowing additional support for avoided external costs, but also indirectly and in the longer term,</w:t>
      </w:r>
      <w:r>
        <w:t xml:space="preserve"> </w:t>
      </w:r>
      <w:r>
        <w:t xml:space="preserve">by simplifying and strengthening support possibilities for transport facilities and</w:t>
      </w:r>
      <w:r>
        <w:t xml:space="preserve"> </w:t>
      </w:r>
      <w:r>
        <w:t xml:space="preserve">interoperability technologies that lower costs and increase efficiency.</w:t>
      </w:r>
      <w:r>
        <w:br/>
      </w:r>
      <w:r>
        <w:t xml:space="preserve">The road only transport sector competes with SLT, and the initiative may therefore have</w:t>
      </w:r>
      <w:r>
        <w:t xml:space="preserve"> </w:t>
      </w:r>
      <w:r>
        <w:t xml:space="preserve">negative impacts e.g. on road hauliers. In this respect, it is worth noting that the initiative is</w:t>
      </w:r>
      <w:r>
        <w:t xml:space="preserve"> </w:t>
      </w:r>
      <w:r>
        <w:t xml:space="preserve">without prejudice, and complementary, to possibilities for granting aid in support of clean</w:t>
      </w:r>
      <w:r>
        <w:t xml:space="preserve"> </w:t>
      </w:r>
      <w:r>
        <w:t xml:space="preserve">mobility and related infrastructure, such as electric vehicles or hydrogen refuelling</w:t>
      </w:r>
      <w:r>
        <w:t xml:space="preserve"> </w:t>
      </w:r>
      <w:r>
        <w:t xml:space="preserve">infrastructure, under either the CEEAG or the GBER, and that road hauliers can be a part of</w:t>
      </w:r>
      <w:r>
        <w:t xml:space="preserve"> </w:t>
      </w:r>
      <w:r>
        <w:t xml:space="preserve">multimodal transport operations, which would be included in the scope of the retained Option</w:t>
      </w:r>
      <w:r>
        <w:t xml:space="preserve"> </w:t>
      </w:r>
      <w:r>
        <w:t xml:space="preserve">A3.</w:t>
      </w:r>
      <w:r>
        <w:br/>
      </w:r>
      <w:r>
        <w:t xml:space="preserve">An increase in the competitiveness of SLT operations would be expected to have knock-on</w:t>
      </w:r>
      <w:r>
        <w:t xml:space="preserve"> </w:t>
      </w:r>
      <w:r>
        <w:t xml:space="preserve">effects throughout the entire economy, leveraging the initial impact on the transport sector as a</w:t>
      </w:r>
      <w:r>
        <w:t xml:space="preserve"> </w:t>
      </w:r>
      <w:r>
        <w:t xml:space="preserve">network industry, which supports many other economic sectors (see Point 2.2 below for more</w:t>
      </w:r>
      <w:r>
        <w:t xml:space="preserve"> </w:t>
      </w:r>
      <w:r>
        <w:t xml:space="preserve">detail). This would also be expected to lead to positive impacts on GDP. Indeed, the EU</w:t>
      </w:r>
      <w:r>
        <w:t xml:space="preserve"> </w:t>
      </w:r>
      <w:r>
        <w:t xml:space="preserve">transport sector contributes 5% of GDP and 5% of all direct jobs, with a further four jobs in</w:t>
      </w:r>
      <w:r>
        <w:t xml:space="preserve"> </w:t>
      </w:r>
      <w:r>
        <w:t xml:space="preserve">other sectors of the economy linked to every job in the transport sector353. The potential impact</w:t>
      </w:r>
      <w:r>
        <w:t xml:space="preserve"> </w:t>
      </w:r>
      <w:r>
        <w:t xml:space="preserve">on GDP is however estimated to be small, as the initiative is not expected to generate significant</w:t>
      </w:r>
      <w:r>
        <w:t xml:space="preserve"> </w:t>
      </w:r>
      <w:r>
        <w:t xml:space="preserve">new transport activity, but rather ensure redistribution of operations between the modes of</w:t>
      </w:r>
      <w:r>
        <w:t xml:space="preserve"> </w:t>
      </w:r>
      <w:r>
        <w:t xml:space="preserve">transport and its effects depend on Member States putting into place support schemes. These</w:t>
      </w:r>
    </w:p>
    <w:p>
      <w:pPr>
        <w:pStyle w:val="FirstParagraph"/>
      </w:pPr>
      <w:r>
        <w:t xml:space="preserve">353 See footnote 49.</w:t>
      </w:r>
    </w:p>
    <w:p>
      <w:pPr>
        <w:pStyle w:val="BodyText"/>
      </w:pPr>
      <w:r>
        <w:t xml:space="preserve">A-35</w:t>
      </w:r>
    </w:p>
    <w:p>
      <w:pPr>
        <w:pStyle w:val="BodyText"/>
      </w:pPr>
      <w:r>
        <w:t xml:space="preserve">impacts would be expected to arise mostly thanks to positive effects on logistics companies and</w:t>
      </w:r>
      <w:r>
        <w:t xml:space="preserve"> </w:t>
      </w:r>
      <w:r>
        <w:t xml:space="preserve">transport organisers, on the activities of facilities, and on the engagement of more companies</w:t>
      </w:r>
      <w:r>
        <w:t xml:space="preserve"> </w:t>
      </w:r>
      <w:r>
        <w:t xml:space="preserve">per transport operation for multimodal transport instead of unimodal transport.</w:t>
      </w:r>
      <w:r>
        <w:t xml:space="preserve"> </w:t>
      </w:r>
      <w:r>
        <w:t xml:space="preserve">2.2. International competitiveness</w:t>
      </w:r>
      <w:r>
        <w:t xml:space="preserve"> </w:t>
      </w:r>
      <w:r>
        <w:t xml:space="preserve">This initiative would likely have a positive impact on international competitiveness as increased</w:t>
      </w:r>
      <w:r>
        <w:t xml:space="preserve"> </w:t>
      </w:r>
      <w:r>
        <w:t xml:space="preserve">competition in a sector or sub-sector – as is the likely effect of the preferred options – is</w:t>
      </w:r>
      <w:r>
        <w:t xml:space="preserve"> </w:t>
      </w:r>
      <w:r>
        <w:t xml:space="preserve">generally liable to increase output of more competitively priced goods or services. Moreover,</w:t>
      </w:r>
      <w:r>
        <w:t xml:space="preserve"> </w:t>
      </w:r>
      <w:r>
        <w:t xml:space="preserve">as the transport sector is a network industry supplying the industrial sector as a whole, increased</w:t>
      </w:r>
      <w:r>
        <w:t xml:space="preserve"> </w:t>
      </w:r>
      <w:r>
        <w:t xml:space="preserve">competition in the SLT sector should in particular be able to provide more competitive transport</w:t>
      </w:r>
      <w:r>
        <w:t xml:space="preserve"> </w:t>
      </w:r>
      <w:r>
        <w:t xml:space="preserve">services when supplying the EU manufacturing sector, increasing the international</w:t>
      </w:r>
      <w:r>
        <w:t xml:space="preserve"> </w:t>
      </w:r>
      <w:r>
        <w:t xml:space="preserve">competitiveness of the latter. Research has found that pro-competitive regulation in such input</w:t>
      </w:r>
      <w:r>
        <w:t xml:space="preserve"> </w:t>
      </w:r>
      <w:r>
        <w:t xml:space="preserve">markets, such as energy or logistics, also lowers costs and leads to higher quality of inputs,</w:t>
      </w:r>
      <w:r>
        <w:t xml:space="preserve"> </w:t>
      </w:r>
      <w:r>
        <w:t xml:space="preserve">contributing to export competitiveness of downstream companies354. Such impacts on</w:t>
      </w:r>
      <w:r>
        <w:t xml:space="preserve"> </w:t>
      </w:r>
      <w:r>
        <w:t xml:space="preserve">international competitiveness can be expected to increase over time as the required</w:t>
      </w:r>
      <w:r>
        <w:t xml:space="preserve"> </w:t>
      </w:r>
      <w:r>
        <w:t xml:space="preserve">infrastructure and equipment is upgraded, put in place or replaced under more generous State</w:t>
      </w:r>
      <w:r>
        <w:t xml:space="preserve"> </w:t>
      </w:r>
      <w:r>
        <w:t xml:space="preserve">aid rules. Also, by facilitating investment aid to facilities and by potentially improving the</w:t>
      </w:r>
      <w:r>
        <w:t xml:space="preserve"> </w:t>
      </w:r>
      <w:r>
        <w:t xml:space="preserve">efficiency of the SLT sector in the EU, transport activity currently taking place in countries</w:t>
      </w:r>
      <w:r>
        <w:t xml:space="preserve"> </w:t>
      </w:r>
      <w:r>
        <w:t xml:space="preserve">bordering the EU (e.g. for transhipment) may move inside of it.</w:t>
      </w:r>
      <w:r>
        <w:br/>
      </w:r>
      <w:r>
        <w:t xml:space="preserve">2.3. Capacity to innovate</w:t>
      </w:r>
      <w:r>
        <w:t xml:space="preserve"> </w:t>
      </w:r>
      <w:r>
        <w:t xml:space="preserve">The initiative would have a positive impact on capacity to innovate. It allows for stronger</w:t>
      </w:r>
      <w:r>
        <w:t xml:space="preserve"> </w:t>
      </w:r>
      <w:r>
        <w:t xml:space="preserve">support with less administrative burden for innovative interoperability technologies such as</w:t>
      </w:r>
      <w:r>
        <w:t xml:space="preserve"> </w:t>
      </w:r>
      <w:r>
        <w:t xml:space="preserve">ERTMS and DAC, which are technologies that are necessary for the implementation of further</w:t>
      </w:r>
      <w:r>
        <w:t xml:space="preserve"> </w:t>
      </w:r>
      <w:r>
        <w:t xml:space="preserve">digitalisation. The initiative could be expected to lead to a wider adoption of these technologies,</w:t>
      </w:r>
      <w:r>
        <w:t xml:space="preserve"> </w:t>
      </w:r>
      <w:r>
        <w:t xml:space="preserve">which would in turn increase the profitability of other innovations that build on those</w:t>
      </w:r>
      <w:r>
        <w:t xml:space="preserve"> </w:t>
      </w:r>
      <w:r>
        <w:t xml:space="preserve">technologies and make them attractive internationally.</w:t>
      </w:r>
      <w:r>
        <w:br/>
      </w:r>
      <w:r>
        <w:t xml:space="preserve">The SLT sector would therefore have a stronger incentive to invest in innovation.</w:t>
      </w:r>
      <w:r>
        <w:br/>
      </w:r>
      <w:r>
        <w:t xml:space="preserve">2.4. SME competitiveness</w:t>
      </w:r>
      <w:r>
        <w:t xml:space="preserve"> </w:t>
      </w:r>
      <w:r>
        <w:t xml:space="preserve">The initiative would improve SME competitiveness in several ways. Retained Option A3 puts</w:t>
      </w:r>
      <w:r>
        <w:t xml:space="preserve"> </w:t>
      </w:r>
      <w:r>
        <w:t xml:space="preserve">the IWW sector, which is dominated by SMEs, on an equal footing with the rail sector in terms</w:t>
      </w:r>
      <w:r>
        <w:t xml:space="preserve"> </w:t>
      </w:r>
      <w:r>
        <w:t xml:space="preserve">of legal framework allowing for support measures. Moreover, compatibility conditions of</w:t>
      </w:r>
      <w:r>
        <w:t xml:space="preserve"> </w:t>
      </w:r>
      <w:r>
        <w:t xml:space="preserve">retained Option C1 help address market failures that affect SMEs specifically, while the</w:t>
      </w:r>
      <w:r>
        <w:t xml:space="preserve"> </w:t>
      </w:r>
      <w:r>
        <w:t xml:space="preserve">simplification entailed by the block exemption is particularly relevant for SMEs. It has been</w:t>
      </w:r>
      <w:r>
        <w:t xml:space="preserve"> </w:t>
      </w:r>
      <w:r>
        <w:t xml:space="preserve">estimated that retained Option A3 would allow opportunity cost savings specifically for SMEs</w:t>
      </w:r>
      <w:r>
        <w:t xml:space="preserve"> </w:t>
      </w:r>
      <w:r>
        <w:t xml:space="preserve">of EUR 1.19-5.5 million annually.</w:t>
      </w:r>
      <w:r>
        <w:t xml:space="preserve"> </w:t>
      </w:r>
      <w:r>
        <w:t xml:space="preserve">3. Competitive assessment of the most affected sectors</w:t>
      </w:r>
      <w:r>
        <w:t xml:space="preserve"> </w:t>
      </w:r>
      <w:r>
        <w:t xml:space="preserve">The present initiative concerns the transport sector, in particular the SLT sector as potential</w:t>
      </w:r>
      <w:r>
        <w:t xml:space="preserve"> </w:t>
      </w:r>
      <w:r>
        <w:t xml:space="preserve">beneficiary of State aid and the road only transport sector as its main competitor. In general,</w:t>
      </w:r>
    </w:p>
    <w:p>
      <w:pPr>
        <w:pStyle w:val="BodyText"/>
      </w:pPr>
      <w:r>
        <w:t xml:space="preserve">354 Protecting competition in a changing world, DG Competition, 24 June 2024, pages 145 and 146,</w:t>
      </w:r>
      <w:r>
        <w:t xml:space="preserve"> </w:t>
      </w:r>
      <w:r>
        <w:t xml:space="preserve">https://competition-policy.ec.europa.eu/publications/ex-post-economic-evaluations_en.</w:t>
      </w:r>
    </w:p>
    <w:p>
      <w:pPr>
        <w:pStyle w:val="BodyText"/>
      </w:pPr>
      <w:r>
        <w:t xml:space="preserve">A-36</w:t>
      </w:r>
    </w:p>
    <w:p>
      <w:pPr>
        <w:pStyle w:val="BodyText"/>
      </w:pPr>
      <w:r>
        <w:t xml:space="preserve">transport networks and services as well as a prosperous transport industry are crucial to the</w:t>
      </w:r>
      <w:r>
        <w:t xml:space="preserve"> </w:t>
      </w:r>
      <w:r>
        <w:t xml:space="preserve">competitiveness of the entire EU economy. Transport is also a priority sector for the EU’s</w:t>
      </w:r>
      <w:r>
        <w:t xml:space="preserve"> </w:t>
      </w:r>
      <w:r>
        <w:t xml:space="preserve">transition to a net-zero economy.</w:t>
      </w:r>
      <w:r>
        <w:t xml:space="preserve"> </w:t>
      </w:r>
      <w:r>
        <w:t xml:space="preserve">As regards the current competitive situation, it can be summarised based on the indicators in</w:t>
      </w:r>
      <w:r>
        <w:t xml:space="preserve"> </w:t>
      </w:r>
      <w:r>
        <w:t xml:space="preserve">the following table:</w:t>
      </w:r>
      <w:r>
        <w:t xml:space="preserve"> </w:t>
      </w:r>
      <w:r>
        <w:t xml:space="preserve">Table 15: Competitive assessment of the (sustainable land) transport sector</w:t>
      </w:r>
      <w:r>
        <w:t xml:space="preserve"> </w:t>
      </w:r>
      <w:r>
        <w:t xml:space="preserve">Indicator</w:t>
      </w:r>
      <w:r>
        <w:t xml:space="preserve"> </w:t>
      </w:r>
      <w:r>
        <w:t xml:space="preserve">Applicable Short explanation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x</w:t>
      </w:r>
      <w:r>
        <w:t xml:space="preserve"> </w:t>
      </w:r>
      <w:r>
        <w:t xml:space="preserve">Concerning land transport infrastructure, EU</w:t>
      </w:r>
      <w:r>
        <w:t xml:space="preserve"> </w:t>
      </w:r>
      <w:r>
        <w:t xml:space="preserve">investment has decreased slightly during recent</w:t>
      </w:r>
      <w:r>
        <w:t xml:space="preserve"> </w:t>
      </w:r>
      <w:r>
        <w:t xml:space="preserve">years. In the US and China, on the contrary, it has</w:t>
      </w:r>
      <w:r>
        <w:t xml:space="preserve"> </w:t>
      </w:r>
      <w:r>
        <w:t xml:space="preserve">increased.</w:t>
      </w:r>
      <w:r>
        <w:t xml:space="preserve"> </w:t>
      </w:r>
      <w:r>
        <w:t xml:space="preserve">Global competition in automated vehicles and</w:t>
      </w:r>
      <w:r>
        <w:t xml:space="preserve"> </w:t>
      </w:r>
      <w:r>
        <w:t xml:space="preserve">vessels is fierce.</w:t>
      </w:r>
      <w:r>
        <w:br/>
      </w:r>
      <w:r>
        <w:t xml:space="preserve">Around the world, there are different degrees of</w:t>
      </w:r>
      <w:r>
        <w:t xml:space="preserve"> </w:t>
      </w:r>
      <w:r>
        <w:t xml:space="preserve">subsidisation for the transport industry. Other</w:t>
      </w:r>
      <w:r>
        <w:t xml:space="preserve"> </w:t>
      </w:r>
      <w:r>
        <w:t xml:space="preserve">regions of the world provide targeted public</w:t>
      </w:r>
      <w:r>
        <w:t xml:space="preserve"> </w:t>
      </w:r>
      <w:r>
        <w:t xml:space="preserve">subsidies for investments and operations, notably to</w:t>
      </w:r>
      <w:r>
        <w:t xml:space="preserve"> </w:t>
      </w:r>
      <w:r>
        <w:t xml:space="preserve">vertically integrated and State-owned companies.</w:t>
      </w:r>
      <w:r>
        <w:br/>
      </w:r>
      <w:r>
        <w:t xml:space="preserve">Cumulative impact of</w:t>
      </w:r>
      <w:r>
        <w:t xml:space="preserve"> </w:t>
      </w:r>
      <w:r>
        <w:t xml:space="preserve">regulation</w:t>
      </w:r>
      <w:r>
        <w:t xml:space="preserve"> </w:t>
      </w:r>
      <w:r>
        <w:t xml:space="preserve">x</w:t>
      </w:r>
      <w:r>
        <w:t xml:space="preserve"> </w:t>
      </w:r>
      <w:r>
        <w:t xml:space="preserve">Complex</w:t>
      </w:r>
      <w:r>
        <w:t xml:space="preserve"> </w:t>
      </w:r>
      <w:r>
        <w:t xml:space="preserve">and</w:t>
      </w:r>
      <w:r>
        <w:t xml:space="preserve"> </w:t>
      </w:r>
      <w:r>
        <w:t xml:space="preserve">diverging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environmental rules, namely those that apply to</w:t>
      </w:r>
      <w:r>
        <w:t xml:space="preserve"> </w:t>
      </w:r>
      <w:r>
        <w:t xml:space="preserve">grant permits, may constitute a barrier to the</w:t>
      </w:r>
      <w:r>
        <w:t xml:space="preserve"> </w:t>
      </w:r>
      <w:r>
        <w:t xml:space="preserve">realisation of transport infrastructure projects.</w:t>
      </w:r>
      <w:r>
        <w:t xml:space="preserve"> </w:t>
      </w:r>
      <w:r>
        <w:t xml:space="preserve">Challenges are amplified for transnational projects.</w:t>
      </w:r>
      <w:r>
        <w:t xml:space="preserve"> </w:t>
      </w:r>
      <w:r>
        <w:t xml:space="preserve">Planning is not uniform across the EU nor fully</w:t>
      </w:r>
      <w:r>
        <w:t xml:space="preserve"> </w:t>
      </w:r>
      <w:r>
        <w:t xml:space="preserve">aligned with EU planning (e.g. passenger and freight</w:t>
      </w:r>
      <w:r>
        <w:t xml:space="preserve"> </w:t>
      </w:r>
      <w:r>
        <w:t xml:space="preserve">capacity handling with more than 800 national</w:t>
      </w:r>
      <w:r>
        <w:t xml:space="preserve"> </w:t>
      </w:r>
      <w:r>
        <w:t xml:space="preserve">rules).</w:t>
      </w:r>
      <w:r>
        <w:t xml:space="preserve"> </w:t>
      </w:r>
      <w:r>
        <w:t xml:space="preserve">The EU already has an extensive body of regulation</w:t>
      </w:r>
      <w:r>
        <w:t xml:space="preserve"> </w:t>
      </w:r>
      <w:r>
        <w:t xml:space="preserve">in this sector. Implementing what is in place remains</w:t>
      </w:r>
      <w:r>
        <w:t xml:space="preserve"> </w:t>
      </w:r>
      <w:r>
        <w:t xml:space="preserve">a priority.</w:t>
      </w:r>
      <w:r>
        <w:t xml:space="preserve"> </w:t>
      </w:r>
      <w:r>
        <w:t xml:space="preserve">Technological</w:t>
      </w:r>
      <w:r>
        <w:t xml:space="preserve"> </w:t>
      </w:r>
      <w:r>
        <w:t xml:space="preserve">developments</w:t>
      </w:r>
      <w:r>
        <w:t xml:space="preserve"> </w:t>
      </w:r>
      <w:r>
        <w:t xml:space="preserve">x</w:t>
      </w:r>
      <w:r>
        <w:t xml:space="preserve"> </w:t>
      </w:r>
      <w:r>
        <w:t xml:space="preserve">Transport is set to experience a major digital</w:t>
      </w:r>
      <w:r>
        <w:t xml:space="preserve"> </w:t>
      </w:r>
      <w:r>
        <w:t xml:space="preserve">transformation (including autonomous functions</w:t>
      </w:r>
      <w:r>
        <w:t xml:space="preserve"> </w:t>
      </w:r>
      <w:r>
        <w:t xml:space="preserve">exploiting artificial intelligence and big data,</w:t>
      </w:r>
      <w:r>
        <w:t xml:space="preserve"> </w:t>
      </w:r>
      <w:r>
        <w:t xml:space="preserve">emerging innovation, electrified and automated</w:t>
      </w:r>
      <w:r>
        <w:t xml:space="preserve"> </w:t>
      </w:r>
      <w:r>
        <w:t xml:space="preserve">fleets using space and capacity more effectively).</w:t>
      </w:r>
    </w:p>
    <w:p>
      <w:pPr>
        <w:pStyle w:val="BodyText"/>
      </w:pPr>
      <w:r>
        <w:t xml:space="preserve">A-37</w:t>
      </w:r>
    </w:p>
    <w:p>
      <w:pPr>
        <w:pStyle w:val="BodyText"/>
      </w:pPr>
      <w:r>
        <w:t xml:space="preserve">Indicator</w:t>
      </w:r>
      <w:r>
        <w:t xml:space="preserve"> </w:t>
      </w:r>
      <w:r>
        <w:t xml:space="preserve">Applicable Short explanation</w:t>
      </w:r>
      <w:r>
        <w:t xml:space="preserve"> </w:t>
      </w:r>
      <w:r>
        <w:t xml:space="preserve">Limited availability of</w:t>
      </w:r>
      <w:r>
        <w:t xml:space="preserve"> </w:t>
      </w:r>
      <w:r>
        <w:t xml:space="preserve">resources/inputs</w:t>
      </w:r>
      <w:r>
        <w:t xml:space="preserve"> </w:t>
      </w:r>
      <w:r>
        <w:t xml:space="preserve">x</w:t>
      </w:r>
      <w:r>
        <w:t xml:space="preserve"> </w:t>
      </w:r>
      <w:r>
        <w:t xml:space="preserve">Rail rolling stock has proven scarce when demand</w:t>
      </w:r>
      <w:r>
        <w:t xml:space="preserve"> </w:t>
      </w:r>
      <w:r>
        <w:t xml:space="preserve">has soared and investment in modern vessels able to</w:t>
      </w:r>
      <w:r>
        <w:t xml:space="preserve"> </w:t>
      </w:r>
      <w:r>
        <w:t xml:space="preserve">operable on different IWW infrastructure is</w:t>
      </w:r>
      <w:r>
        <w:t xml:space="preserve"> </w:t>
      </w:r>
      <w:r>
        <w:t xml:space="preserve">considered risky.</w:t>
      </w:r>
      <w:r>
        <w:br/>
      </w:r>
      <w:r>
        <w:t xml:space="preserve">There is an aging workforce with risks of staff</w:t>
      </w:r>
      <w:r>
        <w:t xml:space="preserve"> </w:t>
      </w:r>
      <w:r>
        <w:t xml:space="preserve">shortages.</w:t>
      </w:r>
      <w:r>
        <w:t xml:space="preserve"> </w:t>
      </w:r>
      <w:r>
        <w:t xml:space="preserve">Limited demand</w:t>
      </w:r>
    </w:p>
    <w:p>
      <w:pPr>
        <w:pStyle w:val="BodyText"/>
      </w:pPr>
      <w:r>
        <w:t xml:space="preserve">By 2050, global passenger demand is projected to</w:t>
      </w:r>
      <w:r>
        <w:t xml:space="preserve"> </w:t>
      </w:r>
      <w:r>
        <w:t xml:space="preserve">increase by 79% compared to 2019 levels and freight</w:t>
      </w:r>
      <w:r>
        <w:t xml:space="preserve"> </w:t>
      </w:r>
      <w:r>
        <w:t xml:space="preserve">demand should roughly double.</w:t>
      </w:r>
      <w:r>
        <w:t xml:space="preserve"> </w:t>
      </w:r>
      <w:r>
        <w:t xml:space="preserve">Security and defense</w:t>
      </w:r>
      <w:r>
        <w:t xml:space="preserve"> </w:t>
      </w:r>
      <w:r>
        <w:t xml:space="preserve">x</w:t>
      </w:r>
      <w:r>
        <w:t xml:space="preserve"> </w:t>
      </w:r>
      <w:r>
        <w:t xml:space="preserve">In particular rail transport is essential for security</w:t>
      </w:r>
      <w:r>
        <w:t xml:space="preserve"> </w:t>
      </w:r>
      <w:r>
        <w:t xml:space="preserve">and defense. It is estimated that up to 90% of the</w:t>
      </w:r>
      <w:r>
        <w:t xml:space="preserve"> </w:t>
      </w:r>
      <w:r>
        <w:t xml:space="preserve">transport infrastructure needed for large military</w:t>
      </w:r>
      <w:r>
        <w:t xml:space="preserve"> </w:t>
      </w:r>
      <w:r>
        <w:t xml:space="preserve">operations also has civil use.</w:t>
      </w:r>
      <w:r>
        <w:t xml:space="preserve"> </w:t>
      </w:r>
      <w:r>
        <w:t xml:space="preserve">Green transformation x</w:t>
      </w:r>
      <w:r>
        <w:t xml:space="preserve"> </w:t>
      </w:r>
      <w:r>
        <w:t xml:space="preserve">The EU’s decarbonisation targets put pressure on</w:t>
      </w:r>
      <w:r>
        <w:t xml:space="preserve"> </w:t>
      </w:r>
      <w:r>
        <w:t xml:space="preserve">transport sectors, in particular those that are hard to</w:t>
      </w:r>
      <w:r>
        <w:t xml:space="preserve"> </w:t>
      </w:r>
      <w:r>
        <w:t xml:space="preserve">abate.</w:t>
      </w:r>
      <w:r>
        <w:t xml:space="preserve"> </w:t>
      </w:r>
      <w:r>
        <w:t xml:space="preserve">Heavily affected by extreme weather events, for</w:t>
      </w:r>
      <w:r>
        <w:t xml:space="preserve"> </w:t>
      </w:r>
      <w:r>
        <w:t xml:space="preserve">example droughts and low water levels regularly</w:t>
      </w:r>
      <w:r>
        <w:t xml:space="preserve"> </w:t>
      </w:r>
      <w:r>
        <w:t xml:space="preserve">impact navigation on the Rhine (cutting production</w:t>
      </w:r>
      <w:r>
        <w:t xml:space="preserve"> </w:t>
      </w:r>
      <w:r>
        <w:t xml:space="preserve">in key industries with recorded impacts of almost</w:t>
      </w:r>
      <w:r>
        <w:t xml:space="preserve"> </w:t>
      </w:r>
      <w:r>
        <w:t xml:space="preserve">EUR 5 billion only in 2018) and triggering the need</w:t>
      </w:r>
      <w:r>
        <w:t xml:space="preserve"> </w:t>
      </w:r>
      <w:r>
        <w:t xml:space="preserve">to adapt the fleet to shallow water.</w:t>
      </w:r>
      <w:r>
        <w:t xml:space="preserve"> </w:t>
      </w:r>
      <w:r>
        <w:t xml:space="preserve">Source: The Draghi report, 2024.</w:t>
      </w:r>
    </w:p>
    <w:p>
      <w:pPr>
        <w:pStyle w:val="BodyText"/>
      </w:pPr>
      <w:r>
        <w:t xml:space="preserve">A-38</w:t>
      </w:r>
    </w:p>
    <w:p>
      <w:pPr>
        <w:pStyle w:val="BodyText"/>
      </w:pPr>
      <w:r>
        <w:t xml:space="preserve">ANNEX 6: SME CHECK</w:t>
      </w:r>
      <w:r>
        <w:br/>
      </w:r>
      <w:r>
        <w:t xml:space="preserve">OVERVIEW OF IMPACTS ON SMES</w:t>
      </w:r>
      <w:r>
        <w:t xml:space="preserve"> </w:t>
      </w:r>
      <w:r>
        <w:t xml:space="preserve">Relevance for SMEs</w:t>
      </w:r>
      <w:r>
        <w:br/>
      </w:r>
      <w:r>
        <w:t xml:space="preserve">Based on the SME filter and the ISG discussion, this initiative is relevant for SMEs.</w:t>
      </w:r>
    </w:p>
    <w:p>
      <w:pPr>
        <w:pStyle w:val="Compact"/>
        <w:numPr>
          <w:ilvl w:val="0"/>
          <w:numId w:val="1013"/>
        </w:numPr>
      </w:pPr>
      <w:r>
        <w:t xml:space="preserve">IDENTIFICATION OF AFFECTED BUSINESSES AND ASSESSMENT OF RELEVANCE</w:t>
      </w:r>
      <w:r>
        <w:t xml:space="preserve"> </w:t>
      </w:r>
      <w:r>
        <w:t xml:space="preserve">Are SMEs directly affected? No In which sectors? Not applicable.</w:t>
      </w:r>
    </w:p>
    <w:p>
      <w:pPr>
        <w:pStyle w:val="FirstParagraph"/>
      </w:pPr>
      <w:r>
        <w:t xml:space="preserve">Estimated number of directly affected SMEs</w:t>
      </w:r>
      <w:r>
        <w:t xml:space="preserve"> </w:t>
      </w:r>
      <w:r>
        <w:t xml:space="preserve">Not applicable.</w:t>
      </w:r>
      <w:r>
        <w:t xml:space="preserve"> </w:t>
      </w:r>
      <w:r>
        <w:t xml:space="preserve">Estimated number of employees in directly affected SMEs</w:t>
      </w:r>
      <w:r>
        <w:t xml:space="preserve"> </w:t>
      </w:r>
      <w:r>
        <w:t xml:space="preserve">Not applicable.</w:t>
      </w:r>
      <w:r>
        <w:t xml:space="preserve"> </w:t>
      </w:r>
      <w:r>
        <w:t xml:space="preserve">Are SMEs indirectly affected? Yes In which sectors? What is the estimated number of</w:t>
      </w:r>
      <w:r>
        <w:t xml:space="preserve"> </w:t>
      </w:r>
      <w:r>
        <w:t xml:space="preserve">indirectly affected SMEs and employees?</w:t>
      </w:r>
      <w:r>
        <w:t xml:space="preserve"> </w:t>
      </w:r>
      <w:r>
        <w:t xml:space="preserve">This initiative is considered relevant for SMEs, as there is a strong presence of SMEs in the</w:t>
      </w:r>
      <w:r>
        <w:t xml:space="preserve"> </w:t>
      </w:r>
      <w:r>
        <w:t xml:space="preserve">targeted sectors, as well as in the competing ones. However, generally the SMEs in the scope</w:t>
      </w:r>
      <w:r>
        <w:t xml:space="preserve"> </w:t>
      </w:r>
      <w:r>
        <w:t xml:space="preserve">of the present initiative are affected in the same way as larger businesses (except for the</w:t>
      </w:r>
      <w:r>
        <w:t xml:space="preserve"> </w:t>
      </w:r>
      <w:r>
        <w:t xml:space="preserve">retained Option C1 for the acquisition of vehicles, which is limited to the benefit of SMEs</w:t>
      </w:r>
      <w:r>
        <w:t xml:space="preserve"> </w:t>
      </w:r>
      <w:r>
        <w:t xml:space="preserve">and new entrants) and no specific direct issues for SMEs have been identified, as the initiative</w:t>
      </w:r>
      <w:r>
        <w:t xml:space="preserve"> </w:t>
      </w:r>
      <w:r>
        <w:t xml:space="preserve">does not impose any compliance or administrative obligations on businesses. Finally, the</w:t>
      </w:r>
      <w:r>
        <w:t xml:space="preserve"> </w:t>
      </w:r>
      <w:r>
        <w:t xml:space="preserve">impact of the initiative depends on the actions of Member States, as it is at the latters’</w:t>
      </w:r>
      <w:r>
        <w:t xml:space="preserve"> </w:t>
      </w:r>
      <w:r>
        <w:t xml:space="preserve">discretion to design and put in place State aid measures.</w:t>
      </w:r>
      <w:r>
        <w:t xml:space="preserve"> </w:t>
      </w:r>
      <w:r>
        <w:t xml:space="preserve">SMEs are within the scope of the initiative in their role as potential aid beneficiaries (for rail,</w:t>
      </w:r>
      <w:r>
        <w:t xml:space="preserve"> </w:t>
      </w:r>
      <w:r>
        <w:t xml:space="preserve">IWW and road freight as part of multimodal transport operations), as competitors of potential</w:t>
      </w:r>
      <w:r>
        <w:t xml:space="preserve"> </w:t>
      </w:r>
      <w:r>
        <w:t xml:space="preserve">aid beneficiaries (in particular unimodal road freight transport operations) and as being</w:t>
      </w:r>
      <w:r>
        <w:t xml:space="preserve"> </w:t>
      </w:r>
      <w:r>
        <w:t xml:space="preserve">indirectly affected by the aid (e.g. hospitality sector around intermodal terminals).</w:t>
      </w:r>
      <w:r>
        <w:br/>
      </w:r>
      <w:r>
        <w:t xml:space="preserve">In all of the affected sectors, SMEs have a strong presence:</w:t>
      </w:r>
      <w:r>
        <w:t xml:space="preserve"> </w:t>
      </w:r>
      <w:r>
        <w:t xml:space="preserve">It has been estimated that SMEs produce 44.6% of value added and represent 58.1% of jobs</w:t>
      </w:r>
      <w:r>
        <w:t xml:space="preserve"> </w:t>
      </w:r>
      <w:r>
        <w:t xml:space="preserve">in the “mobility transport automotive” ecosystem of the EU industry355.</w:t>
      </w:r>
    </w:p>
    <w:p>
      <w:pPr>
        <w:pStyle w:val="BodyText"/>
      </w:pPr>
      <w:r>
        <w:t xml:space="preserve">355 Annual Report on European SMEs 2023/2024, DG GROW and JRC, https://single-market-</w:t>
      </w:r>
      <w:r>
        <w:t xml:space="preserve"> </w:t>
      </w:r>
      <w:r>
        <w:t xml:space="preserve">economy.ec.europa.eu/document/download/2bef0eda-2f75-497d-982e-</w:t>
      </w:r>
      <w:r>
        <w:t xml:space="preserve"> </w:t>
      </w:r>
      <w:r>
        <w:t xml:space="preserve">c0d1cea57c0e_en?filename=Annual%20Report%20on%20European%20SMEs%202024.pdf.</w:t>
      </w:r>
    </w:p>
    <w:p>
      <w:pPr>
        <w:pStyle w:val="BodyText"/>
      </w:pPr>
      <w:r>
        <w:t xml:space="preserve">A-39</w:t>
      </w:r>
    </w:p>
    <w:p>
      <w:pPr>
        <w:pStyle w:val="BodyText"/>
      </w:pPr>
      <w:r>
        <w:t xml:space="preserve">SMEs are prominent in the sectors, for which support possibilities are considered for the</w:t>
      </w:r>
      <w:r>
        <w:t xml:space="preserve"> </w:t>
      </w:r>
      <w:r>
        <w:t xml:space="preserve">revised GLs and TBER. In IWW, the majority of the businesses are SMEs356. More detailed</w:t>
      </w:r>
      <w:r>
        <w:t xml:space="preserve"> </w:t>
      </w:r>
      <w:r>
        <w:t xml:space="preserve">data is available for some Member States, where there is significant IWW activity. For</w:t>
      </w:r>
      <w:r>
        <w:t xml:space="preserve"> </w:t>
      </w:r>
      <w:r>
        <w:t xml:space="preserve">example, it is estimated that more than 80% of the companies in the IWW sector in Germany</w:t>
      </w:r>
      <w:r>
        <w:t xml:space="preserve"> </w:t>
      </w:r>
      <w:r>
        <w:t xml:space="preserve">are SMEs and even micro enterprises357. In the rail sector, it is estimated that 93% of</w:t>
      </w:r>
      <w:r>
        <w:t xml:space="preserve"> </w:t>
      </w:r>
      <w:r>
        <w:t xml:space="preserve">companies are SMEs358.</w:t>
      </w:r>
      <w:r>
        <w:t xml:space="preserve"> </w:t>
      </w:r>
      <w:r>
        <w:t xml:space="preserve">SMEs are particularly relevant in the road freight sector, where they account for 99% of all</w:t>
      </w:r>
      <w:r>
        <w:t xml:space="preserve"> </w:t>
      </w:r>
      <w:r>
        <w:t xml:space="preserve">enterprises359. In this sector, companies are positively affected when they perform activities</w:t>
      </w:r>
      <w:r>
        <w:t xml:space="preserve"> </w:t>
      </w:r>
      <w:r>
        <w:t xml:space="preserve">which are eligible for support, as they pertain to multimodal transport. They would be</w:t>
      </w:r>
      <w:r>
        <w:t xml:space="preserve"> </w:t>
      </w:r>
      <w:r>
        <w:t xml:space="preserve">negatively affected to the extent they perform unsupported activities competing with</w:t>
      </w:r>
      <w:r>
        <w:t xml:space="preserve"> </w:t>
      </w:r>
      <w:r>
        <w:t xml:space="preserve">supported SLT activities. It has been assessed that approximately 27 000 companies could be</w:t>
      </w:r>
      <w:r>
        <w:t xml:space="preserve"> </w:t>
      </w:r>
      <w:r>
        <w:t xml:space="preserve">involved in multimodal transport, most of them SMEs in the road sector360. It should be noted</w:t>
      </w:r>
      <w:r>
        <w:t xml:space="preserve"> </w:t>
      </w:r>
      <w:r>
        <w:t xml:space="preserve">however that as access to terminals often requires special training of drivers and large road</w:t>
      </w:r>
      <w:r>
        <w:t xml:space="preserve"> </w:t>
      </w:r>
      <w:r>
        <w:t xml:space="preserve">vehicle fleets, dedicated companies dominate the multimodal road sector and micro</w:t>
      </w:r>
      <w:r>
        <w:t xml:space="preserve"> </w:t>
      </w:r>
      <w:r>
        <w:t xml:space="preserve">enterprises are not as active in multimodal transport, though they are sometimes</w:t>
      </w:r>
      <w:r>
        <w:t xml:space="preserve"> </w:t>
      </w:r>
      <w:r>
        <w:t xml:space="preserve">subcontracted.</w:t>
      </w:r>
      <w:r>
        <w:t xml:space="preserve"> </w:t>
      </w:r>
      <w:r>
        <w:t xml:space="preserve">Also, many SMEs are active on the demand side, i.e. businesses like logistics companies and</w:t>
      </w:r>
      <w:r>
        <w:t xml:space="preserve"> </w:t>
      </w:r>
      <w:r>
        <w:t xml:space="preserve">freight forwarders, which are shipping goods via transport operators. The initiative is</w:t>
      </w:r>
      <w:r>
        <w:t xml:space="preserve"> </w:t>
      </w:r>
      <w:r>
        <w:t xml:space="preserve">particularly relevant for SMEs in these sectors, as it is intended to make SLT more accessible</w:t>
      </w:r>
      <w:r>
        <w:t xml:space="preserve"> </w:t>
      </w:r>
      <w:r>
        <w:t xml:space="preserve">and affordable for smaller and less sophisticated customers, bringing them into the scope of</w:t>
      </w:r>
      <w:r>
        <w:t xml:space="preserve"> </w:t>
      </w:r>
      <w:r>
        <w:t xml:space="preserve">this initiative.</w:t>
      </w:r>
      <w:r>
        <w:br/>
      </w:r>
      <w:r>
        <w:t xml:space="preserve">The number of affected SMEs in other sectors will be even larger, but is not quantifiable. For</w:t>
      </w:r>
      <w:r>
        <w:t xml:space="preserve"> </w:t>
      </w:r>
      <w:r>
        <w:t xml:space="preserve">example, increased use of multimodal transport often results in creation of new supporting</w:t>
      </w:r>
      <w:r>
        <w:t xml:space="preserve"> </w:t>
      </w:r>
      <w:r>
        <w:t xml:space="preserve">services, in particular around terminals (hospitality sector).</w:t>
      </w:r>
    </w:p>
    <w:p>
      <w:pPr>
        <w:pStyle w:val="Compact"/>
        <w:numPr>
          <w:ilvl w:val="0"/>
          <w:numId w:val="1014"/>
        </w:numPr>
      </w:pPr>
      <w:r>
        <w:t xml:space="preserve">CONSULTATION OF SME STAKEHOLDERS</w:t>
      </w:r>
      <w:r>
        <w:t xml:space="preserve"> </w:t>
      </w:r>
      <w:r>
        <w:t xml:space="preserve">How has the input from the SME community been taken into consideration?</w:t>
      </w:r>
      <w:r>
        <w:t xml:space="preserve"> </w:t>
      </w:r>
      <w:r>
        <w:t xml:space="preserve">There has been ample consultation of SMEs in the framework of this initiative.</w:t>
      </w:r>
      <w:r>
        <w:br/>
      </w:r>
      <w:r>
        <w:t xml:space="preserve">•</w:t>
      </w:r>
      <w:r>
        <w:t xml:space="preserve"> </w:t>
      </w:r>
      <w:r>
        <w:t xml:space="preserve">Inception Impact Assessment</w:t>
      </w:r>
      <w:r>
        <w:t xml:space="preserve"> </w:t>
      </w:r>
      <w:r>
        <w:t xml:space="preserve">Out of 15 stakeholders responding to the IIA, 7 were business associations representing</w:t>
      </w:r>
      <w:r>
        <w:t xml:space="preserve"> </w:t>
      </w:r>
      <w:r>
        <w:t xml:space="preserve">various stakeholders in the rail sector. Two of the business associations specifically represent</w:t>
      </w:r>
      <w:r>
        <w:t xml:space="preserve"> </w:t>
      </w:r>
      <w:r>
        <w:t xml:space="preserve">SMEs.</w:t>
      </w:r>
      <w:r>
        <w:br/>
      </w:r>
      <w:r>
        <w:t xml:space="preserve">•</w:t>
      </w:r>
      <w:r>
        <w:t xml:space="preserve"> </w:t>
      </w:r>
      <w:r>
        <w:t xml:space="preserve">Call for evidence of the TBER</w:t>
      </w:r>
    </w:p>
    <w:p>
      <w:pPr>
        <w:pStyle w:val="FirstParagraph"/>
      </w:pPr>
      <w:r>
        <w:t xml:space="preserve">356 https://www.europarl.europa.eu/RegData/etudes/BRIE/2022/698918/EPRS_BRI(2022)698918_EN.pdf and</w:t>
      </w:r>
      <w:r>
        <w:t xml:space="preserve"> </w:t>
      </w:r>
      <w:r>
        <w:t xml:space="preserve">Section 2.1.3.</w:t>
      </w:r>
      <w:r>
        <w:t xml:space="preserve"> </w:t>
      </w:r>
      <w:r>
        <w:t xml:space="preserve">357 See footnote 72.</w:t>
      </w:r>
      <w:r>
        <w:t xml:space="preserve"> </w:t>
      </w:r>
      <w:r>
        <w:t xml:space="preserve">358 See footnote 79.</w:t>
      </w:r>
      <w:r>
        <w:t xml:space="preserve"> </w:t>
      </w:r>
      <w:r>
        <w:t xml:space="preserve">359 See footnote 175.</w:t>
      </w:r>
      <w:r>
        <w:br/>
      </w:r>
      <w:r>
        <w:t xml:space="preserve">360 See footnote 79.</w:t>
      </w:r>
    </w:p>
    <w:p>
      <w:pPr>
        <w:pStyle w:val="BodyText"/>
      </w:pPr>
      <w:r>
        <w:t xml:space="preserve">A-40</w:t>
      </w:r>
    </w:p>
    <w:p>
      <w:pPr>
        <w:pStyle w:val="BodyText"/>
      </w:pPr>
      <w:r>
        <w:t xml:space="preserve">Out of 28 stakeholders responding to the CfE of the TBER, 14 were business associations. In</w:t>
      </w:r>
      <w:r>
        <w:t xml:space="preserve"> </w:t>
      </w:r>
      <w:r>
        <w:t xml:space="preserve">the rail sector, one association representing SMEs exclusively and another mainly</w:t>
      </w:r>
      <w:r>
        <w:t xml:space="preserve"> </w:t>
      </w:r>
      <w:r>
        <w:t xml:space="preserve">representing SMEs replied. In addition, there were replies from two associations mainly</w:t>
      </w:r>
      <w:r>
        <w:t xml:space="preserve"> </w:t>
      </w:r>
      <w:r>
        <w:t xml:space="preserve">representing SMEs in IWW transport and three associations representing road transport,</w:t>
      </w:r>
      <w:r>
        <w:t xml:space="preserve"> </w:t>
      </w:r>
      <w:r>
        <w:t xml:space="preserve">which consists almost exclusively of SMEs.</w:t>
      </w:r>
      <w:r>
        <w:br/>
      </w:r>
      <w:r>
        <w:t xml:space="preserve">•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Out of 70 stakeholders responding to the public consultation, 23 were companies and 22 were</w:t>
      </w:r>
      <w:r>
        <w:t xml:space="preserve"> </w:t>
      </w:r>
      <w:r>
        <w:t xml:space="preserve">business associations/organisations. In the rail sector, 3 business associations mainly</w:t>
      </w:r>
      <w:r>
        <w:t xml:space="preserve"> </w:t>
      </w:r>
      <w:r>
        <w:t xml:space="preserve">representing SMEs replied. Two business associations representing SMEs in the IWW sector</w:t>
      </w:r>
      <w:r>
        <w:t xml:space="preserve"> </w:t>
      </w:r>
      <w:r>
        <w:t xml:space="preserve">also replied. Of the 23 companies replying to the consultation, 6 were SMEs, mainly logistics</w:t>
      </w:r>
      <w:r>
        <w:t xml:space="preserve"> </w:t>
      </w:r>
      <w:r>
        <w:t xml:space="preserve">companies and railway undertakings.</w:t>
      </w:r>
      <w:r>
        <w:br/>
      </w:r>
      <w:r>
        <w:t xml:space="preserve">•</w:t>
      </w:r>
      <w:r>
        <w:t xml:space="preserve"> </w:t>
      </w:r>
      <w:r>
        <w:t xml:space="preserve">Targeted consultation on the draft texts</w:t>
      </w:r>
      <w:r>
        <w:t xml:space="preserve"> </w:t>
      </w:r>
      <w:r>
        <w:t xml:space="preserve">87 stakeholders replied to the targeted consultation, including 41 business associations and</w:t>
      </w:r>
      <w:r>
        <w:t xml:space="preserve"> </w:t>
      </w:r>
      <w:r>
        <w:t xml:space="preserve">12 companies. Among the business associations replying that mainly represent SMEs, there</w:t>
      </w:r>
      <w:r>
        <w:t xml:space="preserve"> </w:t>
      </w:r>
      <w:r>
        <w:t xml:space="preserve">are 5 business associations each in the rail and IWW sectors, 4 in the road sector and 1</w:t>
      </w:r>
      <w:r>
        <w:t xml:space="preserve"> </w:t>
      </w:r>
      <w:r>
        <w:t xml:space="preserve">representing logistics companies (i.e. 15 business associations in total). One SME in the rail</w:t>
      </w:r>
      <w:r>
        <w:t xml:space="preserve"> </w:t>
      </w:r>
      <w:r>
        <w:t xml:space="preserve">sector also replied.</w:t>
      </w:r>
      <w:r>
        <w:t xml:space="preserve"> </w:t>
      </w:r>
      <w:r>
        <w:t xml:space="preserve">Are SMEs’ views different from those of large businesses? Partially.</w:t>
      </w:r>
      <w:r>
        <w:t xml:space="preserve"> </w:t>
      </w:r>
      <w:r>
        <w:t xml:space="preserve">In addition to confirming comments by the general business community regarding the need</w:t>
      </w:r>
      <w:r>
        <w:t xml:space="preserve"> </w:t>
      </w:r>
      <w:r>
        <w:t xml:space="preserve">for increased and rapid support for the SLT sector, SME representatives particularly insisted</w:t>
      </w:r>
      <w:r>
        <w:t xml:space="preserve"> </w:t>
      </w:r>
      <w:r>
        <w:t xml:space="preserve">on open, transparent and non-discriminatory allocation of aid and the preference for aid</w:t>
      </w:r>
      <w:r>
        <w:t xml:space="preserve"> </w:t>
      </w:r>
      <w:r>
        <w:t xml:space="preserve">schemes open to all instead of ad hoc aid to the largest market participants. They called for</w:t>
      </w:r>
      <w:r>
        <w:t xml:space="preserve"> </w:t>
      </w:r>
      <w:r>
        <w:t xml:space="preserve">support schemes that do not create artificial barriers to entry, such as a high administrative</w:t>
      </w:r>
      <w:r>
        <w:t xml:space="preserve"> </w:t>
      </w:r>
      <w:r>
        <w:t xml:space="preserve">burden. Additionally, they pointed to the specific market failures impacting SMEs concerning</w:t>
      </w:r>
      <w:r>
        <w:t xml:space="preserve"> </w:t>
      </w:r>
      <w:r>
        <w:t xml:space="preserve">the financing of rolling stock and vessels. SMEs specifically supported the exclusion of large</w:t>
      </w:r>
      <w:r>
        <w:t xml:space="preserve"> </w:t>
      </w:r>
      <w:r>
        <w:t xml:space="preserve">enterprises and the exclusion of grants from aid for the acquisition of vehicles.</w:t>
      </w:r>
    </w:p>
    <w:p>
      <w:pPr>
        <w:pStyle w:val="Compact"/>
        <w:numPr>
          <w:ilvl w:val="0"/>
          <w:numId w:val="1015"/>
        </w:numPr>
      </w:pPr>
      <w:r>
        <w:t xml:space="preserve">ASSESSMENT OF IMPACTS ON SMES361</w:t>
      </w:r>
      <w:r>
        <w:t xml:space="preserve"> </w:t>
      </w:r>
      <w:r>
        <w:t xml:space="preserve">What are the estimated direct costs for SMEs of the preferred policy option? Not</w:t>
      </w:r>
      <w:r>
        <w:t xml:space="preserve"> </w:t>
      </w:r>
      <w:r>
        <w:t xml:space="preserve">applicable: As set out above, the initiative does not impose any compliance, reporting or</w:t>
      </w:r>
      <w:r>
        <w:t xml:space="preserve"> </w:t>
      </w:r>
      <w:r>
        <w:t xml:space="preserve">administrative obligations on businesses, no matter their size. The introduction of aid</w:t>
      </w:r>
      <w:r>
        <w:t xml:space="preserve"> </w:t>
      </w:r>
      <w:r>
        <w:t xml:space="preserve">schemes is at the discretion of Member States.</w:t>
      </w:r>
      <w:r>
        <w:br/>
      </w:r>
      <w:r>
        <w:t xml:space="preserve">Qualitative assessment</w:t>
      </w:r>
      <w:r>
        <w:t xml:space="preserve"> </w:t>
      </w:r>
      <w:r>
        <w:t xml:space="preserve">Not applicable.</w:t>
      </w:r>
      <w:r>
        <w:t xml:space="preserve"> </w:t>
      </w:r>
      <w:r>
        <w:t xml:space="preserve">Quantitative assessment</w:t>
      </w:r>
    </w:p>
    <w:p>
      <w:pPr>
        <w:pStyle w:val="FirstParagraph"/>
      </w:pPr>
      <w:r>
        <w:t xml:space="preserve">361 The costs and benefits data in this Annex are consistent with the data in Annex 3. The preferred option includes</w:t>
      </w:r>
      <w:r>
        <w:t xml:space="preserve"> </w:t>
      </w:r>
      <w:r>
        <w:t xml:space="preserve">the mitigating measures listed in Point 4 of this Annex.</w:t>
      </w:r>
    </w:p>
    <w:p>
      <w:pPr>
        <w:pStyle w:val="BodyText"/>
      </w:pPr>
      <w:r>
        <w:t xml:space="preserve">A-41</w:t>
      </w:r>
    </w:p>
    <w:p>
      <w:pPr>
        <w:pStyle w:val="BodyText"/>
      </w:pPr>
      <w:r>
        <w:t xml:space="preserve">Not applicable.</w:t>
      </w:r>
      <w:r>
        <w:br/>
      </w:r>
      <w:r>
        <w:t xml:space="preserve">What are the estimated direct benefits/cost savings for SMEs of the preferred policy</w:t>
      </w:r>
      <w:r>
        <w:t xml:space="preserve"> </w:t>
      </w:r>
      <w:r>
        <w:t xml:space="preserve">option362?</w:t>
      </w:r>
      <w:r>
        <w:t xml:space="preserve"> </w:t>
      </w:r>
      <w:r>
        <w:t xml:space="preserve">Qualitative assessment</w:t>
      </w:r>
      <w:r>
        <w:t xml:space="preserve"> </w:t>
      </w:r>
      <w:r>
        <w:t xml:space="preserve">Not applicable.</w:t>
      </w:r>
      <w:r>
        <w:t xml:space="preserve"> </w:t>
      </w:r>
      <w:r>
        <w:t xml:space="preserve">Quantitative assessment</w:t>
      </w:r>
      <w:r>
        <w:t xml:space="preserve"> </w:t>
      </w:r>
      <w:r>
        <w:t xml:space="preserve">Not applicable.</w:t>
      </w:r>
      <w:r>
        <w:t xml:space="preserve"> </w:t>
      </w:r>
      <w:r>
        <w:t xml:space="preserve">What are the indirect impacts of this initiative on SMEs?</w:t>
      </w:r>
      <w:r>
        <w:br/>
      </w:r>
      <w:r>
        <w:t xml:space="preserve">SMEs are impacted in their role as potential aid beneficiaries or their competitors. The</w:t>
      </w:r>
      <w:r>
        <w:t xml:space="preserve"> </w:t>
      </w:r>
      <w:r>
        <w:t xml:space="preserve">impacts of all considered options on SMEs have been assessed in detail in Sections 6.2.1,</w:t>
      </w:r>
      <w:r>
        <w:t xml:space="preserve"> </w:t>
      </w:r>
      <w:r>
        <w:t xml:space="preserve">6.3.1 and 6.4.1 of this Impact Assessment Report and constitute one of the criteria for the</w:t>
      </w:r>
      <w:r>
        <w:t xml:space="preserve"> </w:t>
      </w:r>
      <w:r>
        <w:t xml:space="preserve">choice of the preferred options.</w:t>
      </w:r>
      <w:r>
        <w:br/>
      </w:r>
      <w:r>
        <w:t xml:space="preserve">As set out, SMEs (but also other businesses) are indirectly positively affected by the block</w:t>
      </w:r>
      <w:r>
        <w:t xml:space="preserve"> </w:t>
      </w:r>
      <w:r>
        <w:t xml:space="preserve">exemption, as it allows aid to be granted more swiftly, which is particularly relevant for</w:t>
      </w:r>
      <w:r>
        <w:t xml:space="preserve"> </w:t>
      </w:r>
      <w:r>
        <w:t xml:space="preserve">SMEs. The indirect savings (opportunity cost reduction) from this acceleration have been</w:t>
      </w:r>
      <w:r>
        <w:t xml:space="preserve"> </w:t>
      </w:r>
      <w:r>
        <w:t xml:space="preserve">estimated at about EUR 1.19-5.5 million annually for SMEs specifically363.</w:t>
      </w:r>
    </w:p>
    <w:p>
      <w:pPr>
        <w:pStyle w:val="Compact"/>
        <w:numPr>
          <w:ilvl w:val="0"/>
          <w:numId w:val="1016"/>
        </w:numPr>
      </w:pPr>
      <w:r>
        <w:t xml:space="preserve">MINIMISING NEGATIVE IMPACTS ON SMES</w:t>
      </w:r>
      <w:r>
        <w:t xml:space="preserve"> </w:t>
      </w:r>
      <w:r>
        <w:t xml:space="preserve">Are SMEs disproportionately affected compared to large companies? No. </w:t>
      </w:r>
      <w:r>
        <w:t xml:space="preserve"> </w:t>
      </w:r>
      <w:r>
        <w:t xml:space="preserve">If yes, are there any specific subgroups of SMEs more exposed than others?</w:t>
      </w:r>
      <w:r>
        <w:t xml:space="preserve"> </w:t>
      </w:r>
      <w:r>
        <w:t xml:space="preserve">No. </w:t>
      </w:r>
      <w:r>
        <w:t xml:space="preserve"> </w:t>
      </w:r>
      <w:r>
        <w:t xml:space="preserve">Have mitigating measures been included in the preferred option/proposal? Yes.</w:t>
      </w:r>
      <w:r>
        <w:br/>
      </w:r>
      <w:r>
        <w:t xml:space="preserve">The initiative improves SME competitiveness in several ways. Retained Option A3 puts the</w:t>
      </w:r>
      <w:r>
        <w:t xml:space="preserve"> </w:t>
      </w:r>
      <w:r>
        <w:t xml:space="preserve">IWW sector, which is dominated by SMEs, on an equal footing with the rail sector.</w:t>
      </w:r>
      <w:r>
        <w:t xml:space="preserve"> </w:t>
      </w:r>
      <w:r>
        <w:t xml:space="preserve">Moreover, compatibility conditions of retained Option C1 help address market failures that</w:t>
      </w:r>
      <w:r>
        <w:t xml:space="preserve"> </w:t>
      </w:r>
      <w:r>
        <w:t xml:space="preserve">affect SMEs specifically, while the block exemption ensures an administrative simplification</w:t>
      </w:r>
      <w:r>
        <w:t xml:space="preserve"> </w:t>
      </w:r>
      <w:r>
        <w:t xml:space="preserve">which is particularly relevant for SMEs. Even though road only freight transport businesses,</w:t>
      </w:r>
      <w:r>
        <w:t xml:space="preserve"> </w:t>
      </w:r>
      <w:r>
        <w:t xml:space="preserve">which are often SMEs, could be indirectly negatively impacted as competitors of potentially</w:t>
      </w:r>
      <w:r>
        <w:t xml:space="preserve"> </w:t>
      </w:r>
      <w:r>
        <w:t xml:space="preserve">aided SLT modes, they could also profit from the present initiative, if they become part of</w:t>
      </w:r>
      <w:r>
        <w:t xml:space="preserve"> </w:t>
      </w:r>
      <w:r>
        <w:t xml:space="preserve">multimodal transport operations, which in addition is likely to improve employment</w:t>
      </w:r>
      <w:r>
        <w:t xml:space="preserve"> </w:t>
      </w:r>
      <w:r>
        <w:t xml:space="preserve">conditions of road hauliers, involving for example short first-/last-mile transport distances</w:t>
      </w:r>
      <w:r>
        <w:t xml:space="preserve"> </w:t>
      </w:r>
      <w:r>
        <w:t xml:space="preserve">instead of long unimodal drives.</w:t>
      </w:r>
    </w:p>
    <w:p>
      <w:pPr>
        <w:pStyle w:val="FirstParagraph"/>
      </w:pPr>
      <w:r>
        <w:t xml:space="preserve">362 The direct benefits for SMEs can also be cost savings.</w:t>
      </w:r>
      <w:r>
        <w:t xml:space="preserve"> </w:t>
      </w:r>
      <w:r>
        <w:t xml:space="preserve">363 More details on the calculations are provided in Annex 8.</w:t>
      </w:r>
    </w:p>
    <w:p>
      <w:pPr>
        <w:pStyle w:val="BodyText"/>
      </w:pPr>
      <w:r>
        <w:t xml:space="preserve">A-42</w:t>
      </w:r>
    </w:p>
    <w:p>
      <w:pPr>
        <w:pStyle w:val="BodyText"/>
      </w:pPr>
      <w:r>
        <w:t xml:space="preserve">Finally, as set out above, the impact of the initiative depends on the actions of Member States,</w:t>
      </w:r>
      <w:r>
        <w:t xml:space="preserve"> </w:t>
      </w:r>
      <w:r>
        <w:t xml:space="preserve">as the design and putting in place of State aid measures is at the latters’ discretion.</w:t>
      </w:r>
    </w:p>
    <w:p>
      <w:pPr>
        <w:pStyle w:val="BodyText"/>
      </w:pPr>
      <w:r>
        <w:t xml:space="preserve">CONTRIBUTION TO THE 35% BURDEN REDUCTION TARGET FOR SMES</w:t>
      </w:r>
      <w:r>
        <w:t xml:space="preserve"> </w:t>
      </w:r>
      <w:r>
        <w:t xml:space="preserve">Are there any administrative cost savings relevant for the 35% burden reduction target</w:t>
      </w:r>
      <w:r>
        <w:t xml:space="preserve"> </w:t>
      </w:r>
      <w:r>
        <w:t xml:space="preserve">for SMEs?</w:t>
      </w:r>
      <w:r>
        <w:t xml:space="preserve"> </w:t>
      </w:r>
      <w:r>
        <w:t xml:space="preserve">No. </w:t>
      </w:r>
      <w:r>
        <w:t xml:space="preserve"> </w:t>
      </w:r>
      <w:r>
        <w:t xml:space="preserve">ADDITIONAL INFORMATION</w:t>
      </w:r>
      <w:r>
        <w:br/>
      </w:r>
      <w:r>
        <w:t xml:space="preserve">No. </w:t>
      </w:r>
    </w:p>
    <w:p>
      <w:pPr>
        <w:pStyle w:val="BodyText"/>
      </w:pPr>
      <w:r>
        <w:t xml:space="preserve">A-43</w:t>
      </w:r>
    </w:p>
    <w:p>
      <w:pPr>
        <w:pStyle w:val="BodyText"/>
      </w:pPr>
      <w:r>
        <w:t xml:space="preserve">ANNEX 7: OVERVIEW OF CASE PRACTICE 2008 - 2024</w:t>
      </w:r>
      <w:r>
        <w:br/>
      </w:r>
      <w:r>
        <w:t xml:space="preserve">Figure 9: Number of SLT decisions: aid schemes vs individual ad hoc aid decisions</w:t>
      </w:r>
    </w:p>
    <w:p>
      <w:pPr>
        <w:pStyle w:val="BodyText"/>
      </w:pPr>
      <w:r>
        <w:t xml:space="preserve">Source: European Commission - Dataset of State Aid cases.</w:t>
      </w:r>
    </w:p>
    <w:p>
      <w:pPr>
        <w:pStyle w:val="BodyText"/>
      </w:pPr>
      <w:r>
        <w:t xml:space="preserve">Figure 10: Split of the 39 individual ad hoc SLT aid decisions by type of aid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40</w:t>
      </w:r>
      <w:r>
        <w:t xml:space="preserve"> </w:t>
      </w:r>
      <w:r>
        <w:t xml:space="preserve">2008</w:t>
      </w:r>
      <w:r>
        <w:t xml:space="preserve"> </w:t>
      </w:r>
      <w:r>
        <w:t xml:space="preserve">2009</w:t>
      </w:r>
      <w:r>
        <w:t xml:space="preserve"> </w:t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Individual aid</w:t>
      </w:r>
      <w:r>
        <w:t xml:space="preserve"> </w:t>
      </w:r>
      <w:r>
        <w:t xml:space="preserve">Aid scheme</w:t>
      </w:r>
      <w:r>
        <w:t xml:space="preserve"> </w:t>
      </w:r>
      <w:r>
        <w:t xml:space="preserve">Operating -</w:t>
      </w:r>
      <w:r>
        <w:t xml:space="preserve"> </w:t>
      </w:r>
      <w:r>
        <w:t xml:space="preserve">external costs</w:t>
      </w:r>
      <w:r>
        <w:t xml:space="preserve"> </w:t>
      </w:r>
      <w:r>
        <w:t xml:space="preserve">and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Operating -</w:t>
      </w:r>
      <w:r>
        <w:t xml:space="preserve"> </w:t>
      </w:r>
      <w:r>
        <w:t xml:space="preserve">Start-up aid</w:t>
      </w:r>
      <w:r>
        <w:t xml:space="preserve"> </w:t>
      </w:r>
      <w:r>
        <w:t xml:space="preserve">Investment -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Investment -</w:t>
      </w:r>
      <w:r>
        <w:t xml:space="preserve"> </w:t>
      </w:r>
      <w:r>
        <w:t xml:space="preserve">vehicles</w:t>
      </w:r>
      <w:r>
        <w:t xml:space="preserve"> </w:t>
      </w:r>
      <w:r>
        <w:t xml:space="preserve">Investment -</w:t>
      </w:r>
      <w:r>
        <w:t xml:space="preserve"> </w:t>
      </w:r>
      <w:r>
        <w:t xml:space="preserve">facilities and</w:t>
      </w:r>
      <w:r>
        <w:t xml:space="preserve"> </w:t>
      </w:r>
      <w:r>
        <w:t xml:space="preserve">private sidings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A-44</w:t>
      </w:r>
    </w:p>
    <w:p>
      <w:pPr>
        <w:pStyle w:val="BodyText"/>
      </w:pPr>
      <w:r>
        <w:t xml:space="preserve">Source: European Commission - Dataset of State Aid cases.</w:t>
      </w:r>
    </w:p>
    <w:p>
      <w:pPr>
        <w:pStyle w:val="BodyText"/>
      </w:pPr>
      <w:r>
        <w:t xml:space="preserve">Figure 11: Number of SLT decisions: new scheme vs. prolongation</w:t>
      </w:r>
    </w:p>
    <w:p>
      <w:pPr>
        <w:pStyle w:val="BodyText"/>
      </w:pPr>
      <w:r>
        <w:t xml:space="preserve">Source: European Commission - Dataset of State Aid cases.</w:t>
      </w:r>
    </w:p>
    <w:p>
      <w:pPr>
        <w:pStyle w:val="BodyText"/>
      </w:pPr>
      <w:r>
        <w:t xml:space="preserve">Figure 12: Number of SLT decisions approved by Member State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40</w:t>
      </w:r>
      <w:r>
        <w:t xml:space="preserve"> </w:t>
      </w:r>
      <w:r>
        <w:t xml:space="preserve">2008</w:t>
      </w:r>
      <w:r>
        <w:t xml:space="preserve"> </w:t>
      </w:r>
      <w:r>
        <w:t xml:space="preserve">2009</w:t>
      </w:r>
      <w:r>
        <w:t xml:space="preserve"> </w:t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New scheme</w:t>
      </w:r>
      <w:r>
        <w:t xml:space="preserve"> </w:t>
      </w:r>
      <w:r>
        <w:t xml:space="preserve">Prolongation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40</w:t>
      </w:r>
      <w:r>
        <w:t xml:space="preserve"> </w:t>
      </w:r>
      <w:r>
        <w:t xml:space="preserve">2008</w:t>
      </w:r>
      <w:r>
        <w:t xml:space="preserve"> </w:t>
      </w:r>
      <w:r>
        <w:t xml:space="preserve">2009</w:t>
      </w:r>
      <w:r>
        <w:t xml:space="preserve"> </w:t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2023</w:t>
      </w:r>
      <w:r>
        <w:t xml:space="preserve"> </w:t>
      </w:r>
      <w:r>
        <w:t xml:space="preserve">2024</w:t>
      </w:r>
      <w:r>
        <w:t xml:space="preserve"> </w:t>
      </w:r>
      <w:r>
        <w:t xml:space="preserve">Austria</w:t>
      </w:r>
      <w:r>
        <w:t xml:space="preserve"> </w:t>
      </w:r>
      <w:r>
        <w:t xml:space="preserve">Belgium</w:t>
      </w:r>
      <w:r>
        <w:t xml:space="preserve"> </w:t>
      </w:r>
      <w:r>
        <w:t xml:space="preserve">Czechia</w:t>
      </w:r>
      <w:r>
        <w:t xml:space="preserve"> </w:t>
      </w:r>
      <w:r>
        <w:t xml:space="preserve">France</w:t>
      </w:r>
      <w:r>
        <w:t xml:space="preserve"> </w:t>
      </w:r>
      <w:r>
        <w:t xml:space="preserve">Germany</w:t>
      </w:r>
      <w:r>
        <w:t xml:space="preserve"> </w:t>
      </w:r>
      <w:r>
        <w:t xml:space="preserve">Hungary</w:t>
      </w:r>
      <w:r>
        <w:t xml:space="preserve"> </w:t>
      </w:r>
      <w:r>
        <w:t xml:space="preserve">Italy</w:t>
      </w:r>
      <w:r>
        <w:t xml:space="preserve"> </w:t>
      </w:r>
      <w:r>
        <w:t xml:space="preserve">Netherlands</w:t>
      </w:r>
    </w:p>
    <w:p>
      <w:pPr>
        <w:pStyle w:val="BodyText"/>
      </w:pPr>
      <w:r>
        <w:t xml:space="preserve">A-45</w:t>
      </w:r>
    </w:p>
    <w:p>
      <w:pPr>
        <w:pStyle w:val="BodyText"/>
      </w:pPr>
      <w:r>
        <w:t xml:space="preserve">Source: European Commission - Dataset of State Aid cases.</w:t>
      </w:r>
    </w:p>
    <w:p>
      <w:pPr>
        <w:pStyle w:val="BodyText"/>
      </w:pPr>
      <w:r>
        <w:t xml:space="preserve">Figure 13: Number of SLT decisions approved by type of aid per year</w:t>
      </w:r>
    </w:p>
    <w:p>
      <w:pPr>
        <w:pStyle w:val="BodyText"/>
      </w:pPr>
      <w:r>
        <w:t xml:space="preserve">Source: European Commission - Dataset of State Aid cases.</w:t>
      </w:r>
    </w:p>
    <w:p>
      <w:pPr>
        <w:pStyle w:val="BodyText"/>
      </w:pPr>
      <w:r>
        <w:t xml:space="preserve">Figure 14: Value of SLT State aid approved each year (EUR millions)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35</w:t>
      </w:r>
      <w:r>
        <w:t xml:space="preserve"> </w:t>
      </w:r>
      <w:r>
        <w:t xml:space="preserve">40</w:t>
      </w:r>
      <w:r>
        <w:t xml:space="preserve"> </w:t>
      </w:r>
      <w:r>
        <w:t xml:space="preserve">Operating - external costs (incl infra)</w:t>
      </w:r>
      <w:r>
        <w:t xml:space="preserve"> </w:t>
      </w:r>
      <w:r>
        <w:t xml:space="preserve">Operating - Start-up</w:t>
      </w:r>
      <w:r>
        <w:t xml:space="preserve"> </w:t>
      </w:r>
      <w:r>
        <w:t xml:space="preserve">Investment - Interoperability/modernize</w:t>
      </w:r>
      <w:r>
        <w:t xml:space="preserve"> </w:t>
      </w:r>
      <w:r>
        <w:t xml:space="preserve">Investment - Vehicles and equipment</w:t>
      </w:r>
      <w:r>
        <w:t xml:space="preserve"> </w:t>
      </w:r>
      <w:r>
        <w:t xml:space="preserve">Investment - Facilities/ private sidings</w:t>
      </w:r>
      <w:r>
        <w:t xml:space="preserve"> </w:t>
      </w:r>
      <w:r>
        <w:t xml:space="preserve">Other</w:t>
      </w:r>
      <w:r>
        <w:t xml:space="preserve"> </w:t>
      </w:r>
      <w:r>
        <w:t xml:space="preserve">-</w:t>
      </w:r>
      <w:r>
        <w:t xml:space="preserve"> </w:t>
      </w:r>
      <w:r>
        <w:t xml:space="preserve">1,000</w:t>
      </w:r>
      <w:r>
        <w:t xml:space="preserve"> </w:t>
      </w:r>
      <w:r>
        <w:t xml:space="preserve">2,000</w:t>
      </w:r>
      <w:r>
        <w:t xml:space="preserve"> </w:t>
      </w:r>
      <w:r>
        <w:t xml:space="preserve">3,000</w:t>
      </w:r>
      <w:r>
        <w:t xml:space="preserve"> </w:t>
      </w:r>
      <w:r>
        <w:t xml:space="preserve">4,000</w:t>
      </w:r>
      <w:r>
        <w:t xml:space="preserve"> </w:t>
      </w:r>
      <w:r>
        <w:t xml:space="preserve">5,000</w:t>
      </w:r>
      <w:r>
        <w:t xml:space="preserve"> </w:t>
      </w:r>
      <w:r>
        <w:t xml:space="preserve">6,000</w:t>
      </w:r>
      <w:r>
        <w:t xml:space="preserve"> </w:t>
      </w:r>
      <w:r>
        <w:t xml:space="preserve">EUR m</w:t>
      </w:r>
      <w:r>
        <w:t xml:space="preserve"> </w:t>
      </w:r>
      <w:r>
        <w:t xml:space="preserve">Amounts approved</w:t>
      </w:r>
    </w:p>
    <w:p>
      <w:pPr>
        <w:pStyle w:val="BodyText"/>
      </w:pPr>
      <w:r>
        <w:t xml:space="preserve">A-46</w:t>
      </w:r>
    </w:p>
    <w:p>
      <w:pPr>
        <w:pStyle w:val="BodyText"/>
      </w:pPr>
      <w:r>
        <w:t xml:space="preserve">Source: European Commission - Dataset of State Aid cases.</w:t>
      </w:r>
    </w:p>
    <w:p>
      <w:pPr>
        <w:pStyle w:val="BodyText"/>
      </w:pPr>
      <w:r>
        <w:t xml:space="preserve">Figure 15: Value of SLT State aid approved by type of aid (EUR millions)</w:t>
      </w:r>
    </w:p>
    <w:p>
      <w:pPr>
        <w:pStyle w:val="BodyText"/>
      </w:pPr>
      <w:r>
        <w:t xml:space="preserve">Source: European Commission - Dataset of State Aid cases.</w:t>
      </w:r>
    </w:p>
    <w:p>
      <w:pPr>
        <w:pStyle w:val="BodyText"/>
      </w:pPr>
      <w:r>
        <w:t xml:space="preserve">Figure 16: Number of aid decisions in SLT approved 2008-2024</w:t>
      </w:r>
      <w:r>
        <w:t xml:space="preserve"> </w:t>
      </w:r>
      <w:r>
        <w:t xml:space="preserve">Operating aid - external costs (incl. infrastructure)</w:t>
      </w:r>
      <w:r>
        <w:t xml:space="preserve"> </w:t>
      </w:r>
      <w:r>
        <w:t xml:space="preserve">130</w:t>
      </w:r>
      <w:r>
        <w:t xml:space="preserve"> </w:t>
      </w:r>
      <w:r>
        <w:t xml:space="preserve">Operating aid - Start-up</w:t>
      </w:r>
      <w:r>
        <w:t xml:space="preserve"> </w:t>
      </w:r>
      <w:r>
        <w:t xml:space="preserve">5</w:t>
      </w:r>
      <w:r>
        <w:t xml:space="preserve"> </w:t>
      </w:r>
      <w:r>
        <w:t xml:space="preserve">Investment aid - Interoperability/modernization</w:t>
      </w:r>
      <w:r>
        <w:t xml:space="preserve"> </w:t>
      </w:r>
      <w:r>
        <w:t xml:space="preserve">42</w:t>
      </w:r>
      <w:r>
        <w:t xml:space="preserve"> </w:t>
      </w:r>
      <w:r>
        <w:t xml:space="preserve">Investment aid - Vehicles and equipment</w:t>
      </w:r>
      <w:r>
        <w:t xml:space="preserve"> </w:t>
      </w:r>
      <w:r>
        <w:t xml:space="preserve">16</w:t>
      </w:r>
      <w:r>
        <w:t xml:space="preserve"> </w:t>
      </w:r>
      <w:r>
        <w:t xml:space="preserve">Investment aid - Facilities/ private sidings</w:t>
      </w:r>
      <w:r>
        <w:t xml:space="preserve"> </w:t>
      </w:r>
      <w:r>
        <w:t xml:space="preserve">48</w:t>
      </w:r>
      <w:r>
        <w:t xml:space="preserve"> </w:t>
      </w:r>
      <w:r>
        <w:t xml:space="preserve">Other</w:t>
      </w:r>
      <w:r>
        <w:t xml:space="preserve"> </w:t>
      </w:r>
      <w:r>
        <w:t xml:space="preserve">17</w:t>
      </w:r>
      <w:r>
        <w:t xml:space="preserve"> </w:t>
      </w:r>
      <w:r>
        <w:t xml:space="preserve">Total</w:t>
      </w:r>
      <w:r>
        <w:t xml:space="preserve"> </w:t>
      </w:r>
      <w:r>
        <w:t xml:space="preserve">258</w:t>
      </w:r>
      <w:r>
        <w:t xml:space="preserve"> </w:t>
      </w:r>
      <w:r>
        <w:t xml:space="preserve">Source: European Commission – Dataset of State aid cases.</w:t>
      </w:r>
      <w:r>
        <w:t xml:space="preserve"> </w:t>
      </w:r>
      <w:r>
        <w:t xml:space="preserve">-</w:t>
      </w:r>
      <w:r>
        <w:t xml:space="preserve"> </w:t>
      </w:r>
      <w:r>
        <w:t xml:space="preserve">1,000</w:t>
      </w:r>
      <w:r>
        <w:t xml:space="preserve"> </w:t>
      </w:r>
      <w:r>
        <w:t xml:space="preserve">2,000</w:t>
      </w:r>
      <w:r>
        <w:t xml:space="preserve"> </w:t>
      </w:r>
      <w:r>
        <w:t xml:space="preserve">3,000</w:t>
      </w:r>
      <w:r>
        <w:t xml:space="preserve"> </w:t>
      </w:r>
      <w:r>
        <w:t xml:space="preserve">4,000</w:t>
      </w:r>
      <w:r>
        <w:t xml:space="preserve"> </w:t>
      </w:r>
      <w:r>
        <w:t xml:space="preserve">5,000</w:t>
      </w:r>
      <w:r>
        <w:t xml:space="preserve"> </w:t>
      </w:r>
      <w:r>
        <w:t xml:space="preserve">6,000</w:t>
      </w:r>
      <w:r>
        <w:t xml:space="preserve"> </w:t>
      </w:r>
      <w:r>
        <w:t xml:space="preserve">EUR m</w:t>
      </w:r>
      <w:r>
        <w:t xml:space="preserve"> </w:t>
      </w:r>
      <w:r>
        <w:t xml:space="preserve">Other</w:t>
      </w:r>
      <w:r>
        <w:t xml:space="preserve"> </w:t>
      </w:r>
      <w:r>
        <w:t xml:space="preserve">Investment - Facilities/ private sidings</w:t>
      </w:r>
      <w:r>
        <w:t xml:space="preserve"> </w:t>
      </w:r>
      <w:r>
        <w:t xml:space="preserve">Investment - Vehicles and equipment</w:t>
      </w:r>
      <w:r>
        <w:t xml:space="preserve"> </w:t>
      </w:r>
      <w:r>
        <w:t xml:space="preserve">Investment - Interoperability/modernize</w:t>
      </w:r>
      <w:r>
        <w:t xml:space="preserve"> </w:t>
      </w:r>
      <w:r>
        <w:t xml:space="preserve">Operating - Start-up</w:t>
      </w:r>
      <w:r>
        <w:t xml:space="preserve"> </w:t>
      </w:r>
      <w:r>
        <w:t xml:space="preserve">Operating - external costs (incl infra)</w:t>
      </w:r>
    </w:p>
    <w:p>
      <w:pPr>
        <w:pStyle w:val="BodyText"/>
      </w:pPr>
      <w:r>
        <w:t xml:space="preserve">A-47</w:t>
      </w:r>
    </w:p>
    <w:p>
      <w:pPr>
        <w:pStyle w:val="BodyText"/>
      </w:pPr>
      <w:r>
        <w:t xml:space="preserve">ANNEX 8: QUANTIFICATION OF ADMINISTRATIVE BURDEN AND</w:t>
      </w:r>
      <w:r>
        <w:t xml:space="preserve"> </w:t>
      </w:r>
      <w:r>
        <w:t xml:space="preserve">RELATED COST REDUCTIONS</w:t>
      </w:r>
      <w:r>
        <w:t xml:space="preserve"> </w:t>
      </w:r>
      <w:r>
        <w:t xml:space="preserve">In the targeted consultation of Member State authorities concerning the administrative burden</w:t>
      </w:r>
      <w:r>
        <w:t xml:space="preserve"> </w:t>
      </w:r>
      <w:r>
        <w:t xml:space="preserve">reduction (see Point 4.5 of Annex 2), Member States were asked whether a block exemption</w:t>
      </w:r>
      <w:r>
        <w:t xml:space="preserve"> </w:t>
      </w:r>
      <w:r>
        <w:t xml:space="preserve">would relieve administrative burden. They agreed nearly unanimously:</w:t>
      </w:r>
    </w:p>
    <w:p>
      <w:pPr>
        <w:pStyle w:val="BodyText"/>
      </w:pPr>
      <w:r>
        <w:t xml:space="preserve">Indeed, Member States consider that the (pre-)notification procedure is significantly more</w:t>
      </w:r>
      <w:r>
        <w:t xml:space="preserve"> </w:t>
      </w:r>
      <w:r>
        <w:t xml:space="preserve">burdensome than the block exemption procedure:</w:t>
      </w:r>
    </w:p>
    <w:p>
      <w:pPr>
        <w:pStyle w:val="BodyText"/>
      </w:pPr>
      <w:r>
        <w:t xml:space="preserve">The (pre-)notification procedure has implications for administrative burden not only in terms</w:t>
      </w:r>
      <w:r>
        <w:t xml:space="preserve"> </w:t>
      </w:r>
      <w:r>
        <w:t xml:space="preserve">of the amount of work involved in those procedures for Member States and the Commission,</w:t>
      </w:r>
      <w:r>
        <w:t xml:space="preserve"> </w:t>
      </w:r>
      <w:r>
        <w:t xml:space="preserve">but also opportunity costs for businesses entailed by the delay between the design of a State aid</w:t>
      </w:r>
      <w:r>
        <w:t xml:space="preserve"> </w:t>
      </w:r>
      <w:r>
        <w:t xml:space="preserve">measure within the Member State and its final implementation. One Member State noted that</w:t>
      </w:r>
    </w:p>
    <w:p>
      <w:pPr>
        <w:pStyle w:val="BodyText"/>
      </w:pPr>
      <w:r>
        <w:t xml:space="preserve">A-48</w:t>
      </w:r>
    </w:p>
    <w:p>
      <w:pPr>
        <w:pStyle w:val="BodyText"/>
      </w:pPr>
      <w:r>
        <w:t xml:space="preserve">the notification procedure is long and that the Commission asks numerous questions at various</w:t>
      </w:r>
      <w:r>
        <w:t xml:space="preserve"> </w:t>
      </w:r>
      <w:r>
        <w:t xml:space="preserve">stages in the procedure, which makes it very unreliable to estimate the timeline of</w:t>
      </w:r>
      <w:r>
        <w:t xml:space="preserve"> </w:t>
      </w:r>
      <w:r>
        <w:t xml:space="preserve">implementation for new measures.</w:t>
      </w:r>
      <w:r>
        <w:br/>
      </w:r>
      <w:r>
        <w:t xml:space="preserve">The questionnaire asked Member States to quantify the time involved in (pre-)notifications</w:t>
      </w:r>
      <w:r>
        <w:t xml:space="preserve"> </w:t>
      </w:r>
      <w:r>
        <w:t xml:space="preserve">which could be saved with a block exemption. The replies are displayed in the following Table</w:t>
      </w:r>
      <w:r>
        <w:t xml:space="preserve"> </w:t>
      </w:r>
      <w:r>
        <w:t xml:space="preserve">16.</w:t>
      </w:r>
      <w:r>
        <w:t xml:space="preserve"> </w:t>
      </w:r>
      <w:r>
        <w:t xml:space="preserve">Table 16: Overview of Member State responses to the targeted consultation on cost savings364</w:t>
      </w:r>
      <w:r>
        <w:t xml:space="preserve"> </w:t>
      </w:r>
      <w:r>
        <w:t xml:space="preserve">#</w:t>
      </w:r>
    </w:p>
    <w:p>
      <w:pPr>
        <w:pStyle w:val="BodyText"/>
      </w:pPr>
      <w:r>
        <w:t xml:space="preserve">Member State</w:t>
      </w:r>
      <w:r>
        <w:t xml:space="preserve"> </w:t>
      </w:r>
      <w:r>
        <w:t xml:space="preserve">Estimated working</w:t>
      </w:r>
      <w:r>
        <w:t xml:space="preserve"> </w:t>
      </w:r>
      <w:r>
        <w:t xml:space="preserve">time notification</w:t>
      </w:r>
      <w:r>
        <w:t xml:space="preserve"> </w:t>
      </w:r>
      <w:r>
        <w:t xml:space="preserve">total (days)</w:t>
      </w:r>
      <w:r>
        <w:t xml:space="preserve"> </w:t>
      </w:r>
      <w:r>
        <w:t xml:space="preserve">Estimated working</w:t>
      </w:r>
      <w:r>
        <w:t xml:space="preserve"> </w:t>
      </w:r>
      <w:r>
        <w:t xml:space="preserve">time per block</w:t>
      </w:r>
      <w:r>
        <w:t xml:space="preserve"> </w:t>
      </w:r>
      <w:r>
        <w:t xml:space="preserve">exempted measure</w:t>
      </w:r>
      <w:r>
        <w:t xml:space="preserve"> </w:t>
      </w:r>
      <w:r>
        <w:t xml:space="preserve">(days)</w:t>
      </w:r>
      <w:r>
        <w:t xml:space="preserve"> </w:t>
      </w:r>
      <w:r>
        <w:t xml:space="preserve">Estimated time</w:t>
      </w:r>
      <w:r>
        <w:t xml:space="preserve"> </w:t>
      </w:r>
      <w:r>
        <w:t xml:space="preserve">notification adds</w:t>
      </w:r>
      <w:r>
        <w:t xml:space="preserve"> </w:t>
      </w:r>
      <w:r>
        <w:t xml:space="preserve">to procedure</w:t>
      </w:r>
      <w:r>
        <w:t xml:space="preserve"> </w:t>
      </w:r>
      <w:r>
        <w:t xml:space="preserve">(months)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Belgium</w:t>
      </w:r>
      <w:r>
        <w:t xml:space="preserve"> </w:t>
      </w:r>
      <w:r>
        <w:t xml:space="preserve">14</w:t>
      </w:r>
      <w:r>
        <w:t xml:space="preserve"> </w:t>
      </w:r>
      <w:r>
        <w:t xml:space="preserve">na</w:t>
      </w:r>
      <w:r>
        <w:t xml:space="preserve"> </w:t>
      </w:r>
      <w:r>
        <w:t xml:space="preserve">8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Czechia</w:t>
      </w:r>
      <w:r>
        <w:t xml:space="preserve"> </w:t>
      </w:r>
      <w:r>
        <w:t xml:space="preserve">114.75</w:t>
      </w:r>
      <w:r>
        <w:t xml:space="preserve"> </w:t>
      </w:r>
      <w:r>
        <w:t xml:space="preserve">16</w:t>
      </w:r>
      <w:r>
        <w:t xml:space="preserve"> </w:t>
      </w:r>
      <w:r>
        <w:t xml:space="preserve">14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France</w:t>
      </w:r>
      <w:r>
        <w:t xml:space="preserve"> </w:t>
      </w:r>
      <w:r>
        <w:t xml:space="preserve">37.5</w:t>
      </w:r>
      <w:r>
        <w:t xml:space="preserve"> </w:t>
      </w:r>
      <w:r>
        <w:t xml:space="preserve">0</w:t>
      </w:r>
      <w:r>
        <w:t xml:space="preserve"> </w:t>
      </w:r>
      <w:r>
        <w:t xml:space="preserve">18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Germany</w:t>
      </w:r>
      <w:r>
        <w:t xml:space="preserve"> </w:t>
      </w:r>
      <w:r>
        <w:t xml:space="preserve">9</w:t>
      </w:r>
      <w:r>
        <w:t xml:space="preserve"> </w:t>
      </w:r>
      <w:r>
        <w:t xml:space="preserve">0.2</w:t>
      </w:r>
      <w:r>
        <w:t xml:space="preserve"> </w:t>
      </w:r>
      <w:r>
        <w:t xml:space="preserve">7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Hungary</w:t>
      </w:r>
      <w:r>
        <w:t xml:space="preserve"> </w:t>
      </w:r>
      <w:r>
        <w:t xml:space="preserve">37</w:t>
      </w:r>
      <w:r>
        <w:t xml:space="preserve"> </w:t>
      </w:r>
      <w:r>
        <w:t xml:space="preserve">1</w:t>
      </w:r>
      <w:r>
        <w:t xml:space="preserve"> </w:t>
      </w:r>
      <w:r>
        <w:t xml:space="preserve">7</w:t>
      </w:r>
      <w:r>
        <w:t xml:space="preserve"> </w:t>
      </w:r>
      <w:r>
        <w:t xml:space="preserve">6</w:t>
      </w:r>
    </w:p>
    <w:p>
      <w:pPr>
        <w:pStyle w:val="BodyText"/>
      </w:pPr>
      <w:r>
        <w:t xml:space="preserve">Italy</w:t>
      </w:r>
      <w:r>
        <w:t xml:space="preserve"> </w:t>
      </w:r>
      <w:r>
        <w:t xml:space="preserve">100</w:t>
      </w:r>
      <w:r>
        <w:t xml:space="preserve"> </w:t>
      </w:r>
      <w:r>
        <w:t xml:space="preserve">20</w:t>
      </w:r>
      <w:r>
        <w:t xml:space="preserve"> </w:t>
      </w:r>
      <w:r>
        <w:t xml:space="preserve">7.5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Luxembourg</w:t>
      </w:r>
      <w:r>
        <w:t xml:space="preserve"> </w:t>
      </w:r>
      <w:r>
        <w:t xml:space="preserve">24</w:t>
      </w:r>
      <w:r>
        <w:t xml:space="preserve"> </w:t>
      </w:r>
      <w:r>
        <w:t xml:space="preserve">8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Malta</w:t>
      </w:r>
      <w:r>
        <w:t xml:space="preserve"> </w:t>
      </w:r>
      <w:r>
        <w:t xml:space="preserve">21.5</w:t>
      </w:r>
      <w:r>
        <w:t xml:space="preserve"> </w:t>
      </w:r>
      <w:r>
        <w:t xml:space="preserve">0.5</w:t>
      </w:r>
      <w:r>
        <w:t xml:space="preserve"> </w:t>
      </w:r>
      <w:r>
        <w:t xml:space="preserve">1.5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Netherlands</w:t>
      </w:r>
      <w:r>
        <w:t xml:space="preserve"> </w:t>
      </w:r>
      <w:r>
        <w:t xml:space="preserve">6.5</w:t>
      </w:r>
      <w:r>
        <w:t xml:space="preserve"> </w:t>
      </w:r>
      <w:r>
        <w:t xml:space="preserve">0.5</w:t>
      </w:r>
      <w:r>
        <w:t xml:space="preserve"> </w:t>
      </w:r>
      <w:r>
        <w:t xml:space="preserve">7.5</w:t>
      </w:r>
    </w:p>
    <w:p>
      <w:pPr>
        <w:pStyle w:val="BodyText"/>
      </w:pPr>
      <w:r>
        <w:t xml:space="preserve">Average</w:t>
      </w:r>
      <w:r>
        <w:t xml:space="preserve"> </w:t>
      </w:r>
      <w:r>
        <w:t xml:space="preserve">40.5</w:t>
      </w:r>
      <w:r>
        <w:t xml:space="preserve"> </w:t>
      </w:r>
      <w:r>
        <w:t xml:space="preserve">5.8</w:t>
      </w:r>
      <w:r>
        <w:t xml:space="preserve"> </w:t>
      </w:r>
      <w:r>
        <w:t xml:space="preserve">8.5</w:t>
      </w:r>
    </w:p>
    <w:p>
      <w:pPr>
        <w:pStyle w:val="BodyText"/>
      </w:pPr>
      <w:r>
        <w:t xml:space="preserve">Median</w:t>
      </w:r>
      <w:r>
        <w:t xml:space="preserve"> </w:t>
      </w:r>
      <w:r>
        <w:t xml:space="preserve">24</w:t>
      </w:r>
      <w:r>
        <w:t xml:space="preserve"> </w:t>
      </w:r>
      <w:r>
        <w:t xml:space="preserve">0.8</w:t>
      </w:r>
      <w:r>
        <w:t xml:space="preserve"> </w:t>
      </w:r>
      <w:r>
        <w:t xml:space="preserve">7.5</w:t>
      </w:r>
      <w:r>
        <w:t xml:space="preserve"> </w:t>
      </w:r>
      <w:r>
        <w:t xml:space="preserve">Source: Targeted consultation of Member States on the administrative burden reduction.</w:t>
      </w:r>
      <w:r>
        <w:t xml:space="preserve"> </w:t>
      </w:r>
      <w:r>
        <w:t xml:space="preserve">In summary, Member States estimate that the amount of work required to complete (pre)-</w:t>
      </w:r>
      <w:r>
        <w:t xml:space="preserve"> </w:t>
      </w:r>
      <w:r>
        <w:t xml:space="preserve">notification discussions and the preparation and submission of notification documents in SANI,</w:t>
      </w:r>
      <w:r>
        <w:t xml:space="preserve"> </w:t>
      </w:r>
      <w:r>
        <w:t xml:space="preserve">the Commission’s IT tool used for that purpose, is equivalent to 40.5 working days per State</w:t>
      </w:r>
      <w:r>
        <w:t xml:space="preserve"> </w:t>
      </w:r>
      <w:r>
        <w:t xml:space="preserve">aid measure on average. The median estimate is 24 working days. For block exempted</w:t>
      </w:r>
      <w:r>
        <w:t xml:space="preserve"> </w:t>
      </w:r>
      <w:r>
        <w:t xml:space="preserve">measures, Member States estimate that the amount of work required to complete procedures</w:t>
      </w:r>
      <w:r>
        <w:t xml:space="preserve"> </w:t>
      </w:r>
      <w:r>
        <w:t xml:space="preserve">involving the Commission (the preparation and submission of an information sheet in SANI) is</w:t>
      </w:r>
      <w:r>
        <w:t xml:space="preserve"> </w:t>
      </w:r>
      <w:r>
        <w:t xml:space="preserve">equivalent to 5.8 working days per State aid measure on average, meaning that nearly 7 times</w:t>
      </w:r>
      <w:r>
        <w:t xml:space="preserve"> </w:t>
      </w:r>
      <w:r>
        <w:t xml:space="preserve">less work is required than in case of notification. The median estimate for the time needed for</w:t>
      </w:r>
      <w:r>
        <w:t xml:space="preserve"> </w:t>
      </w:r>
      <w:r>
        <w:t xml:space="preserve">a Member State to complete the procedures involving the Commission in the case of a block</w:t>
      </w:r>
      <w:r>
        <w:t xml:space="preserve"> </w:t>
      </w:r>
      <w:r>
        <w:t xml:space="preserve">exempted measure is 0.8 working day implying a workload more than 20 times smaller for</w:t>
      </w:r>
      <w:r>
        <w:t xml:space="preserve"> </w:t>
      </w:r>
      <w:r>
        <w:t xml:space="preserve">block exempted measures.</w:t>
      </w:r>
      <w:r>
        <w:br/>
      </w:r>
      <w:r>
        <w:t xml:space="preserve">Member States further estimate that the notification procedure on average adds 8.5 months to</w:t>
      </w:r>
      <w:r>
        <w:t xml:space="preserve"> </w:t>
      </w:r>
      <w:r>
        <w:t xml:space="preserve">the process of adopting a State aid measure from start (designing a State aid measure in the</w:t>
      </w:r>
      <w:r>
        <w:t xml:space="preserve"> </w:t>
      </w:r>
      <w:r>
        <w:t xml:space="preserve">Member State) to finish (implementing that measure). The median estimated time added is 7.5</w:t>
      </w:r>
    </w:p>
    <w:p>
      <w:pPr>
        <w:pStyle w:val="BodyText"/>
      </w:pPr>
      <w:r>
        <w:t xml:space="preserve">364 The source data was adjusted in the following ways: Where ranges were provided, averages were used. Where</w:t>
      </w:r>
      <w:r>
        <w:t xml:space="preserve"> </w:t>
      </w:r>
      <w:r>
        <w:t xml:space="preserve">no value was provided, a smaller sample size was used. Where several authorities from the same Member State</w:t>
      </w:r>
      <w:r>
        <w:t xml:space="preserve"> </w:t>
      </w:r>
      <w:r>
        <w:t xml:space="preserve">responded (Malta, Czechia and Italy), the average of the replies was used.</w:t>
      </w:r>
    </w:p>
    <w:p>
      <w:pPr>
        <w:pStyle w:val="BodyText"/>
      </w:pPr>
      <w:r>
        <w:t xml:space="preserve">A-49</w:t>
      </w:r>
    </w:p>
    <w:p>
      <w:pPr>
        <w:pStyle w:val="BodyText"/>
      </w:pPr>
      <w:r>
        <w:t xml:space="preserve">months365. This additional time needed from the moment a measure is designed by a Member</w:t>
      </w:r>
      <w:r>
        <w:t xml:space="preserve"> </w:t>
      </w:r>
      <w:r>
        <w:t xml:space="preserve">State until the moment it can actually be disbursed to the beneficiaries involves opportunity</w:t>
      </w:r>
      <w:r>
        <w:t xml:space="preserve"> </w:t>
      </w:r>
      <w:r>
        <w:t xml:space="preserve">costs, which a block exemption would allow to reduce.</w:t>
      </w:r>
      <w:r>
        <w:t xml:space="preserve"> </w:t>
      </w:r>
      <w:r>
        <w:t xml:space="preserve">In the following, the cost implications (in terms of administrative costs and opportunity costs)</w:t>
      </w:r>
      <w:r>
        <w:t xml:space="preserve"> </w:t>
      </w:r>
      <w:r>
        <w:t xml:space="preserve">for each option in Option Bundle A, which are the options relating to the introduction of a block</w:t>
      </w:r>
      <w:r>
        <w:t xml:space="preserve"> </w:t>
      </w:r>
      <w:r>
        <w:t xml:space="preserve">exemption, have been estimated for three scenarios:</w:t>
      </w:r>
      <w:r>
        <w:br/>
      </w:r>
      <w:r>
        <w:t xml:space="preserve">• a central scenario, implying that relevant State aid spending (and number of measures)</w:t>
      </w:r>
      <w:r>
        <w:t xml:space="preserve"> </w:t>
      </w:r>
      <w:r>
        <w:t xml:space="preserve">would remain on the same level as the average of the years 2022-2024 (which could be</w:t>
      </w:r>
      <w:r>
        <w:t xml:space="preserve"> </w:t>
      </w:r>
      <w:r>
        <w:t xml:space="preserve">considered as a baseline post-COVID-19),</w:t>
      </w:r>
      <w:r>
        <w:br/>
      </w:r>
      <w:r>
        <w:t xml:space="preserve">• a low scenario in case relevant State aid spending (and the number of measures) would</w:t>
      </w:r>
      <w:r>
        <w:t xml:space="preserve"> </w:t>
      </w:r>
      <w:r>
        <w:t xml:space="preserve">go back to the level observed in 2018 (before the COVID-19 pandemic, due to Member</w:t>
      </w:r>
      <w:r>
        <w:t xml:space="preserve"> </w:t>
      </w:r>
      <w:r>
        <w:t xml:space="preserve">States’ possible spending constraints and other priorities), and</w:t>
      </w:r>
      <w:r>
        <w:t xml:space="preserve"> </w:t>
      </w:r>
      <w:r>
        <w:t xml:space="preserve">• a high scenario in case relevant State aid spending (and the number of measures366)</w:t>
      </w:r>
      <w:r>
        <w:t xml:space="preserve"> </w:t>
      </w:r>
      <w:r>
        <w:t xml:space="preserve">would increase by 15% compared to the 2022-2024 average (due to Member States</w:t>
      </w:r>
      <w:r>
        <w:t xml:space="preserve"> </w:t>
      </w:r>
      <w:r>
        <w:t xml:space="preserve">prioritising the decarbonisation of the transport sector via modal shift).</w:t>
      </w:r>
      <w:r>
        <w:t xml:space="preserve"> </w:t>
      </w:r>
      <w:r>
        <w:t xml:space="preserve">Estimates were then derived for (a) the administrative burden reduction for Member State</w:t>
      </w:r>
      <w:r>
        <w:t xml:space="preserve"> </w:t>
      </w:r>
      <w:r>
        <w:t xml:space="preserve">authorities, (b) the administrative burden reduction for the Commission and (c) the saved</w:t>
      </w:r>
      <w:r>
        <w:t xml:space="preserve"> </w:t>
      </w:r>
      <w:r>
        <w:t xml:space="preserve">opportunity costs for businesses from the swifter implementation of State aid measures.</w:t>
      </w:r>
      <w:r>
        <w:t xml:space="preserve"> </w:t>
      </w:r>
      <w:r>
        <w:t xml:space="preserve">(a) Quantification of administrative burden reduction for Member State</w:t>
      </w:r>
      <w:r>
        <w:t xml:space="preserve"> </w:t>
      </w:r>
      <w:r>
        <w:t xml:space="preserve">authorities</w:t>
      </w:r>
      <w:r>
        <w:t xml:space="preserve"> </w:t>
      </w:r>
      <w:r>
        <w:t xml:space="preserve">Taking the median results of the targeted consultation as a conservative basis for quantification,</w:t>
      </w:r>
      <w:r>
        <w:t xml:space="preserve"> </w:t>
      </w:r>
      <w:r>
        <w:t xml:space="preserve">it follows from the replies that Member State authorities save about 23 working days367 per</w:t>
      </w:r>
      <w:r>
        <w:t xml:space="preserve"> </w:t>
      </w:r>
      <w:r>
        <w:t xml:space="preserve">State aid measure which is block exempted.</w:t>
      </w:r>
      <w:r>
        <w:br/>
      </w:r>
      <w:r>
        <w:t xml:space="preserve">To estimate the administrative burden reduction for Option A1 (the block exemption would</w:t>
      </w:r>
      <w:r>
        <w:t xml:space="preserve"> </w:t>
      </w:r>
      <w:r>
        <w:t xml:space="preserve">only extend to measures for which compatibility conditions are defined in section 6 of the</w:t>
      </w:r>
      <w:r>
        <w:t xml:space="preserve"> </w:t>
      </w:r>
      <w:r>
        <w:t xml:space="preserve">RGL), the central scenario is based on the fact that, as the analysis of case practice shows,</w:t>
      </w:r>
      <w:r>
        <w:t xml:space="preserve"> </w:t>
      </w:r>
      <w:r>
        <w:t xml:space="preserve">during the years 2022-2024, the Commission approved 18 State aid measures on average (per</w:t>
      </w:r>
      <w:r>
        <w:t xml:space="preserve"> </w:t>
      </w:r>
      <w:r>
        <w:t xml:space="preserve">year) which fall under section 6 of the RGL. Based on the objective to block exempt 85% of</w:t>
      </w:r>
      <w:r>
        <w:t xml:space="preserve"> </w:t>
      </w:r>
      <w:r>
        <w:t xml:space="preserve">aid measures368, this would mean that 15 measures would fall under the block exemption</w:t>
      </w:r>
    </w:p>
    <w:p>
      <w:pPr>
        <w:pStyle w:val="BodyText"/>
      </w:pPr>
      <w:r>
        <w:t xml:space="preserve">365 The reliability of this estimate is supported by the Commission’s internal data, which shows that for the 85</w:t>
      </w:r>
      <w:r>
        <w:t xml:space="preserve"> </w:t>
      </w:r>
      <w:r>
        <w:t xml:space="preserve">State aid decisions in the SLT sector adopted in 2022-2024, the time between the creation of a case and the adoption</w:t>
      </w:r>
      <w:r>
        <w:t xml:space="preserve"> </w:t>
      </w:r>
      <w:r>
        <w:t xml:space="preserve">of a decision is 7.6 months on average.</w:t>
      </w:r>
      <w:r>
        <w:br/>
      </w:r>
      <w:r>
        <w:t xml:space="preserve">366 Assuming measures would be distributed across categories in the same proportion as in the past.</w:t>
      </w:r>
      <w:r>
        <w:t xml:space="preserve"> </w:t>
      </w:r>
      <w:r>
        <w:t xml:space="preserve">367 Median of 24 for notification – median of 0.8 for block exempted measures = 23.2, which is rounded to 23.</w:t>
      </w:r>
      <w:r>
        <w:t xml:space="preserve"> </w:t>
      </w:r>
      <w:r>
        <w:t xml:space="preserve">Based on the average figures, Member State authorities would save 35 working days (40.5-5.8).</w:t>
      </w:r>
      <w:r>
        <w:br/>
      </w:r>
      <w:r>
        <w:t xml:space="preserve">368 Under this option, the notification thresholds would be designed in a way to achieve a block exemption of 85%</w:t>
      </w:r>
      <w:r>
        <w:t xml:space="preserve"> </w:t>
      </w:r>
      <w:r>
        <w:t xml:space="preserve">of the measures, in line with GBER experience.</w:t>
      </w:r>
    </w:p>
    <w:p>
      <w:pPr>
        <w:pStyle w:val="BodyText"/>
      </w:pPr>
      <w:r>
        <w:t xml:space="preserve">A-50</w:t>
      </w:r>
    </w:p>
    <w:p>
      <w:pPr>
        <w:pStyle w:val="BodyText"/>
      </w:pPr>
      <w:r>
        <w:t xml:space="preserve">annually. Member States would on this basis have annual administrative savings of EUR 98</w:t>
      </w:r>
      <w:r>
        <w:t xml:space="preserve"> </w:t>
      </w:r>
      <w:r>
        <w:t xml:space="preserve">256369.</w:t>
      </w:r>
      <w:r>
        <w:br/>
      </w:r>
      <w:r>
        <w:t xml:space="preserve">Under the low scenario, the Commission has approved 6 State aid measures in 2018 which fall</w:t>
      </w:r>
      <w:r>
        <w:t xml:space="preserve"> </w:t>
      </w:r>
      <w:r>
        <w:t xml:space="preserve">under section 6 of the RGL. Because of the objective to block exempt 85% of aid measures,</w:t>
      </w:r>
      <w:r>
        <w:t xml:space="preserve"> </w:t>
      </w:r>
      <w:r>
        <w:t xml:space="preserve">this would mean that 5 measures would fall under the block exemption annually. Member States</w:t>
      </w:r>
      <w:r>
        <w:t xml:space="preserve"> </w:t>
      </w:r>
      <w:r>
        <w:t xml:space="preserve">would on this basis have annual administrative savings of EUR 33 407370.</w:t>
      </w:r>
      <w:r>
        <w:t xml:space="preserve"> </w:t>
      </w:r>
      <w:r>
        <w:t xml:space="preserve">Under the high scenario, there would be 21371 State aid measures on average (per year) which</w:t>
      </w:r>
      <w:r>
        <w:t xml:space="preserve"> </w:t>
      </w:r>
      <w:r>
        <w:t xml:space="preserve">would fall under section 6 of the RGL. Given the objective to block exempt 85% of aid</w:t>
      </w:r>
      <w:r>
        <w:t xml:space="preserve"> </w:t>
      </w:r>
      <w:r>
        <w:t xml:space="preserve">measures, this would mean that 18 measures would fall under the block exemption annually.</w:t>
      </w:r>
      <w:r>
        <w:t xml:space="preserve"> </w:t>
      </w:r>
      <w:r>
        <w:t xml:space="preserve">Member States would on this basis have annual administrative savings of EUR 115 254372.</w:t>
      </w:r>
      <w:r>
        <w:br/>
      </w:r>
      <w:r>
        <w:t xml:space="preserve">For Options A2 and A3 (the block exemption extends to measures covered by today’s case</w:t>
      </w:r>
      <w:r>
        <w:t xml:space="preserve"> </w:t>
      </w:r>
      <w:r>
        <w:t xml:space="preserve">practice in the SLT sector), the central scenario is based on the 28 State aid measures approved</w:t>
      </w:r>
      <w:r>
        <w:t xml:space="preserve"> </w:t>
      </w:r>
      <w:r>
        <w:t xml:space="preserve">on average in the SLT sector per year for the years 2022-2024. Again, 85% of State aid</w:t>
      </w:r>
      <w:r>
        <w:t xml:space="preserve"> </w:t>
      </w:r>
      <w:r>
        <w:t xml:space="preserve">measures would be block exempted. This would mean that 24 measures would fall under the</w:t>
      </w:r>
      <w:r>
        <w:t xml:space="preserve"> </w:t>
      </w:r>
      <w:r>
        <w:t xml:space="preserve">block exemption annually. Member States would on this basis have an annual administrative</w:t>
      </w:r>
      <w:r>
        <w:t xml:space="preserve"> </w:t>
      </w:r>
      <w:r>
        <w:t xml:space="preserve">saving of EUR 157 210373.</w:t>
      </w:r>
      <w:r>
        <w:t xml:space="preserve"> </w:t>
      </w:r>
      <w:r>
        <w:t xml:space="preserve">Under the low scenario, the Commission has approved 15 State aid measures in 2018 in the</w:t>
      </w:r>
      <w:r>
        <w:t xml:space="preserve"> </w:t>
      </w:r>
      <w:r>
        <w:t xml:space="preserve">SLT sector. Based on 85% of aid measures being block exempted, this would mean that 13</w:t>
      </w:r>
      <w:r>
        <w:t xml:space="preserve"> </w:t>
      </w:r>
      <w:r>
        <w:t xml:space="preserve">measures would fall under the block exemption annually. Member States would on this basis</w:t>
      </w:r>
      <w:r>
        <w:t xml:space="preserve"> </w:t>
      </w:r>
      <w:r>
        <w:t xml:space="preserve">have annual administrative savings of EUR 83 518374.</w:t>
      </w:r>
      <w:r>
        <w:br/>
      </w:r>
      <w:r>
        <w:t xml:space="preserve">Under the high scenario, there would be 32 State aid measures on average (per year) 375 in the</w:t>
      </w:r>
      <w:r>
        <w:t xml:space="preserve"> </w:t>
      </w:r>
      <w:r>
        <w:t xml:space="preserve">SLT sector. Since 85% of aid measures would be block exempted, this would mean that 27</w:t>
      </w:r>
      <w:r>
        <w:t xml:space="preserve"> </w:t>
      </w:r>
      <w:r>
        <w:t xml:space="preserve">measures would fall under the block exemption annually. Member States would on this basis</w:t>
      </w:r>
      <w:r>
        <w:t xml:space="preserve"> </w:t>
      </w:r>
      <w:r>
        <w:t xml:space="preserve">have annual administrative savings of EUR 178 171376.</w:t>
      </w:r>
      <w:r>
        <w:br/>
      </w:r>
      <w:r>
        <w:t xml:space="preserve">An overview of all estimates is provided in Table 17 below:</w:t>
      </w:r>
    </w:p>
    <w:p>
      <w:pPr>
        <w:pStyle w:val="BodyText"/>
      </w:pPr>
      <w:r>
        <w:t xml:space="preserve">369 23 working days saved (24 for notification – 0.8 for block exempted measures) * 8 hours for a standard working</w:t>
      </w:r>
      <w:r>
        <w:t xml:space="preserve"> </w:t>
      </w:r>
      <w:r>
        <w:t xml:space="preserve">day * 15 State aid measures estimated to benefit from the block exemption * 35.6 (default hourly rate used to</w:t>
      </w:r>
      <w:r>
        <w:t xml:space="preserve"> </w:t>
      </w:r>
      <w:r>
        <w:t xml:space="preserve">represent EU weighted average salary costs) = 98 256.</w:t>
      </w:r>
      <w:r>
        <w:t xml:space="preserve"> </w:t>
      </w:r>
      <w:r>
        <w:t xml:space="preserve">370 23 working days saved * 8 hours for a standard working day * 5 State aid measures estimated to benefit from</w:t>
      </w:r>
      <w:r>
        <w:t xml:space="preserve"> </w:t>
      </w:r>
      <w:r>
        <w:t xml:space="preserve">the block exemption * 35.6 (default hourly rate used to represent EU weighted average salary costs) = 33 407.</w:t>
      </w:r>
      <w:r>
        <w:t xml:space="preserve"> </w:t>
      </w:r>
      <w:r>
        <w:t xml:space="preserve">371 115% * 18 measures = 21 measures.</w:t>
      </w:r>
      <w:r>
        <w:t xml:space="preserve"> </w:t>
      </w:r>
      <w:r>
        <w:t xml:space="preserve">372 23 working days saved * 8 hours for a standard working day * 18 State aid measures estimated to benefit from</w:t>
      </w:r>
      <w:r>
        <w:t xml:space="preserve"> </w:t>
      </w:r>
      <w:r>
        <w:t xml:space="preserve">the block exemption * 35.6 (default hourly rate used to represent EU weighted average salary costs) = 115 254.</w:t>
      </w:r>
      <w:r>
        <w:t xml:space="preserve"> </w:t>
      </w:r>
      <w:r>
        <w:t xml:space="preserve">373 23 working days saved * 8 hours for a standard working day * 24 State aid measures estimated to benefit from</w:t>
      </w:r>
      <w:r>
        <w:t xml:space="preserve"> </w:t>
      </w:r>
      <w:r>
        <w:t xml:space="preserve">the block exemption * 35.6 (default hourly rate used to represent EU weighted average salary costs) = 157 210.</w:t>
      </w:r>
      <w:r>
        <w:t xml:space="preserve"> </w:t>
      </w:r>
      <w:r>
        <w:t xml:space="preserve">374 23 working days saved * 8 hours for a standard working day * 13 State aid measures estimated to benefit from</w:t>
      </w:r>
      <w:r>
        <w:t xml:space="preserve"> </w:t>
      </w:r>
      <w:r>
        <w:t xml:space="preserve">the block exemption * 35.6 (default hourly rate used to represent EU weighted average salary costs) = 83 518.</w:t>
      </w:r>
      <w:r>
        <w:t xml:space="preserve"> </w:t>
      </w:r>
      <w:r>
        <w:t xml:space="preserve">375 115% * 28 measures = 32 measures.</w:t>
      </w:r>
      <w:r>
        <w:t xml:space="preserve"> </w:t>
      </w:r>
      <w:r>
        <w:t xml:space="preserve">376 23 working days saved * 8 hours for a standard working day * 27 State aid measures estimated to benefit from</w:t>
      </w:r>
      <w:r>
        <w:t xml:space="preserve"> </w:t>
      </w:r>
      <w:r>
        <w:t xml:space="preserve">the block exemption * 35.6 (default hourly rate used to represent EU weighted average salary costs) = 178 171.</w:t>
      </w:r>
    </w:p>
    <w:p>
      <w:pPr>
        <w:pStyle w:val="BodyText"/>
      </w:pPr>
      <w:r>
        <w:t xml:space="preserve">A-51</w:t>
      </w:r>
    </w:p>
    <w:p>
      <w:pPr>
        <w:pStyle w:val="BodyText"/>
      </w:pPr>
      <w:r>
        <w:t xml:space="preserve">Table 17: Overview of estimated annual administrative savings for Member States (in EUR)</w:t>
      </w:r>
      <w:r>
        <w:t xml:space="preserve"> </w:t>
      </w:r>
      <w:r>
        <w:t xml:space="preserve">Option A1</w:t>
      </w:r>
      <w:r>
        <w:t xml:space="preserve"> </w:t>
      </w:r>
      <w:r>
        <w:t xml:space="preserve">Options A2 and A3</w:t>
      </w:r>
      <w:r>
        <w:t xml:space="preserve"> </w:t>
      </w:r>
      <w:r>
        <w:t xml:space="preserve">Low</w:t>
      </w:r>
      <w:r>
        <w:t xml:space="preserve"> </w:t>
      </w:r>
      <w:r>
        <w:t xml:space="preserve">Central</w:t>
      </w:r>
      <w:r>
        <w:t xml:space="preserve"> </w:t>
      </w:r>
      <w:r>
        <w:t xml:space="preserve">High</w:t>
      </w:r>
      <w:r>
        <w:t xml:space="preserve"> </w:t>
      </w:r>
      <w:r>
        <w:t xml:space="preserve">Low</w:t>
      </w:r>
      <w:r>
        <w:t xml:space="preserve"> </w:t>
      </w:r>
      <w:r>
        <w:t xml:space="preserve">Central</w:t>
      </w:r>
      <w:r>
        <w:t xml:space="preserve"> </w:t>
      </w:r>
      <w:r>
        <w:t xml:space="preserve">High</w:t>
      </w:r>
      <w:r>
        <w:t xml:space="preserve"> </w:t>
      </w:r>
      <w:r>
        <w:t xml:space="preserve">33 407</w:t>
      </w:r>
      <w:r>
        <w:t xml:space="preserve"> </w:t>
      </w:r>
      <w:r>
        <w:t xml:space="preserve">98 256</w:t>
      </w:r>
      <w:r>
        <w:t xml:space="preserve"> </w:t>
      </w:r>
      <w:r>
        <w:t xml:space="preserve">115 254</w:t>
      </w:r>
      <w:r>
        <w:t xml:space="preserve"> </w:t>
      </w:r>
      <w:r>
        <w:t xml:space="preserve">83 518</w:t>
      </w:r>
      <w:r>
        <w:t xml:space="preserve"> </w:t>
      </w:r>
      <w:r>
        <w:t xml:space="preserve">157 210</w:t>
      </w:r>
      <w:r>
        <w:t xml:space="preserve"> </w:t>
      </w:r>
      <w:r>
        <w:t xml:space="preserve">178 171</w:t>
      </w:r>
    </w:p>
    <w:p>
      <w:pPr>
        <w:numPr>
          <w:ilvl w:val="0"/>
          <w:numId w:val="1017"/>
        </w:numPr>
      </w:pPr>
      <w:r>
        <w:t xml:space="preserve">Quantification of administrative burden reduction for the Commission</w:t>
      </w:r>
      <w:r>
        <w:t xml:space="preserve"> </w:t>
      </w:r>
      <w:r>
        <w:t xml:space="preserve">Based on the Commission’s internal data for the 85 decisions adopted in the SLT sector in the</w:t>
      </w:r>
      <w:r>
        <w:t xml:space="preserve"> </w:t>
      </w:r>
      <w:r>
        <w:t xml:space="preserve">period 2022-2024, the Commission spends on average 141.9 man-hours per decision, with a</w:t>
      </w:r>
      <w:r>
        <w:t xml:space="preserve"> </w:t>
      </w:r>
      <w:r>
        <w:t xml:space="preserve">median of 116.8377. To provide a conservative estimate, ironing out extreme data points, the</w:t>
      </w:r>
      <w:r>
        <w:t xml:space="preserve"> </w:t>
      </w:r>
      <w:r>
        <w:t xml:space="preserve">median estimate will be used to quantify the administrative savings for the Commission.</w:t>
      </w:r>
      <w:r>
        <w:br/>
      </w:r>
      <w:r>
        <w:t xml:space="preserve">From the low scenario of Option A1 to the high scenario of Options A2 and A3, the block</w:t>
      </w:r>
      <w:r>
        <w:t xml:space="preserve"> </w:t>
      </w:r>
      <w:r>
        <w:t xml:space="preserve">exemption would reduce the number of cases handled by the Commission by between 5 and 27</w:t>
      </w:r>
      <w:r>
        <w:t xml:space="preserve"> </w:t>
      </w:r>
      <w:r>
        <w:t xml:space="preserve">cases per year (see analysis above for Member State administrations). Applying the same</w:t>
      </w:r>
      <w:r>
        <w:t xml:space="preserve"> </w:t>
      </w:r>
      <w:r>
        <w:t xml:space="preserve">standard hourly rate of EUR 35.6, that would equate to savings of between EUR 21 206378 and</w:t>
      </w:r>
      <w:r>
        <w:t xml:space="preserve"> </w:t>
      </w:r>
      <w:r>
        <w:t xml:space="preserve">EUR 113 100379 per year.</w:t>
      </w:r>
      <w:r>
        <w:br/>
      </w:r>
      <w:r>
        <w:t xml:space="preserve">The savings for each scenario are set out in Table 18.</w:t>
      </w:r>
      <w:r>
        <w:br/>
      </w:r>
      <w:r>
        <w:t xml:space="preserve">Table 18: Overview of estimated annual administrative savings for the Commission (in EUR)</w:t>
      </w:r>
      <w:r>
        <w:t xml:space="preserve"> </w:t>
      </w:r>
      <w:r>
        <w:t xml:space="preserve">Option A1</w:t>
      </w:r>
      <w:r>
        <w:t xml:space="preserve"> </w:t>
      </w:r>
      <w:r>
        <w:t xml:space="preserve">Options A2 and A3</w:t>
      </w:r>
      <w:r>
        <w:t xml:space="preserve"> </w:t>
      </w:r>
      <w:r>
        <w:t xml:space="preserve">Low</w:t>
      </w:r>
      <w:r>
        <w:t xml:space="preserve"> </w:t>
      </w:r>
      <w:r>
        <w:t xml:space="preserve">Central</w:t>
      </w:r>
      <w:r>
        <w:t xml:space="preserve"> </w:t>
      </w:r>
      <w:r>
        <w:t xml:space="preserve">High</w:t>
      </w:r>
      <w:r>
        <w:t xml:space="preserve"> </w:t>
      </w:r>
      <w:r>
        <w:t xml:space="preserve">Low</w:t>
      </w:r>
      <w:r>
        <w:t xml:space="preserve"> </w:t>
      </w:r>
      <w:r>
        <w:t xml:space="preserve">Central</w:t>
      </w:r>
      <w:r>
        <w:t xml:space="preserve"> </w:t>
      </w:r>
      <w:r>
        <w:t xml:space="preserve">High</w:t>
      </w:r>
      <w:r>
        <w:t xml:space="preserve"> </w:t>
      </w:r>
      <w:r>
        <w:t xml:space="preserve">21 206</w:t>
      </w:r>
      <w:r>
        <w:t xml:space="preserve"> </w:t>
      </w:r>
      <w:r>
        <w:t xml:space="preserve">62 371</w:t>
      </w:r>
      <w:r>
        <w:t xml:space="preserve"> </w:t>
      </w:r>
      <w:r>
        <w:t xml:space="preserve">73 161</w:t>
      </w:r>
      <w:r>
        <w:t xml:space="preserve"> </w:t>
      </w:r>
      <w:r>
        <w:t xml:space="preserve">53 016</w:t>
      </w:r>
      <w:r>
        <w:t xml:space="preserve"> </w:t>
      </w:r>
      <w:r>
        <w:t xml:space="preserve">99 794</w:t>
      </w:r>
      <w:r>
        <w:t xml:space="preserve"> </w:t>
      </w:r>
      <w:r>
        <w:t xml:space="preserve">113 100</w:t>
      </w:r>
    </w:p>
    <w:p>
      <w:pPr>
        <w:numPr>
          <w:ilvl w:val="0"/>
          <w:numId w:val="1017"/>
        </w:numPr>
      </w:pPr>
      <w:r>
        <w:t xml:space="preserve">Quantification of opportunity cost savings for businesses</w:t>
      </w:r>
      <w:r>
        <w:br/>
      </w:r>
      <w:r>
        <w:t xml:space="preserve">Businesses would benefit from the simplification mainly because the approval (and subsequent</w:t>
      </w:r>
      <w:r>
        <w:t xml:space="preserve"> </w:t>
      </w:r>
      <w:r>
        <w:t xml:space="preserve">payment) of support would be faster. Taking the median results of the targeted consultation as</w:t>
      </w:r>
      <w:r>
        <w:t xml:space="preserve"> </w:t>
      </w:r>
      <w:r>
        <w:t xml:space="preserve">a conservative basis for quantification, it follows from the replies to the targeted consultation</w:t>
      </w:r>
      <w:r>
        <w:t xml:space="preserve"> </w:t>
      </w:r>
      <w:r>
        <w:t xml:space="preserve">that Member State authorities save 7.5 months per measure that is block exempted, instead of</w:t>
      </w:r>
      <w:r>
        <w:t xml:space="preserve"> </w:t>
      </w:r>
      <w:r>
        <w:t xml:space="preserve">having to go through the notification procedure. It is assumed that, since the Commission is not</w:t>
      </w:r>
      <w:r>
        <w:t xml:space="preserve"> </w:t>
      </w:r>
      <w:r>
        <w:t xml:space="preserve">involved in the implementation of State aid measures outside of the notification procedure</w:t>
      </w:r>
      <w:r>
        <w:t xml:space="preserve"> </w:t>
      </w:r>
      <w:r>
        <w:t xml:space="preserve">(including the adoption of State aid decisions), these results also imply that applicants can</w:t>
      </w:r>
    </w:p>
    <w:p>
      <w:pPr>
        <w:pStyle w:val="FirstParagraph"/>
      </w:pPr>
      <w:r>
        <w:t xml:space="preserve">377 This includes only the time spent by DG Competition services on exchanges with the Member State concerned</w:t>
      </w:r>
      <w:r>
        <w:t xml:space="preserve"> </w:t>
      </w:r>
      <w:r>
        <w:t xml:space="preserve">and drafting the decision. It does not include resources from other services of the Commission, e.g. in the course</w:t>
      </w:r>
      <w:r>
        <w:t xml:space="preserve"> </w:t>
      </w:r>
      <w:r>
        <w:t xml:space="preserve">of the interservice consultation or adoption of decisions.</w:t>
      </w:r>
      <w:r>
        <w:br/>
      </w:r>
      <w:r>
        <w:t xml:space="preserve">378 6 State aid measures * 85% to be block exempted * 116.8 hours saved per measure * 35.6 hourly rate = EUR</w:t>
      </w:r>
      <w:r>
        <w:t xml:space="preserve"> </w:t>
      </w:r>
      <w:r>
        <w:t xml:space="preserve">21 206.</w:t>
      </w:r>
      <w:r>
        <w:br/>
      </w:r>
      <w:r>
        <w:t xml:space="preserve">379 32 State aid measures * 85% to be block exempted * 116.8 hours saved per measure * 35.6 hourly rate = EUR</w:t>
      </w:r>
      <w:r>
        <w:t xml:space="preserve"> </w:t>
      </w:r>
      <w:r>
        <w:t xml:space="preserve">113 100.</w:t>
      </w:r>
    </w:p>
    <w:p>
      <w:pPr>
        <w:pStyle w:val="BodyText"/>
      </w:pPr>
      <w:r>
        <w:t xml:space="preserve">A-52</w:t>
      </w:r>
    </w:p>
    <w:p>
      <w:pPr>
        <w:pStyle w:val="BodyText"/>
      </w:pPr>
      <w:r>
        <w:t xml:space="preserve">benefit from the payment of State aid measures 7.5 months earlier, if those measures are block</w:t>
      </w:r>
      <w:r>
        <w:t xml:space="preserve"> </w:t>
      </w:r>
      <w:r>
        <w:t xml:space="preserve">exempted.</w:t>
      </w:r>
      <w:r>
        <w:br/>
      </w:r>
      <w:r>
        <w:t xml:space="preserve">For Option A1 (the block exemption would only extend to measures for which compatibility</w:t>
      </w:r>
      <w:r>
        <w:t xml:space="preserve"> </w:t>
      </w:r>
      <w:r>
        <w:t xml:space="preserve">conditions are defined in section 6 of the RGL), it has been estimated that the faster approval</w:t>
      </w:r>
      <w:r>
        <w:t xml:space="preserve"> </w:t>
      </w:r>
      <w:r>
        <w:t xml:space="preserve">and implementation of measures under the central scenario would apply to 85% of State aid</w:t>
      </w:r>
      <w:r>
        <w:t xml:space="preserve"> </w:t>
      </w:r>
      <w:r>
        <w:t xml:space="preserve">measures which currently fall under section 6 of the RGL going forward. However, 85% of</w:t>
      </w:r>
      <w:r>
        <w:t xml:space="preserve"> </w:t>
      </w:r>
      <w:r>
        <w:t xml:space="preserve">measures being block exempted does not mean 85% of the spending being block exempted.</w:t>
      </w:r>
      <w:r>
        <w:t xml:space="preserve"> </w:t>
      </w:r>
      <w:r>
        <w:t xml:space="preserve">Indeed, block exempted measures have generally lower budgets than notified measures, as the</w:t>
      </w:r>
      <w:r>
        <w:t xml:space="preserve"> </w:t>
      </w:r>
      <w:r>
        <w:t xml:space="preserve">block exemption does not apply beyond certain thresholds. Based on data from existing block</w:t>
      </w:r>
      <w:r>
        <w:t xml:space="preserve"> </w:t>
      </w:r>
      <w:r>
        <w:t xml:space="preserve">exemption regulations, one can estimate the proportion in the overall spending for this type of</w:t>
      </w:r>
      <w:r>
        <w:t xml:space="preserve"> </w:t>
      </w:r>
      <w:r>
        <w:t xml:space="preserve">measures to which 85% of block exempted measures correspond. Under various block</w:t>
      </w:r>
      <w:r>
        <w:t xml:space="preserve"> </w:t>
      </w:r>
      <w:r>
        <w:t xml:space="preserve">exemption regulations (including the GBER), where in 2023 88% of measures were block</w:t>
      </w:r>
      <w:r>
        <w:t xml:space="preserve"> </w:t>
      </w:r>
      <w:r>
        <w:t xml:space="preserve">exempted, this translated to 38% of spending380. On that basis it is estimated that 36.7%381 of</w:t>
      </w:r>
      <w:r>
        <w:t xml:space="preserve"> </w:t>
      </w:r>
      <w:r>
        <w:t xml:space="preserve">the relevant State aid spending will be able to benefit from the block exemption going forward.</w:t>
      </w:r>
      <w:r>
        <w:br/>
      </w:r>
      <w:r>
        <w:t xml:space="preserve">Under the central scenario (implying that relevant State aid spending would remain on the same</w:t>
      </w:r>
      <w:r>
        <w:t xml:space="preserve"> </w:t>
      </w:r>
      <w:r>
        <w:t xml:space="preserve">level as the average of the years 2022-2024), one would take as a basis the average annual State</w:t>
      </w:r>
      <w:r>
        <w:t xml:space="preserve"> </w:t>
      </w:r>
      <w:r>
        <w:t xml:space="preserve">aid spending on measures falling under section 6 of the RGL during the years 2022-2024 of</w:t>
      </w:r>
      <w:r>
        <w:t xml:space="preserve"> </w:t>
      </w:r>
      <w:r>
        <w:t xml:space="preserve">EUR 4.2 billion, as the analysis of the case practice shows. Taking into account an acceleration</w:t>
      </w:r>
      <w:r>
        <w:t xml:space="preserve"> </w:t>
      </w:r>
      <w:r>
        <w:t xml:space="preserve">of the procedure by 7.5 months thanks to block exemption and the average discount rate for the</w:t>
      </w:r>
      <w:r>
        <w:t xml:space="preserve"> </w:t>
      </w:r>
      <w:r>
        <w:t xml:space="preserve">years 2022-2024 of 2.8% as a proxy for the discount rates going forward, the savings of</w:t>
      </w:r>
      <w:r>
        <w:t xml:space="preserve"> </w:t>
      </w:r>
      <w:r>
        <w:t xml:space="preserve">businesses due to the quicker availability of support have been estimated to amount to EUR</w:t>
      </w:r>
      <w:r>
        <w:t xml:space="preserve"> </w:t>
      </w:r>
      <w:r>
        <w:t xml:space="preserve">27.6 million annually on average382, or 0.6% of State aid spending383.</w:t>
      </w:r>
      <w:r>
        <w:t xml:space="preserve"> </w:t>
      </w:r>
      <w:r>
        <w:t xml:space="preserve">For the low scenario, State aid spending on measures falling under section 6 of the RGL in 2018</w:t>
      </w:r>
      <w:r>
        <w:t xml:space="preserve"> </w:t>
      </w:r>
      <w:r>
        <w:t xml:space="preserve">amounted to EUR 2.4 billion. Taking into account an acceleration of the procedure by 7.5</w:t>
      </w:r>
      <w:r>
        <w:t xml:space="preserve"> </w:t>
      </w:r>
      <w:r>
        <w:t xml:space="preserve">months thanks to block exemption and using the average discount rate for the years 2022-2024</w:t>
      </w:r>
      <w:r>
        <w:t xml:space="preserve"> </w:t>
      </w:r>
      <w:r>
        <w:t xml:space="preserve">of 2.8% as a proxy for the discount rates going forward, this would translate to savings for</w:t>
      </w:r>
      <w:r>
        <w:t xml:space="preserve"> </w:t>
      </w:r>
      <w:r>
        <w:t xml:space="preserve">businesses due to the quicker availability of support of about EUR 15.6 million annually.</w:t>
      </w:r>
      <w:r>
        <w:br/>
      </w:r>
      <w:r>
        <w:t xml:space="preserve">For the high scenario, State aid spending on measures falling under section 6 of the RGL would</w:t>
      </w:r>
      <w:r>
        <w:t xml:space="preserve"> </w:t>
      </w:r>
      <w:r>
        <w:t xml:space="preserve">amount to 115% the average State aid spending in the period 2022-2024, i.e. EUR 4.8 billion.</w:t>
      </w:r>
      <w:r>
        <w:t xml:space="preserve"> </w:t>
      </w:r>
      <w:r>
        <w:t xml:space="preserve">This would translate to savings of businesses due to the quicker availability of support of about</w:t>
      </w:r>
      <w:r>
        <w:t xml:space="preserve"> </w:t>
      </w:r>
      <w:r>
        <w:t xml:space="preserve">EUR 30.9 million384.</w:t>
      </w:r>
    </w:p>
    <w:p>
      <w:pPr>
        <w:pStyle w:val="BodyText"/>
      </w:pPr>
      <w:r>
        <w:t xml:space="preserve">380 https://ec.europa.eu/commission/presscorner/detail/en/ip_25_952, showing the link between the proportion of</w:t>
      </w:r>
      <w:r>
        <w:t xml:space="preserve"> </w:t>
      </w:r>
      <w:r>
        <w:t xml:space="preserve">measures and the proportion of expenditure.</w:t>
      </w:r>
      <w:r>
        <w:br/>
      </w:r>
      <w:r>
        <w:t xml:space="preserve">381 38% * (85/88) = 36.7%</w:t>
      </w:r>
      <w:r>
        <w:t xml:space="preserve"> </w:t>
      </w:r>
      <w:r>
        <w:t xml:space="preserve">382 EUR 4.2 billion in average annual State aid spending * 0.367 (proportion of spending estimated to benefit from</w:t>
      </w:r>
      <w:r>
        <w:t xml:space="preserve"> </w:t>
      </w:r>
      <w:r>
        <w:t xml:space="preserve">the block exemption) * 0.028 (applicable discount rate) * (7.5/12) (estimated time saved). Based on the</w:t>
      </w:r>
      <w:r>
        <w:t xml:space="preserve"> </w:t>
      </w:r>
      <w:r>
        <w:t xml:space="preserve">Communication from the Commission on the revision of the method for setting the reference and discount rates.</w:t>
      </w:r>
      <w:r>
        <w:t xml:space="preserve"> </w:t>
      </w:r>
      <w:r>
        <w:t xml:space="preserve">Base rates taken from: https://competition-policy.ec.europa.eu/state-aid/legislation/reference-discount-rates-and-</w:t>
      </w:r>
      <w:r>
        <w:t xml:space="preserve"> </w:t>
      </w:r>
      <w:r>
        <w:t xml:space="preserve">recovery-interest-rates/reference-and-discount-rates_en/. The estimates range between EUR 6.0 in 2022 and 39.3</w:t>
      </w:r>
      <w:r>
        <w:t xml:space="preserve"> </w:t>
      </w:r>
      <w:r>
        <w:t xml:space="preserve">million in 2024.</w:t>
      </w:r>
      <w:r>
        <w:t xml:space="preserve"> </w:t>
      </w:r>
      <w:r>
        <w:t xml:space="preserve">383 0.367 * 0.028 * (7.5/12).</w:t>
      </w:r>
      <w:r>
        <w:br/>
      </w:r>
      <w:r>
        <w:t xml:space="preserve">384 EUR 2.4 billion in average annual State aid spending * 0.367 (proportion of spending estimated to benefit from</w:t>
      </w:r>
      <w:r>
        <w:t xml:space="preserve"> </w:t>
      </w:r>
      <w:r>
        <w:t xml:space="preserve">the block exemption) * 0.028 (applicable discount rate) * (7.5/12) (estimated time saved).</w:t>
      </w:r>
    </w:p>
    <w:p>
      <w:pPr>
        <w:pStyle w:val="BodyText"/>
      </w:pPr>
      <w:r>
        <w:t xml:space="preserve">A-53</w:t>
      </w:r>
    </w:p>
    <w:p>
      <w:pPr>
        <w:pStyle w:val="BodyText"/>
      </w:pPr>
      <w:r>
        <w:t xml:space="preserve">For Options A2 and A3 (the block exemption extends to measures covered by today’s case</w:t>
      </w:r>
      <w:r>
        <w:t xml:space="preserve"> </w:t>
      </w:r>
      <w:r>
        <w:t xml:space="preserve">practice in the SLT sector), as the block exemption would cover the targeted 85% of aid</w:t>
      </w:r>
      <w:r>
        <w:t xml:space="preserve"> </w:t>
      </w:r>
      <w:r>
        <w:t xml:space="preserve">measures in the SLT sector, this means it would apply to approximately 36.7% of State aid</w:t>
      </w:r>
      <w:r>
        <w:t xml:space="preserve"> </w:t>
      </w:r>
      <w:r>
        <w:t xml:space="preserve">spending in the SLT sector for the years 2022-2024 in the central scenario. Based on average</w:t>
      </w:r>
      <w:r>
        <w:t xml:space="preserve"> </w:t>
      </w:r>
      <w:r>
        <w:t xml:space="preserve">annual State aid spending during the years 2022-2024 of EUR 4.8 billion in the SLT sector, and</w:t>
      </w:r>
      <w:r>
        <w:t xml:space="preserve"> </w:t>
      </w:r>
      <w:r>
        <w:t xml:space="preserve">an acceleration of the procedure by 7.5 months thanks to block exemption, the savings of</w:t>
      </w:r>
      <w:r>
        <w:t xml:space="preserve"> </w:t>
      </w:r>
      <w:r>
        <w:t xml:space="preserve">businesses due to the quicker availability of support have been estimated to amount to EUR</w:t>
      </w:r>
      <w:r>
        <w:t xml:space="preserve"> </w:t>
      </w:r>
      <w:r>
        <w:t xml:space="preserve">30.62 million annually on average385.</w:t>
      </w:r>
      <w:r>
        <w:t xml:space="preserve"> </w:t>
      </w:r>
      <w:r>
        <w:t xml:space="preserve">For the low scenario, the estimate would amount to EUR 18.8 million386 annually. For the high</w:t>
      </w:r>
      <w:r>
        <w:t xml:space="preserve"> </w:t>
      </w:r>
      <w:r>
        <w:t xml:space="preserve">scenario, the estimate would amount to EUR 35.42 million387 annually.</w:t>
      </w:r>
      <w:r>
        <w:br/>
      </w:r>
      <w:r>
        <w:t xml:space="preserve">An overview of all estimates is provided in Table 19.</w:t>
      </w:r>
      <w:r>
        <w:t xml:space="preserve"> </w:t>
      </w:r>
      <w:r>
        <w:t xml:space="preserve">Table 19: Overview of estimated annual opportunity cost savings for businesses in EUR million</w:t>
      </w:r>
    </w:p>
    <w:p>
      <w:pPr>
        <w:pStyle w:val="BodyText"/>
      </w:pPr>
      <w:r>
        <w:t xml:space="preserve">Option A1</w:t>
      </w:r>
      <w:r>
        <w:t xml:space="preserve"> </w:t>
      </w:r>
      <w:r>
        <w:t xml:space="preserve">Options A2 and A3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Central</w:t>
      </w:r>
      <w:r>
        <w:t xml:space="preserve"> </w:t>
      </w:r>
      <w:r>
        <w:t xml:space="preserve">High Low</w:t>
      </w:r>
      <w:r>
        <w:t xml:space="preserve"> </w:t>
      </w:r>
      <w:r>
        <w:t xml:space="preserve">Central</w:t>
      </w:r>
      <w:r>
        <w:t xml:space="preserve"> </w:t>
      </w:r>
      <w:r>
        <w:t xml:space="preserve">High</w:t>
      </w:r>
      <w:r>
        <w:t xml:space="preserve"> </w:t>
      </w:r>
      <w:r>
        <w:t xml:space="preserve">Average 15.6</w:t>
      </w:r>
      <w:r>
        <w:t xml:space="preserve"> </w:t>
      </w:r>
      <w:r>
        <w:t xml:space="preserve">27.6</w:t>
      </w:r>
      <w:r>
        <w:t xml:space="preserve"> </w:t>
      </w:r>
      <w:r>
        <w:t xml:space="preserve">30.9</w:t>
      </w:r>
      <w:r>
        <w:t xml:space="preserve"> </w:t>
      </w:r>
      <w:r>
        <w:t xml:space="preserve">18.8</w:t>
      </w:r>
      <w:r>
        <w:t xml:space="preserve"> </w:t>
      </w:r>
      <w:r>
        <w:t xml:space="preserve">30.62</w:t>
      </w:r>
      <w:r>
        <w:t xml:space="preserve"> </w:t>
      </w:r>
      <w:r>
        <w:t xml:space="preserve">35.42</w:t>
      </w:r>
      <w:r>
        <w:t xml:space="preserve"> </w:t>
      </w:r>
      <w:r>
        <w:t xml:space="preserve">Range</w:t>
      </w:r>
    </w:p>
    <w:p>
      <w:pPr>
        <w:pStyle w:val="BodyText"/>
      </w:pPr>
      <w:r>
        <w:t xml:space="preserve">6.0-39.3</w:t>
      </w:r>
    </w:p>
    <w:p>
      <w:pPr>
        <w:pStyle w:val="BodyText"/>
      </w:pPr>
      <w:r>
        <w:t xml:space="preserve">7.6-43.4</w:t>
      </w:r>
    </w:p>
    <w:p>
      <w:pPr>
        <w:pStyle w:val="Compact"/>
        <w:numPr>
          <w:ilvl w:val="0"/>
          <w:numId w:val="1018"/>
        </w:numPr>
      </w:pPr>
      <w:r>
        <w:t xml:space="preserve">Quantification of opportunity cost savings for SMEs</w:t>
      </w:r>
      <w:r>
        <w:br/>
      </w:r>
      <w:r>
        <w:t xml:space="preserve">In order to quantify the opportunity cost savings for SMEs, the same methodology as above has</w:t>
      </w:r>
      <w:r>
        <w:t xml:space="preserve"> </w:t>
      </w:r>
      <w:r>
        <w:t xml:space="preserve">been applied, while approximating the share of aid received by SMEs in each option and</w:t>
      </w:r>
      <w:r>
        <w:t xml:space="preserve"> </w:t>
      </w:r>
      <w:r>
        <w:t xml:space="preserve">scenario based on their market share in terms of turnover in different segments of SLT. The</w:t>
      </w:r>
      <w:r>
        <w:t xml:space="preserve"> </w:t>
      </w:r>
      <w:r>
        <w:t xml:space="preserve">market shares in terms of turnover have been calculated based on Eurostat data related to</w:t>
      </w:r>
      <w:r>
        <w:t xml:space="preserve"> </w:t>
      </w:r>
      <w:r>
        <w:t xml:space="preserve">Structural Business Statistics, classified by size and NACE Rev.2 activity. Market share data</w:t>
      </w:r>
      <w:r>
        <w:t xml:space="preserve"> </w:t>
      </w:r>
      <w:r>
        <w:t xml:space="preserve">for some of the segments which have not been readily available from the above statistics have</w:t>
      </w:r>
      <w:r>
        <w:t xml:space="preserve"> </w:t>
      </w:r>
      <w:r>
        <w:t xml:space="preserve">been approximated based on the case practice. SMEs have a relatively higher market share in</w:t>
      </w:r>
      <w:r>
        <w:t xml:space="preserve"> </w:t>
      </w:r>
      <w:r>
        <w:t xml:space="preserve">the IWW sector and in the operation of facilities, while the rail transport sector activity is</w:t>
      </w:r>
      <w:r>
        <w:t xml:space="preserve"> </w:t>
      </w:r>
      <w:r>
        <w:t xml:space="preserve">dominated by larger enterprises.</w:t>
      </w:r>
      <w:r>
        <w:br/>
      </w:r>
      <w:r>
        <w:t xml:space="preserve">Under the central scenario (implying that relevant State aid spending would remain on the same</w:t>
      </w:r>
      <w:r>
        <w:t xml:space="preserve"> </w:t>
      </w:r>
      <w:r>
        <w:t xml:space="preserve">level as the average of the years 2022-2024), the average annual State aid amounts received by</w:t>
      </w:r>
      <w:r>
        <w:t xml:space="preserve"> </w:t>
      </w:r>
      <w:r>
        <w:t xml:space="preserve">SMEs would amount to EUR 385 million in the case of Option A1 (i.e. 10% of State aid</w:t>
      </w:r>
      <w:r>
        <w:t xml:space="preserve"> </w:t>
      </w:r>
      <w:r>
        <w:t xml:space="preserve">amounts overall) and EUR 657 million in case of Options A2 and A3 (i.e. 14% of State aid</w:t>
      </w:r>
      <w:r>
        <w:t xml:space="preserve"> </w:t>
      </w:r>
      <w:r>
        <w:t xml:space="preserve">amounts overall). Taking into account an acceleration of the procedure by 7.5 months thanks to</w:t>
      </w:r>
      <w:r>
        <w:t xml:space="preserve"> </w:t>
      </w:r>
      <w:r>
        <w:t xml:space="preserve">the block exemption and the average discount rate for the years 2022-2024 of 3.2% (higher than</w:t>
      </w:r>
      <w:r>
        <w:t xml:space="preserve"> </w:t>
      </w:r>
      <w:r>
        <w:t xml:space="preserve">the average including large businesses which have easier access to bank financing) as a proxy</w:t>
      </w:r>
      <w:r>
        <w:t xml:space="preserve"> </w:t>
      </w:r>
      <w:r>
        <w:t xml:space="preserve">for the discount rates going forward, the savings of SMEs due to the quicker availability of</w:t>
      </w:r>
    </w:p>
    <w:p>
      <w:pPr>
        <w:pStyle w:val="FirstParagraph"/>
      </w:pPr>
      <w:r>
        <w:t xml:space="preserve">385 EUR 4.8 billion in average annual State aid spending * 0.367 (proportion of spending estimated to benefit from</w:t>
      </w:r>
      <w:r>
        <w:t xml:space="preserve"> </w:t>
      </w:r>
      <w:r>
        <w:t xml:space="preserve">the block exemption) * 0.028 (applicable discount rate) * (7.5/12) (estimated time saved), ranging between EUR</w:t>
      </w:r>
      <w:r>
        <w:t xml:space="preserve"> </w:t>
      </w:r>
      <w:r>
        <w:t xml:space="preserve">7.6 million in 2022 and EUR 43.4 million in 2024.</w:t>
      </w:r>
      <w:r>
        <w:t xml:space="preserve"> </w:t>
      </w:r>
      <w:r>
        <w:t xml:space="preserve">386 EUR 2.9 billion in annual State aid spending * 0.367 (proportion of spending estimated to benefit from the</w:t>
      </w:r>
      <w:r>
        <w:t xml:space="preserve"> </w:t>
      </w:r>
      <w:r>
        <w:t xml:space="preserve">block exemption) * 0.028 (applicable discount rate) * (7.5/12) (estimated time saved).</w:t>
      </w:r>
      <w:r>
        <w:t xml:space="preserve"> </w:t>
      </w:r>
      <w:r>
        <w:t xml:space="preserve">387 EUR 5.5 billion in annual State aid spending * 0.367 (proportion of spending estimated to benefit from the</w:t>
      </w:r>
      <w:r>
        <w:t xml:space="preserve"> </w:t>
      </w:r>
      <w:r>
        <w:t xml:space="preserve">block exemption) * 0.028 (applicable discount rate) * (7.5/12) (estimated time saved).</w:t>
      </w:r>
    </w:p>
    <w:p>
      <w:pPr>
        <w:pStyle w:val="BodyText"/>
      </w:pPr>
      <w:r>
        <w:t xml:space="preserve">A-54</w:t>
      </w:r>
    </w:p>
    <w:p>
      <w:pPr>
        <w:pStyle w:val="BodyText"/>
      </w:pPr>
      <w:r>
        <w:t xml:space="preserve">support have been estimated to amount to EUR 2.7 million annually on average under Option</w:t>
      </w:r>
      <w:r>
        <w:t xml:space="preserve"> </w:t>
      </w:r>
      <w:r>
        <w:t xml:space="preserve">A1 and EUR 3.9 million annually under Options A2 and A3. The ranges for each of the years</w:t>
      </w:r>
      <w:r>
        <w:t xml:space="preserve"> </w:t>
      </w:r>
      <w:r>
        <w:t xml:space="preserve">2022-2024, as well as the estimates under the other scenarios are depicted in Table 20.</w:t>
      </w:r>
      <w:r>
        <w:t xml:space="preserve"> </w:t>
      </w:r>
      <w:r>
        <w:t xml:space="preserve">Table 20: Overview of estimated annual opportunity cost savings for SMEs in EUR million</w:t>
      </w:r>
    </w:p>
    <w:p>
      <w:pPr>
        <w:pStyle w:val="BodyText"/>
      </w:pPr>
      <w:r>
        <w:t xml:space="preserve">Option A1</w:t>
      </w:r>
      <w:r>
        <w:t xml:space="preserve"> </w:t>
      </w:r>
      <w:r>
        <w:t xml:space="preserve">Options A2 and A3</w:t>
      </w:r>
    </w:p>
    <w:p>
      <w:pPr>
        <w:pStyle w:val="BodyText"/>
      </w:pPr>
      <w:r>
        <w:t xml:space="preserve">Low</w:t>
      </w:r>
      <w:r>
        <w:t xml:space="preserve"> </w:t>
      </w:r>
      <w:r>
        <w:t xml:space="preserve">Central</w:t>
      </w:r>
      <w:r>
        <w:t xml:space="preserve"> </w:t>
      </w:r>
      <w:r>
        <w:t xml:space="preserve">High</w:t>
      </w:r>
      <w:r>
        <w:t xml:space="preserve"> </w:t>
      </w:r>
      <w:r>
        <w:t xml:space="preserve">Low</w:t>
      </w:r>
      <w:r>
        <w:t xml:space="preserve"> </w:t>
      </w:r>
      <w:r>
        <w:t xml:space="preserve">Central</w:t>
      </w:r>
      <w:r>
        <w:t xml:space="preserve"> </w:t>
      </w:r>
      <w:r>
        <w:t xml:space="preserve">High</w:t>
      </w:r>
      <w:r>
        <w:t xml:space="preserve"> </w:t>
      </w:r>
      <w:r>
        <w:t xml:space="preserve">Average</w:t>
      </w:r>
      <w:r>
        <w:t xml:space="preserve"> </w:t>
      </w:r>
      <w:r>
        <w:t xml:space="preserve">0.48</w:t>
      </w:r>
      <w:r>
        <w:t xml:space="preserve"> </w:t>
      </w:r>
      <w:r>
        <w:t xml:space="preserve">2.69</w:t>
      </w:r>
      <w:r>
        <w:t xml:space="preserve"> </w:t>
      </w:r>
      <w:r>
        <w:t xml:space="preserve">3.25</w:t>
      </w:r>
      <w:r>
        <w:t xml:space="preserve"> </w:t>
      </w:r>
      <w:r>
        <w:t xml:space="preserve">3.29</w:t>
      </w:r>
      <w:r>
        <w:t xml:space="preserve"> </w:t>
      </w:r>
      <w:r>
        <w:t xml:space="preserve">3.95</w:t>
      </w:r>
      <w:r>
        <w:t xml:space="preserve"> </w:t>
      </w:r>
      <w:r>
        <w:t xml:space="preserve">5.55</w:t>
      </w:r>
      <w:r>
        <w:t xml:space="preserve"> </w:t>
      </w:r>
      <w:r>
        <w:t xml:space="preserve">Range</w:t>
      </w:r>
    </w:p>
    <w:p>
      <w:pPr>
        <w:pStyle w:val="BodyText"/>
      </w:pPr>
      <w:r>
        <w:t xml:space="preserve">0.46-3.92</w:t>
      </w:r>
    </w:p>
    <w:p>
      <w:pPr>
        <w:pStyle w:val="BodyText"/>
      </w:pPr>
      <w:r>
        <w:t xml:space="preserve">1.19-5.5</w:t>
      </w:r>
    </w:p>
    <w:p>
      <w:pPr>
        <w:pStyle w:val="BodyText"/>
      </w:pPr>
      <w:r>
        <w:t xml:space="preserve">A-55</w:t>
      </w:r>
    </w:p>
    <w:p>
      <w:pPr>
        <w:pStyle w:val="BodyText"/>
      </w:pPr>
      <w:r>
        <w:t xml:space="preserve">ANNEX 9: RELEVANT PROVISIONS OF THE TFEU</w:t>
      </w:r>
      <w:r>
        <w:t xml:space="preserve"> </w:t>
      </w:r>
      <w:r>
        <w:t xml:space="preserve">Article 93</w:t>
      </w:r>
      <w:r>
        <w:t xml:space="preserve"> </w:t>
      </w:r>
      <w:r>
        <w:t xml:space="preserve">(ex Article 73 TEC)</w:t>
      </w:r>
      <w:r>
        <w:t xml:space="preserve"> </w:t>
      </w:r>
      <w:r>
        <w:t xml:space="preserve">Aids shall be compatible with the Treaties if they meet the needs of coordination of transport</w:t>
      </w:r>
      <w:r>
        <w:t xml:space="preserve"> </w:t>
      </w:r>
      <w:r>
        <w:t xml:space="preserve">or if they represent reimbursement for the discharge of certain obligations inherent in the</w:t>
      </w:r>
      <w:r>
        <w:t xml:space="preserve"> </w:t>
      </w:r>
      <w:r>
        <w:t xml:space="preserve">concept of a public service.</w:t>
      </w:r>
      <w:r>
        <w:t xml:space="preserve"> </w:t>
      </w:r>
      <w:r>
        <w:t xml:space="preserve">Article 100</w:t>
      </w:r>
      <w:r>
        <w:t xml:space="preserve"> </w:t>
      </w:r>
      <w:r>
        <w:t xml:space="preserve">(ex Article 80 TEC)</w:t>
      </w:r>
      <w:r>
        <w:t xml:space="preserve"> </w:t>
      </w:r>
      <w:r>
        <w:t xml:space="preserve">1. The provisions of this Title shall apply to transport by rail, road and inland waterway.</w:t>
      </w:r>
      <w:r>
        <w:t xml:space="preserve"> </w:t>
      </w:r>
      <w:r>
        <w:t xml:space="preserve">2. The European Parliament and the Council, acting in accordance with the ordinary legislative</w:t>
      </w:r>
      <w:r>
        <w:t xml:space="preserve"> </w:t>
      </w:r>
      <w:r>
        <w:t xml:space="preserve">procedure, may lay down appropriate provisions for sea and air transport. They shall act after</w:t>
      </w:r>
      <w:r>
        <w:t xml:space="preserve"> </w:t>
      </w:r>
      <w:r>
        <w:t xml:space="preserve">consulting the Economic and Social Committee and the Committee of the Regions.</w:t>
      </w:r>
      <w:r>
        <w:t xml:space="preserve"> </w:t>
      </w:r>
      <w:r>
        <w:t xml:space="preserve">Article 106</w:t>
      </w:r>
      <w:r>
        <w:t xml:space="preserve"> </w:t>
      </w:r>
      <w:r>
        <w:t xml:space="preserve">(ex Article 86 TEC)</w:t>
      </w:r>
      <w:r>
        <w:t xml:space="preserve"> </w:t>
      </w:r>
      <w:r>
        <w:t xml:space="preserve">1. In the case of public undertakings and undertakings to which Member States grant special or</w:t>
      </w:r>
      <w:r>
        <w:t xml:space="preserve"> </w:t>
      </w:r>
      <w:r>
        <w:t xml:space="preserve">exclusive rights, Member States shall neither enact nor maintain in force any measure contrary</w:t>
      </w:r>
      <w:r>
        <w:t xml:space="preserve"> </w:t>
      </w:r>
      <w:r>
        <w:t xml:space="preserve">to the rules contained in the Treaties, in particular to those rules provided for in Article 18 and</w:t>
      </w:r>
      <w:r>
        <w:t xml:space="preserve"> </w:t>
      </w:r>
      <w:r>
        <w:t xml:space="preserve">Articles 101 to 109.</w:t>
      </w:r>
      <w:r>
        <w:t xml:space="preserve"> </w:t>
      </w:r>
      <w:r>
        <w:t xml:space="preserve">2. Undertakings entrusted with the operation of services of general economic interest or having</w:t>
      </w:r>
      <w:r>
        <w:t xml:space="preserve"> </w:t>
      </w:r>
      <w:r>
        <w:t xml:space="preserve">the character of a revenue-producing monopoly shall be subject to the rules contained in the</w:t>
      </w:r>
      <w:r>
        <w:t xml:space="preserve"> </w:t>
      </w:r>
      <w:r>
        <w:t xml:space="preserve">Treaties, in particular to the rules on competition, in so far as the application of such rules does</w:t>
      </w:r>
      <w:r>
        <w:t xml:space="preserve"> </w:t>
      </w:r>
      <w:r>
        <w:t xml:space="preserve">not obstruct the performance, in law or in fact, of the particular tasks assigned to them. The</w:t>
      </w:r>
      <w:r>
        <w:t xml:space="preserve"> </w:t>
      </w:r>
      <w:r>
        <w:t xml:space="preserve">development of trade must not be affected to such an extent as would be contrary to the interests</w:t>
      </w:r>
      <w:r>
        <w:t xml:space="preserve"> </w:t>
      </w:r>
      <w:r>
        <w:t xml:space="preserve">of the Union.</w:t>
      </w:r>
      <w:r>
        <w:t xml:space="preserve"> </w:t>
      </w:r>
      <w:r>
        <w:t xml:space="preserve">3. The Commission shall ensure the application of the provisions of this Article and shall, where</w:t>
      </w:r>
      <w:r>
        <w:t xml:space="preserve"> </w:t>
      </w:r>
      <w:r>
        <w:t xml:space="preserve">necessary, address appropriate directives or decisions to Member States.</w:t>
      </w:r>
      <w:r>
        <w:t xml:space="preserve"> </w:t>
      </w:r>
      <w:r>
        <w:t xml:space="preserve">Article 107</w:t>
      </w:r>
      <w:r>
        <w:t xml:space="preserve"> </w:t>
      </w:r>
      <w:r>
        <w:t xml:space="preserve">(ex Article 87 TEC)</w:t>
      </w:r>
      <w:r>
        <w:t xml:space="preserve"> </w:t>
      </w:r>
      <w:r>
        <w:t xml:space="preserve">1. Save as otherwise provided in the Treaties, any aid granted by a Member State or through</w:t>
      </w:r>
      <w:r>
        <w:t xml:space="preserve"> </w:t>
      </w:r>
      <w:r>
        <w:t xml:space="preserve">State resources in any form whatsoever which distorts or threatens to distort competition by</w:t>
      </w:r>
      <w:r>
        <w:t xml:space="preserve"> </w:t>
      </w:r>
      <w:r>
        <w:t xml:space="preserve">favouring certain undertakings or the production of certain goods shall, in so far as it affects</w:t>
      </w:r>
      <w:r>
        <w:t xml:space="preserve"> </w:t>
      </w:r>
      <w:r>
        <w:t xml:space="preserve">trade between Member States, be incompatible with the internal market.</w:t>
      </w:r>
      <w:r>
        <w:t xml:space="preserve"> </w:t>
      </w:r>
      <w:r>
        <w:t xml:space="preserve">2. The following shall be compatible with the internal market:</w:t>
      </w:r>
    </w:p>
    <w:p>
      <w:pPr>
        <w:pStyle w:val="BodyText"/>
      </w:pPr>
      <w:r>
        <w:t xml:space="preserve">A-56</w:t>
      </w:r>
    </w:p>
    <w:p>
      <w:pPr>
        <w:pStyle w:val="Compact"/>
        <w:numPr>
          <w:ilvl w:val="0"/>
          <w:numId w:val="1019"/>
        </w:numPr>
      </w:pPr>
      <w:r>
        <w:t xml:space="preserve">aid having a social character, granted to individual consumers, provided that such aid is</w:t>
      </w:r>
      <w:r>
        <w:t xml:space="preserve"> </w:t>
      </w:r>
      <w:r>
        <w:t xml:space="preserve">granted without discrimination related to the origin of the products concerned;</w:t>
      </w:r>
    </w:p>
    <w:p>
      <w:pPr>
        <w:pStyle w:val="Compact"/>
        <w:numPr>
          <w:ilvl w:val="0"/>
          <w:numId w:val="1019"/>
        </w:numPr>
      </w:pPr>
      <w:r>
        <w:t xml:space="preserve">aid to make good the damage caused by natural disasters or exceptional occurrences;</w:t>
      </w:r>
    </w:p>
    <w:p>
      <w:pPr>
        <w:pStyle w:val="Compact"/>
        <w:numPr>
          <w:ilvl w:val="0"/>
          <w:numId w:val="1019"/>
        </w:numPr>
      </w:pPr>
      <w:r>
        <w:t xml:space="preserve">aid granted to the economy of certain areas of the Federal Republic of Germany affected by</w:t>
      </w:r>
      <w:r>
        <w:t xml:space="preserve"> </w:t>
      </w:r>
      <w:r>
        <w:t xml:space="preserve">the division of Germany, in so far as such aid is required in order to compensate for the</w:t>
      </w:r>
      <w:r>
        <w:t xml:space="preserve"> </w:t>
      </w:r>
      <w:r>
        <w:t xml:space="preserve">economic disadvantages caused by that division. Five years after the entry into force of the</w:t>
      </w:r>
      <w:r>
        <w:t xml:space="preserve"> </w:t>
      </w:r>
      <w:r>
        <w:t xml:space="preserve">Treaty of Lisbon, the Council, acting on a proposal from the Commission, may adopt a decision</w:t>
      </w:r>
      <w:r>
        <w:t xml:space="preserve"> </w:t>
      </w:r>
      <w:r>
        <w:t xml:space="preserve">repealing this point.</w:t>
      </w:r>
    </w:p>
    <w:p>
      <w:pPr>
        <w:pStyle w:val="Compact"/>
        <w:numPr>
          <w:ilvl w:val="0"/>
          <w:numId w:val="1020"/>
        </w:numPr>
      </w:pPr>
      <w:r>
        <w:t xml:space="preserve">The following may be considered to be compatible with the internal market:</w:t>
      </w:r>
    </w:p>
    <w:p>
      <w:pPr>
        <w:pStyle w:val="Compact"/>
        <w:numPr>
          <w:ilvl w:val="0"/>
          <w:numId w:val="1021"/>
        </w:numPr>
      </w:pPr>
      <w:r>
        <w:t xml:space="preserve">aid to promote the economic development of areas where the standard of living is</w:t>
      </w:r>
      <w:r>
        <w:t xml:space="preserve"> </w:t>
      </w:r>
      <w:r>
        <w:t xml:space="preserve">abnormally low or where there is serious underemployment, and of the regions referred to in</w:t>
      </w:r>
      <w:r>
        <w:t xml:space="preserve"> </w:t>
      </w:r>
      <w:r>
        <w:t xml:space="preserve">Article 349, in view of their structural, economic and social situation;</w:t>
      </w:r>
    </w:p>
    <w:p>
      <w:pPr>
        <w:pStyle w:val="Compact"/>
        <w:numPr>
          <w:ilvl w:val="0"/>
          <w:numId w:val="1021"/>
        </w:numPr>
      </w:pPr>
      <w:r>
        <w:t xml:space="preserve">aid to promote the execution of an important project of common European interest or to</w:t>
      </w:r>
      <w:r>
        <w:t xml:space="preserve"> </w:t>
      </w:r>
      <w:r>
        <w:t xml:space="preserve">remedy a serious disturbance in the economy of a Member State;</w:t>
      </w:r>
    </w:p>
    <w:p>
      <w:pPr>
        <w:pStyle w:val="Compact"/>
        <w:numPr>
          <w:ilvl w:val="0"/>
          <w:numId w:val="1021"/>
        </w:numPr>
      </w:pPr>
      <w:r>
        <w:t xml:space="preserve">aid to facilitate the development of certain economic activities or of certain economic areas,</w:t>
      </w:r>
      <w:r>
        <w:t xml:space="preserve"> </w:t>
      </w:r>
      <w:r>
        <w:t xml:space="preserve">where such aid does not adversely affect trading conditions to an extent contrary to the common</w:t>
      </w:r>
      <w:r>
        <w:t xml:space="preserve"> </w:t>
      </w:r>
      <w:r>
        <w:t xml:space="preserve">interest;</w:t>
      </w:r>
    </w:p>
    <w:p>
      <w:pPr>
        <w:pStyle w:val="Compact"/>
        <w:numPr>
          <w:ilvl w:val="0"/>
          <w:numId w:val="1021"/>
        </w:numPr>
      </w:pPr>
      <w:r>
        <w:t xml:space="preserve">aid to promote culture and heritage conservation where such aid does not affect trading</w:t>
      </w:r>
      <w:r>
        <w:t xml:space="preserve"> </w:t>
      </w:r>
      <w:r>
        <w:t xml:space="preserve">conditions and competition in the Union to an extent that is contrary to the common interest;</w:t>
      </w:r>
    </w:p>
    <w:p>
      <w:pPr>
        <w:pStyle w:val="Compact"/>
        <w:numPr>
          <w:ilvl w:val="0"/>
          <w:numId w:val="1021"/>
        </w:numPr>
      </w:pPr>
      <w:r>
        <w:t xml:space="preserve">such other categories of aid as may be specified by decision of the Council on a proposal</w:t>
      </w:r>
      <w:r>
        <w:t xml:space="preserve"> </w:t>
      </w:r>
      <w:r>
        <w:t xml:space="preserve">from the Commission.</w:t>
      </w:r>
      <w:r>
        <w:t xml:space="preserve"> </w:t>
      </w:r>
      <w:r>
        <w:t xml:space="preserve">Article 108</w:t>
      </w:r>
      <w:r>
        <w:t xml:space="preserve"> </w:t>
      </w:r>
      <w:r>
        <w:t xml:space="preserve">(ex Article 88 TEC)</w:t>
      </w:r>
    </w:p>
    <w:p>
      <w:pPr>
        <w:pStyle w:val="Compact"/>
        <w:numPr>
          <w:ilvl w:val="0"/>
          <w:numId w:val="1022"/>
        </w:numPr>
      </w:pPr>
      <w:r>
        <w:t xml:space="preserve">The Commission shall, in cooperation with Member States, keep under constant review all</w:t>
      </w:r>
      <w:r>
        <w:t xml:space="preserve"> </w:t>
      </w:r>
      <w:r>
        <w:t xml:space="preserve">systems of aid existing in those States. It shall propose to the latter any appropriate measures</w:t>
      </w:r>
      <w:r>
        <w:t xml:space="preserve"> </w:t>
      </w:r>
      <w:r>
        <w:t xml:space="preserve">required by the progressive development or by the functioning of the internal market.</w:t>
      </w:r>
    </w:p>
    <w:p>
      <w:pPr>
        <w:pStyle w:val="Compact"/>
        <w:numPr>
          <w:ilvl w:val="0"/>
          <w:numId w:val="1022"/>
        </w:numPr>
      </w:pPr>
      <w:r>
        <w:t xml:space="preserve">If, after giving notice to the parties concerned to submit their comments, the Commission</w:t>
      </w:r>
      <w:r>
        <w:t xml:space="preserve"> </w:t>
      </w:r>
      <w:r>
        <w:t xml:space="preserve">finds that aid granted by a State or through State resources is not compatible with the internal</w:t>
      </w:r>
      <w:r>
        <w:t xml:space="preserve"> </w:t>
      </w:r>
      <w:r>
        <w:t xml:space="preserve">market having regard to Article 107, or that such aid is being misused, it shall decide that the</w:t>
      </w:r>
      <w:r>
        <w:t xml:space="preserve"> </w:t>
      </w:r>
      <w:r>
        <w:t xml:space="preserve">State concerned shall abolish or alter such aid within a period of time to be determined by the</w:t>
      </w:r>
      <w:r>
        <w:t xml:space="preserve"> </w:t>
      </w:r>
      <w:r>
        <w:t xml:space="preserve">Commission.</w:t>
      </w:r>
      <w:r>
        <w:t xml:space="preserve"> </w:t>
      </w:r>
      <w:r>
        <w:t xml:space="preserve">If the State concerned does not comply with this decision within the prescribed time, the</w:t>
      </w:r>
      <w:r>
        <w:t xml:space="preserve"> </w:t>
      </w:r>
      <w:r>
        <w:t xml:space="preserve">Commission or any other interested State may, in derogation from the provisions of Articles</w:t>
      </w:r>
      <w:r>
        <w:t xml:space="preserve"> </w:t>
      </w:r>
      <w:r>
        <w:t xml:space="preserve">258 and 259, refer the matter to the Court of Justice of the European Union direct.</w:t>
      </w:r>
      <w:r>
        <w:t xml:space="preserve"> </w:t>
      </w:r>
      <w:r>
        <w:t xml:space="preserve">On application by a Member State, the Council may, acting unanimously, decide that aid which</w:t>
      </w:r>
      <w:r>
        <w:t xml:space="preserve"> </w:t>
      </w:r>
      <w:r>
        <w:t xml:space="preserve">that State is granting or intends to grant shall be considered to be compatible with the internal</w:t>
      </w:r>
    </w:p>
    <w:p>
      <w:pPr>
        <w:pStyle w:val="FirstParagraph"/>
      </w:pPr>
      <w:r>
        <w:t xml:space="preserve">A-57</w:t>
      </w:r>
    </w:p>
    <w:p>
      <w:pPr>
        <w:pStyle w:val="BodyText"/>
      </w:pPr>
      <w:r>
        <w:t xml:space="preserve">market, in derogation from the provisions of Article 107 or from the regulations provided for</w:t>
      </w:r>
      <w:r>
        <w:t xml:space="preserve"> </w:t>
      </w:r>
      <w:r>
        <w:t xml:space="preserve">in Article 109, if such a decision is justified by exceptional circumstances. If, as regards the aid</w:t>
      </w:r>
      <w:r>
        <w:t xml:space="preserve"> </w:t>
      </w:r>
      <w:r>
        <w:t xml:space="preserve">in question, the Commission has already initiated the procedure provided for in the first</w:t>
      </w:r>
      <w:r>
        <w:t xml:space="preserve"> </w:t>
      </w:r>
      <w:r>
        <w:t xml:space="preserve">subparagraph of this paragraph, the fact that the State concerned has made its application to the</w:t>
      </w:r>
      <w:r>
        <w:t xml:space="preserve"> </w:t>
      </w:r>
      <w:r>
        <w:t xml:space="preserve">Council shall have the effect of suspending that procedure until the Council has made its attitude</w:t>
      </w:r>
      <w:r>
        <w:t xml:space="preserve"> </w:t>
      </w:r>
      <w:r>
        <w:t xml:space="preserve">known.</w:t>
      </w:r>
      <w:r>
        <w:t xml:space="preserve"> </w:t>
      </w:r>
      <w:r>
        <w:t xml:space="preserve">If, however, the Council has not made its attitude known within three months of the said</w:t>
      </w:r>
      <w:r>
        <w:t xml:space="preserve"> </w:t>
      </w:r>
      <w:r>
        <w:t xml:space="preserve">application being made, the Commission shall give its decision on the case.</w:t>
      </w:r>
      <w:r>
        <w:t xml:space="preserve"> </w:t>
      </w:r>
      <w:r>
        <w:t xml:space="preserve">3. The Commission shall be informed, in sufficient time to enable it to submit its comments, of</w:t>
      </w:r>
      <w:r>
        <w:t xml:space="preserve"> </w:t>
      </w:r>
      <w:r>
        <w:t xml:space="preserve">any plans to grant or alter aid. If it considers that any such plan is not compatible with the</w:t>
      </w:r>
      <w:r>
        <w:t xml:space="preserve"> </w:t>
      </w:r>
      <w:r>
        <w:t xml:space="preserve">internal market having regard to Article 107, it shall without delay initiate the procedure</w:t>
      </w:r>
      <w:r>
        <w:t xml:space="preserve"> </w:t>
      </w:r>
      <w:r>
        <w:t xml:space="preserve">provided for in paragraph 2. The Member State concerned shall not put its proposed measures</w:t>
      </w:r>
      <w:r>
        <w:t xml:space="preserve"> </w:t>
      </w:r>
      <w:r>
        <w:t xml:space="preserve">into effect until this procedure has resulted in a final decision.</w:t>
      </w:r>
      <w:r>
        <w:t xml:space="preserve"> </w:t>
      </w:r>
      <w:r>
        <w:t xml:space="preserve">4. The Commission may adopt regulations relating to the categories of State aid that the Council</w:t>
      </w:r>
      <w:r>
        <w:t xml:space="preserve"> </w:t>
      </w:r>
      <w:r>
        <w:t xml:space="preserve">has, pursuant to Article 109, determined may be exempted from the procedure provided for by</w:t>
      </w:r>
      <w:r>
        <w:t xml:space="preserve"> </w:t>
      </w:r>
      <w:r>
        <w:t xml:space="preserve">paragraph 3 of this Article.</w:t>
      </w:r>
      <w:r>
        <w:t xml:space="preserve"> </w:t>
      </w:r>
      <w:r>
        <w:t xml:space="preserve">Article 109</w:t>
      </w:r>
      <w:r>
        <w:t xml:space="preserve"> </w:t>
      </w:r>
      <w:r>
        <w:t xml:space="preserve">(ex Article 89 TEC)</w:t>
      </w:r>
      <w:r>
        <w:t xml:space="preserve"> </w:t>
      </w:r>
      <w:r>
        <w:t xml:space="preserve">The Council, on a proposal from the Commission and after consulting the European Parliament,</w:t>
      </w:r>
      <w:r>
        <w:t xml:space="preserve"> </w:t>
      </w:r>
      <w:r>
        <w:t xml:space="preserve">may make any appropriate regulations for the application of Articles 107 and 108 and may in</w:t>
      </w:r>
      <w:r>
        <w:t xml:space="preserve"> </w:t>
      </w:r>
      <w:r>
        <w:t xml:space="preserve">particular determine the conditions in which Article 108(3) shall apply and the categories of aid</w:t>
      </w:r>
      <w:r>
        <w:t xml:space="preserve"> </w:t>
      </w:r>
      <w:r>
        <w:t xml:space="preserve">exempted from this procedure.</w:t>
      </w:r>
    </w:p>
    <w:p>
      <w:pPr>
        <w:pStyle w:val="BodyText"/>
      </w:pPr>
      <w:r>
        <w:t xml:space="preserve">A-58</w:t>
      </w:r>
    </w:p>
    <w:p>
      <w:pPr>
        <w:pStyle w:val="BodyText"/>
      </w:pPr>
      <w:r>
        <w:t xml:space="preserve">ANNEX 10: SUMMARY OF THE PROVISIONS OF THE RGL</w:t>
      </w:r>
      <w:r>
        <w:t xml:space="preserve"> </w:t>
      </w:r>
      <w:r>
        <w:t xml:space="preserve">The RGL388 contain 8 sections, of which only section 6 on coordination of transport is still</w:t>
      </w:r>
      <w:r>
        <w:t xml:space="preserve"> </w:t>
      </w:r>
      <w:r>
        <w:t xml:space="preserve">relevant today. This Annex provides a short description of the content of the other sections of</w:t>
      </w:r>
      <w:r>
        <w:t xml:space="preserve"> </w:t>
      </w:r>
      <w:r>
        <w:t xml:space="preserve">the RGL, explaining why they are not relevant anymore, followed by a detailed description of</w:t>
      </w:r>
      <w:r>
        <w:t xml:space="preserve"> </w:t>
      </w:r>
      <w:r>
        <w:t xml:space="preserve">the compatibility criteria for section 6.</w:t>
      </w:r>
      <w:r>
        <w:t xml:space="preserve"> </w:t>
      </w:r>
      <w:r>
        <w:t xml:space="preserve">1. The other sections of the RGL</w:t>
      </w:r>
      <w:r>
        <w:t xml:space="preserve"> </w:t>
      </w:r>
      <w:r>
        <w:t xml:space="preserve">Sections 1 on the context and 8 on final provisions frame the text without setting out any</w:t>
      </w:r>
      <w:r>
        <w:t xml:space="preserve"> </w:t>
      </w:r>
      <w:r>
        <w:t xml:space="preserve">measures or compatibility conditions. Section 2 provides a short description of when public</w:t>
      </w:r>
      <w:r>
        <w:t xml:space="preserve"> </w:t>
      </w:r>
      <w:r>
        <w:t xml:space="preserve">financing of railway infrastructure could constitute aid to railway undertakings. Section 3 on</w:t>
      </w:r>
      <w:r>
        <w:t xml:space="preserve"> </w:t>
      </w:r>
      <w:r>
        <w:t xml:space="preserve">the purchase and renewal of rolling stock refers to the compatibility conditions of other GLs.</w:t>
      </w:r>
      <w:r>
        <w:t xml:space="preserve"> </w:t>
      </w:r>
      <w:r>
        <w:t xml:space="preserve">Section 4 on debt cancellation refers only to debt incurred prior to 15 March 2001. Section 5</w:t>
      </w:r>
      <w:r>
        <w:t xml:space="preserve"> </w:t>
      </w:r>
      <w:r>
        <w:t xml:space="preserve">on restructuring was only applicable to rail freight divisions of railway undertakings and</w:t>
      </w:r>
      <w:r>
        <w:t xml:space="preserve"> </w:t>
      </w:r>
      <w:r>
        <w:t xml:space="preserve">expired on 1 January 2010. Section 7 calls for the removal of unlimited State guarantees to</w:t>
      </w:r>
      <w:r>
        <w:t xml:space="preserve"> </w:t>
      </w:r>
      <w:r>
        <w:t xml:space="preserve">railway undertakings.</w:t>
      </w:r>
      <w:r>
        <w:br/>
      </w:r>
      <w:r>
        <w:t xml:space="preserve">2. The compatibility criteria for the measures falling under section 6 of the RGL</w:t>
      </w:r>
      <w:r>
        <w:t xml:space="preserve"> </w:t>
      </w:r>
      <w:r>
        <w:t xml:space="preserve">Section 6 refers to coordination of transport and lays down compatibility criteria for three types</w:t>
      </w:r>
      <w:r>
        <w:t xml:space="preserve"> </w:t>
      </w:r>
      <w:r>
        <w:t xml:space="preserve">of measures389:</w:t>
      </w:r>
      <w:r>
        <w:t xml:space="preserve"> </w:t>
      </w:r>
      <w:r>
        <w:t xml:space="preserve">• Operating aid for infrastructure use, i.e. aid granted to railway undertakings which</w:t>
      </w:r>
      <w:r>
        <w:t xml:space="preserve"> </w:t>
      </w:r>
      <w:r>
        <w:t xml:space="preserve">have to pay charges for the infrastructure they use, while undertakings providing</w:t>
      </w:r>
      <w:r>
        <w:t xml:space="preserve"> </w:t>
      </w:r>
      <w:r>
        <w:t xml:space="preserve">transport services from other modes do not have to do so (or have to do so to a lesser</w:t>
      </w:r>
      <w:r>
        <w:t xml:space="preserve"> </w:t>
      </w:r>
      <w:r>
        <w:t xml:space="preserve">extent);</w:t>
      </w:r>
      <w:r>
        <w:t xml:space="preserve"> </w:t>
      </w:r>
      <w:r>
        <w:t xml:space="preserve">• Operating aid for reducing external cost due to rail transport generating lower</w:t>
      </w:r>
      <w:r>
        <w:t xml:space="preserve"> </w:t>
      </w:r>
      <w:r>
        <w:t xml:space="preserve">external costs than other transport modes, such as road transport; and</w:t>
      </w:r>
      <w:r>
        <w:t xml:space="preserve"> </w:t>
      </w:r>
      <w:r>
        <w:t xml:space="preserve">• Investment aid for interoperability and for promoting greater safety, removing</w:t>
      </w:r>
      <w:r>
        <w:t xml:space="preserve"> </w:t>
      </w:r>
      <w:r>
        <w:t xml:space="preserve">technical barriers and reducing noise pollution in the rail sector.</w:t>
      </w:r>
      <w:r>
        <w:t xml:space="preserve"> </w:t>
      </w:r>
      <w:r>
        <w:t xml:space="preserve">The aid is considered compatible, if it is necessary, proportionate and not unduly distorting</w:t>
      </w:r>
      <w:r>
        <w:t xml:space="preserve"> </w:t>
      </w:r>
      <w:r>
        <w:t xml:space="preserve">competition. Section 6.3 of the RGL operationalises these compatibility conditions further.</w:t>
      </w:r>
      <w:r>
        <w:t xml:space="preserve"> </w:t>
      </w:r>
      <w:r>
        <w:t xml:space="preserve">For aid for infrastructure use, necessity and proportionality are presumed, as long as the aid</w:t>
      </w:r>
      <w:r>
        <w:t xml:space="preserve"> </w:t>
      </w:r>
      <w:r>
        <w:t xml:space="preserve">amount remains below 30% of the total cost of rail transport and 100% of the additional cost</w:t>
      </w:r>
      <w:r>
        <w:t xml:space="preserve"> </w:t>
      </w:r>
      <w:r>
        <w:t xml:space="preserve">for infrastructure use paid by rail transport compared to a more polluting competing transport</w:t>
      </w:r>
      <w:r>
        <w:t xml:space="preserve"> </w:t>
      </w:r>
      <w:r>
        <w:t xml:space="preserve">mode.</w:t>
      </w:r>
      <w:r>
        <w:br/>
      </w:r>
      <w:r>
        <w:t xml:space="preserve">For aid for the reduction of external costs, necessity and proportionality are presumed, as long</w:t>
      </w:r>
      <w:r>
        <w:t xml:space="preserve"> </w:t>
      </w:r>
      <w:r>
        <w:t xml:space="preserve">as the aid amount remains below 30% of the total cost of rail transport and 50% of the part of</w:t>
      </w:r>
    </w:p>
    <w:p>
      <w:pPr>
        <w:pStyle w:val="BodyText"/>
      </w:pPr>
      <w:r>
        <w:t xml:space="preserve">388 See footnote 5.</w:t>
      </w:r>
      <w:r>
        <w:t xml:space="preserve"> </w:t>
      </w:r>
      <w:r>
        <w:t xml:space="preserve">389 In addition, section 6.4 concerns aid for research and development. However, specific horizontal rules for such</w:t>
      </w:r>
      <w:r>
        <w:t xml:space="preserve"> </w:t>
      </w:r>
      <w:r>
        <w:t xml:space="preserve">measures have since superseded the RGL in the Communication from the Commission, Framework for State aid</w:t>
      </w:r>
      <w:r>
        <w:t xml:space="preserve"> </w:t>
      </w:r>
      <w:r>
        <w:t xml:space="preserve">for research and development and innovation, most recently from 2022, OJ C 414, 28.10.2022 and previously from</w:t>
      </w:r>
      <w:r>
        <w:t xml:space="preserve"> </w:t>
      </w:r>
      <w:r>
        <w:t xml:space="preserve">2014 (OJ C 198, 27.6.2014). Both texts state that the Commission will apply the principles set out in the</w:t>
      </w:r>
      <w:r>
        <w:t xml:space="preserve"> </w:t>
      </w:r>
      <w:r>
        <w:t xml:space="preserve">Framework concerned for the ‘compatibility assessment of all notified R&amp;D&amp;I aid’.</w:t>
      </w:r>
    </w:p>
    <w:p>
      <w:pPr>
        <w:pStyle w:val="BodyText"/>
      </w:pPr>
      <w:r>
        <w:t xml:space="preserve">A-59</w:t>
      </w:r>
    </w:p>
    <w:p>
      <w:pPr>
        <w:pStyle w:val="BodyText"/>
      </w:pPr>
      <w:r>
        <w:t xml:space="preserve">the external costs, which rail transport makes it possible to avoid compared with competing</w:t>
      </w:r>
      <w:r>
        <w:t xml:space="preserve"> </w:t>
      </w:r>
      <w:r>
        <w:t xml:space="preserve">transport modes.</w:t>
      </w:r>
      <w:r>
        <w:br/>
      </w:r>
      <w:r>
        <w:t xml:space="preserve">For both, in case there are several competing transport modes, the highest cost differential can</w:t>
      </w:r>
      <w:r>
        <w:t xml:space="preserve"> </w:t>
      </w:r>
      <w:r>
        <w:t xml:space="preserve">be applied. The calculation has to be based on a transparent, reasoned, quantified and public</w:t>
      </w:r>
      <w:r>
        <w:t xml:space="preserve"> </w:t>
      </w:r>
      <w:r>
        <w:t xml:space="preserve">cost analysis.</w:t>
      </w:r>
      <w:r>
        <w:t xml:space="preserve"> </w:t>
      </w:r>
      <w:r>
        <w:t xml:space="preserve">As regards aid for interoperability investments, necessity and proportionality are presumed, as</w:t>
      </w:r>
      <w:r>
        <w:t xml:space="preserve"> </w:t>
      </w:r>
      <w:r>
        <w:t xml:space="preserve">long as the aid amount remains below 50% of the investment costs relating to the installation</w:t>
      </w:r>
      <w:r>
        <w:t xml:space="preserve"> </w:t>
      </w:r>
      <w:r>
        <w:t xml:space="preserve">of safety systems and interoperability or noise reduction, in particular investments associated</w:t>
      </w:r>
      <w:r>
        <w:t xml:space="preserve"> </w:t>
      </w:r>
      <w:r>
        <w:t xml:space="preserve">with the deployment of ERTMS and any like measures.</w:t>
      </w:r>
      <w:r>
        <w:t xml:space="preserve"> </w:t>
      </w:r>
      <w:r>
        <w:t xml:space="preserve">Aid amounts above the thresholds are possible for all three categories, but Member States must</w:t>
      </w:r>
      <w:r>
        <w:t xml:space="preserve"> </w:t>
      </w:r>
      <w:r>
        <w:t xml:space="preserve">then demonstrate the necessity and proportionality of the measure which they propose.</w:t>
      </w:r>
      <w:r>
        <w:br/>
      </w:r>
      <w:r>
        <w:t xml:space="preserve">For all three categories, Member States have to prove that the aid has the effect of encouraging</w:t>
      </w:r>
      <w:r>
        <w:t xml:space="preserve"> </w:t>
      </w:r>
      <w:r>
        <w:t xml:space="preserve">the modal shift, i.e. that it is reflected in the price demanded from passengers or shippers (so-</w:t>
      </w:r>
      <w:r>
        <w:t xml:space="preserve"> </w:t>
      </w:r>
      <w:r>
        <w:t xml:space="preserve">called pass-on), as it is the latter who make the choice of the transport mode. For the two</w:t>
      </w:r>
      <w:r>
        <w:t xml:space="preserve"> </w:t>
      </w:r>
      <w:r>
        <w:t xml:space="preserve">operating aid categories, Member States also have to demonstrate that there is a realistic</w:t>
      </w:r>
      <w:r>
        <w:t xml:space="preserve"> </w:t>
      </w:r>
      <w:r>
        <w:t xml:space="preserve">prospect of keeping the traffic transferred to rail.</w:t>
      </w:r>
      <w:r>
        <w:t xml:space="preserve"> </w:t>
      </w:r>
      <w:r>
        <w:t xml:space="preserve">Finally, aid schemes can be approved for a maximum of 5 years.</w:t>
      </w:r>
    </w:p>
    <w:p>
      <w:pPr>
        <w:pStyle w:val="BodyText"/>
      </w:pPr>
      <w:r>
        <w:t xml:space="preserve">A-60</w:t>
      </w:r>
    </w:p>
    <w:p>
      <w:pPr>
        <w:pStyle w:val="BodyText"/>
      </w:pPr>
      <w:r>
        <w:t xml:space="preserve">ANNEX 11: DATA AND METHODOLOGY USED FOR DISAGGREGATING</w:t>
      </w:r>
      <w:r>
        <w:t xml:space="preserve"> </w:t>
      </w:r>
      <w:r>
        <w:t xml:space="preserve">THE ENVIRONMENTAL IMPACTS</w:t>
      </w:r>
      <w:r>
        <w:t xml:space="preserve"> </w:t>
      </w:r>
      <w:r>
        <w:t xml:space="preserve">The starting point for the calculations in Table 6 is the Commission Handbook on external</w:t>
      </w:r>
      <w:r>
        <w:t xml:space="preserve"> </w:t>
      </w:r>
      <w:r>
        <w:t xml:space="preserve">costs390, which contains data on environmental impacts for various transport modes. However,</w:t>
      </w:r>
      <w:r>
        <w:t xml:space="preserve"> </w:t>
      </w:r>
      <w:r>
        <w:t xml:space="preserve">additional data is required to compare the overall environmental impacts of SLT to those of</w:t>
      </w:r>
      <w:r>
        <w:t xml:space="preserve"> </w:t>
      </w:r>
      <w:r>
        <w:t xml:space="preserve">road transport.</w:t>
      </w:r>
      <w:r>
        <w:t xml:space="preserve"> </w:t>
      </w:r>
      <w:r>
        <w:t xml:space="preserve">The figures for the railway sector combine data on diesel and electric trains, and assume that</w:t>
      </w:r>
      <w:r>
        <w:t xml:space="preserve"> </w:t>
      </w:r>
      <w:r>
        <w:t xml:space="preserve">80% of rail traffic in the EU is electrified. The Draghi report noted that 80% of rail traffic takes</w:t>
      </w:r>
      <w:r>
        <w:t xml:space="preserve"> </w:t>
      </w:r>
      <w:r>
        <w:t xml:space="preserve">place on electrified tracks391. Moreover, in 2022, the share of electricity in the energy</w:t>
      </w:r>
      <w:r>
        <w:t xml:space="preserve"> </w:t>
      </w:r>
      <w:r>
        <w:t xml:space="preserve">consumption in rail transport was 78.9%, compared to 20.4% for diesel trains (the remaining</w:t>
      </w:r>
      <w:r>
        <w:t xml:space="preserve"> </w:t>
      </w:r>
      <w:r>
        <w:t xml:space="preserve">0.7% coming from biofuels)392. Since electric engines are more efficient than diesel ones, the</w:t>
      </w:r>
      <w:r>
        <w:t xml:space="preserve"> </w:t>
      </w:r>
      <w:r>
        <w:t xml:space="preserve">share of electric rail traffic should be higher than 78.9%. In the absence of more granular data,</w:t>
      </w:r>
      <w:r>
        <w:t xml:space="preserve"> </w:t>
      </w:r>
      <w:r>
        <w:t xml:space="preserve">this proportion is applied for both freight and passenger transport.</w:t>
      </w:r>
      <w:r>
        <w:br/>
      </w:r>
      <w:r>
        <w:t xml:space="preserve">The figures for SLT in the freight segment combine the figures for the rail and IWW sectors.</w:t>
      </w:r>
      <w:r>
        <w:t xml:space="preserve"> </w:t>
      </w:r>
      <w:r>
        <w:t xml:space="preserve">This calculation assumes that SLT in the freight segment consists of 77.3% rail traffic and</w:t>
      </w:r>
      <w:r>
        <w:t xml:space="preserve"> </w:t>
      </w:r>
      <w:r>
        <w:t xml:space="preserve">22.7% IWW traffic, consistent with the latest data from the EU statistical pocketbook for the</w:t>
      </w:r>
      <w:r>
        <w:t xml:space="preserve"> </w:t>
      </w:r>
      <w:r>
        <w:t xml:space="preserve">year 2025393. Data on the modal share and environmental impacts of short-sea shipping is not</w:t>
      </w:r>
      <w:r>
        <w:t xml:space="preserve"> </w:t>
      </w:r>
      <w:r>
        <w:t xml:space="preserve">available.</w:t>
      </w:r>
      <w:r>
        <w:br/>
      </w:r>
      <w:r>
        <w:t xml:space="preserve">In the freight segment, it is assumed that SLT competes specifically with heavy-goods vehicles,</w:t>
      </w:r>
      <w:r>
        <w:t xml:space="preserve"> </w:t>
      </w:r>
      <w:r>
        <w:t xml:space="preserve">i.e. trucks. Data on the environmental impacts of light commercial vehicles, such as delivery</w:t>
      </w:r>
      <w:r>
        <w:t xml:space="preserve"> </w:t>
      </w:r>
      <w:r>
        <w:t xml:space="preserve">vans, exists as well, and the environmental impacts of these vehicles per tonne or passenger-</w:t>
      </w:r>
      <w:r>
        <w:t xml:space="preserve"> </w:t>
      </w:r>
      <w:r>
        <w:t xml:space="preserve">kilometre are worse than for heavy-goods vehicles. This assumption is therefore conservative,</w:t>
      </w:r>
      <w:r>
        <w:t xml:space="preserve"> </w:t>
      </w:r>
      <w:r>
        <w:t xml:space="preserve">in terms of demonstrating how much more environmentally friendly SLT is compared to road</w:t>
      </w:r>
      <w:r>
        <w:t xml:space="preserve"> </w:t>
      </w:r>
      <w:r>
        <w:t xml:space="preserve">transport.</w:t>
      </w:r>
      <w:r>
        <w:br/>
      </w:r>
      <w:r>
        <w:t xml:space="preserve">The data on passenger road transport combine separate data from passenger cars, buses, coaches</w:t>
      </w:r>
      <w:r>
        <w:t xml:space="preserve"> </w:t>
      </w:r>
      <w:r>
        <w:t xml:space="preserve">and powered two-wheelers. It is assumed that in the passenger segment, the modal shares of</w:t>
      </w:r>
      <w:r>
        <w:t xml:space="preserve"> </w:t>
      </w:r>
      <w:r>
        <w:t xml:space="preserve">these modes are 88.7% for passenger cars, 8.9% in aggregate for buses and coaches (traffic is</w:t>
      </w:r>
      <w:r>
        <w:t xml:space="preserve"> </w:t>
      </w:r>
      <w:r>
        <w:t xml:space="preserve">split equally among both modes, in the absence of more granular data), and 2.4% for powered</w:t>
      </w:r>
      <w:r>
        <w:t xml:space="preserve"> </w:t>
      </w:r>
      <w:r>
        <w:t xml:space="preserve">two-wheelers, consistent with the latest data from the EU statistical pocketbook for the year</w:t>
      </w:r>
      <w:r>
        <w:t xml:space="preserve"> </w:t>
      </w:r>
      <w:r>
        <w:t xml:space="preserve">2025394.</w:t>
      </w:r>
      <w:r>
        <w:t xml:space="preserve"> </w:t>
      </w:r>
      <w:r>
        <w:t xml:space="preserve">Lastly, the costs of energy production or well-to-tank emissions consist essentially of emissions</w:t>
      </w:r>
      <w:r>
        <w:t xml:space="preserve"> </w:t>
      </w:r>
      <w:r>
        <w:t xml:space="preserve">of air pollutants and GHG emissions, and are spread equally across those two categories.</w:t>
      </w:r>
    </w:p>
    <w:p>
      <w:pPr>
        <w:pStyle w:val="BodyText"/>
      </w:pPr>
      <w:r>
        <w:t xml:space="preserve">390 See footnote 83.</w:t>
      </w:r>
      <w:r>
        <w:t xml:space="preserve"> </w:t>
      </w:r>
      <w:r>
        <w:t xml:space="preserve">391 See footnote 49.</w:t>
      </w:r>
      <w:r>
        <w:t xml:space="preserve"> </w:t>
      </w:r>
      <w:r>
        <w:t xml:space="preserve">392</w:t>
      </w:r>
      <w:r>
        <w:t xml:space="preserve"> </w:t>
      </w:r>
      <w:r>
        <w:t xml:space="preserve">https://ec.europa.eu/eurostat/statistics-explained/index.php?title=Final_energy_consumption_in_transport_-</w:t>
      </w:r>
      <w:r>
        <w:t xml:space="preserve"> </w:t>
      </w:r>
      <w:r>
        <w:t xml:space="preserve">_detailed_statistics.</w:t>
      </w:r>
      <w:r>
        <w:br/>
      </w:r>
      <w:r>
        <w:t xml:space="preserve">393 See footnote 55.</w:t>
      </w:r>
      <w:r>
        <w:br/>
      </w:r>
      <w:r>
        <w:t xml:space="preserve">394 See footnote 55.</w:t>
      </w:r>
    </w:p>
    <w:p>
      <w:pPr>
        <w:pStyle w:val="BodyText"/>
      </w:pPr>
      <w:r>
        <w:t xml:space="preserve">A-61</w:t>
      </w:r>
    </w:p>
    <w:p>
      <w:pPr>
        <w:pStyle w:val="BodyText"/>
      </w:pPr>
      <w:r>
        <w:t xml:space="preserve">ANNEX 12: MONITORING AND EVALUATION</w:t>
      </w:r>
      <w:r>
        <w:t xml:space="preserve"> </w:t>
      </w:r>
      <w:r>
        <w:t xml:space="preserve">Objective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 of data</w:t>
      </w:r>
      <w:r>
        <w:t xml:space="preserve"> </w:t>
      </w:r>
      <w:r>
        <w:t xml:space="preserve">General</w:t>
      </w:r>
      <w:r>
        <w:t xml:space="preserve"> </w:t>
      </w:r>
      <w:r>
        <w:t xml:space="preserve">objective:</w:t>
      </w:r>
      <w:r>
        <w:t xml:space="preserve"> </w:t>
      </w:r>
      <w:r>
        <w:t xml:space="preserve">contribute to a</w:t>
      </w:r>
      <w:r>
        <w:t xml:space="preserve"> </w:t>
      </w:r>
      <w:r>
        <w:t xml:space="preserve">modal</w:t>
      </w:r>
      <w:r>
        <w:t xml:space="preserve"> </w:t>
      </w:r>
      <w:r>
        <w:t xml:space="preserve">shift</w:t>
      </w:r>
      <w:r>
        <w:t xml:space="preserve"> </w:t>
      </w:r>
      <w:r>
        <w:t xml:space="preserve">towards</w:t>
      </w:r>
      <w:r>
        <w:t xml:space="preserve"> </w:t>
      </w:r>
      <w:r>
        <w:t xml:space="preserve">SLT</w:t>
      </w:r>
      <w:r>
        <w:t xml:space="preserve"> </w:t>
      </w:r>
      <w:r>
        <w:t xml:space="preserve">modes</w:t>
      </w:r>
      <w:r>
        <w:t xml:space="preserve"> </w:t>
      </w:r>
      <w:r>
        <w:t xml:space="preserve">Change in amounts of aid</w:t>
      </w:r>
      <w:r>
        <w:t xml:space="preserve"> </w:t>
      </w:r>
      <w:r>
        <w:t xml:space="preserve">approved</w:t>
      </w:r>
      <w:r>
        <w:t xml:space="preserve"> </w:t>
      </w:r>
      <w:r>
        <w:t xml:space="preserve">for</w:t>
      </w:r>
      <w:r>
        <w:t xml:space="preserve"> </w:t>
      </w:r>
      <w:r>
        <w:t xml:space="preserve">SLT</w:t>
      </w:r>
      <w:r>
        <w:t xml:space="preserve"> </w:t>
      </w:r>
      <w:r>
        <w:t xml:space="preserve">(aid</w:t>
      </w:r>
      <w:r>
        <w:t xml:space="preserve"> </w:t>
      </w:r>
      <w:r>
        <w:t xml:space="preserve">approved under revised GLs</w:t>
      </w:r>
      <w:r>
        <w:t xml:space="preserve"> </w:t>
      </w:r>
      <w:r>
        <w:t xml:space="preserve">and the TBER) (a)</w:t>
      </w:r>
      <w:r>
        <w:t xml:space="preserve"> </w:t>
      </w:r>
      <w:r>
        <w:t xml:space="preserve">Database of State aid cases, administered by the</w:t>
      </w:r>
      <w:r>
        <w:t xml:space="preserve"> </w:t>
      </w:r>
      <w:r>
        <w:t xml:space="preserve">Commission based on Member States’ notifications and</w:t>
      </w:r>
      <w:r>
        <w:t xml:space="preserve"> </w:t>
      </w:r>
      <w:r>
        <w:t xml:space="preserve">information sheets (for block exempted measures):</w:t>
      </w:r>
      <w:r>
        <w:t xml:space="preserve"> </w:t>
      </w:r>
      <w:r>
        <w:t xml:space="preserve">https://competition-</w:t>
      </w:r>
      <w:r>
        <w:t xml:space="preserve"> </w:t>
      </w:r>
      <w:r>
        <w:t xml:space="preserve">cases.ec.europa.eu/search?caseInstrument=SA</w:t>
      </w:r>
    </w:p>
    <w:p>
      <w:pPr>
        <w:pStyle w:val="BodyText"/>
      </w:pPr>
      <w:r>
        <w:t xml:space="preserve">The State aid Scoreboard and the related annual reports:</w:t>
      </w:r>
      <w:r>
        <w:t xml:space="preserve"> </w:t>
      </w:r>
      <w:r>
        <w:t xml:space="preserve">https://competition-policy.ec.europa.eu/state-</w:t>
      </w:r>
      <w:r>
        <w:t xml:space="preserve"> </w:t>
      </w:r>
      <w:r>
        <w:t xml:space="preserve">aid/scoreboard_en</w:t>
      </w:r>
      <w:r>
        <w:br/>
      </w:r>
      <w:r>
        <w:t xml:space="preserve">Number of measures and</w:t>
      </w:r>
      <w:r>
        <w:t xml:space="preserve"> </w:t>
      </w:r>
      <w:r>
        <w:t xml:space="preserve">amounts of aid under the</w:t>
      </w:r>
      <w:r>
        <w:t xml:space="preserve"> </w:t>
      </w:r>
      <w:r>
        <w:t xml:space="preserve">TBER,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number of measures and</w:t>
      </w:r>
      <w:r>
        <w:t xml:space="preserve"> </w:t>
      </w:r>
      <w:r>
        <w:t xml:space="preserve">amounts approved under the</w:t>
      </w:r>
      <w:r>
        <w:t xml:space="preserve"> </w:t>
      </w:r>
      <w:r>
        <w:t xml:space="preserve">revised GLs (c)</w:t>
      </w:r>
    </w:p>
    <w:p>
      <w:pPr>
        <w:pStyle w:val="BodyText"/>
      </w:pPr>
      <w:r>
        <w:t xml:space="preserve">Database of State aid cases, administered by the</w:t>
      </w:r>
      <w:r>
        <w:t xml:space="preserve"> </w:t>
      </w:r>
      <w:r>
        <w:t xml:space="preserve">Commission based on Member States’ notifications and</w:t>
      </w:r>
      <w:r>
        <w:t xml:space="preserve"> </w:t>
      </w:r>
      <w:r>
        <w:t xml:space="preserve">information sheets (for block exempted measures):</w:t>
      </w:r>
      <w:r>
        <w:t xml:space="preserve"> </w:t>
      </w:r>
      <w:r>
        <w:t xml:space="preserve">https://competition-</w:t>
      </w:r>
      <w:r>
        <w:t xml:space="preserve"> </w:t>
      </w:r>
      <w:r>
        <w:t xml:space="preserve">cases.ec.europa.eu/search?caseInstrument=SA</w:t>
      </w:r>
      <w:r>
        <w:t xml:space="preserve"> </w:t>
      </w:r>
      <w:r>
        <w:t xml:space="preserve">Duration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aid</w:t>
      </w:r>
      <w:r>
        <w:t xml:space="preserve"> </w:t>
      </w:r>
      <w:r>
        <w:t xml:space="preserve">procedures in SLT sector</w:t>
      </w:r>
      <w:r>
        <w:t xml:space="preserve"> </w:t>
      </w:r>
      <w:r>
        <w:t xml:space="preserve">Commission internal databases</w:t>
      </w:r>
      <w:r>
        <w:t xml:space="preserve"> </w:t>
      </w:r>
      <w:r>
        <w:t xml:space="preserve">Change in share of SLT</w:t>
      </w:r>
      <w:r>
        <w:t xml:space="preserve"> </w:t>
      </w:r>
      <w:r>
        <w:t xml:space="preserve">modes in passenger transport</w:t>
      </w:r>
      <w:r>
        <w:t xml:space="preserve"> </w:t>
      </w:r>
      <w:r>
        <w:t xml:space="preserve">(b)</w:t>
      </w:r>
      <w:r>
        <w:t xml:space="preserve"> </w:t>
      </w:r>
      <w:r>
        <w:t xml:space="preserve">Eurostat statistics on passenger transport:</w:t>
      </w:r>
      <w:r>
        <w:br/>
      </w:r>
      <w:r>
        <w:t xml:space="preserve">-</w:t>
      </w:r>
      <w:r>
        <w:t xml:space="preserve"> </w:t>
      </w:r>
      <w:r>
        <w:t xml:space="preserve">Expressed as a share in total number of passenger</w:t>
      </w:r>
      <w:r>
        <w:t xml:space="preserve"> </w:t>
      </w:r>
      <w:r>
        <w:t xml:space="preserve">kilometres (tran_hv_psmod)</w:t>
      </w:r>
      <w:r>
        <w:t xml:space="preserve"> </w:t>
      </w:r>
      <w:r>
        <w:t xml:space="preserve">Change in share of SLT</w:t>
      </w:r>
      <w:r>
        <w:t xml:space="preserve"> </w:t>
      </w:r>
      <w:r>
        <w:t xml:space="preserve">modes in freight transport (b)</w:t>
      </w:r>
      <w:r>
        <w:t xml:space="preserve"> </w:t>
      </w:r>
      <w:r>
        <w:t xml:space="preserve">Eurostat statistics on freight transport:</w:t>
      </w:r>
      <w:r>
        <w:br/>
      </w:r>
      <w:r>
        <w:t xml:space="preserve">-</w:t>
      </w:r>
      <w:r>
        <w:t xml:space="preserve"> </w:t>
      </w:r>
      <w:r>
        <w:t xml:space="preserve">Expressed as a share in total number of tonne-</w:t>
      </w:r>
      <w:r>
        <w:t xml:space="preserve"> </w:t>
      </w:r>
      <w:r>
        <w:t xml:space="preserve">kilometres (tran_hv_frmod)</w:t>
      </w:r>
      <w:r>
        <w:t xml:space="preserve"> </w:t>
      </w:r>
      <w:r>
        <w:t xml:space="preserve">Reduce</w:t>
      </w:r>
      <w:r>
        <w:t xml:space="preserve"> </w:t>
      </w:r>
      <w:r>
        <w:t xml:space="preserve">the</w:t>
      </w:r>
      <w:r>
        <w:t xml:space="preserve"> </w:t>
      </w:r>
      <w:r>
        <w:t xml:space="preserve">external</w:t>
      </w:r>
      <w:r>
        <w:t xml:space="preserve"> </w:t>
      </w:r>
      <w:r>
        <w:t xml:space="preserve">cost</w:t>
      </w:r>
      <w:r>
        <w:t xml:space="preserve"> </w:t>
      </w:r>
      <w:r>
        <w:t xml:space="preserve">gap</w:t>
      </w:r>
      <w:r>
        <w:t xml:space="preserve"> </w:t>
      </w:r>
      <w:r>
        <w:t xml:space="preserve">between</w:t>
      </w:r>
      <w:r>
        <w:t xml:space="preserve"> </w:t>
      </w:r>
      <w:r>
        <w:t xml:space="preserve">road and SLT</w:t>
      </w:r>
      <w:r>
        <w:t xml:space="preserve"> </w:t>
      </w:r>
      <w:r>
        <w:t xml:space="preserve">(SO1)</w:t>
      </w:r>
      <w:r>
        <w:t xml:space="preserve"> </w:t>
      </w:r>
      <w:r>
        <w:t xml:space="preserve">Change</w:t>
      </w:r>
      <w:r>
        <w:t xml:space="preserve"> </w:t>
      </w:r>
      <w:r>
        <w:t xml:space="preserve">in</w:t>
      </w:r>
      <w:r>
        <w:t xml:space="preserve"> </w:t>
      </w:r>
      <w:r>
        <w:t xml:space="preserve">amounts</w:t>
      </w:r>
      <w:r>
        <w:t xml:space="preserve"> </w:t>
      </w:r>
      <w:r>
        <w:t xml:space="preserve">and</w:t>
      </w:r>
      <w:r>
        <w:t xml:space="preserve"> </w:t>
      </w:r>
      <w:r>
        <w:t xml:space="preserve">intensities of operating aid</w:t>
      </w:r>
      <w:r>
        <w:t xml:space="preserve"> </w:t>
      </w:r>
      <w:r>
        <w:t xml:space="preserve">approved (a)</w:t>
      </w:r>
      <w:r>
        <w:t xml:space="preserve"> </w:t>
      </w:r>
      <w:r>
        <w:t xml:space="preserve">Database of State aid cases, administered by the</w:t>
      </w:r>
      <w:r>
        <w:t xml:space="preserve"> </w:t>
      </w:r>
      <w:r>
        <w:t xml:space="preserve">Commission based on Member States’ notifications and</w:t>
      </w:r>
      <w:r>
        <w:t xml:space="preserve"> </w:t>
      </w:r>
      <w:r>
        <w:t xml:space="preserve">information sheets (for block exempted measures):</w:t>
      </w:r>
      <w:r>
        <w:t xml:space="preserve"> </w:t>
      </w:r>
      <w:r>
        <w:t xml:space="preserve">https://competition-</w:t>
      </w:r>
      <w:r>
        <w:t xml:space="preserve"> </w:t>
      </w:r>
      <w:r>
        <w:t xml:space="preserve">cases.ec.europa.eu/search?caseInstrument=SA</w:t>
      </w:r>
    </w:p>
    <w:p>
      <w:pPr>
        <w:pStyle w:val="BodyText"/>
      </w:pPr>
      <w:r>
        <w:t xml:space="preserve">Prices for rail or IWW</w:t>
      </w:r>
      <w:r>
        <w:t xml:space="preserve"> </w:t>
      </w:r>
      <w:r>
        <w:t xml:space="preserve">transport compared to those of</w:t>
      </w:r>
      <w:r>
        <w:t xml:space="preserve"> </w:t>
      </w:r>
      <w:r>
        <w:t xml:space="preserve">road and air transport</w:t>
      </w:r>
      <w:r>
        <w:t xml:space="preserve"> </w:t>
      </w:r>
      <w:r>
        <w:t xml:space="preserve">Eurostat datasets on HICP and the detailed decompositions</w:t>
      </w:r>
      <w:r>
        <w:t xml:space="preserve"> </w:t>
      </w:r>
      <w:r>
        <w:t xml:space="preserve">(prc_hicp_aind)</w:t>
      </w:r>
      <w:r>
        <w:t xml:space="preserve"> </w:t>
      </w:r>
      <w:r>
        <w:t xml:space="preserve">Change in total rail passenger</w:t>
      </w:r>
      <w:r>
        <w:t xml:space="preserve"> </w:t>
      </w:r>
      <w:r>
        <w:t xml:space="preserve">use (b) (d) (e)</w:t>
      </w:r>
      <w:r>
        <w:t xml:space="preserve"> </w:t>
      </w:r>
      <w:r>
        <w:t xml:space="preserve">Eurostat statistics on passenger transport:</w:t>
      </w:r>
      <w:r>
        <w:br/>
      </w:r>
      <w:r>
        <w:t xml:space="preserve">-</w:t>
      </w:r>
      <w:r>
        <w:t xml:space="preserve"> </w:t>
      </w:r>
      <w:r>
        <w:t xml:space="preserve">Expressed in number of passenger-kilometres using</w:t>
      </w:r>
      <w:r>
        <w:t xml:space="preserve"> </w:t>
      </w:r>
      <w:r>
        <w:t xml:space="preserve">rail (rail_pa_total)</w:t>
      </w:r>
    </w:p>
    <w:p>
      <w:pPr>
        <w:pStyle w:val="BodyText"/>
      </w:pPr>
      <w:r>
        <w:t xml:space="preserve">Change in total rail or IWW</w:t>
      </w:r>
      <w:r>
        <w:t xml:space="preserve"> </w:t>
      </w:r>
      <w:r>
        <w:t xml:space="preserve">freight use (b) (d) (e)</w:t>
      </w:r>
    </w:p>
    <w:bookmarkStart w:id="9" w:name="eurostat-statistics-on-freight-transport"/>
    <w:p>
      <w:pPr>
        <w:pStyle w:val="Heading2"/>
      </w:pPr>
      <w:r>
        <w:t xml:space="preserve">Eurostat statistics on freight transport:</w:t>
      </w:r>
    </w:p>
    <w:p>
      <w:pPr>
        <w:pStyle w:val="FirstParagraph"/>
      </w:pPr>
      <w:r>
        <w:t xml:space="preserve">Expressed in number of million tonne-kilometres using</w:t>
      </w:r>
      <w:r>
        <w:t xml:space="preserve"> </w:t>
      </w:r>
      <w:r>
        <w:t xml:space="preserve">rail (rail_go_total) and using IWW (iww_go_atygo)</w:t>
      </w:r>
    </w:p>
    <w:p>
      <w:pPr>
        <w:pStyle w:val="BodyText"/>
      </w:pPr>
      <w:r>
        <w:t xml:space="preserve">A-62</w:t>
      </w:r>
    </w:p>
    <w:p>
      <w:pPr>
        <w:pStyle w:val="BodyText"/>
      </w:pPr>
      <w:r>
        <w:t xml:space="preserve">Objective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 of data</w:t>
      </w:r>
      <w:r>
        <w:t xml:space="preserve"> </w:t>
      </w:r>
      <w:r>
        <w:t xml:space="preserve">Accelerate the</w:t>
      </w:r>
      <w:r>
        <w:t xml:space="preserve"> </w:t>
      </w:r>
      <w:r>
        <w:t xml:space="preserve">rollout</w:t>
      </w:r>
      <w:r>
        <w:t xml:space="preserve"> </w:t>
      </w:r>
      <w:r>
        <w:t xml:space="preserve">of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technologies</w:t>
      </w:r>
      <w:r>
        <w:t xml:space="preserve"> </w:t>
      </w:r>
      <w:r>
        <w:t xml:space="preserve">(SO2)</w:t>
      </w:r>
    </w:p>
    <w:p>
      <w:pPr>
        <w:pStyle w:val="BodyText"/>
      </w:pP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ERTMS</w:t>
      </w:r>
      <w:r>
        <w:t xml:space="preserve"> </w:t>
      </w:r>
      <w:r>
        <w:t xml:space="preserve">deployment – evolution of</w:t>
      </w:r>
      <w:r>
        <w:t xml:space="preserve"> </w:t>
      </w:r>
      <w:r>
        <w:t xml:space="preserve">trains equipped with ERTMS</w:t>
      </w:r>
      <w:r>
        <w:t xml:space="preserve"> </w:t>
      </w:r>
      <w:r>
        <w:t xml:space="preserve">(b)</w:t>
      </w:r>
    </w:p>
    <w:p>
      <w:pPr>
        <w:pStyle w:val="BodyText"/>
      </w:pPr>
      <w:r>
        <w:t xml:space="preserve">https://transport.ec.europa.eu/transport-</w:t>
      </w:r>
      <w:r>
        <w:t xml:space="preserve"> </w:t>
      </w:r>
      <w:r>
        <w:t xml:space="preserve">modes/rail/ertms/state-play_en</w:t>
      </w:r>
      <w:r>
        <w:br/>
      </w:r>
      <w:r>
        <w:t xml:space="preserve">Improve access</w:t>
      </w:r>
      <w:r>
        <w:t xml:space="preserve"> </w:t>
      </w:r>
      <w:r>
        <w:t xml:space="preserve">to finance for</w:t>
      </w:r>
      <w:r>
        <w:t xml:space="preserve"> </w:t>
      </w:r>
      <w:r>
        <w:t xml:space="preserve">SMEs and new</w:t>
      </w:r>
      <w:r>
        <w:t xml:space="preserve"> </w:t>
      </w:r>
      <w:r>
        <w:t xml:space="preserve">entrants (SO3)</w:t>
      </w:r>
      <w:r>
        <w:t xml:space="preserve"> </w:t>
      </w:r>
      <w:r>
        <w:t xml:space="preserve">Amounts of State aid granted</w:t>
      </w:r>
      <w:r>
        <w:t xml:space="preserve"> </w:t>
      </w:r>
      <w:r>
        <w:t xml:space="preserve">to the incumbent companies</w:t>
      </w:r>
      <w:r>
        <w:t xml:space="preserve"> </w:t>
      </w:r>
      <w:r>
        <w:t xml:space="preserve">compared to new entrants (e)</w:t>
      </w:r>
      <w:r>
        <w:t xml:space="preserve"> </w:t>
      </w:r>
      <w:r>
        <w:t xml:space="preserve">State</w:t>
      </w:r>
      <w:r>
        <w:t xml:space="preserve"> </w:t>
      </w:r>
      <w:r>
        <w:t xml:space="preserve">aid</w:t>
      </w:r>
      <w:r>
        <w:t xml:space="preserve"> </w:t>
      </w:r>
      <w:r>
        <w:t xml:space="preserve">transparency</w:t>
      </w:r>
      <w:r>
        <w:t xml:space="preserve"> </w:t>
      </w:r>
      <w:r>
        <w:t xml:space="preserve">award</w:t>
      </w:r>
      <w:r>
        <w:t xml:space="preserve"> </w:t>
      </w:r>
      <w:r>
        <w:t xml:space="preserve">module:</w:t>
      </w:r>
      <w:r>
        <w:t xml:space="preserve"> </w:t>
      </w:r>
      <w:r>
        <w:t xml:space="preserve">https://webgate.ec.europa.eu/competition/transparency/pu</w:t>
      </w:r>
      <w:r>
        <w:t xml:space="preserve"> </w:t>
      </w:r>
      <w:r>
        <w:t xml:space="preserve">blic?lang=en</w:t>
      </w:r>
    </w:p>
    <w:p>
      <w:pPr>
        <w:pStyle w:val="BodyText"/>
      </w:pPr>
      <w:r>
        <w:t xml:space="preserve">Change in market share of</w:t>
      </w:r>
      <w:r>
        <w:t xml:space="preserve"> </w:t>
      </w:r>
      <w:r>
        <w:t xml:space="preserve">new entrants</w:t>
      </w:r>
    </w:p>
    <w:p>
      <w:pPr>
        <w:pStyle w:val="BodyText"/>
      </w:pPr>
      <w:r>
        <w:t xml:space="preserve">Monitoring report on the development of the rail market</w:t>
      </w:r>
      <w:r>
        <w:t xml:space="preserve"> </w:t>
      </w:r>
      <w:r>
        <w:t xml:space="preserve">under Article 15(4) of Directive 2012/34/EU</w:t>
      </w:r>
      <w:r>
        <w:br/>
      </w:r>
      <w:r>
        <w:t xml:space="preserve">https://transport.ec.europa.eu/transport-</w:t>
      </w:r>
      <w:r>
        <w:t xml:space="preserve"> </w:t>
      </w:r>
      <w:r>
        <w:t xml:space="preserve">modes/rail/market/rail-market-monitoring-rmms_en</w:t>
      </w:r>
      <w:r>
        <w:br/>
      </w:r>
      <w:r>
        <w:t xml:space="preserve">Improve access</w:t>
      </w:r>
      <w:r>
        <w:t xml:space="preserve"> </w:t>
      </w:r>
      <w:r>
        <w:t xml:space="preserve">to facilities and</w:t>
      </w:r>
      <w:r>
        <w:t xml:space="preserve"> </w:t>
      </w:r>
      <w:r>
        <w:t xml:space="preserve">private sidings</w:t>
      </w:r>
      <w:r>
        <w:t xml:space="preserve"> </w:t>
      </w:r>
      <w:r>
        <w:t xml:space="preserve">(SO4)</w:t>
      </w:r>
      <w:r>
        <w:t xml:space="preserve"> </w:t>
      </w:r>
      <w:r>
        <w:t xml:space="preserve">Change in the number of</w:t>
      </w:r>
      <w:r>
        <w:t xml:space="preserve"> </w:t>
      </w:r>
      <w:r>
        <w:t xml:space="preserve">multimodal</w:t>
      </w:r>
      <w:r>
        <w:t xml:space="preserve"> </w:t>
      </w:r>
      <w:r>
        <w:t xml:space="preserve">terminals</w:t>
      </w:r>
      <w:r>
        <w:t xml:space="preserve"> </w:t>
      </w:r>
      <w:r>
        <w:t xml:space="preserve">(in</w:t>
      </w:r>
      <w:r>
        <w:t xml:space="preserve"> </w:t>
      </w:r>
      <w:r>
        <w:t xml:space="preserve">particular those modernized to</w:t>
      </w:r>
      <w:r>
        <w:t xml:space="preserve"> </w:t>
      </w:r>
      <w:r>
        <w:t xml:space="preserve">handle trains of 750m)</w:t>
      </w:r>
      <w:r>
        <w:t xml:space="preserve"> </w:t>
      </w:r>
      <w:r>
        <w:t xml:space="preserve">https://webgate.ec.europa.eu/tentec-</w:t>
      </w:r>
      <w:r>
        <w:t xml:space="preserve"> </w:t>
      </w:r>
      <w:r>
        <w:t xml:space="preserve">maps/web/public/screen/home</w:t>
      </w:r>
      <w:r>
        <w:t xml:space="preserve"> </w:t>
      </w:r>
      <w:r>
        <w:t xml:space="preserve">Change in the number and</w:t>
      </w:r>
      <w:r>
        <w:t xml:space="preserve"> </w:t>
      </w:r>
      <w:r>
        <w:t xml:space="preserve">length of private sidings</w:t>
      </w:r>
      <w:r>
        <w:t xml:space="preserve"> </w:t>
      </w:r>
      <w:r>
        <w:t xml:space="preserve">National Rail Regulators</w:t>
      </w:r>
      <w:r>
        <w:t xml:space="preserve"> </w:t>
      </w:r>
      <w:r>
        <w:t xml:space="preserve">Change in use of multimodal</w:t>
      </w:r>
      <w:r>
        <w:t xml:space="preserve"> </w:t>
      </w:r>
      <w:r>
        <w:t xml:space="preserve">transport containers in freight</w:t>
      </w:r>
      <w:r>
        <w:t xml:space="preserve"> </w:t>
      </w:r>
      <w:r>
        <w:t xml:space="preserve">transport</w:t>
      </w:r>
      <w:r>
        <w:t xml:space="preserve"> </w:t>
      </w:r>
      <w:r>
        <w:t xml:space="preserve">Eurostat statistics:</w:t>
      </w:r>
      <w:r>
        <w:t xml:space="preserve"> </w:t>
      </w:r>
      <w:r>
        <w:t xml:space="preserve">Expressed in the usage of Intermodal Transport Units in</w:t>
      </w:r>
      <w:r>
        <w:t xml:space="preserve"> </w:t>
      </w:r>
      <w:r>
        <w:t xml:space="preserve">total</w:t>
      </w:r>
      <w:r>
        <w:t xml:space="preserve"> </w:t>
      </w:r>
      <w:r>
        <w:t xml:space="preserve">goods</w:t>
      </w:r>
      <w:r>
        <w:t xml:space="preserve"> </w:t>
      </w:r>
      <w:r>
        <w:t xml:space="preserve">transported</w:t>
      </w:r>
      <w:r>
        <w:t xml:space="preserve"> </w:t>
      </w:r>
      <w:r>
        <w:t xml:space="preserve">by</w:t>
      </w:r>
      <w:r>
        <w:t xml:space="preserve"> </w:t>
      </w:r>
      <w:r>
        <w:t xml:space="preserve">mode</w:t>
      </w:r>
      <w:r>
        <w:t xml:space="preserve"> </w:t>
      </w:r>
      <w:r>
        <w:t xml:space="preserve">of</w:t>
      </w:r>
      <w:r>
        <w:t xml:space="preserve"> </w:t>
      </w:r>
      <w:r>
        <w:t xml:space="preserve">transport</w:t>
      </w:r>
      <w:r>
        <w:t xml:space="preserve"> </w:t>
      </w:r>
      <w:r>
        <w:t xml:space="preserve">(tran_im_umod)</w:t>
      </w:r>
      <w:r>
        <w:br/>
      </w:r>
      <w:r>
        <w:t xml:space="preserve">Change in use of multimodal</w:t>
      </w:r>
      <w:r>
        <w:t xml:space="preserve"> </w:t>
      </w:r>
      <w:r>
        <w:t xml:space="preserve">transport containers in rail</w:t>
      </w:r>
      <w:r>
        <w:t xml:space="preserve"> </w:t>
      </w:r>
      <w:r>
        <w:t xml:space="preserve">transport</w:t>
      </w:r>
      <w:r>
        <w:t xml:space="preserve"> </w:t>
      </w:r>
      <w:r>
        <w:t xml:space="preserve">Eurostat statistics related to the use of ITUs in rail transport</w:t>
      </w:r>
      <w:r>
        <w:t xml:space="preserve"> </w:t>
      </w:r>
      <w:r>
        <w:t xml:space="preserve">(tran_im_urail)</w:t>
      </w:r>
      <w:r>
        <w:t xml:space="preserve"> </w:t>
      </w:r>
      <w:r>
        <w:t xml:space="preserve">Change in use of freight</w:t>
      </w:r>
      <w:r>
        <w:t xml:space="preserve"> </w:t>
      </w:r>
      <w:r>
        <w:t xml:space="preserve">transport by IWW and the use</w:t>
      </w:r>
      <w:r>
        <w:t xml:space="preserve"> </w:t>
      </w:r>
      <w:r>
        <w:t xml:space="preserve">of multimodal containers</w:t>
      </w:r>
      <w:r>
        <w:t xml:space="preserve"> </w:t>
      </w:r>
      <w:r>
        <w:t xml:space="preserve">Eurostat statistics:</w:t>
      </w:r>
      <w:r>
        <w:t xml:space="preserve"> </w:t>
      </w:r>
      <w:r>
        <w:t xml:space="preserve">-</w:t>
      </w:r>
      <w:r>
        <w:t xml:space="preserve"> </w:t>
      </w:r>
      <w:r>
        <w:t xml:space="preserve">Transported volumes by IWW (iww_go_atygo)</w:t>
      </w:r>
      <w:r>
        <w:t xml:space="preserve"> </w:t>
      </w:r>
      <w:r>
        <w:t xml:space="preserve">Use of Intermodal Transport Units in IWW transport</w:t>
      </w:r>
      <w:r>
        <w:t xml:space="preserve"> </w:t>
      </w:r>
      <w:r>
        <w:t xml:space="preserve">(tran_im_uiww)</w:t>
      </w:r>
      <w:r>
        <w:t xml:space="preserve"> </w:t>
      </w:r>
      <w:r>
        <w:t xml:space="preserve">The indicators above will be compared primarily to their own level in the period before the adoption of the revised</w:t>
      </w:r>
      <w:r>
        <w:t xml:space="preserve"> </w:t>
      </w:r>
      <w:r>
        <w:t xml:space="preserve">rules, in order to quantify how the revision of the rules impacted them. A disaggregation by Member State is also</w:t>
      </w:r>
      <w:r>
        <w:t xml:space="preserve"> </w:t>
      </w:r>
      <w:r>
        <w:t xml:space="preserve">possible. In addition, in some cases, other indicators can be used as basis for comparison or as control factors in</w:t>
      </w:r>
      <w:r>
        <w:t xml:space="preserve"> </w:t>
      </w:r>
      <w:r>
        <w:t xml:space="preserve">order to better isolate the effect of the changes in the rules. These are described below:</w:t>
      </w:r>
      <w:r>
        <w:br/>
      </w:r>
      <w:r>
        <w:t xml:space="preserve">(a) The indicator can be compared also with the changes in amounts of State aid approved for all sectors</w:t>
      </w:r>
      <w:r>
        <w:t xml:space="preserve"> </w:t>
      </w:r>
      <w:r>
        <w:t xml:space="preserve">and types (source: the State aid Scoreboard https://competition-policy.ec.europa.eu/state-</w:t>
      </w:r>
      <w:r>
        <w:t xml:space="preserve"> </w:t>
      </w:r>
      <w:r>
        <w:t xml:space="preserve">aid/scoreboard_en).</w:t>
      </w:r>
      <w:r>
        <w:t xml:space="preserve"> </w:t>
      </w:r>
      <w:r>
        <w:t xml:space="preserve">(b) The changes in the value of total public investments in SLT infrastructure (excluding State-aid</w:t>
      </w:r>
      <w:r>
        <w:t xml:space="preserve"> </w:t>
      </w:r>
      <w:r>
        <w:t xml:space="preserve">approved investments) can be used as control factor (source: Monitoring report on the development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rail</w:t>
      </w:r>
      <w:r>
        <w:t xml:space="preserve"> </w:t>
      </w:r>
      <w:r>
        <w:t xml:space="preserve">market</w:t>
      </w:r>
      <w:r>
        <w:t xml:space="preserve"> </w:t>
      </w:r>
      <w:r>
        <w:t xml:space="preserve">https://transport.ec.europa.eu/transport-modes/rail/market/rail-market-</w:t>
      </w:r>
      <w:r>
        <w:t xml:space="preserve"> </w:t>
      </w:r>
      <w:r>
        <w:t xml:space="preserve">monitoring-rmms_en).</w:t>
      </w:r>
    </w:p>
    <w:p>
      <w:pPr>
        <w:pStyle w:val="BodyText"/>
      </w:pPr>
      <w:r>
        <w:t xml:space="preserve">A-63</w:t>
      </w:r>
    </w:p>
    <w:p>
      <w:pPr>
        <w:pStyle w:val="Compact"/>
        <w:numPr>
          <w:ilvl w:val="0"/>
          <w:numId w:val="1023"/>
        </w:numPr>
      </w:pPr>
      <w:r>
        <w:t xml:space="preserve">The amounts of aid granted under block exemptions compared to those granted under notifications</w:t>
      </w:r>
      <w:r>
        <w:t xml:space="preserve"> </w:t>
      </w:r>
      <w:r>
        <w:t xml:space="preserve">in other sectors (e.g. energy, environment, agriculture etc.) can be used as control factor. (source:</w:t>
      </w:r>
      <w:r>
        <w:t xml:space="preserve"> </w:t>
      </w:r>
      <w:r>
        <w:t xml:space="preserve">Database of State aid cases https://competition-cases.ec.europa.eu/search?caseInstrument=SA).</w:t>
      </w:r>
    </w:p>
    <w:p>
      <w:pPr>
        <w:pStyle w:val="Compact"/>
        <w:numPr>
          <w:ilvl w:val="0"/>
          <w:numId w:val="1023"/>
        </w:numPr>
      </w:pPr>
      <w:r>
        <w:t xml:space="preserve">The deployment of track-side ERTMS can be used as a control factor for this indicator for an analysis</w:t>
      </w:r>
      <w:r>
        <w:t xml:space="preserve"> </w:t>
      </w:r>
      <w:r>
        <w:t xml:space="preserve">at country level (source: https://transport.ec.europa.eu/transport-modes/rail/ertms/state-play_en).</w:t>
      </w:r>
    </w:p>
    <w:p>
      <w:pPr>
        <w:pStyle w:val="Compact"/>
        <w:numPr>
          <w:ilvl w:val="0"/>
          <w:numId w:val="1023"/>
        </w:numPr>
      </w:pPr>
      <w:r>
        <w:t xml:space="preserve">The degree of market opening measured as the market share of non-incumbent rail operators can be</w:t>
      </w:r>
      <w:r>
        <w:t xml:space="preserve"> </w:t>
      </w:r>
      <w:r>
        <w:t xml:space="preserve">used as control factor for an analysis of the indicator at country level (source: Monitoring report on</w:t>
      </w:r>
      <w:r>
        <w:t xml:space="preserve"> </w:t>
      </w:r>
      <w:r>
        <w:t xml:space="preserve">the development of the rail market https://transport.ec.europa.eu/transport-modes/rail/market/rail-</w:t>
      </w:r>
      <w:r>
        <w:t xml:space="preserve"> </w:t>
      </w:r>
      <w:r>
        <w:t xml:space="preserve">market-monitoring-rmms_en).</w:t>
      </w:r>
    </w:p>
    <w:p>
      <w:pPr>
        <w:pStyle w:val="Compact"/>
        <w:numPr>
          <w:ilvl w:val="0"/>
          <w:numId w:val="1023"/>
        </w:numPr>
      </w:pPr>
      <w:r>
        <w:t xml:space="preserve">The evolution of aid amounts under schemes compared with individual ad hoc aid for all sectors can</w:t>
      </w:r>
      <w:r>
        <w:t xml:space="preserve"> </w:t>
      </w:r>
      <w:r>
        <w:t xml:space="preserve">be used as control factor. (source: Database of State aid cases, https://competition-</w:t>
      </w:r>
      <w:r>
        <w:t xml:space="preserve"> </w:t>
      </w:r>
      <w:r>
        <w:t xml:space="preserve">cases.ec.europa.eu/search?caseInstrument=SA).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821">
    <w:nsid w:val="00A99821"/>
    <w:multiLevelType w:val="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2026-07-31T16:48:52Z</dcterms:created>
  <dcterms:modified xsi:type="dcterms:W3CDTF">2026-07-31T16:48:52Z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