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Digital Product Passport (DPP)</w:t>
        <w:br/>
        <w:t>Technology Stack &amp; Deployment Strategy</w:t>
      </w:r>
    </w:p>
    <w:p>
      <w:pPr>
        <w:jc w:val="center"/>
      </w:pPr>
      <w:r>
        <w:rPr>
          <w:i/>
          <w:sz w:val="22"/>
        </w:rPr>
        <w:t>Competitor technology review and proposed Monkspaces architecture</w:t>
      </w:r>
    </w:p>
    <w:p>
      <w:pPr>
        <w:jc w:val="center"/>
      </w:pPr>
      <w:r>
        <w:t>Prepared: October 2026 | Status: Technical discussion draft</w:t>
      </w:r>
    </w:p>
    <w:p>
      <w:pPr>
        <w:pStyle w:val="Heading1"/>
      </w:pPr>
      <w:r>
        <w:t>1. Executive Summary</w:t>
      </w:r>
    </w:p>
    <w:p>
      <w:r>
        <w:t>The public documentation of DPP competitors shows a common architectural direction: API-driven product data, configurable passport schemas, standards-based identifiers, QR/DataMatrix carriers, integrations with enterprise systems, controlled data visibility, and machine-readable data. Competitors do not generally publish their complete internal software stack, so this document distinguishes publicly confirmed technology/architecture from proposed implementation choices.</w:t>
      </w:r>
    </w:p>
    <w:p>
      <w:r>
        <w:t>For our DPP platform, the recommended foundation is an API-first modular monolith using Angular + TypeScript on the frontend, NestJS + Node.js on the backend, PostgreSQL as the primary database, AWS S3 for documents, GS1 Digital Link for product identity/resolution, JSON-LD for machine-readable interoperability, and Cloudflare for DNS/CDN/WAF. AWS should be the target production environment.</w:t>
      </w:r>
    </w:p>
    <w:p>
      <w:pPr>
        <w:pStyle w:val="Heading1"/>
      </w:pPr>
      <w:r>
        <w:t>2. Competitor Technology / Architecture Review</w:t>
      </w:r>
    </w:p>
    <w:p>
      <w:r>
        <w:t>Important: exact internal stacks such as programming language, framework version, database engine, or hosting topology are not consistently disclosed by competitors. The table below therefore records only what is publicly supported by their current product/technology material.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Competitor</w:t>
            </w:r>
          </w:p>
        </w:tc>
        <w:tc>
          <w:tcPr>
            <w:tcW w:type="dxa" w:w="2556"/>
          </w:tcPr>
          <w:p>
            <w:r>
              <w:t>Publicly visible technology / architecture</w:t>
            </w:r>
          </w:p>
        </w:tc>
        <w:tc>
          <w:tcPr>
            <w:tcW w:type="dxa" w:w="2556"/>
          </w:tcPr>
          <w:p>
            <w:r>
              <w:t>What it means for us</w:t>
            </w:r>
          </w:p>
        </w:tc>
        <w:tc>
          <w:tcPr>
            <w:tcW w:type="dxa" w:w="2556"/>
          </w:tcPr>
          <w:p>
            <w:r>
              <w:t>Evidence</w:t>
            </w:r>
          </w:p>
        </w:tc>
      </w:tr>
      <w:tr>
        <w:tc>
          <w:tcPr>
            <w:tcW w:type="dxa" w:w="2556"/>
            <w:vAlign w:val="top"/>
          </w:tcPr>
          <w:p>
            <w:r>
              <w:t>Minespider</w:t>
            </w:r>
          </w:p>
        </w:tc>
        <w:tc>
          <w:tcPr>
            <w:tcW w:type="dxa" w:w="2556"/>
            <w:vAlign w:val="top"/>
          </w:tcPr>
          <w:p>
            <w:r>
              <w:t>Permissioned blockchain using Proof-of-Authority; AWS is used for linked file storage; blockchain records/anchors history; API integrations; configurable/branded passports; AI-assisted document extraction.</w:t>
            </w:r>
          </w:p>
        </w:tc>
        <w:tc>
          <w:tcPr>
            <w:tcW w:type="dxa" w:w="2556"/>
            <w:vAlign w:val="top"/>
          </w:tcPr>
          <w:p>
            <w:r>
              <w:t>Blockchain is a differentiator in their trust/traceability model. We do not need blockchain for the MVP; we should build strong audit/versioning and keep the architecture extensible.</w:t>
            </w:r>
          </w:p>
        </w:tc>
        <w:tc>
          <w:tcPr>
            <w:tcW w:type="dxa" w:w="2556"/>
            <w:vAlign w:val="top"/>
          </w:tcPr>
          <w:p>
            <w:r>
              <w:t>Minespider official technology and product pages</w:t>
            </w:r>
          </w:p>
        </w:tc>
      </w:tr>
      <w:tr>
        <w:tc>
          <w:tcPr>
            <w:tcW w:type="dxa" w:w="2556"/>
            <w:vAlign w:val="top"/>
          </w:tcPr>
          <w:p>
            <w:r>
              <w:t>Kezzler</w:t>
            </w:r>
          </w:p>
        </w:tc>
        <w:tc>
          <w:tcPr>
            <w:tcW w:type="dxa" w:w="2556"/>
            <w:vAlign w:val="top"/>
          </w:tcPr>
          <w:p>
            <w:r>
              <w:t>Enterprise-ready, standards-based integration layer; supports manual input through full API integration; large-scale product/supply-chain data; workflow/completeness checks; analytics; dedicated deployment/data-residency options.</w:t>
            </w:r>
          </w:p>
        </w:tc>
        <w:tc>
          <w:tcPr>
            <w:tcW w:type="dxa" w:w="2556"/>
            <w:vAlign w:val="top"/>
          </w:tcPr>
          <w:p>
            <w:r>
              <w:t>Integration-first architecture, workflow, data quality and scalability are more important than copying a specific framework.</w:t>
            </w:r>
          </w:p>
        </w:tc>
        <w:tc>
          <w:tcPr>
            <w:tcW w:type="dxa" w:w="2556"/>
            <w:vAlign w:val="top"/>
          </w:tcPr>
          <w:p>
            <w:r>
              <w:t>Kezzler official DPP and solutions pages</w:t>
            </w:r>
          </w:p>
        </w:tc>
      </w:tr>
      <w:tr>
        <w:tc>
          <w:tcPr>
            <w:tcW w:type="dxa" w:w="2556"/>
            <w:vAlign w:val="top"/>
          </w:tcPr>
          <w:p>
            <w:r>
              <w:t>osapiens</w:t>
            </w:r>
          </w:p>
        </w:tc>
        <w:tc>
          <w:tcPr>
            <w:tcW w:type="dxa" w:w="2556"/>
            <w:vAlign w:val="top"/>
          </w:tcPr>
          <w:p>
            <w:r>
              <w:t>DPP built from existing product, supplier and compliance data; connects ERP/PLM and supplier data; product-specific templates; connected compliance/product record; machine-readable DPP.</w:t>
            </w:r>
          </w:p>
        </w:tc>
        <w:tc>
          <w:tcPr>
            <w:tcW w:type="dxa" w:w="2556"/>
            <w:vAlign w:val="top"/>
          </w:tcPr>
          <w:p>
            <w:r>
              <w:t>Our platform should eventually integrate with ERP/PLM/PIM and supplier systems instead of becoming an isolated DPP database.</w:t>
            </w:r>
          </w:p>
        </w:tc>
        <w:tc>
          <w:tcPr>
            <w:tcW w:type="dxa" w:w="2556"/>
            <w:vAlign w:val="top"/>
          </w:tcPr>
          <w:p>
            <w:r>
              <w:t>osapiens official DPP page</w:t>
            </w:r>
          </w:p>
        </w:tc>
      </w:tr>
      <w:tr>
        <w:tc>
          <w:tcPr>
            <w:tcW w:type="dxa" w:w="2556"/>
            <w:vAlign w:val="top"/>
          </w:tcPr>
          <w:p>
            <w:r>
              <w:t>dpp.gs</w:t>
            </w:r>
          </w:p>
        </w:tc>
        <w:tc>
          <w:tcPr>
            <w:tcW w:type="dxa" w:w="2556"/>
            <w:vAlign w:val="top"/>
          </w:tcPr>
          <w:p>
            <w:r>
              <w:t>API-first platform with versioned REST API, OpenAPI 3.1, API keys/JWT, CSV bulk import, QR/DataMatrix endpoints, resolver, and JSON-LD / standards API.</w:t>
            </w:r>
          </w:p>
        </w:tc>
        <w:tc>
          <w:tcPr>
            <w:tcW w:type="dxa" w:w="2556"/>
            <w:vAlign w:val="top"/>
          </w:tcPr>
          <w:p>
            <w:r>
              <w:t>API-first design, bulk import, resolver, machine-readable output and identifier services should be part of our architecture.</w:t>
            </w:r>
          </w:p>
        </w:tc>
        <w:tc>
          <w:tcPr>
            <w:tcW w:type="dxa" w:w="2556"/>
            <w:vAlign w:val="top"/>
          </w:tcPr>
          <w:p>
            <w:r>
              <w:t>dpp.gs official integrations page</w:t>
            </w:r>
          </w:p>
        </w:tc>
      </w:tr>
    </w:tbl>
    <w:p>
      <w:pPr>
        <w:pStyle w:val="Heading1"/>
      </w:pPr>
      <w:r>
        <w:t>3. Standards We Should Build Around</w:t>
      </w:r>
    </w:p>
    <w:p>
      <w:pPr>
        <w:pStyle w:val="ListBullet"/>
      </w:pPr>
      <w:r>
        <w:t>GS1 Digital Link: use GS1 identifiers in web URIs and provide a resolver layer that can connect a product identifier to human- and machine-readable resources.</w:t>
      </w:r>
    </w:p>
    <w:p>
      <w:pPr>
        <w:pStyle w:val="ListBullet"/>
      </w:pPr>
      <w:r>
        <w:t>JSON-LD: provide machine-readable DPP representations and support interoperability with standards-based consumers and systems.</w:t>
      </w:r>
    </w:p>
    <w:p>
      <w:pPr>
        <w:pStyle w:val="ListBullet"/>
      </w:pPr>
      <w:r>
        <w:t>REST + OpenAPI: expose a documented API for products, DPPs, documents, organizations, suppliers and integrations.</w:t>
      </w:r>
    </w:p>
    <w:p>
      <w:pPr>
        <w:pStyle w:val="ListBullet"/>
      </w:pPr>
      <w:r>
        <w:t>QR / DataMatrix: use standard data carriers to resolve the product identity to the DPP experience.</w:t>
      </w:r>
    </w:p>
    <w:p>
      <w:pPr>
        <w:pStyle w:val="ListBullet"/>
      </w:pPr>
      <w:r>
        <w:t>Versioning + Audit: maintain product/DPP versions and a tamper-evident/append-only audit trail.</w:t>
      </w:r>
    </w:p>
    <w:p>
      <w:pPr>
        <w:pStyle w:val="Heading1"/>
      </w:pPr>
      <w:r>
        <w:t>4. Proposed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Proposed Technology</w:t>
            </w:r>
          </w:p>
        </w:tc>
        <w:tc>
          <w:tcPr>
            <w:tcW w:type="dxa" w:w="3408"/>
          </w:tcPr>
          <w:p>
            <w:r>
              <w:t>Reason</w:t>
            </w:r>
          </w:p>
        </w:tc>
      </w:tr>
      <w:tr>
        <w:tc>
          <w:tcPr>
            <w:tcW w:type="dxa" w:w="3408"/>
            <w:vAlign w:val="top"/>
          </w:tcPr>
          <w:p>
            <w:r>
              <w:t>Frontend</w:t>
            </w:r>
          </w:p>
        </w:tc>
        <w:tc>
          <w:tcPr>
            <w:tcW w:type="dxa" w:w="3408"/>
            <w:vAlign w:val="top"/>
          </w:tcPr>
          <w:p>
            <w:r>
              <w:t>Angular + TypeScript</w:t>
            </w:r>
          </w:p>
        </w:tc>
        <w:tc>
          <w:tcPr>
            <w:tcW w:type="dxa" w:w="3408"/>
            <w:vAlign w:val="top"/>
          </w:tcPr>
          <w:p>
            <w:r>
              <w:t>Enterprise dashboards, complex forms, dynamic custom fields, RBAC-driven UI and maintainability.</w:t>
            </w:r>
          </w:p>
        </w:tc>
      </w:tr>
      <w:tr>
        <w:tc>
          <w:tcPr>
            <w:tcW w:type="dxa" w:w="3408"/>
            <w:vAlign w:val="top"/>
          </w:tcPr>
          <w:p>
            <w:r>
              <w:t>UI</w:t>
            </w:r>
          </w:p>
        </w:tc>
        <w:tc>
          <w:tcPr>
            <w:tcW w:type="dxa" w:w="3408"/>
            <w:vAlign w:val="top"/>
          </w:tcPr>
          <w:p>
            <w:r>
              <w:t>Angular Material</w:t>
            </w:r>
          </w:p>
        </w:tc>
        <w:tc>
          <w:tcPr>
            <w:tcW w:type="dxa" w:w="3408"/>
            <w:vAlign w:val="top"/>
          </w:tcPr>
          <w:p>
            <w:r>
              <w:t>Fast development of tables, forms, dialogs, navigation and admin screens.</w:t>
            </w:r>
          </w:p>
        </w:tc>
      </w:tr>
      <w:tr>
        <w:tc>
          <w:tcPr>
            <w:tcW w:type="dxa" w:w="3408"/>
            <w:vAlign w:val="top"/>
          </w:tcPr>
          <w:p>
            <w:r>
              <w:t>Backend</w:t>
            </w:r>
          </w:p>
        </w:tc>
        <w:tc>
          <w:tcPr>
            <w:tcW w:type="dxa" w:w="3408"/>
            <w:vAlign w:val="top"/>
          </w:tcPr>
          <w:p>
            <w:r>
              <w:t>NestJS + Node.js + TypeScript</w:t>
            </w:r>
          </w:p>
        </w:tc>
        <w:tc>
          <w:tcPr>
            <w:tcW w:type="dxa" w:w="3408"/>
            <w:vAlign w:val="top"/>
          </w:tcPr>
          <w:p>
            <w:r>
              <w:t>Modular backend architecture, validation, guards, dependency injection and REST APIs.</w:t>
            </w:r>
          </w:p>
        </w:tc>
      </w:tr>
      <w:tr>
        <w:tc>
          <w:tcPr>
            <w:tcW w:type="dxa" w:w="3408"/>
            <w:vAlign w:val="top"/>
          </w:tcPr>
          <w:p>
            <w:r>
              <w:t>API</w:t>
            </w:r>
          </w:p>
        </w:tc>
        <w:tc>
          <w:tcPr>
            <w:tcW w:type="dxa" w:w="3408"/>
            <w:vAlign w:val="top"/>
          </w:tcPr>
          <w:p>
            <w:r>
              <w:t>REST + OpenAPI</w:t>
            </w:r>
          </w:p>
        </w:tc>
        <w:tc>
          <w:tcPr>
            <w:tcW w:type="dxa" w:w="3408"/>
            <w:vAlign w:val="top"/>
          </w:tcPr>
          <w:p>
            <w:r>
              <w:t>Integration-friendly and easy for customers/ERP/PLM systems to consume.</w:t>
            </w:r>
          </w:p>
        </w:tc>
      </w:tr>
      <w:tr>
        <w:tc>
          <w:tcPr>
            <w:tcW w:type="dxa" w:w="3408"/>
            <w:vAlign w:val="top"/>
          </w:tcPr>
          <w:p>
            <w:r>
              <w:t>Primary database</w:t>
            </w:r>
          </w:p>
        </w:tc>
        <w:tc>
          <w:tcPr>
            <w:tcW w:type="dxa" w:w="3408"/>
            <w:vAlign w:val="top"/>
          </w:tcPr>
          <w:p>
            <w:r>
              <w:t>PostgreSQL</w:t>
            </w:r>
          </w:p>
        </w:tc>
        <w:tc>
          <w:tcPr>
            <w:tcW w:type="dxa" w:w="3408"/>
            <w:vAlign w:val="top"/>
          </w:tcPr>
          <w:p>
            <w:r>
              <w:t>Relational product, organization, user, DPP, supplier and audit relationships.</w:t>
            </w:r>
          </w:p>
        </w:tc>
      </w:tr>
      <w:tr>
        <w:tc>
          <w:tcPr>
            <w:tcW w:type="dxa" w:w="3408"/>
            <w:vAlign w:val="top"/>
          </w:tcPr>
          <w:p>
            <w:r>
              <w:t>Flexible custom data</w:t>
            </w:r>
          </w:p>
        </w:tc>
        <w:tc>
          <w:tcPr>
            <w:tcW w:type="dxa" w:w="3408"/>
            <w:vAlign w:val="top"/>
          </w:tcPr>
          <w:p>
            <w:r>
              <w:t>PostgreSQL JSONB</w:t>
            </w:r>
          </w:p>
        </w:tc>
        <w:tc>
          <w:tcPr>
            <w:tcW w:type="dxa" w:w="3408"/>
            <w:vAlign w:val="top"/>
          </w:tcPr>
          <w:p>
            <w:r>
              <w:t>Allows customer-defined fields without altering the database schema for every new field.</w:t>
            </w:r>
          </w:p>
        </w:tc>
      </w:tr>
      <w:tr>
        <w:tc>
          <w:tcPr>
            <w:tcW w:type="dxa" w:w="3408"/>
            <w:vAlign w:val="top"/>
          </w:tcPr>
          <w:p>
            <w:r>
              <w:t>Documents</w:t>
            </w:r>
          </w:p>
        </w:tc>
        <w:tc>
          <w:tcPr>
            <w:tcW w:type="dxa" w:w="3408"/>
            <w:vAlign w:val="top"/>
          </w:tcPr>
          <w:p>
            <w:r>
              <w:t>AWS S3</w:t>
            </w:r>
          </w:p>
        </w:tc>
        <w:tc>
          <w:tcPr>
            <w:tcW w:type="dxa" w:w="3408"/>
            <w:vAlign w:val="top"/>
          </w:tcPr>
          <w:p>
            <w:r>
              <w:t>Scalable storage for certificates, PDFs, images, declarations and supporting evidence.</w:t>
            </w:r>
          </w:p>
        </w:tc>
      </w:tr>
      <w:tr>
        <w:tc>
          <w:tcPr>
            <w:tcW w:type="dxa" w:w="3408"/>
            <w:vAlign w:val="top"/>
          </w:tcPr>
          <w:p>
            <w:r>
              <w:t>Authentication</w:t>
            </w:r>
          </w:p>
        </w:tc>
        <w:tc>
          <w:tcPr>
            <w:tcW w:type="dxa" w:w="3408"/>
            <w:vAlign w:val="top"/>
          </w:tcPr>
          <w:p>
            <w:r>
              <w:t>OAuth 2.0 / OpenID Connect + JWT</w:t>
            </w:r>
          </w:p>
        </w:tc>
        <w:tc>
          <w:tcPr>
            <w:tcW w:type="dxa" w:w="3408"/>
            <w:vAlign w:val="top"/>
          </w:tcPr>
          <w:p>
            <w:r>
              <w:t>Enterprise authentication and API authorization.</w:t>
            </w:r>
          </w:p>
        </w:tc>
      </w:tr>
      <w:tr>
        <w:tc>
          <w:tcPr>
            <w:tcW w:type="dxa" w:w="3408"/>
            <w:vAlign w:val="top"/>
          </w:tcPr>
          <w:p>
            <w:r>
              <w:t>Authorization</w:t>
            </w:r>
          </w:p>
        </w:tc>
        <w:tc>
          <w:tcPr>
            <w:tcW w:type="dxa" w:w="3408"/>
            <w:vAlign w:val="top"/>
          </w:tcPr>
          <w:p>
            <w:r>
              <w:t>RBAC</w:t>
            </w:r>
          </w:p>
        </w:tc>
        <w:tc>
          <w:tcPr>
            <w:tcW w:type="dxa" w:w="3408"/>
            <w:vAlign w:val="top"/>
          </w:tcPr>
          <w:p>
            <w:r>
              <w:t>Different access for platform admin, organization admin, product manager, compliance and viewer roles.</w:t>
            </w:r>
          </w:p>
        </w:tc>
      </w:tr>
      <w:tr>
        <w:tc>
          <w:tcPr>
            <w:tcW w:type="dxa" w:w="3408"/>
            <w:vAlign w:val="top"/>
          </w:tcPr>
          <w:p>
            <w:r>
              <w:t>Product identity</w:t>
            </w:r>
          </w:p>
        </w:tc>
        <w:tc>
          <w:tcPr>
            <w:tcW w:type="dxa" w:w="3408"/>
            <w:vAlign w:val="top"/>
          </w:tcPr>
          <w:p>
            <w:r>
              <w:t>GS1 Digital Link</w:t>
            </w:r>
          </w:p>
        </w:tc>
        <w:tc>
          <w:tcPr>
            <w:tcW w:type="dxa" w:w="3408"/>
            <w:vAlign w:val="top"/>
          </w:tcPr>
          <w:p>
            <w:r>
              <w:t>Standards-based product identity and resolution.</w:t>
            </w:r>
          </w:p>
        </w:tc>
      </w:tr>
      <w:tr>
        <w:tc>
          <w:tcPr>
            <w:tcW w:type="dxa" w:w="3408"/>
            <w:vAlign w:val="top"/>
          </w:tcPr>
          <w:p>
            <w:r>
              <w:t>Machine-readable DPP</w:t>
            </w:r>
          </w:p>
        </w:tc>
        <w:tc>
          <w:tcPr>
            <w:tcW w:type="dxa" w:w="3408"/>
            <w:vAlign w:val="top"/>
          </w:tcPr>
          <w:p>
            <w:r>
              <w:t>JSON-LD</w:t>
            </w:r>
          </w:p>
        </w:tc>
        <w:tc>
          <w:tcPr>
            <w:tcW w:type="dxa" w:w="3408"/>
            <w:vAlign w:val="top"/>
          </w:tcPr>
          <w:p>
            <w:r>
              <w:t>Interoperability and standards-aligned data exchange.</w:t>
            </w:r>
          </w:p>
        </w:tc>
      </w:tr>
      <w:tr>
        <w:tc>
          <w:tcPr>
            <w:tcW w:type="dxa" w:w="3408"/>
            <w:vAlign w:val="top"/>
          </w:tcPr>
          <w:p>
            <w:r>
              <w:t>Edge/security</w:t>
            </w:r>
          </w:p>
        </w:tc>
        <w:tc>
          <w:tcPr>
            <w:tcW w:type="dxa" w:w="3408"/>
            <w:vAlign w:val="top"/>
          </w:tcPr>
          <w:p>
            <w:r>
              <w:t>Cloudflare CDN + WAF + DNS</w:t>
            </w:r>
          </w:p>
        </w:tc>
        <w:tc>
          <w:tcPr>
            <w:tcW w:type="dxa" w:w="3408"/>
            <w:vAlign w:val="top"/>
          </w:tcPr>
          <w:p>
            <w:r>
              <w:t>DDoS protection, caching, TLS edge and traffic controls.</w:t>
            </w:r>
          </w:p>
        </w:tc>
      </w:tr>
      <w:tr>
        <w:tc>
          <w:tcPr>
            <w:tcW w:type="dxa" w:w="3408"/>
            <w:vAlign w:val="top"/>
          </w:tcPr>
          <w:p>
            <w:r>
              <w:t>Containers</w:t>
            </w:r>
          </w:p>
        </w:tc>
        <w:tc>
          <w:tcPr>
            <w:tcW w:type="dxa" w:w="3408"/>
            <w:vAlign w:val="top"/>
          </w:tcPr>
          <w:p>
            <w:r>
              <w:t>Docker</w:t>
            </w:r>
          </w:p>
        </w:tc>
        <w:tc>
          <w:tcPr>
            <w:tcW w:type="dxa" w:w="3408"/>
            <w:vAlign w:val="top"/>
          </w:tcPr>
          <w:p>
            <w:r>
              <w:t>Consistent development, staging and production deployment.</w:t>
            </w:r>
          </w:p>
        </w:tc>
      </w:tr>
      <w:tr>
        <w:tc>
          <w:tcPr>
            <w:tcW w:type="dxa" w:w="3408"/>
            <w:vAlign w:val="top"/>
          </w:tcPr>
          <w:p>
            <w:r>
              <w:t>CI/CD</w:t>
            </w:r>
          </w:p>
        </w:tc>
        <w:tc>
          <w:tcPr>
            <w:tcW w:type="dxa" w:w="3408"/>
            <w:vAlign w:val="top"/>
          </w:tcPr>
          <w:p>
            <w:r>
              <w:t>GitHub Actions</w:t>
            </w:r>
          </w:p>
        </w:tc>
        <w:tc>
          <w:tcPr>
            <w:tcW w:type="dxa" w:w="3408"/>
            <w:vAlign w:val="top"/>
          </w:tcPr>
          <w:p>
            <w:r>
              <w:t>Automated build, test and deployment pipeline.</w:t>
            </w:r>
          </w:p>
        </w:tc>
      </w:tr>
      <w:tr>
        <w:tc>
          <w:tcPr>
            <w:tcW w:type="dxa" w:w="3408"/>
            <w:vAlign w:val="top"/>
          </w:tcPr>
          <w:p>
            <w:r>
              <w:t>Optional later</w:t>
            </w:r>
          </w:p>
        </w:tc>
        <w:tc>
          <w:tcPr>
            <w:tcW w:type="dxa" w:w="3408"/>
            <w:vAlign w:val="top"/>
          </w:tcPr>
          <w:p>
            <w:r>
              <w:t>Redis + BullMQ</w:t>
            </w:r>
          </w:p>
        </w:tc>
        <w:tc>
          <w:tcPr>
            <w:tcW w:type="dxa" w:w="3408"/>
            <w:vAlign w:val="top"/>
          </w:tcPr>
          <w:p>
            <w:r>
              <w:t>Caching and background jobs for bulk imports, exports, notifications and large workloads.</w:t>
            </w:r>
          </w:p>
        </w:tc>
      </w:tr>
      <w:tr>
        <w:tc>
          <w:tcPr>
            <w:tcW w:type="dxa" w:w="3408"/>
            <w:vAlign w:val="top"/>
          </w:tcPr>
          <w:p>
            <w:r>
              <w:t>Optional later</w:t>
            </w:r>
          </w:p>
        </w:tc>
        <w:tc>
          <w:tcPr>
            <w:tcW w:type="dxa" w:w="3408"/>
            <w:vAlign w:val="top"/>
          </w:tcPr>
          <w:p>
            <w:r>
              <w:t>OpenSearch</w:t>
            </w:r>
          </w:p>
        </w:tc>
        <w:tc>
          <w:tcPr>
            <w:tcW w:type="dxa" w:w="3408"/>
            <w:vAlign w:val="top"/>
          </w:tcPr>
          <w:p>
            <w:r>
              <w:t>Advanced search only when PostgreSQL search is no longer sufficient.</w:t>
            </w:r>
          </w:p>
        </w:tc>
      </w:tr>
    </w:tbl>
    <w:p>
      <w:pPr>
        <w:pStyle w:val="Heading1"/>
      </w:pPr>
      <w:r>
        <w:t>5. Custom Fields Architecture</w:t>
      </w:r>
    </w:p>
    <w:p>
      <w:r>
        <w:t>The platform should support an arbitrary number of customer-defined fields. These should not be implemented as new PostgreSQL columns for every customer field. Instead, maintain field definitions separately and store the corresponding values in PostgreSQL JSONB.</w:t>
      </w:r>
    </w:p>
    <w:p>
      <w:r>
        <w:t>Recommended model:</w:t>
      </w:r>
    </w:p>
    <w:p>
      <w:pPr>
        <w:pStyle w:val="ListBullet"/>
      </w:pPr>
      <w:r>
        <w:t>custom_field_definitions: field name, type, unit, required flag, validation, options, visibility, organization/template.</w:t>
      </w:r>
    </w:p>
    <w:p>
      <w:pPr>
        <w:pStyle w:val="ListBullet"/>
      </w:pPr>
      <w:r>
        <w:t>products: standard regulatory/product columns plus a custom_data JSONB column.</w:t>
      </w:r>
    </w:p>
    <w:p>
      <w:pPr>
        <w:pStyle w:val="ListBullet"/>
      </w:pPr>
      <w:r>
        <w:t>Angular dynamically generates the form from the field definitions returned by the API.</w:t>
      </w:r>
    </w:p>
    <w:p>
      <w:pPr>
        <w:pStyle w:val="ListBullet"/>
      </w:pPr>
      <w:r>
        <w:t>The backend validates custom values against the field definition before saving.</w:t>
      </w:r>
    </w:p>
    <w:p>
      <w:pPr>
        <w:pStyle w:val="ListBullet"/>
      </w:pPr>
      <w:r>
        <w:t>Custom fields can be assigned Public / Professional / Authority visibility where applicable.</w:t>
      </w:r>
    </w:p>
    <w:p>
      <w:pPr>
        <w:pStyle w:val="Heading1"/>
      </w:pPr>
      <w:r>
        <w:t>6. Proposed Production Deployment</w:t>
      </w:r>
    </w:p>
    <w:p>
      <w:r>
        <w:t>Target production architecture:</w:t>
      </w:r>
    </w:p>
    <w:p>
      <w:pPr>
        <w:pStyle w:val="ListBullet"/>
      </w:pPr>
      <w:r>
        <w:t>Cloudflare: DNS + CDN + WAF + rate limiting at the edge.</w:t>
      </w:r>
    </w:p>
    <w:p>
      <w:pPr>
        <w:pStyle w:val="ListBullet"/>
      </w:pPr>
      <w:r>
        <w:t>AWS Application Load Balancer: HTTPS entry point and health checks.</w:t>
      </w:r>
    </w:p>
    <w:p>
      <w:pPr>
        <w:pStyle w:val="ListBullet"/>
      </w:pPr>
      <w:r>
        <w:t>AWS ECS/Fargate (or EC2 initially): run containerized NestJS backend with horizontal scaling when required.</w:t>
      </w:r>
    </w:p>
    <w:p>
      <w:pPr>
        <w:pStyle w:val="ListBullet"/>
      </w:pPr>
      <w:r>
        <w:t>AWS RDS for PostgreSQL: managed production database with backups, monitoring and Multi-AZ capability when required.</w:t>
      </w:r>
    </w:p>
    <w:p>
      <w:pPr>
        <w:pStyle w:val="ListBullet"/>
      </w:pPr>
      <w:r>
        <w:t>AWS S3: documents, exports, certificates and backup/archive objects.</w:t>
      </w:r>
    </w:p>
    <w:p>
      <w:pPr>
        <w:pStyle w:val="ListBullet"/>
      </w:pPr>
      <w:r>
        <w:t>Optional Amazon ElastiCache for Redis: caching and background-job support when workload justifies it.</w:t>
      </w:r>
    </w:p>
    <w:p>
      <w:pPr>
        <w:pStyle w:val="ListBullet"/>
      </w:pPr>
      <w:r>
        <w:t>CloudWatch / OpenTelemetry-compatible monitoring: logs, metrics, traces and alerting.</w:t>
      </w:r>
    </w:p>
    <w:p>
      <w:pPr>
        <w:pStyle w:val="ListBullet"/>
      </w:pPr>
      <w:r>
        <w:t>GitHub Actions: CI/CD to staging and production.</w:t>
      </w:r>
    </w:p>
    <w:p>
      <w:pPr>
        <w:pStyle w:val="Heading1"/>
      </w:pPr>
      <w:r>
        <w:t>7. MVP vs Production Deployment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Recommended deployment</w:t>
            </w:r>
          </w:p>
        </w:tc>
        <w:tc>
          <w:tcPr>
            <w:tcW w:type="dxa" w:w="3408"/>
          </w:tcPr>
          <w:p>
            <w:r>
              <w:t>Purpose</w:t>
            </w:r>
          </w:p>
        </w:tc>
      </w:tr>
      <w:tr>
        <w:tc>
          <w:tcPr>
            <w:tcW w:type="dxa" w:w="3408"/>
          </w:tcPr>
          <w:p>
            <w:r>
              <w:t>3-day technical MVP</w:t>
            </w:r>
          </w:p>
        </w:tc>
        <w:tc>
          <w:tcPr>
            <w:tcW w:type="dxa" w:w="3408"/>
          </w:tcPr>
          <w:p>
            <w:r>
              <w:t>Angular + NestJS + PostgreSQL + Docker; local or simple managed staging environment</w:t>
            </w:r>
          </w:p>
        </w:tc>
        <w:tc>
          <w:tcPr>
            <w:tcW w:type="dxa" w:w="3408"/>
          </w:tcPr>
          <w:p>
            <w:r>
              <w:t>Prove end-to-end flow: organization → product → custom fields → DPP → QR → public DPP.</w:t>
            </w:r>
          </w:p>
        </w:tc>
      </w:tr>
      <w:tr>
        <w:tc>
          <w:tcPr>
            <w:tcW w:type="dxa" w:w="3408"/>
          </w:tcPr>
          <w:p>
            <w:r>
              <w:t>Staging / pilot</w:t>
            </w:r>
          </w:p>
        </w:tc>
        <w:tc>
          <w:tcPr>
            <w:tcW w:type="dxa" w:w="3408"/>
          </w:tcPr>
          <w:p>
            <w:r>
              <w:t>Cloudflare + AWS RDS PostgreSQL + S3 + containerized NestJS</w:t>
            </w:r>
          </w:p>
        </w:tc>
        <w:tc>
          <w:tcPr>
            <w:tcW w:type="dxa" w:w="3408"/>
          </w:tcPr>
          <w:p>
            <w:r>
              <w:t>Real-user testing, security testing, data validation and integration testing.</w:t>
            </w:r>
          </w:p>
        </w:tc>
      </w:tr>
      <w:tr>
        <w:tc>
          <w:tcPr>
            <w:tcW w:type="dxa" w:w="3408"/>
          </w:tcPr>
          <w:p>
            <w:r>
              <w:t>Production</w:t>
            </w:r>
          </w:p>
        </w:tc>
        <w:tc>
          <w:tcPr>
            <w:tcW w:type="dxa" w:w="3408"/>
          </w:tcPr>
          <w:p>
            <w:r>
              <w:t>Cloudflare + AWS ALB + ECS/Fargate + RDS PostgreSQL + S3 + monitoring; Redis when needed</w:t>
            </w:r>
          </w:p>
        </w:tc>
        <w:tc>
          <w:tcPr>
            <w:tcW w:type="dxa" w:w="3408"/>
          </w:tcPr>
          <w:p>
            <w:r>
              <w:t>Reliable customer-facing platform with backups, scaling, security and observability.</w:t>
            </w:r>
          </w:p>
        </w:tc>
      </w:tr>
    </w:tbl>
    <w:p>
      <w:pPr>
        <w:pStyle w:val="Heading1"/>
      </w:pPr>
      <w:r>
        <w:t>8. What We Should NOT Add on Day One</w:t>
      </w:r>
    </w:p>
    <w:p>
      <w:pPr>
        <w:pStyle w:val="ListBullet"/>
      </w:pPr>
      <w:r>
        <w:t>Microservices</w:t>
      </w:r>
    </w:p>
    <w:p>
      <w:pPr>
        <w:pStyle w:val="ListBullet"/>
      </w:pPr>
      <w:r>
        <w:t>Kubernetes</w:t>
      </w:r>
    </w:p>
    <w:p>
      <w:pPr>
        <w:pStyle w:val="ListBullet"/>
      </w:pPr>
      <w:r>
        <w:t>Blockchain</w:t>
      </w:r>
    </w:p>
    <w:p>
      <w:pPr>
        <w:pStyle w:val="ListBullet"/>
      </w:pPr>
      <w:r>
        <w:t>Elasticsearch/OpenSearch</w:t>
      </w:r>
    </w:p>
    <w:p>
      <w:pPr>
        <w:pStyle w:val="ListBullet"/>
      </w:pPr>
      <w:r>
        <w:t>Redis, unless the MVP actually needs asynchronous/background processing</w:t>
      </w:r>
    </w:p>
    <w:p>
      <w:pPr>
        <w:pStyle w:val="ListBullet"/>
      </w:pPr>
      <w:r>
        <w:t>Complex event streaming</w:t>
      </w:r>
    </w:p>
    <w:p>
      <w:pPr>
        <w:pStyle w:val="ListBullet"/>
      </w:pPr>
      <w:r>
        <w:t>Full EU registry/QES integration before the applicable interface and compliance requirements are finalized</w:t>
      </w:r>
    </w:p>
    <w:p>
      <w:r>
        <w:t>The objective is to build a clean modular monolith first. Services can be separated later when scale, team boundaries, reliability requirements or integration workloads justify the additional operational complexity.</w:t>
      </w:r>
    </w:p>
    <w:p>
      <w:pPr>
        <w:pStyle w:val="Heading1"/>
      </w:pPr>
      <w:r>
        <w:t>9. Recommended Architecture in One View</w:t>
      </w:r>
    </w:p>
    <w:p>
      <w:r>
        <w:t>Users / QR scanners → Cloudflare → Angular web application / public DPP pages → NestJS REST API → PostgreSQL + JSONB / AWS S3 → GS1 Digital Link resolver + JSON-LD → external ERP/PLM/PIM/supplier integrations.</w:t>
      </w:r>
    </w:p>
    <w:p>
      <w:pPr>
        <w:pStyle w:val="Heading1"/>
      </w:pPr>
      <w:r>
        <w:t>10. Key Technical Decisions to Discuss with the Team</w:t>
      </w:r>
    </w:p>
    <w:p>
      <w:pPr>
        <w:pStyle w:val="ListNumber"/>
      </w:pPr>
      <w:r>
        <w:t>Freeze Angular + NestJS + PostgreSQL as the core application stack.</w:t>
      </w:r>
    </w:p>
    <w:p>
      <w:pPr>
        <w:pStyle w:val="ListNumber"/>
      </w:pPr>
      <w:r>
        <w:t>Use PostgreSQL JSONB for customer-defined/custom DPP fields rather than dynamically altering table columns.</w:t>
      </w:r>
    </w:p>
    <w:p>
      <w:pPr>
        <w:pStyle w:val="ListNumber"/>
      </w:pPr>
      <w:r>
        <w:t>Design APIs and data models around GS1 Digital Link and JSON-LD from the beginning.</w:t>
      </w:r>
    </w:p>
    <w:p>
      <w:pPr>
        <w:pStyle w:val="ListNumber"/>
      </w:pPr>
      <w:r>
        <w:t>Use AWS as the long-term production cloud; use simpler hosting only for the initial MVP/staging phase if speed is the priority.</w:t>
      </w:r>
    </w:p>
    <w:p>
      <w:pPr>
        <w:pStyle w:val="ListNumber"/>
      </w:pPr>
      <w:r>
        <w:t>Keep the backend as a modular monolith initially.</w:t>
      </w:r>
    </w:p>
    <w:p>
      <w:pPr>
        <w:pStyle w:val="ListNumber"/>
      </w:pPr>
      <w:r>
        <w:t>Treat blockchain as an optional future trust/traceability layer, not an MVP dependency.</w:t>
      </w:r>
    </w:p>
    <w:p>
      <w:pPr>
        <w:pStyle w:val="ListNumber"/>
      </w:pPr>
      <w:r>
        <w:t>Design the data model so ERP/PLM/PIM/supplier integrations can be added without redesigning the core product/DPP model.</w:t>
      </w:r>
    </w:p>
    <w:p>
      <w:pPr>
        <w:pStyle w:val="Heading1"/>
      </w:pPr>
      <w:r>
        <w:t>11. Sources / Public Evidence</w:t>
      </w:r>
    </w:p>
    <w:p>
      <w:pPr>
        <w:pStyle w:val="ListBullet"/>
      </w:pPr>
      <w:r>
        <w:t>Minespider — Blockchain Technology: https://www.minespider.com/blockchain-technology</w:t>
      </w:r>
    </w:p>
    <w:p>
      <w:pPr>
        <w:pStyle w:val="ListBullet"/>
      </w:pPr>
      <w:r>
        <w:t>Minespider — Platform / DPP capabilities: https://www.minespider.com/platform</w:t>
      </w:r>
    </w:p>
    <w:p>
      <w:pPr>
        <w:pStyle w:val="ListBullet"/>
      </w:pPr>
      <w:r>
        <w:t>Kezzler — Digital Product Passport: https://kezzler.com/digital-product-passport/</w:t>
      </w:r>
    </w:p>
    <w:p>
      <w:pPr>
        <w:pStyle w:val="ListBullet"/>
      </w:pPr>
      <w:r>
        <w:t>Kezzler — Solutions / enterprise architecture: https://kezzler.com/solutions/</w:t>
      </w:r>
    </w:p>
    <w:p>
      <w:pPr>
        <w:pStyle w:val="ListBullet"/>
      </w:pPr>
      <w:r>
        <w:t>osapiens — Digital Product Passport: https://osapiens.com/en/solutions/product-compliance/dpp</w:t>
      </w:r>
    </w:p>
    <w:p>
      <w:pPr>
        <w:pStyle w:val="ListBullet"/>
      </w:pPr>
      <w:r>
        <w:t>dpp.gs — API &amp; Integrations: https://dpp.gs/integrations/</w:t>
      </w:r>
    </w:p>
    <w:p>
      <w:pPr>
        <w:pStyle w:val="ListBullet"/>
      </w:pPr>
      <w:r>
        <w:t>GS1 — Digital Link: https://ref.gs1.org/standards/digital-link/</w:t>
      </w:r>
    </w:p>
    <w:p>
      <w:pPr>
        <w:pStyle w:val="ListBullet"/>
      </w:pPr>
      <w:r>
        <w:t>GS1 — Conformant Resolver Standard: https://ref.gs1.org/standards/resolver/</w:t>
      </w:r>
    </w:p>
    <w:p/>
    <w:p>
      <w:r>
        <w:rPr>
          <w:b/>
        </w:rPr>
        <w:t xml:space="preserve">Note: </w:t>
      </w:r>
      <w:r>
        <w:t>Competitor internal framework/database/cloud details are not always publicly disclosed. Where a competitor does not publish an exact stack, this document intentionally describes the publicly visible architecture/capabilities instead of guessing the underlying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