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26735B"/>
          <w:sz w:val="22"/>
        </w:rPr>
        <w:t>MONKSPACES</w:t>
      </w:r>
    </w:p>
    <w:p>
      <w:pPr>
        <w:pStyle w:val="Title"/>
      </w:pPr>
      <w:r>
        <w:t>Shared Product &amp; Packaging</w:t>
        <w:br/>
        <w:t>Data Platform</w:t>
      </w:r>
    </w:p>
    <w:p>
      <w:pPr>
        <w:spacing w:after="240"/>
      </w:pPr>
      <w:r>
        <w:rPr>
          <w:color w:val="536273"/>
          <w:sz w:val="24"/>
        </w:rPr>
        <w:t>Data discovery checklist, canonical data model, multi-tenant architecture and EPR-first MVP plan</w:t>
      </w:r>
    </w:p>
    <w:tbl>
      <w:tblPr>
        <w:tblStyle w:val="TableGrid"/>
        <w:tblW w:type="auto" w:w="0"/>
        <w:jc w:val="center"/>
        <w:tblLook w:firstColumn="1" w:firstRow="1" w:lastColumn="0" w:lastRow="0" w:noHBand="0" w:noVBand="1" w:val="04A0"/>
      </w:tblPr>
      <w:tblGrid>
        <w:gridCol w:w="5040"/>
        <w:gridCol w:w="5040"/>
      </w:tblGrid>
      <w:tr>
        <w:tc>
          <w:tcPr>
            <w:tcW w:type="dxa" w:w="2304"/>
            <w:shd w:fill="17365D"/>
          </w:tcPr>
          <w:p>
            <w:r>
              <w:rPr>
                <w:b/>
                <w:color w:val="FFFFFF"/>
                <w:sz w:val="17"/>
              </w:rPr>
              <w:t>Planning decision</w:t>
            </w:r>
          </w:p>
        </w:tc>
        <w:tc>
          <w:tcPr>
            <w:tcW w:type="dxa" w:w="8208"/>
            <w:shd w:fill="17365D"/>
          </w:tcPr>
          <w:p>
            <w:r>
              <w:rPr>
                <w:b/>
                <w:color w:val="FFFFFF"/>
                <w:sz w:val="17"/>
              </w:rPr>
              <w:t>Current direction</w:t>
            </w:r>
          </w:p>
        </w:tc>
      </w:tr>
      <w:tr>
        <w:tc>
          <w:tcPr>
            <w:tcW w:type="dxa" w:w="2304"/>
            <w:vAlign w:val="center"/>
          </w:tcPr>
          <w:p>
            <w:pPr>
              <w:spacing w:after="20"/>
            </w:pPr>
            <w:r>
              <w:rPr>
                <w:sz w:val="16"/>
              </w:rPr>
              <w:t>Product vision</w:t>
            </w:r>
          </w:p>
        </w:tc>
        <w:tc>
          <w:tcPr>
            <w:tcW w:type="dxa" w:w="8208"/>
            <w:vAlign w:val="center"/>
          </w:tcPr>
          <w:p>
            <w:pPr>
              <w:spacing w:after="20"/>
            </w:pPr>
            <w:r>
              <w:rPr>
                <w:sz w:val="16"/>
              </w:rPr>
              <w:t>A shared product and packaging data foundation, with compliance modules added on top.</w:t>
            </w:r>
          </w:p>
        </w:tc>
      </w:tr>
      <w:tr>
        <w:tc>
          <w:tcPr>
            <w:tcW w:type="dxa" w:w="2304"/>
            <w:vAlign w:val="center"/>
            <w:shd w:fill="F2F6F8"/>
          </w:tcPr>
          <w:p>
            <w:pPr>
              <w:spacing w:after="20"/>
            </w:pPr>
            <w:r>
              <w:rPr>
                <w:sz w:val="16"/>
              </w:rPr>
              <w:t>Initial use case</w:t>
            </w:r>
          </w:p>
        </w:tc>
        <w:tc>
          <w:tcPr>
            <w:tcW w:type="dxa" w:w="8208"/>
            <w:vAlign w:val="center"/>
            <w:shd w:fill="F2F6F8"/>
          </w:tcPr>
          <w:p>
            <w:pPr>
              <w:spacing w:after="20"/>
            </w:pPr>
            <w:r>
              <w:rPr>
                <w:sz w:val="16"/>
              </w:rPr>
              <w:t>EPR workflow as the first vertical slice—not the entire product.</w:t>
            </w:r>
          </w:p>
        </w:tc>
      </w:tr>
      <w:tr>
        <w:tc>
          <w:tcPr>
            <w:tcW w:type="dxa" w:w="2304"/>
            <w:vAlign w:val="center"/>
          </w:tcPr>
          <w:p>
            <w:pPr>
              <w:spacing w:after="20"/>
            </w:pPr>
            <w:r>
              <w:rPr>
                <w:sz w:val="16"/>
              </w:rPr>
              <w:t>Initial markets</w:t>
            </w:r>
          </w:p>
        </w:tc>
        <w:tc>
          <w:tcPr>
            <w:tcW w:type="dxa" w:w="8208"/>
            <w:vAlign w:val="center"/>
          </w:tcPr>
          <w:p>
            <w:pPr>
              <w:spacing w:after="20"/>
            </w:pPr>
            <w:r>
              <w:rPr>
                <w:sz w:val="16"/>
              </w:rPr>
              <w:t>UK + EU platform direction; first reporting workflow must be explicitly scoped by jurisdiction.</w:t>
            </w:r>
          </w:p>
        </w:tc>
      </w:tr>
      <w:tr>
        <w:tc>
          <w:tcPr>
            <w:tcW w:type="dxa" w:w="2304"/>
            <w:vAlign w:val="center"/>
            <w:shd w:fill="F2F6F8"/>
          </w:tcPr>
          <w:p>
            <w:pPr>
              <w:spacing w:after="20"/>
            </w:pPr>
            <w:r>
              <w:rPr>
                <w:sz w:val="16"/>
              </w:rPr>
              <w:t>Initial industry</w:t>
            </w:r>
          </w:p>
        </w:tc>
        <w:tc>
          <w:tcPr>
            <w:tcW w:type="dxa" w:w="8208"/>
            <w:vAlign w:val="center"/>
            <w:shd w:fill="F2F6F8"/>
          </w:tcPr>
          <w:p>
            <w:pPr>
              <w:spacing w:after="20"/>
            </w:pPr>
            <w:r>
              <w:rPr>
                <w:sz w:val="16"/>
              </w:rPr>
              <w:t>Consumer goods / FMCG packaging.</w:t>
            </w:r>
          </w:p>
        </w:tc>
      </w:tr>
      <w:tr>
        <w:tc>
          <w:tcPr>
            <w:tcW w:type="dxa" w:w="2304"/>
            <w:vAlign w:val="center"/>
          </w:tcPr>
          <w:p>
            <w:pPr>
              <w:spacing w:after="20"/>
            </w:pPr>
            <w:r>
              <w:rPr>
                <w:sz w:val="16"/>
              </w:rPr>
              <w:t>Data sources</w:t>
            </w:r>
          </w:p>
        </w:tc>
        <w:tc>
          <w:tcPr>
            <w:tcW w:type="dxa" w:w="8208"/>
            <w:vAlign w:val="center"/>
          </w:tcPr>
          <w:p>
            <w:pPr>
              <w:spacing w:after="20"/>
            </w:pPr>
            <w:r>
              <w:rPr>
                <w:sz w:val="16"/>
              </w:rPr>
              <w:t>Excel/CSV, ERP/PLM exports and supplier files.</w:t>
            </w:r>
          </w:p>
        </w:tc>
      </w:tr>
      <w:tr>
        <w:tc>
          <w:tcPr>
            <w:tcW w:type="dxa" w:w="2304"/>
            <w:vAlign w:val="center"/>
            <w:shd w:fill="F2F6F8"/>
          </w:tcPr>
          <w:p>
            <w:pPr>
              <w:spacing w:after="20"/>
            </w:pPr>
            <w:r>
              <w:rPr>
                <w:sz w:val="16"/>
              </w:rPr>
              <w:t>Operating model</w:t>
            </w:r>
          </w:p>
        </w:tc>
        <w:tc>
          <w:tcPr>
            <w:tcW w:type="dxa" w:w="8208"/>
            <w:vAlign w:val="center"/>
            <w:shd w:fill="F2F6F8"/>
          </w:tcPr>
          <w:p>
            <w:pPr>
              <w:spacing w:after="20"/>
            </w:pPr>
            <w:r>
              <w:rPr>
                <w:sz w:val="16"/>
              </w:rPr>
              <w:t>Monkspaces consultants manage multiple client companies.</w:t>
            </w:r>
          </w:p>
        </w:tc>
      </w:tr>
      <w:tr>
        <w:tc>
          <w:tcPr>
            <w:tcW w:type="dxa" w:w="2304"/>
            <w:vAlign w:val="center"/>
          </w:tcPr>
          <w:p>
            <w:pPr>
              <w:spacing w:after="20"/>
            </w:pPr>
            <w:r>
              <w:rPr>
                <w:sz w:val="16"/>
              </w:rPr>
              <w:t>Proposed stack</w:t>
            </w:r>
          </w:p>
        </w:tc>
        <w:tc>
          <w:tcPr>
            <w:tcW w:type="dxa" w:w="8208"/>
            <w:vAlign w:val="center"/>
          </w:tcPr>
          <w:p>
            <w:pPr>
              <w:spacing w:after="20"/>
            </w:pPr>
            <w:r>
              <w:rPr>
                <w:sz w:val="16"/>
              </w:rPr>
              <w:t>Angular + TypeScript, FastAPI/Python, PostgreSQL, private object storage, OIDC-based identity.</w:t>
            </w:r>
          </w:p>
        </w:tc>
      </w:tr>
    </w:tbl>
    <w:p>
      <w:pPr>
        <w:spacing w:after="20"/>
      </w:pPr>
    </w:p>
    <w:p>
      <w:pPr>
        <w:pStyle w:val="Heading1"/>
      </w:pPr>
      <w:r>
        <w:t>1. Executive recommendation</w:t>
      </w:r>
    </w:p>
    <w:p>
      <w:r>
        <w:t>Build a multi-tenant shared data platform rather than a single-purpose EPR calculator. The platform should ingest and normalize client data, preserve provenance, manage data-quality issues, and provide controlled access to reusable product and packaging records. EPR is the first compliance module. PPWR, DPP and other modules can reuse the foundation later, while maintaining their own rules, workflows and outputs.</w:t>
      </w:r>
    </w:p>
    <w:p>
      <w:pPr>
        <w:pStyle w:val="ListBullet"/>
        <w:spacing w:after="20"/>
      </w:pPr>
      <w:r>
        <w:t>Keep common product, packaging, material, supplier, source and evidence data in a governed shared model.</w:t>
      </w:r>
    </w:p>
    <w:p>
      <w:pPr>
        <w:pStyle w:val="ListBullet"/>
        <w:spacing w:after="20"/>
      </w:pPr>
      <w:r>
        <w:t>Keep jurisdiction-specific obligations, rules, calculations and reporting outputs separate and versioned.</w:t>
      </w:r>
    </w:p>
    <w:p>
      <w:pPr>
        <w:pStyle w:val="ListBullet"/>
        <w:spacing w:after="20"/>
      </w:pPr>
      <w:r>
        <w:t>Use a modular monolith for the first release; avoid microservices until real scale or operational needs justify them.</w:t>
      </w:r>
    </w:p>
    <w:p>
      <w:pPr>
        <w:pStyle w:val="ListBullet"/>
        <w:spacing w:after="20"/>
      </w:pPr>
      <w:r>
        <w:t>Validate the schema against real client files before locking it.</w:t>
      </w:r>
    </w:p>
    <w:p>
      <w:pPr>
        <w:pStyle w:val="ListBullet"/>
        <w:spacing w:after="20"/>
      </w:pPr>
      <w:r>
        <w:t>Treat the 8-week schedule as an illustrative target for a narrow pilot, not a promise of a complete enterprise platform.</w:t>
      </w:r>
    </w:p>
    <w:p>
      <w:pPr>
        <w:pStyle w:val="Heading1"/>
      </w:pPr>
      <w:r>
        <w:t>2. Data discovery checklist</w:t>
      </w:r>
    </w:p>
    <w:p>
      <w:r>
        <w:t>Use this checklist during client onboarding and discovery. Record the owner, source, sample file, known gaps and decision for every relevant item.</w:t>
      </w:r>
    </w:p>
    <w:p>
      <w:pPr>
        <w:pStyle w:val="Heading2"/>
      </w:pPr>
      <w:r>
        <w:t>2.1 Company profile</w:t>
      </w:r>
    </w:p>
    <w:p>
      <w:pPr>
        <w:pStyle w:val="ListBullet"/>
        <w:spacing w:after="20"/>
      </w:pPr>
      <w:r>
        <w:t>☐ Legal entity name, registration identifiers and operating countries.</w:t>
      </w:r>
    </w:p>
    <w:p>
      <w:pPr>
        <w:pStyle w:val="ListBullet"/>
        <w:spacing w:after="20"/>
      </w:pPr>
      <w:r>
        <w:t>☐ Parent company, subsidiaries, brands and relevant reporting entities.</w:t>
      </w:r>
    </w:p>
    <w:p>
      <w:pPr>
        <w:pStyle w:val="ListBullet"/>
        <w:spacing w:after="20"/>
      </w:pPr>
      <w:r>
        <w:t>☐ Business role(s): brand owner, importer, manufacturer, packer/filler, distributor or other applicable role.</w:t>
      </w:r>
    </w:p>
    <w:p>
      <w:pPr>
        <w:pStyle w:val="ListBullet"/>
        <w:spacing w:after="20"/>
      </w:pPr>
      <w:r>
        <w:t>☐ Markets where products are placed on the market or supplied.</w:t>
      </w:r>
    </w:p>
    <w:p>
      <w:pPr>
        <w:pStyle w:val="ListBullet"/>
        <w:spacing w:after="20"/>
      </w:pPr>
      <w:r>
        <w:t>☐ Client users, Monkspaces consultant assignments, data owners and approvers.</w:t>
      </w:r>
    </w:p>
    <w:p>
      <w:pPr>
        <w:pStyle w:val="Heading2"/>
      </w:pPr>
      <w:r>
        <w:t>2.2 Regulatory scope</w:t>
      </w:r>
    </w:p>
    <w:p>
      <w:pPr>
        <w:pStyle w:val="ListBullet"/>
        <w:spacing w:after="20"/>
      </w:pPr>
      <w:r>
        <w:t>☐ Target market: UK or a specific EU Member State; do not treat EU reporting as one universal workflow.</w:t>
      </w:r>
    </w:p>
    <w:p>
      <w:pPr>
        <w:pStyle w:val="ListBullet"/>
        <w:spacing w:after="20"/>
      </w:pPr>
      <w:r>
        <w:t>☐ Applicable obligation/category, reporting period and reporting entity.</w:t>
      </w:r>
    </w:p>
    <w:p>
      <w:pPr>
        <w:pStyle w:val="ListBullet"/>
        <w:spacing w:after="20"/>
      </w:pPr>
      <w:r>
        <w:t>☐ Relevant packaging activities, categories, classifications and market breakdowns.</w:t>
      </w:r>
    </w:p>
    <w:p>
      <w:pPr>
        <w:pStyle w:val="ListBullet"/>
        <w:spacing w:after="20"/>
      </w:pPr>
      <w:r>
        <w:t>☐ Applicable thresholds, exemptions, registrations and supporting evidence, where relevant.</w:t>
      </w:r>
    </w:p>
    <w:p>
      <w:pPr>
        <w:pStyle w:val="ListBullet"/>
        <w:spacing w:after="20"/>
      </w:pPr>
      <w:r>
        <w:t>☐ Expected report format, submission route, reviewer and approval process.</w:t>
      </w:r>
    </w:p>
    <w:p>
      <w:pPr>
        <w:pStyle w:val="Heading2"/>
      </w:pPr>
      <w:r>
        <w:t>2.3 Product and packaging data</w:t>
      </w:r>
    </w:p>
    <w:p>
      <w:pPr>
        <w:pStyle w:val="ListBullet"/>
        <w:spacing w:after="20"/>
      </w:pPr>
      <w:r>
        <w:t>☐ Product identifier, SKU, product name, brand, category and active dates.</w:t>
      </w:r>
    </w:p>
    <w:p>
      <w:pPr>
        <w:pStyle w:val="ListBullet"/>
        <w:spacing w:after="20"/>
      </w:pPr>
      <w:r>
        <w:t>☐ Packaging specification/BOM and packaging level (for example, primary, secondary or transport where relevant).</w:t>
      </w:r>
    </w:p>
    <w:p>
      <w:pPr>
        <w:pStyle w:val="ListBullet"/>
        <w:spacing w:after="20"/>
      </w:pPr>
      <w:r>
        <w:t>☐ Component identifier and description (for example bottle, cap, label, carton, film or pallet).</w:t>
      </w:r>
    </w:p>
    <w:p>
      <w:pPr>
        <w:pStyle w:val="ListBullet"/>
        <w:spacing w:after="20"/>
      </w:pPr>
      <w:r>
        <w:t>☐ Material type/subtype, component weight, unit of measure and measurement method.</w:t>
      </w:r>
    </w:p>
    <w:p>
      <w:pPr>
        <w:pStyle w:val="ListBullet"/>
        <w:spacing w:after="20"/>
      </w:pPr>
      <w:r>
        <w:t>☐ Quantity of each component per product/sales unit; effective dates and specification version.</w:t>
      </w:r>
    </w:p>
    <w:p>
      <w:pPr>
        <w:pStyle w:val="ListBullet"/>
        <w:spacing w:after="20"/>
      </w:pPr>
      <w:r>
        <w:t>☐ Supplier/manufacturer reference and evidence supporting the specification.</w:t>
      </w:r>
    </w:p>
    <w:p>
      <w:pPr>
        <w:pStyle w:val="Heading2"/>
      </w:pPr>
      <w:r>
        <w:t>2.4 Sales and supply data</w:t>
      </w:r>
    </w:p>
    <w:p>
      <w:pPr>
        <w:pStyle w:val="ListBullet"/>
        <w:spacing w:after="20"/>
      </w:pPr>
      <w:r>
        <w:t>☐ Sales/supply quantity, date or reporting period, product/SKU and unit.</w:t>
      </w:r>
    </w:p>
    <w:p>
      <w:pPr>
        <w:pStyle w:val="ListBullet"/>
        <w:spacing w:after="20"/>
      </w:pPr>
      <w:r>
        <w:t>☐ Destination market and country breakdown where required.</w:t>
      </w:r>
    </w:p>
    <w:p>
      <w:pPr>
        <w:pStyle w:val="ListBullet"/>
        <w:spacing w:after="20"/>
      </w:pPr>
      <w:r>
        <w:t>☐ Relevant import/export or other supply activity.</w:t>
      </w:r>
    </w:p>
    <w:p>
      <w:pPr>
        <w:pStyle w:val="ListBullet"/>
        <w:spacing w:after="20"/>
      </w:pPr>
      <w:r>
        <w:t>☐ Returns, corrections, duplicates and reconciliation rules.</w:t>
      </w:r>
    </w:p>
    <w:p>
      <w:pPr>
        <w:pStyle w:val="ListBullet"/>
        <w:spacing w:after="20"/>
      </w:pPr>
      <w:r>
        <w:t>☐ Source report, extraction date, source owner and reconciliation totals.</w:t>
      </w:r>
    </w:p>
    <w:p>
      <w:pPr>
        <w:pStyle w:val="Heading2"/>
      </w:pPr>
      <w:r>
        <w:t>2.5 Supplier and source systems</w:t>
      </w:r>
    </w:p>
    <w:p>
      <w:pPr>
        <w:pStyle w:val="ListBullet"/>
        <w:spacing w:after="20"/>
      </w:pPr>
      <w:r>
        <w:t>☐ Anonymised sample Excel/CSV files, column descriptions and current templates.</w:t>
      </w:r>
    </w:p>
    <w:p>
      <w:pPr>
        <w:pStyle w:val="ListBullet"/>
        <w:spacing w:after="20"/>
      </w:pPr>
      <w:r>
        <w:t>☐ ERP/PLM system name, data owner, export options and API documentation/access if available.</w:t>
      </w:r>
    </w:p>
    <w:p>
      <w:pPr>
        <w:pStyle w:val="ListBullet"/>
        <w:spacing w:after="20"/>
      </w:pPr>
      <w:r>
        <w:t>☐ Supplier specifications, packaging declarations, weight evidence and document formats.</w:t>
      </w:r>
    </w:p>
    <w:p>
      <w:pPr>
        <w:pStyle w:val="ListBullet"/>
        <w:spacing w:after="20"/>
      </w:pPr>
      <w:r>
        <w:t>☐ Known gaps, estimates, manually entered values and who can approve corrections.</w:t>
      </w:r>
    </w:p>
    <w:p>
      <w:pPr>
        <w:pStyle w:val="ListBullet"/>
        <w:spacing w:after="20"/>
      </w:pPr>
      <w:r>
        <w:t>☐ Refresh frequency, source-of-truth rules and permissions to access/use the data.</w:t>
      </w:r>
    </w:p>
    <w:p>
      <w:pPr>
        <w:pStyle w:val="Heading2"/>
      </w:pPr>
      <w:r>
        <w:t>2.6 Data governance and operations</w:t>
      </w:r>
    </w:p>
    <w:p>
      <w:pPr>
        <w:pStyle w:val="ListBullet"/>
        <w:spacing w:after="20"/>
      </w:pPr>
      <w:r>
        <w:t>☐ Who can upload, edit, review, approve, export and administer data.</w:t>
      </w:r>
    </w:p>
    <w:p>
      <w:pPr>
        <w:pStyle w:val="ListBullet"/>
        <w:spacing w:after="20"/>
      </w:pPr>
      <w:r>
        <w:t>☐ Audit history, evidence retention and versioning requirements.</w:t>
      </w:r>
    </w:p>
    <w:p>
      <w:pPr>
        <w:pStyle w:val="ListBullet"/>
        <w:spacing w:after="20"/>
      </w:pPr>
      <w:r>
        <w:t>☐ Data-quality acceptance criteria, severity levels and escalation owners.</w:t>
      </w:r>
    </w:p>
    <w:p>
      <w:pPr>
        <w:pStyle w:val="ListBullet"/>
        <w:spacing w:after="20"/>
      </w:pPr>
      <w:r>
        <w:t>☐ Approval required before an output is marked reviewed/ready.</w:t>
      </w:r>
    </w:p>
    <w:p>
      <w:pPr>
        <w:pStyle w:val="ListBullet"/>
        <w:spacing w:after="20"/>
      </w:pPr>
      <w:r>
        <w:t>☐ Hosting, data residency, security, contractual retention and deletion requirements.</w:t>
      </w:r>
    </w:p>
    <w:p>
      <w:pPr>
        <w:pStyle w:val="Heading1"/>
      </w:pPr>
      <w:r>
        <w:t>3. Minimum sample files to request</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7365D"/>
          </w:tcPr>
          <w:p>
            <w:r>
              <w:rPr>
                <w:b/>
                <w:color w:val="FFFFFF"/>
                <w:sz w:val="17"/>
              </w:rPr>
              <w:t>Sample file</w:t>
            </w:r>
          </w:p>
        </w:tc>
        <w:tc>
          <w:tcPr>
            <w:tcW w:type="dxa" w:w="4680"/>
            <w:shd w:fill="17365D"/>
          </w:tcPr>
          <w:p>
            <w:r>
              <w:rPr>
                <w:b/>
                <w:color w:val="FFFFFF"/>
                <w:sz w:val="17"/>
              </w:rPr>
              <w:t>Fields to inspect</w:t>
            </w:r>
          </w:p>
        </w:tc>
        <w:tc>
          <w:tcPr>
            <w:tcW w:type="dxa" w:w="3744"/>
            <w:shd w:fill="17365D"/>
          </w:tcPr>
          <w:p>
            <w:r>
              <w:rPr>
                <w:b/>
                <w:color w:val="FFFFFF"/>
                <w:sz w:val="17"/>
              </w:rPr>
              <w:t>Purpose</w:t>
            </w:r>
          </w:p>
        </w:tc>
      </w:tr>
      <w:tr>
        <w:tc>
          <w:tcPr>
            <w:tcW w:type="dxa" w:w="2088"/>
            <w:vAlign w:val="center"/>
          </w:tcPr>
          <w:p>
            <w:pPr>
              <w:spacing w:after="20"/>
            </w:pPr>
            <w:r>
              <w:rPr>
                <w:sz w:val="16"/>
              </w:rPr>
              <w:t>Product master</w:t>
            </w:r>
          </w:p>
        </w:tc>
        <w:tc>
          <w:tcPr>
            <w:tcW w:type="dxa" w:w="4680"/>
            <w:vAlign w:val="center"/>
          </w:tcPr>
          <w:p>
            <w:pPr>
              <w:spacing w:after="20"/>
            </w:pPr>
            <w:r>
              <w:rPr>
                <w:sz w:val="16"/>
              </w:rPr>
              <w:t>Product ID, SKU, name, brand, category, status</w:t>
            </w:r>
          </w:p>
        </w:tc>
        <w:tc>
          <w:tcPr>
            <w:tcW w:type="dxa" w:w="3744"/>
            <w:vAlign w:val="center"/>
          </w:tcPr>
          <w:p>
            <w:pPr>
              <w:spacing w:after="20"/>
            </w:pPr>
            <w:r>
              <w:rPr>
                <w:sz w:val="16"/>
              </w:rPr>
              <w:t>Product identity, matching and deduplication.</w:t>
            </w:r>
          </w:p>
        </w:tc>
      </w:tr>
      <w:tr>
        <w:tc>
          <w:tcPr>
            <w:tcW w:type="dxa" w:w="2088"/>
            <w:vAlign w:val="center"/>
            <w:shd w:fill="F2F6F8"/>
          </w:tcPr>
          <w:p>
            <w:pPr>
              <w:spacing w:after="20"/>
            </w:pPr>
            <w:r>
              <w:rPr>
                <w:sz w:val="16"/>
              </w:rPr>
              <w:t>Packaging BOM/specification</w:t>
            </w:r>
          </w:p>
        </w:tc>
        <w:tc>
          <w:tcPr>
            <w:tcW w:type="dxa" w:w="4680"/>
            <w:vAlign w:val="center"/>
            <w:shd w:fill="F2F6F8"/>
          </w:tcPr>
          <w:p>
            <w:pPr>
              <w:spacing w:after="20"/>
            </w:pPr>
            <w:r>
              <w:rPr>
                <w:sz w:val="16"/>
              </w:rPr>
              <w:t>Component ID, material, weight, unit, packaging level, quantity per product</w:t>
            </w:r>
          </w:p>
        </w:tc>
        <w:tc>
          <w:tcPr>
            <w:tcW w:type="dxa" w:w="3744"/>
            <w:vAlign w:val="center"/>
            <w:shd w:fill="F2F6F8"/>
          </w:tcPr>
          <w:p>
            <w:pPr>
              <w:spacing w:after="20"/>
            </w:pPr>
            <w:r>
              <w:rPr>
                <w:sz w:val="16"/>
              </w:rPr>
              <w:t>Connect products to their packaging components.</w:t>
            </w:r>
          </w:p>
        </w:tc>
      </w:tr>
      <w:tr>
        <w:tc>
          <w:tcPr>
            <w:tcW w:type="dxa" w:w="2088"/>
            <w:vAlign w:val="center"/>
          </w:tcPr>
          <w:p>
            <w:pPr>
              <w:spacing w:after="20"/>
            </w:pPr>
            <w:r>
              <w:rPr>
                <w:sz w:val="16"/>
              </w:rPr>
              <w:t>Sales/supply export</w:t>
            </w:r>
          </w:p>
        </w:tc>
        <w:tc>
          <w:tcPr>
            <w:tcW w:type="dxa" w:w="4680"/>
            <w:vAlign w:val="center"/>
          </w:tcPr>
          <w:p>
            <w:pPr>
              <w:spacing w:after="20"/>
            </w:pPr>
            <w:r>
              <w:rPr>
                <w:sz w:val="16"/>
              </w:rPr>
              <w:t>SKU, quantity, date/period, destination market</w:t>
            </w:r>
          </w:p>
        </w:tc>
        <w:tc>
          <w:tcPr>
            <w:tcW w:type="dxa" w:w="3744"/>
            <w:vAlign w:val="center"/>
          </w:tcPr>
          <w:p>
            <w:pPr>
              <w:spacing w:after="20"/>
            </w:pPr>
            <w:r>
              <w:rPr>
                <w:sz w:val="16"/>
              </w:rPr>
              <w:t>Determine quantities relevant to a reporting period.</w:t>
            </w:r>
          </w:p>
        </w:tc>
      </w:tr>
      <w:tr>
        <w:tc>
          <w:tcPr>
            <w:tcW w:type="dxa" w:w="2088"/>
            <w:vAlign w:val="center"/>
            <w:shd w:fill="F2F6F8"/>
          </w:tcPr>
          <w:p>
            <w:pPr>
              <w:spacing w:after="20"/>
            </w:pPr>
            <w:r>
              <w:rPr>
                <w:sz w:val="16"/>
              </w:rPr>
              <w:t>Supplier specification/evidence</w:t>
            </w:r>
          </w:p>
        </w:tc>
        <w:tc>
          <w:tcPr>
            <w:tcW w:type="dxa" w:w="4680"/>
            <w:vAlign w:val="center"/>
            <w:shd w:fill="F2F6F8"/>
          </w:tcPr>
          <w:p>
            <w:pPr>
              <w:spacing w:after="20"/>
            </w:pPr>
            <w:r>
              <w:rPr>
                <w:sz w:val="16"/>
              </w:rPr>
              <w:t>Component/material, weight, source, document date/version</w:t>
            </w:r>
          </w:p>
        </w:tc>
        <w:tc>
          <w:tcPr>
            <w:tcW w:type="dxa" w:w="3744"/>
            <w:vAlign w:val="center"/>
            <w:shd w:fill="F2F6F8"/>
          </w:tcPr>
          <w:p>
            <w:pPr>
              <w:spacing w:after="20"/>
            </w:pPr>
            <w:r>
              <w:rPr>
                <w:sz w:val="16"/>
              </w:rPr>
              <w:t>Substantiate packaging data and resolve gaps.</w:t>
            </w:r>
          </w:p>
        </w:tc>
      </w:tr>
      <w:tr>
        <w:tc>
          <w:tcPr>
            <w:tcW w:type="dxa" w:w="2088"/>
            <w:vAlign w:val="center"/>
          </w:tcPr>
          <w:p>
            <w:pPr>
              <w:spacing w:after="20"/>
            </w:pPr>
            <w:r>
              <w:rPr>
                <w:sz w:val="16"/>
              </w:rPr>
              <w:t>Existing compliance report</w:t>
            </w:r>
          </w:p>
        </w:tc>
        <w:tc>
          <w:tcPr>
            <w:tcW w:type="dxa" w:w="4680"/>
            <w:vAlign w:val="center"/>
          </w:tcPr>
          <w:p>
            <w:pPr>
              <w:spacing w:after="20"/>
            </w:pPr>
            <w:r>
              <w:rPr>
                <w:sz w:val="16"/>
              </w:rPr>
              <w:t>Categories, totals, output format and period</w:t>
            </w:r>
          </w:p>
        </w:tc>
        <w:tc>
          <w:tcPr>
            <w:tcW w:type="dxa" w:w="3744"/>
            <w:vAlign w:val="center"/>
          </w:tcPr>
          <w:p>
            <w:pPr>
              <w:spacing w:after="20"/>
            </w:pPr>
            <w:r>
              <w:rPr>
                <w:sz w:val="16"/>
              </w:rPr>
              <w:t>Reconciliation and migration reference.</w:t>
            </w:r>
          </w:p>
        </w:tc>
      </w:tr>
      <w:tr>
        <w:tc>
          <w:tcPr>
            <w:tcW w:type="dxa" w:w="2088"/>
            <w:vAlign w:val="center"/>
            <w:shd w:fill="F2F6F8"/>
          </w:tcPr>
          <w:p>
            <w:pPr>
              <w:spacing w:after="20"/>
            </w:pPr>
            <w:r>
              <w:rPr>
                <w:sz w:val="16"/>
              </w:rPr>
              <w:t>Company/market reference</w:t>
            </w:r>
          </w:p>
        </w:tc>
        <w:tc>
          <w:tcPr>
            <w:tcW w:type="dxa" w:w="4680"/>
            <w:vAlign w:val="center"/>
            <w:shd w:fill="F2F6F8"/>
          </w:tcPr>
          <w:p>
            <w:pPr>
              <w:spacing w:after="20"/>
            </w:pPr>
            <w:r>
              <w:rPr>
                <w:sz w:val="16"/>
              </w:rPr>
              <w:t>Legal entity, brands, subsidiaries, countries</w:t>
            </w:r>
          </w:p>
        </w:tc>
        <w:tc>
          <w:tcPr>
            <w:tcW w:type="dxa" w:w="3744"/>
            <w:vAlign w:val="center"/>
            <w:shd w:fill="F2F6F8"/>
          </w:tcPr>
          <w:p>
            <w:pPr>
              <w:spacing w:after="20"/>
            </w:pPr>
            <w:r>
              <w:rPr>
                <w:sz w:val="16"/>
              </w:rPr>
              <w:t>Correct reporting entity and market context.</w:t>
            </w:r>
          </w:p>
        </w:tc>
      </w:tr>
    </w:tbl>
    <w:p>
      <w:pPr>
        <w:spacing w:after="20"/>
      </w:pPr>
    </w:p>
    <w:p>
      <w:r>
        <w:t>Request anonymised or synthetic samples if live client data cannot be shared. Not every client will have a formal packaging BOM; the MVP should support a documented manual fallback and distinguish measured, supplier-provided, estimated and unverified values.</w:t>
      </w:r>
    </w:p>
    <w:p>
      <w:pPr>
        <w:pStyle w:val="Heading1"/>
      </w:pPr>
      <w:r>
        <w:t>4. Initial canonical data model</w:t>
      </w:r>
    </w:p>
    <w:p>
      <w:r>
        <w:t>This is a conceptual model for discovery, not a final database schema. Validate identifiers, relationships, cardinality, effective dates and mandatory fields against the first client dataset and selected reporting workflow.</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7365D"/>
          </w:tcPr>
          <w:p>
            <w:r>
              <w:rPr>
                <w:b/>
                <w:color w:val="FFFFFF"/>
                <w:sz w:val="17"/>
              </w:rPr>
              <w:t>Entity</w:t>
            </w:r>
          </w:p>
        </w:tc>
        <w:tc>
          <w:tcPr>
            <w:tcW w:type="dxa" w:w="2376"/>
            <w:shd w:fill="17365D"/>
          </w:tcPr>
          <w:p>
            <w:r>
              <w:rPr>
                <w:b/>
                <w:color w:val="FFFFFF"/>
                <w:sz w:val="17"/>
              </w:rPr>
              <w:t>Purpose</w:t>
            </w:r>
          </w:p>
        </w:tc>
        <w:tc>
          <w:tcPr>
            <w:tcW w:type="dxa" w:w="5904"/>
            <w:shd w:fill="17365D"/>
          </w:tcPr>
          <w:p>
            <w:r>
              <w:rPr>
                <w:b/>
                <w:color w:val="FFFFFF"/>
                <w:sz w:val="17"/>
              </w:rPr>
              <w:t>Candidate fields / notes</w:t>
            </w:r>
          </w:p>
        </w:tc>
      </w:tr>
      <w:tr>
        <w:tc>
          <w:tcPr>
            <w:tcW w:type="dxa" w:w="2232"/>
            <w:vAlign w:val="center"/>
          </w:tcPr>
          <w:p>
            <w:pPr>
              <w:spacing w:after="20"/>
            </w:pPr>
            <w:r>
              <w:rPr>
                <w:sz w:val="16"/>
              </w:rPr>
              <w:t>Tenant</w:t>
            </w:r>
          </w:p>
        </w:tc>
        <w:tc>
          <w:tcPr>
            <w:tcW w:type="dxa" w:w="2376"/>
            <w:vAlign w:val="center"/>
          </w:tcPr>
          <w:p>
            <w:pPr>
              <w:spacing w:after="20"/>
            </w:pPr>
            <w:r>
              <w:rPr>
                <w:sz w:val="16"/>
              </w:rPr>
              <w:t>Client data boundary</w:t>
            </w:r>
          </w:p>
        </w:tc>
        <w:tc>
          <w:tcPr>
            <w:tcW w:type="dxa" w:w="5904"/>
            <w:vAlign w:val="center"/>
          </w:tcPr>
          <w:p>
            <w:pPr>
              <w:spacing w:after="20"/>
            </w:pPr>
            <w:r>
              <w:rPr>
                <w:sz w:val="16"/>
              </w:rPr>
              <w:t>tenant_id, name, status, configuration.</w:t>
            </w:r>
          </w:p>
        </w:tc>
      </w:tr>
      <w:tr>
        <w:tc>
          <w:tcPr>
            <w:tcW w:type="dxa" w:w="2232"/>
            <w:vAlign w:val="center"/>
            <w:shd w:fill="F2F6F8"/>
          </w:tcPr>
          <w:p>
            <w:pPr>
              <w:spacing w:after="20"/>
            </w:pPr>
            <w:r>
              <w:rPr>
                <w:sz w:val="16"/>
              </w:rPr>
              <w:t>LegalEntity</w:t>
            </w:r>
          </w:p>
        </w:tc>
        <w:tc>
          <w:tcPr>
            <w:tcW w:type="dxa" w:w="2376"/>
            <w:vAlign w:val="center"/>
            <w:shd w:fill="F2F6F8"/>
          </w:tcPr>
          <w:p>
            <w:pPr>
              <w:spacing w:after="20"/>
            </w:pPr>
            <w:r>
              <w:rPr>
                <w:sz w:val="16"/>
              </w:rPr>
              <w:t>Reporting/legal entity</w:t>
            </w:r>
          </w:p>
        </w:tc>
        <w:tc>
          <w:tcPr>
            <w:tcW w:type="dxa" w:w="5904"/>
            <w:vAlign w:val="center"/>
            <w:shd w:fill="F2F6F8"/>
          </w:tcPr>
          <w:p>
            <w:pPr>
              <w:spacing w:after="20"/>
            </w:pPr>
            <w:r>
              <w:rPr>
                <w:sz w:val="16"/>
              </w:rPr>
              <w:t>entity_id, tenant_id, identifiers, country, parent relationship.</w:t>
            </w:r>
          </w:p>
        </w:tc>
      </w:tr>
      <w:tr>
        <w:tc>
          <w:tcPr>
            <w:tcW w:type="dxa" w:w="2232"/>
            <w:vAlign w:val="center"/>
          </w:tcPr>
          <w:p>
            <w:pPr>
              <w:spacing w:after="20"/>
            </w:pPr>
            <w:r>
              <w:rPr>
                <w:sz w:val="16"/>
              </w:rPr>
              <w:t>UserMembership</w:t>
            </w:r>
          </w:p>
        </w:tc>
        <w:tc>
          <w:tcPr>
            <w:tcW w:type="dxa" w:w="2376"/>
            <w:vAlign w:val="center"/>
          </w:tcPr>
          <w:p>
            <w:pPr>
              <w:spacing w:after="20"/>
            </w:pPr>
            <w:r>
              <w:rPr>
                <w:sz w:val="16"/>
              </w:rPr>
              <w:t>Access to a tenant</w:t>
            </w:r>
          </w:p>
        </w:tc>
        <w:tc>
          <w:tcPr>
            <w:tcW w:type="dxa" w:w="5904"/>
            <w:vAlign w:val="center"/>
          </w:tcPr>
          <w:p>
            <w:pPr>
              <w:spacing w:after="20"/>
            </w:pPr>
            <w:r>
              <w:rPr>
                <w:sz w:val="16"/>
              </w:rPr>
              <w:t>user_id, tenant_id, role, status; consultant assignments are explicit.</w:t>
            </w:r>
          </w:p>
        </w:tc>
      </w:tr>
      <w:tr>
        <w:tc>
          <w:tcPr>
            <w:tcW w:type="dxa" w:w="2232"/>
            <w:vAlign w:val="center"/>
            <w:shd w:fill="F2F6F8"/>
          </w:tcPr>
          <w:p>
            <w:pPr>
              <w:spacing w:after="20"/>
            </w:pPr>
            <w:r>
              <w:rPr>
                <w:sz w:val="16"/>
              </w:rPr>
              <w:t>Brand</w:t>
            </w:r>
          </w:p>
        </w:tc>
        <w:tc>
          <w:tcPr>
            <w:tcW w:type="dxa" w:w="2376"/>
            <w:vAlign w:val="center"/>
            <w:shd w:fill="F2F6F8"/>
          </w:tcPr>
          <w:p>
            <w:pPr>
              <w:spacing w:after="20"/>
            </w:pPr>
            <w:r>
              <w:rPr>
                <w:sz w:val="16"/>
              </w:rPr>
              <w:t>Brand reference</w:t>
            </w:r>
          </w:p>
        </w:tc>
        <w:tc>
          <w:tcPr>
            <w:tcW w:type="dxa" w:w="5904"/>
            <w:vAlign w:val="center"/>
            <w:shd w:fill="F2F6F8"/>
          </w:tcPr>
          <w:p>
            <w:pPr>
              <w:spacing w:after="20"/>
            </w:pPr>
            <w:r>
              <w:rPr>
                <w:sz w:val="16"/>
              </w:rPr>
              <w:t>brand_id, tenant_id, name, owner entity.</w:t>
            </w:r>
          </w:p>
        </w:tc>
      </w:tr>
      <w:tr>
        <w:tc>
          <w:tcPr>
            <w:tcW w:type="dxa" w:w="2232"/>
            <w:vAlign w:val="center"/>
          </w:tcPr>
          <w:p>
            <w:pPr>
              <w:spacing w:after="20"/>
            </w:pPr>
            <w:r>
              <w:rPr>
                <w:sz w:val="16"/>
              </w:rPr>
              <w:t>Product</w:t>
            </w:r>
          </w:p>
        </w:tc>
        <w:tc>
          <w:tcPr>
            <w:tcW w:type="dxa" w:w="2376"/>
            <w:vAlign w:val="center"/>
          </w:tcPr>
          <w:p>
            <w:pPr>
              <w:spacing w:after="20"/>
            </w:pPr>
            <w:r>
              <w:rPr>
                <w:sz w:val="16"/>
              </w:rPr>
              <w:t>Product master</w:t>
            </w:r>
          </w:p>
        </w:tc>
        <w:tc>
          <w:tcPr>
            <w:tcW w:type="dxa" w:w="5904"/>
            <w:vAlign w:val="center"/>
          </w:tcPr>
          <w:p>
            <w:pPr>
              <w:spacing w:after="20"/>
            </w:pPr>
            <w:r>
              <w:rPr>
                <w:sz w:val="16"/>
              </w:rPr>
              <w:t>product_id, tenant_id, SKU, brand, category, status, external identifiers.</w:t>
            </w:r>
          </w:p>
        </w:tc>
      </w:tr>
      <w:tr>
        <w:tc>
          <w:tcPr>
            <w:tcW w:type="dxa" w:w="2232"/>
            <w:vAlign w:val="center"/>
            <w:shd w:fill="F2F6F8"/>
          </w:tcPr>
          <w:p>
            <w:pPr>
              <w:spacing w:after="20"/>
            </w:pPr>
            <w:r>
              <w:rPr>
                <w:sz w:val="16"/>
              </w:rPr>
              <w:t>PackagingSpecification</w:t>
            </w:r>
          </w:p>
        </w:tc>
        <w:tc>
          <w:tcPr>
            <w:tcW w:type="dxa" w:w="2376"/>
            <w:vAlign w:val="center"/>
            <w:shd w:fill="F2F6F8"/>
          </w:tcPr>
          <w:p>
            <w:pPr>
              <w:spacing w:after="20"/>
            </w:pPr>
            <w:r>
              <w:rPr>
                <w:sz w:val="16"/>
              </w:rPr>
              <w:t>Versioned packaging definition</w:t>
            </w:r>
          </w:p>
        </w:tc>
        <w:tc>
          <w:tcPr>
            <w:tcW w:type="dxa" w:w="5904"/>
            <w:vAlign w:val="center"/>
            <w:shd w:fill="F2F6F8"/>
          </w:tcPr>
          <w:p>
            <w:pPr>
              <w:spacing w:after="20"/>
            </w:pPr>
            <w:r>
              <w:rPr>
                <w:sz w:val="16"/>
              </w:rPr>
              <w:t>spec_id, product_id, version, effective dates, status.</w:t>
            </w:r>
          </w:p>
        </w:tc>
      </w:tr>
      <w:tr>
        <w:tc>
          <w:tcPr>
            <w:tcW w:type="dxa" w:w="2232"/>
            <w:vAlign w:val="center"/>
          </w:tcPr>
          <w:p>
            <w:pPr>
              <w:spacing w:after="20"/>
            </w:pPr>
            <w:r>
              <w:rPr>
                <w:sz w:val="16"/>
              </w:rPr>
              <w:t>PackagingComponent</w:t>
            </w:r>
          </w:p>
        </w:tc>
        <w:tc>
          <w:tcPr>
            <w:tcW w:type="dxa" w:w="2376"/>
            <w:vAlign w:val="center"/>
          </w:tcPr>
          <w:p>
            <w:pPr>
              <w:spacing w:after="20"/>
            </w:pPr>
            <w:r>
              <w:rPr>
                <w:sz w:val="16"/>
              </w:rPr>
              <w:t>Individual packaging part</w:t>
            </w:r>
          </w:p>
        </w:tc>
        <w:tc>
          <w:tcPr>
            <w:tcW w:type="dxa" w:w="5904"/>
            <w:vAlign w:val="center"/>
          </w:tcPr>
          <w:p>
            <w:pPr>
              <w:spacing w:after="20"/>
            </w:pPr>
            <w:r>
              <w:rPr>
                <w:sz w:val="16"/>
              </w:rPr>
              <w:t>component_id, material reference, level/category, weight and unit.</w:t>
            </w:r>
          </w:p>
        </w:tc>
      </w:tr>
      <w:tr>
        <w:tc>
          <w:tcPr>
            <w:tcW w:type="dxa" w:w="2232"/>
            <w:vAlign w:val="center"/>
            <w:shd w:fill="F2F6F8"/>
          </w:tcPr>
          <w:p>
            <w:pPr>
              <w:spacing w:after="20"/>
            </w:pPr>
            <w:r>
              <w:rPr>
                <w:sz w:val="16"/>
              </w:rPr>
              <w:t>ProductPackagingLine</w:t>
            </w:r>
          </w:p>
        </w:tc>
        <w:tc>
          <w:tcPr>
            <w:tcW w:type="dxa" w:w="2376"/>
            <w:vAlign w:val="center"/>
            <w:shd w:fill="F2F6F8"/>
          </w:tcPr>
          <w:p>
            <w:pPr>
              <w:spacing w:after="20"/>
            </w:pPr>
            <w:r>
              <w:rPr>
                <w:sz w:val="16"/>
              </w:rPr>
              <w:t>Product/spec-to-component relationship</w:t>
            </w:r>
          </w:p>
        </w:tc>
        <w:tc>
          <w:tcPr>
            <w:tcW w:type="dxa" w:w="5904"/>
            <w:vAlign w:val="center"/>
            <w:shd w:fill="F2F6F8"/>
          </w:tcPr>
          <w:p>
            <w:pPr>
              <w:spacing w:after="20"/>
            </w:pPr>
            <w:r>
              <w:rPr>
                <w:sz w:val="16"/>
              </w:rPr>
              <w:t>spec_id, component_id, quantity per product, effective dates.</w:t>
            </w:r>
          </w:p>
        </w:tc>
      </w:tr>
      <w:tr>
        <w:tc>
          <w:tcPr>
            <w:tcW w:type="dxa" w:w="2232"/>
            <w:vAlign w:val="center"/>
          </w:tcPr>
          <w:p>
            <w:pPr>
              <w:spacing w:after="20"/>
            </w:pPr>
            <w:r>
              <w:rPr>
                <w:sz w:val="16"/>
              </w:rPr>
              <w:t>Material</w:t>
            </w:r>
          </w:p>
        </w:tc>
        <w:tc>
          <w:tcPr>
            <w:tcW w:type="dxa" w:w="2376"/>
            <w:vAlign w:val="center"/>
          </w:tcPr>
          <w:p>
            <w:pPr>
              <w:spacing w:after="20"/>
            </w:pPr>
            <w:r>
              <w:rPr>
                <w:sz w:val="16"/>
              </w:rPr>
              <w:t>Reusable material reference</w:t>
            </w:r>
          </w:p>
        </w:tc>
        <w:tc>
          <w:tcPr>
            <w:tcW w:type="dxa" w:w="5904"/>
            <w:vAlign w:val="center"/>
          </w:tcPr>
          <w:p>
            <w:pPr>
              <w:spacing w:after="20"/>
            </w:pPr>
            <w:r>
              <w:rPr>
                <w:sz w:val="16"/>
              </w:rPr>
              <w:t>material_id, material type/subtype, controlled taxonomy and applicable properties.</w:t>
            </w:r>
          </w:p>
        </w:tc>
      </w:tr>
      <w:tr>
        <w:tc>
          <w:tcPr>
            <w:tcW w:type="dxa" w:w="2232"/>
            <w:vAlign w:val="center"/>
            <w:shd w:fill="F2F6F8"/>
          </w:tcPr>
          <w:p>
            <w:pPr>
              <w:spacing w:after="20"/>
            </w:pPr>
            <w:r>
              <w:rPr>
                <w:sz w:val="16"/>
              </w:rPr>
              <w:t>Supplier</w:t>
            </w:r>
          </w:p>
        </w:tc>
        <w:tc>
          <w:tcPr>
            <w:tcW w:type="dxa" w:w="2376"/>
            <w:vAlign w:val="center"/>
            <w:shd w:fill="F2F6F8"/>
          </w:tcPr>
          <w:p>
            <w:pPr>
              <w:spacing w:after="20"/>
            </w:pPr>
            <w:r>
              <w:rPr>
                <w:sz w:val="16"/>
              </w:rPr>
              <w:t>Supplier reference</w:t>
            </w:r>
          </w:p>
        </w:tc>
        <w:tc>
          <w:tcPr>
            <w:tcW w:type="dxa" w:w="5904"/>
            <w:vAlign w:val="center"/>
            <w:shd w:fill="F2F6F8"/>
          </w:tcPr>
          <w:p>
            <w:pPr>
              <w:spacing w:after="20"/>
            </w:pPr>
            <w:r>
              <w:rPr>
                <w:sz w:val="16"/>
              </w:rPr>
              <w:t>supplier_id, tenant_id, supplier identifiers and relevant references.</w:t>
            </w:r>
          </w:p>
        </w:tc>
      </w:tr>
      <w:tr>
        <w:tc>
          <w:tcPr>
            <w:tcW w:type="dxa" w:w="2232"/>
            <w:vAlign w:val="center"/>
          </w:tcPr>
          <w:p>
            <w:pPr>
              <w:spacing w:after="20"/>
            </w:pPr>
            <w:r>
              <w:rPr>
                <w:sz w:val="16"/>
              </w:rPr>
              <w:t>EvidenceDocument</w:t>
            </w:r>
          </w:p>
        </w:tc>
        <w:tc>
          <w:tcPr>
            <w:tcW w:type="dxa" w:w="2376"/>
            <w:vAlign w:val="center"/>
          </w:tcPr>
          <w:p>
            <w:pPr>
              <w:spacing w:after="20"/>
            </w:pPr>
            <w:r>
              <w:rPr>
                <w:sz w:val="16"/>
              </w:rPr>
              <w:t>Supporting file/evidence</w:t>
            </w:r>
          </w:p>
        </w:tc>
        <w:tc>
          <w:tcPr>
            <w:tcW w:type="dxa" w:w="5904"/>
            <w:vAlign w:val="center"/>
          </w:tcPr>
          <w:p>
            <w:pPr>
              <w:spacing w:after="20"/>
            </w:pPr>
            <w:r>
              <w:rPr>
                <w:sz w:val="16"/>
              </w:rPr>
              <w:t>document_id, tenant_id, private object reference, source, version, date and owner.</w:t>
            </w:r>
          </w:p>
        </w:tc>
      </w:tr>
      <w:tr>
        <w:tc>
          <w:tcPr>
            <w:tcW w:type="dxa" w:w="2232"/>
            <w:vAlign w:val="center"/>
            <w:shd w:fill="F2F6F8"/>
          </w:tcPr>
          <w:p>
            <w:pPr>
              <w:spacing w:after="20"/>
            </w:pPr>
            <w:r>
              <w:rPr>
                <w:sz w:val="16"/>
              </w:rPr>
              <w:t>SourceRecord / ImportBatch</w:t>
            </w:r>
          </w:p>
        </w:tc>
        <w:tc>
          <w:tcPr>
            <w:tcW w:type="dxa" w:w="2376"/>
            <w:vAlign w:val="center"/>
            <w:shd w:fill="F2F6F8"/>
          </w:tcPr>
          <w:p>
            <w:pPr>
              <w:spacing w:after="20"/>
            </w:pPr>
            <w:r>
              <w:rPr>
                <w:sz w:val="16"/>
              </w:rPr>
              <w:t>Data lineage</w:t>
            </w:r>
          </w:p>
        </w:tc>
        <w:tc>
          <w:tcPr>
            <w:tcW w:type="dxa" w:w="5904"/>
            <w:vAlign w:val="center"/>
            <w:shd w:fill="F2F6F8"/>
          </w:tcPr>
          <w:p>
            <w:pPr>
              <w:spacing w:after="20"/>
            </w:pPr>
            <w:r>
              <w:rPr>
                <w:sz w:val="16"/>
              </w:rPr>
              <w:t>source system/file, batch ID, row/reference, raw values, mapping and import status.</w:t>
            </w:r>
          </w:p>
        </w:tc>
      </w:tr>
      <w:tr>
        <w:tc>
          <w:tcPr>
            <w:tcW w:type="dxa" w:w="2232"/>
            <w:vAlign w:val="center"/>
          </w:tcPr>
          <w:p>
            <w:pPr>
              <w:spacing w:after="20"/>
            </w:pPr>
            <w:r>
              <w:rPr>
                <w:sz w:val="16"/>
              </w:rPr>
              <w:t>SalesSupplyRecord</w:t>
            </w:r>
          </w:p>
        </w:tc>
        <w:tc>
          <w:tcPr>
            <w:tcW w:type="dxa" w:w="2376"/>
            <w:vAlign w:val="center"/>
          </w:tcPr>
          <w:p>
            <w:pPr>
              <w:spacing w:after="20"/>
            </w:pPr>
            <w:r>
              <w:rPr>
                <w:sz w:val="16"/>
              </w:rPr>
              <w:t>Period and market quantities</w:t>
            </w:r>
          </w:p>
        </w:tc>
        <w:tc>
          <w:tcPr>
            <w:tcW w:type="dxa" w:w="5904"/>
            <w:vAlign w:val="center"/>
          </w:tcPr>
          <w:p>
            <w:pPr>
              <w:spacing w:after="20"/>
            </w:pPr>
            <w:r>
              <w:rPr>
                <w:sz w:val="16"/>
              </w:rPr>
              <w:t>product, quantity/unit, period, destination, source record and corrections.</w:t>
            </w:r>
          </w:p>
        </w:tc>
      </w:tr>
      <w:tr>
        <w:tc>
          <w:tcPr>
            <w:tcW w:type="dxa" w:w="2232"/>
            <w:vAlign w:val="center"/>
            <w:shd w:fill="F2F6F8"/>
          </w:tcPr>
          <w:p>
            <w:pPr>
              <w:spacing w:after="20"/>
            </w:pPr>
            <w:r>
              <w:rPr>
                <w:sz w:val="16"/>
              </w:rPr>
              <w:t>DataQualityIssue</w:t>
            </w:r>
          </w:p>
        </w:tc>
        <w:tc>
          <w:tcPr>
            <w:tcW w:type="dxa" w:w="2376"/>
            <w:vAlign w:val="center"/>
            <w:shd w:fill="F2F6F8"/>
          </w:tcPr>
          <w:p>
            <w:pPr>
              <w:spacing w:after="20"/>
            </w:pPr>
            <w:r>
              <w:rPr>
                <w:sz w:val="16"/>
              </w:rPr>
              <w:t>Missing/invalid data workflow</w:t>
            </w:r>
          </w:p>
        </w:tc>
        <w:tc>
          <w:tcPr>
            <w:tcW w:type="dxa" w:w="5904"/>
            <w:vAlign w:val="center"/>
            <w:shd w:fill="F2F6F8"/>
          </w:tcPr>
          <w:p>
            <w:pPr>
              <w:spacing w:after="20"/>
            </w:pPr>
            <w:r>
              <w:rPr>
                <w:sz w:val="16"/>
              </w:rPr>
              <w:t>tenant_id, entity/field, severity, owner, status, resolution and evidence.</w:t>
            </w:r>
          </w:p>
        </w:tc>
      </w:tr>
      <w:tr>
        <w:tc>
          <w:tcPr>
            <w:tcW w:type="dxa" w:w="2232"/>
            <w:vAlign w:val="center"/>
          </w:tcPr>
          <w:p>
            <w:pPr>
              <w:spacing w:after="20"/>
            </w:pPr>
            <w:r>
              <w:rPr>
                <w:sz w:val="16"/>
              </w:rPr>
              <w:t>ComplianceRun</w:t>
            </w:r>
          </w:p>
        </w:tc>
        <w:tc>
          <w:tcPr>
            <w:tcW w:type="dxa" w:w="2376"/>
            <w:vAlign w:val="center"/>
          </w:tcPr>
          <w:p>
            <w:pPr>
              <w:spacing w:after="20"/>
            </w:pPr>
            <w:r>
              <w:rPr>
                <w:sz w:val="16"/>
              </w:rPr>
              <w:t>Reproducible calculation/report</w:t>
            </w:r>
          </w:p>
        </w:tc>
        <w:tc>
          <w:tcPr>
            <w:tcW w:type="dxa" w:w="5904"/>
            <w:vAlign w:val="center"/>
          </w:tcPr>
          <w:p>
            <w:pPr>
              <w:spacing w:after="20"/>
            </w:pPr>
            <w:r>
              <w:rPr>
                <w:sz w:val="16"/>
              </w:rPr>
              <w:t>tenant_id, module, jurisdiction, period, input snapshot, rule version, run status.</w:t>
            </w:r>
          </w:p>
        </w:tc>
      </w:tr>
      <w:tr>
        <w:tc>
          <w:tcPr>
            <w:tcW w:type="dxa" w:w="2232"/>
            <w:vAlign w:val="center"/>
            <w:shd w:fill="F2F6F8"/>
          </w:tcPr>
          <w:p>
            <w:pPr>
              <w:spacing w:after="20"/>
            </w:pPr>
            <w:r>
              <w:rPr>
                <w:sz w:val="16"/>
              </w:rPr>
              <w:t>ComplianceOutput</w:t>
            </w:r>
          </w:p>
        </w:tc>
        <w:tc>
          <w:tcPr>
            <w:tcW w:type="dxa" w:w="2376"/>
            <w:vAlign w:val="center"/>
            <w:shd w:fill="F2F6F8"/>
          </w:tcPr>
          <w:p>
            <w:pPr>
              <w:spacing w:after="20"/>
            </w:pPr>
            <w:r>
              <w:rPr>
                <w:sz w:val="16"/>
              </w:rPr>
              <w:t>Module-specific result</w:t>
            </w:r>
          </w:p>
        </w:tc>
        <w:tc>
          <w:tcPr>
            <w:tcW w:type="dxa" w:w="5904"/>
            <w:vAlign w:val="center"/>
            <w:shd w:fill="F2F6F8"/>
          </w:tcPr>
          <w:p>
            <w:pPr>
              <w:spacing w:after="20"/>
            </w:pPr>
            <w:r>
              <w:rPr>
                <w:sz w:val="16"/>
              </w:rPr>
              <w:t>run ID, output type, totals, validation state and report reference.</w:t>
            </w:r>
          </w:p>
        </w:tc>
      </w:tr>
      <w:tr>
        <w:tc>
          <w:tcPr>
            <w:tcW w:type="dxa" w:w="2232"/>
            <w:vAlign w:val="center"/>
          </w:tcPr>
          <w:p>
            <w:pPr>
              <w:spacing w:after="20"/>
            </w:pPr>
            <w:r>
              <w:rPr>
                <w:sz w:val="16"/>
              </w:rPr>
              <w:t>AuditEvent</w:t>
            </w:r>
          </w:p>
        </w:tc>
        <w:tc>
          <w:tcPr>
            <w:tcW w:type="dxa" w:w="2376"/>
            <w:vAlign w:val="center"/>
          </w:tcPr>
          <w:p>
            <w:pPr>
              <w:spacing w:after="20"/>
            </w:pPr>
            <w:r>
              <w:rPr>
                <w:sz w:val="16"/>
              </w:rPr>
              <w:t>Change and approval history</w:t>
            </w:r>
          </w:p>
        </w:tc>
        <w:tc>
          <w:tcPr>
            <w:tcW w:type="dxa" w:w="5904"/>
            <w:vAlign w:val="center"/>
          </w:tcPr>
          <w:p>
            <w:pPr>
              <w:spacing w:after="20"/>
            </w:pPr>
            <w:r>
              <w:rPr>
                <w:sz w:val="16"/>
              </w:rPr>
              <w:t>tenant_id, actor, action, entity reference, timestamp and change metadata.</w:t>
            </w:r>
          </w:p>
        </w:tc>
      </w:tr>
    </w:tbl>
    <w:p>
      <w:pPr>
        <w:spacing w:after="20"/>
      </w:pPr>
    </w:p>
    <w:p>
      <w:pPr>
        <w:pStyle w:val="Heading2"/>
      </w:pPr>
      <w:r>
        <w:t>4.1 Data design rules</w:t>
      </w:r>
    </w:p>
    <w:p>
      <w:pPr>
        <w:pStyle w:val="ListNumber"/>
        <w:spacing w:after="40"/>
      </w:pPr>
      <w:r>
        <w:t>Version packaging specifications. Changes to component weight or composition must not silently rewrite previously approved reporting inputs.</w:t>
      </w:r>
    </w:p>
    <w:p>
      <w:pPr>
        <w:pStyle w:val="ListNumber"/>
        <w:spacing w:after="40"/>
      </w:pPr>
      <w:r>
        <w:t>Preserve source and normalized values. Record source file/system, row or external identifier, mapping, unit conversion and correction history.</w:t>
      </w:r>
    </w:p>
    <w:p>
      <w:pPr>
        <w:pStyle w:val="ListNumber"/>
        <w:spacing w:after="40"/>
      </w:pPr>
      <w:r>
        <w:t>Separate data quality from compliance status. Complete data does not automatically mean compliant; missing data must not silently be treated as zero.</w:t>
      </w:r>
    </w:p>
    <w:p>
      <w:pPr>
        <w:pStyle w:val="ListNumber"/>
        <w:spacing w:after="40"/>
      </w:pPr>
      <w:r>
        <w:t>Make outputs reproducible. A compliance run must reference an immutable input snapshot or equivalent reproducible input version, rule-set version, jurisdiction and reporting period.</w:t>
      </w:r>
    </w:p>
    <w:p>
      <w:pPr>
        <w:pStyle w:val="ListNumber"/>
        <w:spacing w:after="40"/>
      </w:pPr>
      <w:r>
        <w:t>Use structured tables for core entities. Use JSONB only for controlled extensions or genuinely variable attributes, not as a substitute for a coherent domain model.</w:t>
      </w:r>
    </w:p>
    <w:p>
      <w:pPr>
        <w:pStyle w:val="ListNumber"/>
        <w:spacing w:after="40"/>
      </w:pPr>
      <w:r>
        <w:t>Keep tenant ownership explicit for all tenant-owned records, files, background jobs, exports and audit events.</w:t>
      </w:r>
    </w:p>
    <w:p>
      <w:pPr>
        <w:pStyle w:val="Heading1"/>
      </w:pPr>
      <w:r>
        <w:t>5. Multi-tenant architecture and consultant access</w:t>
      </w:r>
    </w:p>
    <w:p>
      <w:r>
        <w:t>Recommended model: one shared application and shared platform services with enforced tenant boundaries. Monkspaces consultants can manage multiple client workspaces, but access must be explicitly assigned and auditable.</w:t>
      </w:r>
    </w:p>
    <w:tbl>
      <w:tblPr>
        <w:tblStyle w:val="TableGrid"/>
        <w:tblW w:type="auto" w:w="0"/>
        <w:jc w:val="center"/>
        <w:tblLook w:firstColumn="1" w:firstRow="1" w:lastColumn="0" w:lastRow="0" w:noHBand="0" w:noVBand="1" w:val="04A0"/>
      </w:tblPr>
      <w:tblGrid>
        <w:gridCol w:w="5040"/>
        <w:gridCol w:w="5040"/>
      </w:tblGrid>
      <w:tr>
        <w:tc>
          <w:tcPr>
            <w:tcW w:type="dxa" w:w="2592"/>
            <w:shd w:fill="17365D"/>
          </w:tcPr>
          <w:p>
            <w:r>
              <w:rPr>
                <w:b/>
                <w:color w:val="FFFFFF"/>
                <w:sz w:val="17"/>
              </w:rPr>
              <w:t>Role</w:t>
            </w:r>
          </w:p>
        </w:tc>
        <w:tc>
          <w:tcPr>
            <w:tcW w:type="dxa" w:w="7920"/>
            <w:shd w:fill="17365D"/>
          </w:tcPr>
          <w:p>
            <w:r>
              <w:rPr>
                <w:b/>
                <w:color w:val="FFFFFF"/>
                <w:sz w:val="17"/>
              </w:rPr>
              <w:t>Proposed access</w:t>
            </w:r>
          </w:p>
        </w:tc>
      </w:tr>
      <w:tr>
        <w:tc>
          <w:tcPr>
            <w:tcW w:type="dxa" w:w="2592"/>
            <w:vAlign w:val="center"/>
          </w:tcPr>
          <w:p>
            <w:pPr>
              <w:spacing w:after="20"/>
            </w:pPr>
            <w:r>
              <w:rPr>
                <w:sz w:val="16"/>
              </w:rPr>
              <w:t>Platform administrator</w:t>
            </w:r>
          </w:p>
        </w:tc>
        <w:tc>
          <w:tcPr>
            <w:tcW w:type="dxa" w:w="7920"/>
            <w:vAlign w:val="center"/>
          </w:tcPr>
          <w:p>
            <w:pPr>
              <w:spacing w:after="20"/>
            </w:pPr>
            <w:r>
              <w:rPr>
                <w:sz w:val="16"/>
              </w:rPr>
              <w:t>Manage platform configuration and tenants; client-data access should be separately authorized and audited.</w:t>
            </w:r>
          </w:p>
        </w:tc>
      </w:tr>
      <w:tr>
        <w:tc>
          <w:tcPr>
            <w:tcW w:type="dxa" w:w="2592"/>
            <w:vAlign w:val="center"/>
            <w:shd w:fill="F2F6F8"/>
          </w:tcPr>
          <w:p>
            <w:pPr>
              <w:spacing w:after="20"/>
            </w:pPr>
            <w:r>
              <w:rPr>
                <w:sz w:val="16"/>
              </w:rPr>
              <w:t>Monkspaces consultant</w:t>
            </w:r>
          </w:p>
        </w:tc>
        <w:tc>
          <w:tcPr>
            <w:tcW w:type="dxa" w:w="7920"/>
            <w:vAlign w:val="center"/>
            <w:shd w:fill="F2F6F8"/>
          </w:tcPr>
          <w:p>
            <w:pPr>
              <w:spacing w:after="20"/>
            </w:pPr>
            <w:r>
              <w:rPr>
                <w:sz w:val="16"/>
              </w:rPr>
              <w:t>Access only assigned client workspaces; work on data and reporting within granted permissions.</w:t>
            </w:r>
          </w:p>
        </w:tc>
      </w:tr>
      <w:tr>
        <w:tc>
          <w:tcPr>
            <w:tcW w:type="dxa" w:w="2592"/>
            <w:vAlign w:val="center"/>
          </w:tcPr>
          <w:p>
            <w:pPr>
              <w:spacing w:after="20"/>
            </w:pPr>
            <w:r>
              <w:rPr>
                <w:sz w:val="16"/>
              </w:rPr>
              <w:t>Client administrator</w:t>
            </w:r>
          </w:p>
        </w:tc>
        <w:tc>
          <w:tcPr>
            <w:tcW w:type="dxa" w:w="7920"/>
            <w:vAlign w:val="center"/>
          </w:tcPr>
          <w:p>
            <w:pPr>
              <w:spacing w:after="20"/>
            </w:pPr>
            <w:r>
              <w:rPr>
                <w:sz w:val="16"/>
              </w:rPr>
              <w:t>Manage the client's users, roles, configuration and approvals.</w:t>
            </w:r>
          </w:p>
        </w:tc>
      </w:tr>
      <w:tr>
        <w:tc>
          <w:tcPr>
            <w:tcW w:type="dxa" w:w="2592"/>
            <w:vAlign w:val="center"/>
            <w:shd w:fill="F2F6F8"/>
          </w:tcPr>
          <w:p>
            <w:pPr>
              <w:spacing w:after="20"/>
            </w:pPr>
            <w:r>
              <w:rPr>
                <w:sz w:val="16"/>
              </w:rPr>
              <w:t>Client contributor</w:t>
            </w:r>
          </w:p>
        </w:tc>
        <w:tc>
          <w:tcPr>
            <w:tcW w:type="dxa" w:w="7920"/>
            <w:vAlign w:val="center"/>
            <w:shd w:fill="F2F6F8"/>
          </w:tcPr>
          <w:p>
            <w:pPr>
              <w:spacing w:after="20"/>
            </w:pPr>
            <w:r>
              <w:rPr>
                <w:sz w:val="16"/>
              </w:rPr>
              <w:t>Upload/edit assigned records and resolve assigned data-quality issues.</w:t>
            </w:r>
          </w:p>
        </w:tc>
      </w:tr>
      <w:tr>
        <w:tc>
          <w:tcPr>
            <w:tcW w:type="dxa" w:w="2592"/>
            <w:vAlign w:val="center"/>
          </w:tcPr>
          <w:p>
            <w:pPr>
              <w:spacing w:after="20"/>
            </w:pPr>
            <w:r>
              <w:rPr>
                <w:sz w:val="16"/>
              </w:rPr>
              <w:t>Client reviewer/approver</w:t>
            </w:r>
          </w:p>
        </w:tc>
        <w:tc>
          <w:tcPr>
            <w:tcW w:type="dxa" w:w="7920"/>
            <w:vAlign w:val="center"/>
          </w:tcPr>
          <w:p>
            <w:pPr>
              <w:spacing w:after="20"/>
            </w:pPr>
            <w:r>
              <w:rPr>
                <w:sz w:val="16"/>
              </w:rPr>
              <w:t>Review data, resolve/accept exceptions and approve outputs within granted scope.</w:t>
            </w:r>
          </w:p>
        </w:tc>
      </w:tr>
    </w:tbl>
    <w:p>
      <w:pPr>
        <w:spacing w:after="20"/>
      </w:pPr>
    </w:p>
    <w:p>
      <w:pPr>
        <w:pStyle w:val="Heading2"/>
      </w:pPr>
      <w:r>
        <w:t>5.1 Tenant security controls</w:t>
      </w:r>
    </w:p>
    <w:p>
      <w:pPr>
        <w:pStyle w:val="ListBullet"/>
        <w:spacing w:after="20"/>
      </w:pPr>
      <w:r>
        <w:t>Enforce tenant authorization on every backend request; frontend filtering alone is insufficient.</w:t>
      </w:r>
    </w:p>
    <w:p>
      <w:pPr>
        <w:pStyle w:val="ListBullet"/>
        <w:spacing w:after="20"/>
      </w:pPr>
      <w:r>
        <w:t>Use tenant_id on tenant-owned records and consider PostgreSQL Row-Level Security as defence in depth.</w:t>
      </w:r>
    </w:p>
    <w:p>
      <w:pPr>
        <w:pStyle w:val="ListBullet"/>
        <w:spacing w:after="20"/>
      </w:pPr>
      <w:r>
        <w:t>Store files in private object storage and verify tenant authorization before generating file-access links.</w:t>
      </w:r>
    </w:p>
    <w:p>
      <w:pPr>
        <w:pStyle w:val="ListBullet"/>
        <w:spacing w:after="20"/>
      </w:pPr>
      <w:r>
        <w:t>Test tenant boundaries for API reads/writes, search, exports, reports, file downloads and background jobs.</w:t>
      </w:r>
    </w:p>
    <w:p>
      <w:pPr>
        <w:pStyle w:val="ListBullet"/>
        <w:spacing w:after="20"/>
      </w:pPr>
      <w:r>
        <w:t>Audit privileged access and client-data access; define support-access approval and expiry.</w:t>
      </w:r>
    </w:p>
    <w:p>
      <w:pPr>
        <w:pStyle w:val="ListBullet"/>
        <w:spacing w:after="20"/>
      </w:pPr>
      <w:r>
        <w:t>Confirm identity provider, data residency, backup/restore, retention and deletion requirements before production.</w:t>
      </w:r>
    </w:p>
    <w:p>
      <w:pPr>
        <w:pStyle w:val="Heading2"/>
      </w:pPr>
      <w:r>
        <w:t>5.2 High-level data flow</w:t>
      </w:r>
    </w:p>
    <w:p>
      <w:pPr>
        <w:jc w:val="center"/>
      </w:pPr>
      <w:r>
        <w:rPr>
          <w:b/>
          <w:color w:val="17365D"/>
          <w:sz w:val="20"/>
        </w:rPr>
        <w:t>ERP / PLM / Supplier Files / CSV</w:t>
        <w:br/>
        <w:t>↓</w:t>
        <w:br/>
        <w:t>Source adapters → Staging and validation → Mapping and normalization</w:t>
        <w:br/>
        <w:t>↓</w:t>
        <w:br/>
        <w:t>Shared canonical model → Data-quality review and approval</w:t>
        <w:br/>
        <w:t>↓</w:t>
        <w:br/>
        <w:t>EPR module now → PPWR / DPP modules later</w:t>
      </w:r>
    </w:p>
    <w:p>
      <w:r>
        <w:t>Start with spreadsheet and supplier-file ingestion. Design adapter interfaces for future connectors, but do not promise live ERP/PLM integration or bidirectional sync until API access, client permissions, field mapping and synchronization requirements are confirmed.</w:t>
      </w:r>
    </w:p>
    <w:p>
      <w:pPr>
        <w:pStyle w:val="Heading1"/>
      </w:pPr>
      <w:r>
        <w:t>6. Revised MVP scope</w:t>
      </w:r>
    </w:p>
    <w:p>
      <w:pPr>
        <w:pStyle w:val="Heading2"/>
      </w:pPr>
      <w:r>
        <w:t>6.1 Must have for the first pilot</w:t>
      </w:r>
    </w:p>
    <w:p>
      <w:pPr>
        <w:pStyle w:val="ListBullet"/>
        <w:spacing w:after="20"/>
      </w:pPr>
      <w:r>
        <w:t>Tenant/workspace setup and explicit Monkspaces consultant-to-client assignments.</w:t>
      </w:r>
    </w:p>
    <w:p>
      <w:pPr>
        <w:pStyle w:val="ListBullet"/>
        <w:spacing w:after="20"/>
      </w:pPr>
      <w:r>
        <w:t>Product, packaging specification, component, material and supplier reference records.</w:t>
      </w:r>
    </w:p>
    <w:p>
      <w:pPr>
        <w:pStyle w:val="ListBullet"/>
        <w:spacing w:after="20"/>
      </w:pPr>
      <w:r>
        <w:t>CSV/Excel upload, preview, column mapping, validation errors and import history.</w:t>
      </w:r>
    </w:p>
    <w:p>
      <w:pPr>
        <w:pStyle w:val="ListBullet"/>
        <w:spacing w:after="20"/>
      </w:pPr>
      <w:r>
        <w:t>Evidence-file references and source-data traceability.</w:t>
      </w:r>
    </w:p>
    <w:p>
      <w:pPr>
        <w:pStyle w:val="ListBullet"/>
        <w:spacing w:after="20"/>
      </w:pPr>
      <w:r>
        <w:t>Data-quality issues, ownership, correction and review workflow.</w:t>
      </w:r>
    </w:p>
    <w:p>
      <w:pPr>
        <w:pStyle w:val="ListBullet"/>
        <w:spacing w:after="20"/>
      </w:pPr>
      <w:r>
        <w:t>One agreed EPR reporting workflow for one explicitly selected jurisdiction and reporting period.</w:t>
      </w:r>
    </w:p>
    <w:p>
      <w:pPr>
        <w:pStyle w:val="ListBullet"/>
        <w:spacing w:after="20"/>
      </w:pPr>
      <w:r>
        <w:t>Versioned calculation/rule configuration, reconciliation and export for the selected workflow.</w:t>
      </w:r>
    </w:p>
    <w:p>
      <w:pPr>
        <w:pStyle w:val="ListBullet"/>
        <w:spacing w:after="20"/>
      </w:pPr>
      <w:r>
        <w:t>Input snapshots or reproducible input versions, audit history and approval status.</w:t>
      </w:r>
    </w:p>
    <w:p>
      <w:pPr>
        <w:pStyle w:val="ListBullet"/>
        <w:spacing w:after="20"/>
      </w:pPr>
      <w:r>
        <w:t>Role-based authorization, cross-tenant security tests, basic operational logging and backup/restore plan.</w:t>
      </w:r>
    </w:p>
    <w:p>
      <w:pPr>
        <w:pStyle w:val="Heading2"/>
      </w:pPr>
      <w:r>
        <w:t>6.2 Defer until after the pilot</w:t>
      </w:r>
    </w:p>
    <w:p>
      <w:pPr>
        <w:pStyle w:val="ListBullet"/>
        <w:spacing w:after="20"/>
      </w:pPr>
      <w:r>
        <w:t>A second jurisdiction-specific EPR workflow.</w:t>
      </w:r>
    </w:p>
    <w:p>
      <w:pPr>
        <w:pStyle w:val="ListBullet"/>
        <w:spacing w:after="20"/>
      </w:pPr>
      <w:r>
        <w:t>Scheduled imports and the first verified ERP/PLM connector.</w:t>
      </w:r>
    </w:p>
    <w:p>
      <w:pPr>
        <w:pStyle w:val="ListBullet"/>
        <w:spacing w:after="20"/>
      </w:pPr>
      <w:r>
        <w:t>Advanced supplier portals, complex approval chains and extensive automation.</w:t>
      </w:r>
    </w:p>
    <w:p>
      <w:pPr>
        <w:pStyle w:val="ListBullet"/>
        <w:spacing w:after="20"/>
      </w:pPr>
      <w:r>
        <w:t>Full PPWR compliance workflows and DPP creation/publication.</w:t>
      </w:r>
    </w:p>
    <w:p>
      <w:pPr>
        <w:pStyle w:val="ListBullet"/>
        <w:spacing w:after="20"/>
      </w:pPr>
      <w:r>
        <w:t>Broad enterprise integrations, bidirectional write-back and microservices.</w:t>
      </w:r>
    </w:p>
    <w:p>
      <w:r>
        <w:t>The platform should be extensible for future modules from day one, but their full regulatory schemas and workflows should be implemented only when requirements are understood. UK and EU requirements should not be collapsed into one generic ruleset.</w:t>
      </w:r>
    </w:p>
    <w:p>
      <w:pPr>
        <w:pStyle w:val="Heading1"/>
      </w:pPr>
      <w:r>
        <w:t>7. Illustrative eight-week plan</w:t>
      </w:r>
    </w:p>
    <w:tbl>
      <w:tblPr>
        <w:tblStyle w:val="TableGrid"/>
        <w:tblW w:type="auto" w:w="0"/>
        <w:jc w:val="center"/>
        <w:tblLook w:firstColumn="1" w:firstRow="1" w:lastColumn="0" w:lastRow="0" w:noHBand="0" w:noVBand="1" w:val="04A0"/>
      </w:tblPr>
      <w:tblGrid>
        <w:gridCol w:w="3360"/>
        <w:gridCol w:w="3360"/>
        <w:gridCol w:w="3360"/>
      </w:tblGrid>
      <w:tr>
        <w:tc>
          <w:tcPr>
            <w:tcW w:type="dxa" w:w="1512"/>
            <w:shd w:fill="17365D"/>
          </w:tcPr>
          <w:p>
            <w:r>
              <w:rPr>
                <w:b/>
                <w:color w:val="FFFFFF"/>
                <w:sz w:val="17"/>
              </w:rPr>
              <w:t>Timing</w:t>
            </w:r>
          </w:p>
        </w:tc>
        <w:tc>
          <w:tcPr>
            <w:tcW w:type="dxa" w:w="4320"/>
            <w:shd w:fill="17365D"/>
          </w:tcPr>
          <w:p>
            <w:r>
              <w:rPr>
                <w:b/>
                <w:color w:val="FFFFFF"/>
                <w:sz w:val="17"/>
              </w:rPr>
              <w:t>Shared platform work</w:t>
            </w:r>
          </w:p>
        </w:tc>
        <w:tc>
          <w:tcPr>
            <w:tcW w:type="dxa" w:w="4680"/>
            <w:shd w:fill="17365D"/>
          </w:tcPr>
          <w:p>
            <w:r>
              <w:rPr>
                <w:b/>
                <w:color w:val="FFFFFF"/>
                <w:sz w:val="17"/>
              </w:rPr>
              <w:t>EPR work</w:t>
            </w:r>
          </w:p>
        </w:tc>
      </w:tr>
      <w:tr>
        <w:tc>
          <w:tcPr>
            <w:tcW w:type="dxa" w:w="1512"/>
            <w:vAlign w:val="center"/>
          </w:tcPr>
          <w:p>
            <w:pPr>
              <w:spacing w:after="20"/>
            </w:pPr>
            <w:r>
              <w:rPr>
                <w:sz w:val="16"/>
              </w:rPr>
              <w:t>Week 1</w:t>
            </w:r>
          </w:p>
        </w:tc>
        <w:tc>
          <w:tcPr>
            <w:tcW w:type="dxa" w:w="4320"/>
            <w:vAlign w:val="center"/>
          </w:tcPr>
          <w:p>
            <w:pPr>
              <w:spacing w:after="20"/>
            </w:pPr>
            <w:r>
              <w:rPr>
                <w:sz w:val="16"/>
              </w:rPr>
              <w:t>Client discovery, sample files, initial model, tenant/access design.</w:t>
            </w:r>
          </w:p>
        </w:tc>
        <w:tc>
          <w:tcPr>
            <w:tcW w:type="dxa" w:w="4680"/>
            <w:vAlign w:val="center"/>
          </w:tcPr>
          <w:p>
            <w:pPr>
              <w:spacing w:after="20"/>
            </w:pPr>
            <w:r>
              <w:rPr>
                <w:sz w:val="16"/>
              </w:rPr>
              <w:t>Confirm jurisdiction, reporting scope, rules and reference output.</w:t>
            </w:r>
          </w:p>
        </w:tc>
      </w:tr>
      <w:tr>
        <w:tc>
          <w:tcPr>
            <w:tcW w:type="dxa" w:w="1512"/>
            <w:vAlign w:val="center"/>
            <w:shd w:fill="F2F6F8"/>
          </w:tcPr>
          <w:p>
            <w:pPr>
              <w:spacing w:after="20"/>
            </w:pPr>
            <w:r>
              <w:rPr>
                <w:sz w:val="16"/>
              </w:rPr>
              <w:t>Weeks 2–3</w:t>
            </w:r>
          </w:p>
        </w:tc>
        <w:tc>
          <w:tcPr>
            <w:tcW w:type="dxa" w:w="4320"/>
            <w:vAlign w:val="center"/>
            <w:shd w:fill="F2F6F8"/>
          </w:tcPr>
          <w:p>
            <w:pPr>
              <w:spacing w:after="20"/>
            </w:pPr>
            <w:r>
              <w:rPr>
                <w:sz w:val="16"/>
              </w:rPr>
              <w:t>Database, product/packaging records, CSV/Excel ingestion.</w:t>
            </w:r>
          </w:p>
        </w:tc>
        <w:tc>
          <w:tcPr>
            <w:tcW w:type="dxa" w:w="4680"/>
            <w:vAlign w:val="center"/>
            <w:shd w:fill="F2F6F8"/>
          </w:tcPr>
          <w:p>
            <w:pPr>
              <w:spacing w:after="20"/>
            </w:pPr>
            <w:r>
              <w:rPr>
                <w:sz w:val="16"/>
              </w:rPr>
              <w:t>Map required fields and validate representative sample data.</w:t>
            </w:r>
          </w:p>
        </w:tc>
      </w:tr>
      <w:tr>
        <w:tc>
          <w:tcPr>
            <w:tcW w:type="dxa" w:w="1512"/>
            <w:vAlign w:val="center"/>
          </w:tcPr>
          <w:p>
            <w:pPr>
              <w:spacing w:after="20"/>
            </w:pPr>
            <w:r>
              <w:rPr>
                <w:sz w:val="16"/>
              </w:rPr>
              <w:t>Weeks 4–5</w:t>
            </w:r>
          </w:p>
        </w:tc>
        <w:tc>
          <w:tcPr>
            <w:tcW w:type="dxa" w:w="4320"/>
            <w:vAlign w:val="center"/>
          </w:tcPr>
          <w:p>
            <w:pPr>
              <w:spacing w:after="20"/>
            </w:pPr>
            <w:r>
              <w:rPr>
                <w:sz w:val="16"/>
              </w:rPr>
              <w:t>Data-quality workflow, evidence and correction history.</w:t>
            </w:r>
          </w:p>
        </w:tc>
        <w:tc>
          <w:tcPr>
            <w:tcW w:type="dxa" w:w="4680"/>
            <w:vAlign w:val="center"/>
          </w:tcPr>
          <w:p>
            <w:pPr>
              <w:spacing w:after="20"/>
            </w:pPr>
            <w:r>
              <w:rPr>
                <w:sz w:val="16"/>
              </w:rPr>
              <w:t>Implement first EPR workflow and reconciliation.</w:t>
            </w:r>
          </w:p>
        </w:tc>
      </w:tr>
      <w:tr>
        <w:tc>
          <w:tcPr>
            <w:tcW w:type="dxa" w:w="1512"/>
            <w:vAlign w:val="center"/>
            <w:shd w:fill="F2F6F8"/>
          </w:tcPr>
          <w:p>
            <w:pPr>
              <w:spacing w:after="20"/>
            </w:pPr>
            <w:r>
              <w:rPr>
                <w:sz w:val="16"/>
              </w:rPr>
              <w:t>Week 6</w:t>
            </w:r>
          </w:p>
        </w:tc>
        <w:tc>
          <w:tcPr>
            <w:tcW w:type="dxa" w:w="4320"/>
            <w:vAlign w:val="center"/>
            <w:shd w:fill="F2F6F8"/>
          </w:tcPr>
          <w:p>
            <w:pPr>
              <w:spacing w:after="20"/>
            </w:pPr>
            <w:r>
              <w:rPr>
                <w:sz w:val="16"/>
              </w:rPr>
              <w:t>Audit history, input snapshots and exports.</w:t>
            </w:r>
          </w:p>
        </w:tc>
        <w:tc>
          <w:tcPr>
            <w:tcW w:type="dxa" w:w="4680"/>
            <w:vAlign w:val="center"/>
            <w:shd w:fill="F2F6F8"/>
          </w:tcPr>
          <w:p>
            <w:pPr>
              <w:spacing w:after="20"/>
            </w:pPr>
            <w:r>
              <w:rPr>
                <w:sz w:val="16"/>
              </w:rPr>
              <w:t>Verify outputs against an independently checked reference.</w:t>
            </w:r>
          </w:p>
        </w:tc>
      </w:tr>
      <w:tr>
        <w:tc>
          <w:tcPr>
            <w:tcW w:type="dxa" w:w="1512"/>
            <w:vAlign w:val="center"/>
          </w:tcPr>
          <w:p>
            <w:pPr>
              <w:spacing w:after="20"/>
            </w:pPr>
            <w:r>
              <w:rPr>
                <w:sz w:val="16"/>
              </w:rPr>
              <w:t>Week 7</w:t>
            </w:r>
          </w:p>
        </w:tc>
        <w:tc>
          <w:tcPr>
            <w:tcW w:type="dxa" w:w="4320"/>
            <w:vAlign w:val="center"/>
          </w:tcPr>
          <w:p>
            <w:pPr>
              <w:spacing w:after="20"/>
            </w:pPr>
            <w:r>
              <w:rPr>
                <w:sz w:val="16"/>
              </w:rPr>
              <w:t>Authorization, tenant-isolation tests and end-to-end tests.</w:t>
            </w:r>
          </w:p>
        </w:tc>
        <w:tc>
          <w:tcPr>
            <w:tcW w:type="dxa" w:w="4680"/>
            <w:vAlign w:val="center"/>
          </w:tcPr>
          <w:p>
            <w:pPr>
              <w:spacing w:after="20"/>
            </w:pPr>
            <w:r>
              <w:rPr>
                <w:sz w:val="16"/>
              </w:rPr>
              <w:t>Test missing data, edge cases and rule versioning.</w:t>
            </w:r>
          </w:p>
        </w:tc>
      </w:tr>
      <w:tr>
        <w:tc>
          <w:tcPr>
            <w:tcW w:type="dxa" w:w="1512"/>
            <w:vAlign w:val="center"/>
            <w:shd w:fill="F2F6F8"/>
          </w:tcPr>
          <w:p>
            <w:pPr>
              <w:spacing w:after="20"/>
            </w:pPr>
            <w:r>
              <w:rPr>
                <w:sz w:val="16"/>
              </w:rPr>
              <w:t>Week 8</w:t>
            </w:r>
          </w:p>
        </w:tc>
        <w:tc>
          <w:tcPr>
            <w:tcW w:type="dxa" w:w="4320"/>
            <w:vAlign w:val="center"/>
            <w:shd w:fill="F2F6F8"/>
          </w:tcPr>
          <w:p>
            <w:pPr>
              <w:spacing w:after="20"/>
            </w:pPr>
            <w:r>
              <w:rPr>
                <w:sz w:val="16"/>
              </w:rPr>
              <w:t>Deployment, documentation, pilot feedback and fixes.</w:t>
            </w:r>
          </w:p>
        </w:tc>
        <w:tc>
          <w:tcPr>
            <w:tcW w:type="dxa" w:w="4680"/>
            <w:vAlign w:val="center"/>
            <w:shd w:fill="F2F6F8"/>
          </w:tcPr>
          <w:p>
            <w:pPr>
              <w:spacing w:after="20"/>
            </w:pPr>
            <w:r>
              <w:rPr>
                <w:sz w:val="16"/>
              </w:rPr>
              <w:t>Demonstrate end-to-end reporting and document limitations.</w:t>
            </w:r>
          </w:p>
        </w:tc>
      </w:tr>
    </w:tbl>
    <w:p>
      <w:pPr>
        <w:spacing w:after="20"/>
      </w:pPr>
    </w:p>
    <w:p>
      <w:r>
        <w:t>This is a target plan, not a delivery guarantee. It assumes timely sample data, clear jurisdiction scope, access to a domain/regulatory reviewer and limited integration scope. A production-grade multi-module SaaS will require additional iterations.</w:t>
      </w:r>
    </w:p>
    <w:p>
      <w:pPr>
        <w:pStyle w:val="Heading1"/>
      </w:pPr>
      <w:r>
        <w:t>8. Suggested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7365D"/>
          </w:tcPr>
          <w:p>
            <w:r>
              <w:rPr>
                <w:b/>
                <w:color w:val="FFFFFF"/>
                <w:sz w:val="17"/>
              </w:rPr>
              <w:t>Layer</w:t>
            </w:r>
          </w:p>
        </w:tc>
        <w:tc>
          <w:tcPr>
            <w:tcW w:type="dxa" w:w="2880"/>
            <w:shd w:fill="17365D"/>
          </w:tcPr>
          <w:p>
            <w:r>
              <w:rPr>
                <w:b/>
                <w:color w:val="FFFFFF"/>
                <w:sz w:val="17"/>
              </w:rPr>
              <w:t>Recommendation</w:t>
            </w:r>
          </w:p>
        </w:tc>
        <w:tc>
          <w:tcPr>
            <w:tcW w:type="dxa" w:w="5904"/>
            <w:shd w:fill="17365D"/>
          </w:tcPr>
          <w:p>
            <w:r>
              <w:rPr>
                <w:b/>
                <w:color w:val="FFFFFF"/>
                <w:sz w:val="17"/>
              </w:rPr>
              <w:t>Rationale / caveat</w:t>
            </w:r>
          </w:p>
        </w:tc>
      </w:tr>
      <w:tr>
        <w:tc>
          <w:tcPr>
            <w:tcW w:type="dxa" w:w="1728"/>
            <w:vAlign w:val="center"/>
          </w:tcPr>
          <w:p>
            <w:pPr>
              <w:spacing w:after="20"/>
            </w:pPr>
            <w:r>
              <w:rPr>
                <w:sz w:val="16"/>
              </w:rPr>
              <w:t>Frontend</w:t>
            </w:r>
          </w:p>
        </w:tc>
        <w:tc>
          <w:tcPr>
            <w:tcW w:type="dxa" w:w="2880"/>
            <w:vAlign w:val="center"/>
          </w:tcPr>
          <w:p>
            <w:pPr>
              <w:spacing w:after="20"/>
            </w:pPr>
            <w:r>
              <w:rPr>
                <w:sz w:val="16"/>
              </w:rPr>
              <w:t>Angular + TypeScript</w:t>
            </w:r>
          </w:p>
        </w:tc>
        <w:tc>
          <w:tcPr>
            <w:tcW w:type="dxa" w:w="5904"/>
            <w:vAlign w:val="center"/>
          </w:tcPr>
          <w:p>
            <w:pPr>
              <w:spacing w:after="20"/>
            </w:pPr>
            <w:r>
              <w:rPr>
                <w:sz w:val="16"/>
              </w:rPr>
              <w:t>Structured forms, data tables, admin and consultant workflows; leverages existing team skills.</w:t>
            </w:r>
          </w:p>
        </w:tc>
      </w:tr>
      <w:tr>
        <w:tc>
          <w:tcPr>
            <w:tcW w:type="dxa" w:w="1728"/>
            <w:vAlign w:val="center"/>
            <w:shd w:fill="F2F6F8"/>
          </w:tcPr>
          <w:p>
            <w:pPr>
              <w:spacing w:after="20"/>
            </w:pPr>
            <w:r>
              <w:rPr>
                <w:sz w:val="16"/>
              </w:rPr>
              <w:t>Backend</w:t>
            </w:r>
          </w:p>
        </w:tc>
        <w:tc>
          <w:tcPr>
            <w:tcW w:type="dxa" w:w="2880"/>
            <w:vAlign w:val="center"/>
            <w:shd w:fill="F2F6F8"/>
          </w:tcPr>
          <w:p>
            <w:pPr>
              <w:spacing w:after="20"/>
            </w:pPr>
            <w:r>
              <w:rPr>
                <w:sz w:val="16"/>
              </w:rPr>
              <w:t>Python + FastAPI</w:t>
            </w:r>
          </w:p>
        </w:tc>
        <w:tc>
          <w:tcPr>
            <w:tcW w:type="dxa" w:w="5904"/>
            <w:vAlign w:val="center"/>
            <w:shd w:fill="F2F6F8"/>
          </w:tcPr>
          <w:p>
            <w:pPr>
              <w:spacing w:after="20"/>
            </w:pPr>
            <w:r>
              <w:rPr>
                <w:sz w:val="16"/>
              </w:rPr>
              <w:t>Typed API contracts, ingestion and calculation services; modular monolith initially.</w:t>
            </w:r>
          </w:p>
        </w:tc>
      </w:tr>
      <w:tr>
        <w:tc>
          <w:tcPr>
            <w:tcW w:type="dxa" w:w="1728"/>
            <w:vAlign w:val="center"/>
          </w:tcPr>
          <w:p>
            <w:pPr>
              <w:spacing w:after="20"/>
            </w:pPr>
            <w:r>
              <w:rPr>
                <w:sz w:val="16"/>
              </w:rPr>
              <w:t>Database</w:t>
            </w:r>
          </w:p>
        </w:tc>
        <w:tc>
          <w:tcPr>
            <w:tcW w:type="dxa" w:w="2880"/>
            <w:vAlign w:val="center"/>
          </w:tcPr>
          <w:p>
            <w:pPr>
              <w:spacing w:after="20"/>
            </w:pPr>
            <w:r>
              <w:rPr>
                <w:sz w:val="16"/>
              </w:rPr>
              <w:t>PostgreSQL</w:t>
            </w:r>
          </w:p>
        </w:tc>
        <w:tc>
          <w:tcPr>
            <w:tcW w:type="dxa" w:w="5904"/>
            <w:vAlign w:val="center"/>
          </w:tcPr>
          <w:p>
            <w:pPr>
              <w:spacing w:after="20"/>
            </w:pPr>
            <w:r>
              <w:rPr>
                <w:sz w:val="16"/>
              </w:rPr>
              <w:t>Relational core entities, transactions, constraints and optional JSONB for extensions.</w:t>
            </w:r>
          </w:p>
        </w:tc>
      </w:tr>
      <w:tr>
        <w:tc>
          <w:tcPr>
            <w:tcW w:type="dxa" w:w="1728"/>
            <w:vAlign w:val="center"/>
            <w:shd w:fill="F2F6F8"/>
          </w:tcPr>
          <w:p>
            <w:pPr>
              <w:spacing w:after="20"/>
            </w:pPr>
            <w:r>
              <w:rPr>
                <w:sz w:val="16"/>
              </w:rPr>
              <w:t>File storage</w:t>
            </w:r>
          </w:p>
        </w:tc>
        <w:tc>
          <w:tcPr>
            <w:tcW w:type="dxa" w:w="2880"/>
            <w:vAlign w:val="center"/>
            <w:shd w:fill="F2F6F8"/>
          </w:tcPr>
          <w:p>
            <w:pPr>
              <w:spacing w:after="20"/>
            </w:pPr>
            <w:r>
              <w:rPr>
                <w:sz w:val="16"/>
              </w:rPr>
              <w:t>Private object storage</w:t>
            </w:r>
          </w:p>
        </w:tc>
        <w:tc>
          <w:tcPr>
            <w:tcW w:type="dxa" w:w="5904"/>
            <w:vAlign w:val="center"/>
            <w:shd w:fill="F2F6F8"/>
          </w:tcPr>
          <w:p>
            <w:pPr>
              <w:spacing w:after="20"/>
            </w:pPr>
            <w:r>
              <w:rPr>
                <w:sz w:val="16"/>
              </w:rPr>
              <w:t>Source files, supplier evidence, generated reports; tenant-authorized access.</w:t>
            </w:r>
          </w:p>
        </w:tc>
      </w:tr>
      <w:tr>
        <w:tc>
          <w:tcPr>
            <w:tcW w:type="dxa" w:w="1728"/>
            <w:vAlign w:val="center"/>
          </w:tcPr>
          <w:p>
            <w:pPr>
              <w:spacing w:after="20"/>
            </w:pPr>
            <w:r>
              <w:rPr>
                <w:sz w:val="16"/>
              </w:rPr>
              <w:t>Identity</w:t>
            </w:r>
          </w:p>
        </w:tc>
        <w:tc>
          <w:tcPr>
            <w:tcW w:type="dxa" w:w="2880"/>
            <w:vAlign w:val="center"/>
          </w:tcPr>
          <w:p>
            <w:pPr>
              <w:spacing w:after="20"/>
            </w:pPr>
            <w:r>
              <w:rPr>
                <w:sz w:val="16"/>
              </w:rPr>
              <w:t>OIDC provider approved by Monkspaces</w:t>
            </w:r>
          </w:p>
        </w:tc>
        <w:tc>
          <w:tcPr>
            <w:tcW w:type="dxa" w:w="5904"/>
            <w:vAlign w:val="center"/>
          </w:tcPr>
          <w:p>
            <w:pPr>
              <w:spacing w:after="20"/>
            </w:pPr>
            <w:r>
              <w:rPr>
                <w:sz w:val="16"/>
              </w:rPr>
              <w:t>Use Microsoft Entra ID if it matches company identity and access requirements.</w:t>
            </w:r>
          </w:p>
        </w:tc>
      </w:tr>
      <w:tr>
        <w:tc>
          <w:tcPr>
            <w:tcW w:type="dxa" w:w="1728"/>
            <w:vAlign w:val="center"/>
            <w:shd w:fill="F2F6F8"/>
          </w:tcPr>
          <w:p>
            <w:pPr>
              <w:spacing w:after="20"/>
            </w:pPr>
            <w:r>
              <w:rPr>
                <w:sz w:val="16"/>
              </w:rPr>
              <w:t>Deployment</w:t>
            </w:r>
          </w:p>
        </w:tc>
        <w:tc>
          <w:tcPr>
            <w:tcW w:type="dxa" w:w="2880"/>
            <w:vAlign w:val="center"/>
            <w:shd w:fill="F2F6F8"/>
          </w:tcPr>
          <w:p>
            <w:pPr>
              <w:spacing w:after="20"/>
            </w:pPr>
            <w:r>
              <w:rPr>
                <w:sz w:val="16"/>
              </w:rPr>
              <w:t>Docker + company-approved cloud</w:t>
            </w:r>
          </w:p>
        </w:tc>
        <w:tc>
          <w:tcPr>
            <w:tcW w:type="dxa" w:w="5904"/>
            <w:vAlign w:val="center"/>
            <w:shd w:fill="F2F6F8"/>
          </w:tcPr>
          <w:p>
            <w:pPr>
              <w:spacing w:after="20"/>
            </w:pPr>
            <w:r>
              <w:rPr>
                <w:sz w:val="16"/>
              </w:rPr>
              <w:t>Consistent environments; select cloud after security, residency and budget review.</w:t>
            </w:r>
          </w:p>
        </w:tc>
      </w:tr>
      <w:tr>
        <w:tc>
          <w:tcPr>
            <w:tcW w:type="dxa" w:w="1728"/>
            <w:vAlign w:val="center"/>
          </w:tcPr>
          <w:p>
            <w:pPr>
              <w:spacing w:after="20"/>
            </w:pPr>
            <w:r>
              <w:rPr>
                <w:sz w:val="16"/>
              </w:rPr>
              <w:t>Testing/operations</w:t>
            </w:r>
          </w:p>
        </w:tc>
        <w:tc>
          <w:tcPr>
            <w:tcW w:type="dxa" w:w="2880"/>
            <w:vAlign w:val="center"/>
          </w:tcPr>
          <w:p>
            <w:pPr>
              <w:spacing w:after="20"/>
            </w:pPr>
            <w:r>
              <w:rPr>
                <w:sz w:val="16"/>
              </w:rPr>
              <w:t>Automated API, unit, integration and tenant-boundary tests</w:t>
            </w:r>
          </w:p>
        </w:tc>
        <w:tc>
          <w:tcPr>
            <w:tcW w:type="dxa" w:w="5904"/>
            <w:vAlign w:val="center"/>
          </w:tcPr>
          <w:p>
            <w:pPr>
              <w:spacing w:after="20"/>
            </w:pPr>
            <w:r>
              <w:rPr>
                <w:sz w:val="16"/>
              </w:rPr>
              <w:t>Logs, monitoring, backup/restore tests and documented release process.</w:t>
            </w:r>
          </w:p>
        </w:tc>
      </w:tr>
    </w:tbl>
    <w:p>
      <w:pPr>
        <w:spacing w:after="20"/>
      </w:pPr>
    </w:p>
    <w:p>
      <w:pPr>
        <w:pStyle w:val="Heading1"/>
      </w:pPr>
      <w:r>
        <w:t>9. Definition of done for the pilot</w:t>
      </w:r>
    </w:p>
    <w:p>
      <w:pPr>
        <w:pStyle w:val="ListBullet"/>
        <w:spacing w:after="20"/>
      </w:pPr>
      <w:r>
        <w:t>☐ Two separate client tenants can be created and used.</w:t>
      </w:r>
    </w:p>
    <w:p>
      <w:pPr>
        <w:pStyle w:val="ListBullet"/>
        <w:spacing w:after="20"/>
      </w:pPr>
      <w:r>
        <w:t>☐ A consultant can access assigned clients but not unassigned clients.</w:t>
      </w:r>
    </w:p>
    <w:p>
      <w:pPr>
        <w:pStyle w:val="ListBullet"/>
        <w:spacing w:after="20"/>
      </w:pPr>
      <w:r>
        <w:t>☐ Representative product and packaging data imports without direct database edits.</w:t>
      </w:r>
    </w:p>
    <w:p>
      <w:pPr>
        <w:pStyle w:val="ListBullet"/>
        <w:spacing w:after="20"/>
      </w:pPr>
      <w:r>
        <w:t>☐ Invalid/missing fields are reported and can be corrected through the workflow.</w:t>
      </w:r>
    </w:p>
    <w:p>
      <w:pPr>
        <w:pStyle w:val="ListBullet"/>
        <w:spacing w:after="20"/>
      </w:pPr>
      <w:r>
        <w:t>☐ Packaging values retain units, source and specification version.</w:t>
      </w:r>
    </w:p>
    <w:p>
      <w:pPr>
        <w:pStyle w:val="ListBullet"/>
        <w:spacing w:after="20"/>
      </w:pPr>
      <w:r>
        <w:t>☐ The selected EPR workflow produces traceable results for its agreed jurisdiction and period.</w:t>
      </w:r>
    </w:p>
    <w:p>
      <w:pPr>
        <w:pStyle w:val="ListBullet"/>
        <w:spacing w:after="20"/>
      </w:pPr>
      <w:r>
        <w:t>☐ Results reconcile with an independently verified reference calculation or reporting file.</w:t>
      </w:r>
    </w:p>
    <w:p>
      <w:pPr>
        <w:pStyle w:val="ListBullet"/>
        <w:spacing w:after="20"/>
      </w:pPr>
      <w:r>
        <w:t>☐ Changes to current packaging data do not silently alter a previously approved report.</w:t>
      </w:r>
    </w:p>
    <w:p>
      <w:pPr>
        <w:pStyle w:val="ListBullet"/>
        <w:spacing w:after="20"/>
      </w:pPr>
      <w:r>
        <w:t>☐ Cross-tenant API, export and file-access tests pass.</w:t>
      </w:r>
    </w:p>
    <w:p>
      <w:pPr>
        <w:pStyle w:val="ListBullet"/>
        <w:spacing w:after="20"/>
      </w:pPr>
      <w:r>
        <w:t>☐ Unsupported regulatory cases and known limitations are documented.</w:t>
      </w:r>
    </w:p>
    <w:p>
      <w:pPr>
        <w:pStyle w:val="Heading1"/>
      </w:pPr>
      <w:r>
        <w:t>10. Open decisions and next actions</w:t>
      </w:r>
    </w:p>
    <w:tbl>
      <w:tblPr>
        <w:tblStyle w:val="TableGrid"/>
        <w:tblW w:type="auto" w:w="0"/>
        <w:jc w:val="center"/>
        <w:tblLook w:firstColumn="1" w:firstRow="1" w:lastColumn="0" w:lastRow="0" w:noHBand="0" w:noVBand="1" w:val="04A0"/>
      </w:tblPr>
      <w:tblGrid>
        <w:gridCol w:w="3360"/>
        <w:gridCol w:w="3360"/>
        <w:gridCol w:w="3360"/>
      </w:tblGrid>
      <w:tr>
        <w:tc>
          <w:tcPr>
            <w:tcW w:type="dxa" w:w="3600"/>
            <w:shd w:fill="17365D"/>
          </w:tcPr>
          <w:p>
            <w:r>
              <w:rPr>
                <w:b/>
                <w:color w:val="FFFFFF"/>
                <w:sz w:val="17"/>
              </w:rPr>
              <w:t>Decision / action</w:t>
            </w:r>
          </w:p>
        </w:tc>
        <w:tc>
          <w:tcPr>
            <w:tcW w:type="dxa" w:w="2592"/>
            <w:shd w:fill="17365D"/>
          </w:tcPr>
          <w:p>
            <w:r>
              <w:rPr>
                <w:b/>
                <w:color w:val="FFFFFF"/>
                <w:sz w:val="17"/>
              </w:rPr>
              <w:t>Owner to nominate</w:t>
            </w:r>
          </w:p>
        </w:tc>
        <w:tc>
          <w:tcPr>
            <w:tcW w:type="dxa" w:w="4320"/>
            <w:shd w:fill="17365D"/>
          </w:tcPr>
          <w:p>
            <w:r>
              <w:rPr>
                <w:b/>
                <w:color w:val="FFFFFF"/>
                <w:sz w:val="17"/>
              </w:rPr>
              <w:t>Required outcome</w:t>
            </w:r>
          </w:p>
        </w:tc>
      </w:tr>
      <w:tr>
        <w:tc>
          <w:tcPr>
            <w:tcW w:type="dxa" w:w="3600"/>
            <w:vAlign w:val="center"/>
          </w:tcPr>
          <w:p>
            <w:pPr>
              <w:spacing w:after="20"/>
            </w:pPr>
            <w:r>
              <w:rPr>
                <w:sz w:val="16"/>
              </w:rPr>
              <w:t>Select first EPR jurisdiction and reporting workflow</w:t>
            </w:r>
          </w:p>
        </w:tc>
        <w:tc>
          <w:tcPr>
            <w:tcW w:type="dxa" w:w="2592"/>
            <w:vAlign w:val="center"/>
          </w:tcPr>
          <w:p>
            <w:pPr>
              <w:spacing w:after="20"/>
            </w:pPr>
            <w:r>
              <w:rPr>
                <w:sz w:val="16"/>
              </w:rPr>
              <w:t>Product owner + regulatory/domain reviewer</w:t>
            </w:r>
          </w:p>
        </w:tc>
        <w:tc>
          <w:tcPr>
            <w:tcW w:type="dxa" w:w="4320"/>
            <w:vAlign w:val="center"/>
          </w:tcPr>
          <w:p>
            <w:pPr>
              <w:spacing w:after="20"/>
            </w:pPr>
            <w:r>
              <w:rPr>
                <w:sz w:val="16"/>
              </w:rPr>
              <w:t>Written scope, applicable source references and sample output.</w:t>
            </w:r>
          </w:p>
        </w:tc>
      </w:tr>
      <w:tr>
        <w:tc>
          <w:tcPr>
            <w:tcW w:type="dxa" w:w="3600"/>
            <w:vAlign w:val="center"/>
            <w:shd w:fill="F2F6F8"/>
          </w:tcPr>
          <w:p>
            <w:pPr>
              <w:spacing w:after="20"/>
            </w:pPr>
            <w:r>
              <w:rPr>
                <w:sz w:val="16"/>
              </w:rPr>
              <w:t>Collect first client data pack</w:t>
            </w:r>
          </w:p>
        </w:tc>
        <w:tc>
          <w:tcPr>
            <w:tcW w:type="dxa" w:w="2592"/>
            <w:vAlign w:val="center"/>
            <w:shd w:fill="F2F6F8"/>
          </w:tcPr>
          <w:p>
            <w:pPr>
              <w:spacing w:after="20"/>
            </w:pPr>
            <w:r>
              <w:rPr>
                <w:sz w:val="16"/>
              </w:rPr>
              <w:t>Client lead / consultant</w:t>
            </w:r>
          </w:p>
        </w:tc>
        <w:tc>
          <w:tcPr>
            <w:tcW w:type="dxa" w:w="4320"/>
            <w:vAlign w:val="center"/>
            <w:shd w:fill="F2F6F8"/>
          </w:tcPr>
          <w:p>
            <w:pPr>
              <w:spacing w:after="20"/>
            </w:pPr>
            <w:r>
              <w:rPr>
                <w:sz w:val="16"/>
              </w:rPr>
              <w:t>Anonymised product master, packaging spec, supply data and supplier evidence.</w:t>
            </w:r>
          </w:p>
        </w:tc>
      </w:tr>
      <w:tr>
        <w:tc>
          <w:tcPr>
            <w:tcW w:type="dxa" w:w="3600"/>
            <w:vAlign w:val="center"/>
          </w:tcPr>
          <w:p>
            <w:pPr>
              <w:spacing w:after="20"/>
            </w:pPr>
            <w:r>
              <w:rPr>
                <w:sz w:val="16"/>
              </w:rPr>
              <w:t>Walk through current consulting process</w:t>
            </w:r>
          </w:p>
        </w:tc>
        <w:tc>
          <w:tcPr>
            <w:tcW w:type="dxa" w:w="2592"/>
            <w:vAlign w:val="center"/>
          </w:tcPr>
          <w:p>
            <w:pPr>
              <w:spacing w:after="20"/>
            </w:pPr>
            <w:r>
              <w:rPr>
                <w:sz w:val="16"/>
              </w:rPr>
              <w:t>Monkspaces consultant + product owner</w:t>
            </w:r>
          </w:p>
        </w:tc>
        <w:tc>
          <w:tcPr>
            <w:tcW w:type="dxa" w:w="4320"/>
            <w:vAlign w:val="center"/>
          </w:tcPr>
          <w:p>
            <w:pPr>
              <w:spacing w:after="20"/>
            </w:pPr>
            <w:r>
              <w:rPr>
                <w:sz w:val="16"/>
              </w:rPr>
              <w:t>Document current steps, manual checks, exceptions and approval points.</w:t>
            </w:r>
          </w:p>
        </w:tc>
      </w:tr>
      <w:tr>
        <w:tc>
          <w:tcPr>
            <w:tcW w:type="dxa" w:w="3600"/>
            <w:vAlign w:val="center"/>
            <w:shd w:fill="F2F6F8"/>
          </w:tcPr>
          <w:p>
            <w:pPr>
              <w:spacing w:after="20"/>
            </w:pPr>
            <w:r>
              <w:rPr>
                <w:sz w:val="16"/>
              </w:rPr>
              <w:t>Confirm access model for first release</w:t>
            </w:r>
          </w:p>
        </w:tc>
        <w:tc>
          <w:tcPr>
            <w:tcW w:type="dxa" w:w="2592"/>
            <w:vAlign w:val="center"/>
            <w:shd w:fill="F2F6F8"/>
          </w:tcPr>
          <w:p>
            <w:pPr>
              <w:spacing w:after="20"/>
            </w:pPr>
            <w:r>
              <w:rPr>
                <w:sz w:val="16"/>
              </w:rPr>
              <w:t>Product owner + security/IT</w:t>
            </w:r>
          </w:p>
        </w:tc>
        <w:tc>
          <w:tcPr>
            <w:tcW w:type="dxa" w:w="4320"/>
            <w:vAlign w:val="center"/>
            <w:shd w:fill="F2F6F8"/>
          </w:tcPr>
          <w:p>
            <w:pPr>
              <w:spacing w:after="20"/>
            </w:pPr>
            <w:r>
              <w:rPr>
                <w:sz w:val="16"/>
              </w:rPr>
              <w:t>Consultant-only vs client logins; role and support-access rules.</w:t>
            </w:r>
          </w:p>
        </w:tc>
      </w:tr>
      <w:tr>
        <w:tc>
          <w:tcPr>
            <w:tcW w:type="dxa" w:w="3600"/>
            <w:vAlign w:val="center"/>
          </w:tcPr>
          <w:p>
            <w:pPr>
              <w:spacing w:after="20"/>
            </w:pPr>
            <w:r>
              <w:rPr>
                <w:sz w:val="16"/>
              </w:rPr>
              <w:t>Confirm hosting, identity and data governance</w:t>
            </w:r>
          </w:p>
        </w:tc>
        <w:tc>
          <w:tcPr>
            <w:tcW w:type="dxa" w:w="2592"/>
            <w:vAlign w:val="center"/>
          </w:tcPr>
          <w:p>
            <w:pPr>
              <w:spacing w:after="20"/>
            </w:pPr>
            <w:r>
              <w:rPr>
                <w:sz w:val="16"/>
              </w:rPr>
              <w:t>Engineering + IT/security</w:t>
            </w:r>
          </w:p>
        </w:tc>
        <w:tc>
          <w:tcPr>
            <w:tcW w:type="dxa" w:w="4320"/>
            <w:vAlign w:val="center"/>
          </w:tcPr>
          <w:p>
            <w:pPr>
              <w:spacing w:after="20"/>
            </w:pPr>
            <w:r>
              <w:rPr>
                <w:sz w:val="16"/>
              </w:rPr>
              <w:t>Approved deployment, identity provider, residency, retention and backup approach.</w:t>
            </w:r>
          </w:p>
        </w:tc>
      </w:tr>
      <w:tr>
        <w:tc>
          <w:tcPr>
            <w:tcW w:type="dxa" w:w="3600"/>
            <w:vAlign w:val="center"/>
            <w:shd w:fill="F2F6F8"/>
          </w:tcPr>
          <w:p>
            <w:pPr>
              <w:spacing w:after="20"/>
            </w:pPr>
            <w:r>
              <w:rPr>
                <w:sz w:val="16"/>
              </w:rPr>
              <w:t>Validate canonical schema against samples</w:t>
            </w:r>
          </w:p>
        </w:tc>
        <w:tc>
          <w:tcPr>
            <w:tcW w:type="dxa" w:w="2592"/>
            <w:vAlign w:val="center"/>
            <w:shd w:fill="F2F6F8"/>
          </w:tcPr>
          <w:p>
            <w:pPr>
              <w:spacing w:after="20"/>
            </w:pPr>
            <w:r>
              <w:rPr>
                <w:sz w:val="16"/>
              </w:rPr>
              <w:t>Both developers + domain reviewer</w:t>
            </w:r>
          </w:p>
        </w:tc>
        <w:tc>
          <w:tcPr>
            <w:tcW w:type="dxa" w:w="4320"/>
            <w:vAlign w:val="center"/>
            <w:shd w:fill="F2F6F8"/>
          </w:tcPr>
          <w:p>
            <w:pPr>
              <w:spacing w:after="20"/>
            </w:pPr>
            <w:r>
              <w:rPr>
                <w:sz w:val="16"/>
              </w:rPr>
              <w:t>Schema decision log, field dictionary and migration/import examples.</w:t>
            </w:r>
          </w:p>
        </w:tc>
      </w:tr>
      <w:tr>
        <w:tc>
          <w:tcPr>
            <w:tcW w:type="dxa" w:w="3600"/>
            <w:vAlign w:val="center"/>
          </w:tcPr>
          <w:p>
            <w:pPr>
              <w:spacing w:after="20"/>
            </w:pPr>
            <w:r>
              <w:rPr>
                <w:sz w:val="16"/>
              </w:rPr>
              <w:t>Define acceptance dataset and expected results</w:t>
            </w:r>
          </w:p>
        </w:tc>
        <w:tc>
          <w:tcPr>
            <w:tcW w:type="dxa" w:w="2592"/>
            <w:vAlign w:val="center"/>
          </w:tcPr>
          <w:p>
            <w:pPr>
              <w:spacing w:after="20"/>
            </w:pPr>
            <w:r>
              <w:rPr>
                <w:sz w:val="16"/>
              </w:rPr>
              <w:t>Domain reviewer + engineering</w:t>
            </w:r>
          </w:p>
        </w:tc>
        <w:tc>
          <w:tcPr>
            <w:tcW w:type="dxa" w:w="4320"/>
            <w:vAlign w:val="center"/>
          </w:tcPr>
          <w:p>
            <w:pPr>
              <w:spacing w:after="20"/>
            </w:pPr>
            <w:r>
              <w:rPr>
                <w:sz w:val="16"/>
              </w:rPr>
              <w:t>Known-good reference case and reconciliation criteria.</w:t>
            </w:r>
          </w:p>
        </w:tc>
      </w:tr>
    </w:tbl>
    <w:p>
      <w:pPr>
        <w:spacing w:after="20"/>
      </w:pPr>
    </w:p>
    <w:p>
      <w:pPr>
        <w:pStyle w:val="Heading1"/>
      </w:pPr>
      <w:r>
        <w:t>11. Regulatory and scope note</w:t>
      </w:r>
    </w:p>
    <w:p>
      <w:r>
        <w:t>This document is a product and engineering planning draft, not legal advice or a complete statement of regulatory obligations. Regulatory field requirements, thresholds, exemptions, calculation methodologies and reporting routes must be checked against current authoritative sources for the selected jurisdiction and reviewed by a suitably qualified domain expert before implementation or client use.</w:t>
      </w:r>
    </w:p>
    <w:p>
      <w:r>
        <w:t>UK packaging EPR guidance should be used to validate the first UK workflow if selected. For EU work, identify the specific Member State and applicable obligations; the EU Packaging and Packaging Waste Regulation (PPWR), Regulation (EU) 2025/40, has its own scope and application details. Do not assume EPR and PPWR are interchangeable.</w:t>
      </w:r>
    </w:p>
    <w:p>
      <w:pPr>
        <w:pStyle w:val="Heading1"/>
      </w:pPr>
      <w:r>
        <w:t>12. Product principle to keep visible</w:t>
      </w:r>
    </w:p>
    <w:p>
      <w:pPr>
        <w:jc w:val="center"/>
      </w:pPr>
      <w:r>
        <w:rPr>
          <w:b/>
          <w:color w:val="26735B"/>
          <w:sz w:val="24"/>
        </w:rPr>
        <w:t>Build the shared data foundation once. Add compliance modules independently. Preserve tenant isolation, provenance and reproducibility throughout.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Working draft • For team discovery and planning • Validate regulatory scope before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MONKSPACES  |  PRODUCT &amp;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73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73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