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75B5"/>
          <w:sz w:val="24"/>
        </w:rPr>
        <w:t>MONKSPACES</w:t>
      </w:r>
    </w:p>
    <w:p>
      <w:pPr>
        <w:jc w:val="center"/>
      </w:pPr>
      <w:r>
        <w:rPr>
          <w:b/>
          <w:color w:val="17365D"/>
          <w:sz w:val="60"/>
        </w:rPr>
        <w:t>Product Platform</w:t>
      </w:r>
    </w:p>
    <w:p>
      <w:pPr>
        <w:jc w:val="center"/>
      </w:pPr>
      <w:r>
        <w:rPr>
          <w:color w:val="2F75B5"/>
          <w:sz w:val="34"/>
        </w:rPr>
        <w:t>Team Product Blueprint &amp; Delivery Plan</w:t>
      </w:r>
    </w:p>
    <w:p>
      <w:pPr>
        <w:jc w:val="center"/>
      </w:pPr>
      <w:r>
        <w:rPr>
          <w:i/>
          <w:color w:val="646464"/>
          <w:sz w:val="18"/>
        </w:rPr>
        <w:t>Version 1.0 | 26 October 2026 | Proposed working baseline</w:t>
      </w:r>
    </w:p>
    <w:p>
      <w:r>
        <w:t>Purpose: align product, engineering, QA, client IT and regulatory stakeholders on the product vision, initial scope, architecture, parallel delivery plan, testing approach and decisions still required.</w:t>
      </w:r>
    </w:p>
    <w:p>
      <w:pPr>
        <w:pStyle w:val="Heading1"/>
      </w:pPr>
      <w:r>
        <w:t>At a glance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Product direction</w:t>
            </w:r>
          </w:p>
        </w:tc>
        <w:tc>
          <w:tcPr>
            <w:tcW w:type="dxa" w:w="4968"/>
            <w:vAlign w:val="center"/>
          </w:tcPr>
          <w:p>
            <w:r>
              <w:t>Shared product &amp; packaging data foundation + data-quality workflows + business modules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Initial target</w:t>
            </w:r>
          </w:p>
        </w:tc>
        <w:tc>
          <w:tcPr>
            <w:tcW w:type="dxa" w:w="4968"/>
            <w:vAlign w:val="center"/>
          </w:tcPr>
          <w:p>
            <w:r>
              <w:t>Focused EPR proof-of-value for one agreed jurisdiction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Proposed stack</w:t>
            </w:r>
          </w:p>
        </w:tc>
        <w:tc>
          <w:tcPr>
            <w:tcW w:type="dxa" w:w="4968"/>
            <w:vAlign w:val="center"/>
          </w:tcPr>
          <w:p>
            <w:r>
              <w:t>Angular + TypeScript | FastAPI + Python | PostgreSQL | private object storage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Delivery approach</w:t>
            </w:r>
          </w:p>
        </w:tc>
        <w:tc>
          <w:tcPr>
            <w:tcW w:type="dxa" w:w="4968"/>
            <w:vAlign w:val="center"/>
          </w:tcPr>
          <w:p>
            <w:r>
              <w:t>Parallel workstreams, vertical slices, weekly demos, continuous automated testing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Planning target</w:t>
            </w:r>
          </w:p>
        </w:tc>
        <w:tc>
          <w:tcPr>
            <w:tcW w:type="dxa" w:w="4968"/>
            <w:vAlign w:val="center"/>
          </w:tcPr>
          <w:p>
            <w:r>
              <w:t>8 weeks for a narrow proof-of-value; not a commitment for a complete production SaaS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Monkspaces is planning a shared product and packaging data platform that consolidates information from client data sources, improves data quality, and supports multiple business modules on the same trusted data foundation.</w:t>
      </w:r>
    </w:p>
    <w:p>
      <w:r>
        <w:t>The proposed first module is an EPR (Extended Producer Responsibility) proof-of-value for one agreed jurisdiction. The longer-term platform may support PPWR, Digital Product Passport (DPP), costing, and other product-compliance workflows.</w:t>
      </w:r>
    </w:p>
    <w:p>
      <w:r>
        <w:t>The initial delivery plan targets a focused 8-week proof-of-value. This is a planning target, not a commitment to deliver the complete production-ready multi-module SaaS platform in eight weeks.</w:t>
      </w:r>
    </w:p>
    <w:p>
      <w:pPr>
        <w:pStyle w:val="Heading1"/>
      </w:pPr>
      <w:r>
        <w:t>2. Business problem and opportunity</w:t>
      </w:r>
    </w:p>
    <w:p>
      <w:r>
        <w:t>Product and packaging information may be spread across ERP, PLM, data warehouses, spreadsheets, and supplier files. Fields, units, identifiers, and data quality can differ between sources.</w:t>
      </w:r>
    </w:p>
    <w:p>
      <w:r>
        <w:t>Teams need a repeatable way to ingest and standardize this information, identify gaps, assign corrections, review changes, and understand how calculations were produced.</w:t>
      </w:r>
    </w:p>
    <w:p>
      <w:r>
        <w:t>A shared data foundation can reduce repeated data preparation across modules and make calculations more explainable, traceable, and reusable.</w:t>
      </w:r>
    </w:p>
    <w:p>
      <w:pPr>
        <w:pStyle w:val="Heading1"/>
      </w:pPr>
      <w:r>
        <w:t>3. Product vision</w:t>
      </w:r>
    </w:p>
    <w:p>
      <w:r>
        <w:t>Create one governed product and packaging data foundation, with data-quality and correction workflows, that can power multiple business modules.</w:t>
      </w:r>
    </w:p>
    <w:p>
      <w:r>
        <w:t>Core value: collect data once, standardize it, improve it continuously, and reuse it across EPR and future modules while preserving source lineage and auditability.</w:t>
      </w:r>
    </w:p>
    <w:p>
      <w:pPr>
        <w:pStyle w:val="Heading1"/>
      </w:pPr>
      <w:r>
        <w:t>4. Proposed platform layers</w:t>
      </w:r>
    </w:p>
    <w:p>
      <w:r>
        <w:t>Layer 1 — Shared Data Foundation: imports and integrations, field mapping, normalization, canonical product/packaging/material records, source lineage, and secure file storage.</w:t>
      </w:r>
    </w:p>
    <w:p>
      <w:r>
        <w:t>Layer 2 — Data Quality &amp; Improvement: validation rules, issue queue, assignment, correction proposals, review/approval, revalidation, and audit history.</w:t>
      </w:r>
    </w:p>
    <w:p>
      <w:r>
        <w:t>Layer 3 — Business Modules: initial EPR calculation and analysis; future PPWR, DPP, costing, and other modules can reuse the shared foundation.</w:t>
      </w:r>
    </w:p>
    <w:p>
      <w:r>
        <w:t>Each business module should own its domain-specific rules and outputs. Data-quality status must not be treated as the same thing as regulatory compliance status.</w:t>
      </w:r>
    </w:p>
    <w:p>
      <w:pPr>
        <w:pStyle w:val="Heading1"/>
      </w:pPr>
      <w:r>
        <w:t>5. Initial scope: EPR proof-of-value</w:t>
      </w:r>
    </w:p>
    <w:p>
      <w:pPr>
        <w:pStyle w:val="ListBullet"/>
      </w:pPr>
      <w:r>
        <w:t>In scope for the initial proof-of-value: one selected jurisdiction; representative product and packaging data; CSV/Excel import; core product/packaging records; basic data-quality checks; issue and correction workflow; one approved/versioned EPR rule set; explainable calculation breakdown; calculation history; a simple hotspot view; automated tests; staging deployment and stakeholder demo.</w:t>
      </w:r>
    </w:p>
    <w:p>
      <w:pPr>
        <w:pStyle w:val="ListBullet"/>
      </w:pPr>
      <w:r>
        <w:t>Potential stretch goal if capacity allows: a simple what-if scenario comparison.</w:t>
      </w:r>
    </w:p>
    <w:p>
      <w:pPr>
        <w:pStyle w:val="ListBullet"/>
      </w:pPr>
      <w:r>
        <w:t>Not assumed in the initial scope: every jurisdiction, all client system integrations, bidirectional write-back, full PPWR/DPP/costing modules, advanced forecasting, or full production hardening and certification.</w:t>
      </w:r>
    </w:p>
    <w:p>
      <w:pPr>
        <w:pStyle w:val="Heading1"/>
      </w:pPr>
      <w:r>
        <w:t>6. Proposed architecture and technology stack</w:t>
      </w:r>
    </w:p>
    <w:p>
      <w:pPr>
        <w:pStyle w:val="ListBullet"/>
      </w:pPr>
      <w:r>
        <w:t>Frontend — Angular + TypeScript for product/packaging screens, imports, issue management, EPR results, and administration.</w:t>
      </w:r>
    </w:p>
    <w:p>
      <w:pPr>
        <w:pStyle w:val="ListBullet"/>
      </w:pPr>
      <w:r>
        <w:t>Backend — Python + FastAPI for REST APIs, import processing, validation, workflow, and calculation services.</w:t>
      </w:r>
    </w:p>
    <w:p>
      <w:pPr>
        <w:pStyle w:val="ListBullet"/>
      </w:pPr>
      <w:r>
        <w:t>Database — PostgreSQL for core relational records, workflow, rule versions, and calculation history. Use JSONB selectively for genuinely variable attributes.</w:t>
      </w:r>
    </w:p>
    <w:p>
      <w:pPr>
        <w:pStyle w:val="ListBullet"/>
      </w:pPr>
      <w:r>
        <w:t>File/evidence storage — private object storage such as S3-compatible storage or Azure Blob, subject to company/client standards.</w:t>
      </w:r>
    </w:p>
    <w:p>
      <w:pPr>
        <w:pStyle w:val="ListBullet"/>
      </w:pPr>
      <w:r>
        <w:t>Authentication — OAuth 2.0 / OpenID Connect using an approved identity provider.</w:t>
      </w:r>
    </w:p>
    <w:p>
      <w:pPr>
        <w:pStyle w:val="ListBullet"/>
      </w:pPr>
      <w:r>
        <w:t>Delivery and quality — Docker, CI/CD, automated tests, structured logs, and managed hosting. Start with a modular monolith; microservices and Kubernetes are not required for the initial proof-of-value unless existing standards require them.</w:t>
      </w:r>
    </w:p>
    <w:p>
      <w:pPr>
        <w:pStyle w:val="ListBullet"/>
      </w:pPr>
      <w:r>
        <w:t>These are proposed defaults. Confirm them against the existing repository, company standards, hosting constraints, and client security requirements before final implementation.</w:t>
      </w:r>
    </w:p>
    <w:p>
      <w:pPr>
        <w:pStyle w:val="Heading1"/>
      </w:pPr>
      <w:r>
        <w:t>7. High-level data flow</w:t>
      </w:r>
    </w:p>
    <w:p>
      <w:r>
        <w:t>1. Collect sample data from CSV/Excel and, later, one verified read-only source integration.</w:t>
      </w:r>
    </w:p>
    <w:p>
      <w:r>
        <w:t>2. Create an import batch and preserve the original file/source reference securely.</w:t>
      </w:r>
    </w:p>
    <w:p>
      <w:r>
        <w:t>3. Map source fields to canonical fields and normalize known units and values.</w:t>
      </w:r>
    </w:p>
    <w:p>
      <w:r>
        <w:t>4. Store canonical product, packaging, and material records in PostgreSQL.</w:t>
      </w:r>
    </w:p>
    <w:p>
      <w:r>
        <w:t>5. Run data-quality checks and raise actionable issues for missing or inconsistent values.</w:t>
      </w:r>
    </w:p>
    <w:p>
      <w:r>
        <w:t>6. Assign issues, submit corrections, approve changes where required, and retain before/after history.</w:t>
      </w:r>
    </w:p>
    <w:p>
      <w:r>
        <w:t>7. Select the jurisdiction and reporting period; run the calculation using an approved rule version.</w:t>
      </w:r>
    </w:p>
    <w:p>
      <w:r>
        <w:t>8. Store the calculation run, inputs, rule version, warnings, exclusions, line-item breakdown, and totals.</w:t>
      </w:r>
    </w:p>
    <w:p>
      <w:r>
        <w:t>9. Present results and basic hotspots, with traceability to the underlying records.</w:t>
      </w:r>
    </w:p>
    <w:p>
      <w:pPr>
        <w:pStyle w:val="Heading1"/>
      </w:pPr>
      <w:r>
        <w:t>8. External integrations and data sharing</w:t>
      </w:r>
    </w:p>
    <w:p>
      <w:pPr>
        <w:pStyle w:val="ListBullet"/>
      </w:pPr>
      <w:r>
        <w:t>Day 0: request sample product/packaging data, data dictionary, approved EPR rulebook, reference calculations, source-system details, API documentation, and sandbox/access process.</w:t>
      </w:r>
    </w:p>
    <w:p>
      <w:pPr>
        <w:pStyle w:val="ListBullet"/>
      </w:pPr>
      <w:r>
        <w:t>Start with CSV/Excel so product development can proceed while source-system access is being clarified.</w:t>
      </w:r>
    </w:p>
    <w:p>
      <w:pPr>
        <w:pStyle w:val="ListBullet"/>
      </w:pPr>
      <w:r>
        <w:t>Run a feasibility spike for one source system (ERP, PLM/Trace One, or Snowflake) after confirming API/export availability, authentication, permissions, rate limits, network access, data ownership, and refresh expectations.</w:t>
      </w:r>
    </w:p>
    <w:p>
      <w:pPr>
        <w:pStyle w:val="ListBullet"/>
      </w:pPr>
      <w:r>
        <w:t>Do not assume any specific ERP/PLM API is available or that bidirectional sync is possible. Keep the first integration read-only unless write-back is explicitly agreed and verified.</w:t>
      </w:r>
    </w:p>
    <w:p>
      <w:pPr>
        <w:pStyle w:val="ListBullet"/>
      </w:pPr>
      <w:r>
        <w:t>Use anonymized or synthetic data for development where possible. Share credentials only through approved secret-management processes, not email, spreadsheets, or source control.</w:t>
      </w:r>
    </w:p>
    <w:p>
      <w:pPr>
        <w:pStyle w:val="Heading1"/>
      </w:pPr>
      <w:r>
        <w:t>9. Parallel delivery roadmap</w:t>
      </w:r>
    </w:p>
    <w:p>
      <w:pPr>
        <w:pStyle w:val="ListBullet"/>
      </w:pPr>
      <w:r>
        <w:t>Day 0 — Kick-off, scope and owners; request client data/rules/API access; establish repository, environments, decision log, acceptance criteria and test approach.</w:t>
      </w:r>
    </w:p>
    <w:p>
      <w:pPr>
        <w:pStyle w:val="ListBullet"/>
      </w:pPr>
      <w:r>
        <w:t>Week 1 — Architecture and API contracts, schema draft, Angular shell, FastAPI skeleton, CI/test setup, and client data profiling.</w:t>
      </w:r>
    </w:p>
    <w:p>
      <w:pPr>
        <w:pStyle w:val="ListBullet"/>
      </w:pPr>
      <w:r>
        <w:t>Week 2 — Import staging, mapping, product/packaging APIs and screens; demonstrate first end-to-end slice: file → validation → database → API → UI.</w:t>
      </w:r>
    </w:p>
    <w:p>
      <w:pPr>
        <w:pStyle w:val="ListBullet"/>
      </w:pPr>
      <w:r>
        <w:t>Week 3 — Data-quality rules and issue queue; confirm jurisdiction-specific rule requirements and reference cases.</w:t>
      </w:r>
    </w:p>
    <w:p>
      <w:pPr>
        <w:pStyle w:val="ListBullet"/>
      </w:pPr>
      <w:r>
        <w:t>Week 4 — Correction, approval, revalidation, and audit workflow; finalize versioned rule model.</w:t>
      </w:r>
    </w:p>
    <w:p>
      <w:pPr>
        <w:pStyle w:val="ListBullet"/>
      </w:pPr>
      <w:r>
        <w:t>Week 5 — Implement the EPR calculation engine for the selected jurisdiction using approved rules.</w:t>
      </w:r>
    </w:p>
    <w:p>
      <w:pPr>
        <w:pStyle w:val="ListBullet"/>
      </w:pPr>
      <w:r>
        <w:t>Week 6 — Calculation history and fee breakdown; document one-source integration feasibility findings.</w:t>
      </w:r>
    </w:p>
    <w:p>
      <w:pPr>
        <w:pStyle w:val="ListBullet"/>
      </w:pPr>
      <w:r>
        <w:t>Week 7 — Basic hotspot dashboard/scenario comparison; security and regression hardening.</w:t>
      </w:r>
    </w:p>
    <w:p>
      <w:pPr>
        <w:pStyle w:val="ListBullet"/>
      </w:pPr>
      <w:r>
        <w:t>Week 8 — UAT, reconciliation, defect closure, demo, known limitations, and pilot go/no-go decision.</w:t>
      </w:r>
    </w:p>
    <w:p>
      <w:r>
        <w:t>Workstreams run in parallel: product/data discovery, backend/data ingestion, frontend, quality/workflow, EPR rules/calculation, and QA/DevOps/security. Weekly integration demos and shared API contracts are essential.</w:t>
      </w:r>
    </w:p>
    <w:p>
      <w:pPr>
        <w:pStyle w:val="Heading1"/>
      </w:pPr>
      <w:r>
        <w:t>10. Testing and definition of done</w:t>
      </w:r>
    </w:p>
    <w:p>
      <w:pPr>
        <w:pStyle w:val="ListBullet"/>
      </w:pPr>
      <w:r>
        <w:t>Every task has acceptance criteria and a named owner.</w:t>
      </w:r>
    </w:p>
    <w:p>
      <w:pPr>
        <w:pStyle w:val="ListBullet"/>
      </w:pPr>
      <w:r>
        <w:t>Each pull request passes relevant lint/build and automated tests.</w:t>
      </w:r>
    </w:p>
    <w:p>
      <w:pPr>
        <w:pStyle w:val="ListBullet"/>
      </w:pPr>
      <w:r>
        <w:t>Import tests cover valid and invalid files, missing columns, duplicate records, malformed values, and unknown units.</w:t>
      </w:r>
    </w:p>
    <w:p>
      <w:pPr>
        <w:pStyle w:val="ListBullet"/>
      </w:pPr>
      <w:r>
        <w:t>Data-quality tests cover issue creation, correction, approval/rejection, revalidation, and audit history.</w:t>
      </w:r>
    </w:p>
    <w:p>
      <w:pPr>
        <w:pStyle w:val="ListBullet"/>
      </w:pPr>
      <w:r>
        <w:t>Security tests include unauthorized actions and cross-tenant access attempts.</w:t>
      </w:r>
    </w:p>
    <w:p>
      <w:pPr>
        <w:pStyle w:val="ListBullet"/>
      </w:pPr>
      <w:r>
        <w:t>EPR results are checked against at least three client/SME-approved reference cases. Do not invent rates, exemptions, formulas, or expected results.</w:t>
      </w:r>
    </w:p>
    <w:p>
      <w:pPr>
        <w:pStyle w:val="ListBullet"/>
      </w:pPr>
      <w:r>
        <w:t>Calculation records identify the input snapshot/reference, reporting period, rule version, warnings, exclusions, and line-item breakdown.</w:t>
      </w:r>
    </w:p>
    <w:p>
      <w:pPr>
        <w:pStyle w:val="ListBullet"/>
      </w:pPr>
      <w:r>
        <w:t>Weekly demos show working software and evidence; blockers and decisions have owners and next actions.</w:t>
      </w:r>
    </w:p>
    <w:p>
      <w:pPr>
        <w:pStyle w:val="ListBullet"/>
      </w:pPr>
      <w:r>
        <w:t>Before pilot sign-off, review regression results, unresolved defects, permissions, logs, deployment/backup expectations, UAT evidence, and known limitations.</w:t>
      </w:r>
    </w:p>
    <w:p>
      <w:pPr>
        <w:pStyle w:val="Heading1"/>
      </w:pPr>
      <w:r>
        <w:t>11. Team collaboration and governance</w:t>
      </w:r>
    </w:p>
    <w:p>
      <w:pPr>
        <w:pStyle w:val="ListBullet"/>
      </w:pPr>
      <w:r>
        <w:t>Solution Architect / Tech Lead: architecture, API contracts, dependencies, technical decisions, code review, and client technical coordination.</w:t>
      </w:r>
    </w:p>
    <w:p>
      <w:pPr>
        <w:pStyle w:val="ListBullet"/>
      </w:pPr>
      <w:r>
        <w:t>Frontend Developer: Angular application shell, product/packaging screens, issue workflow, EPR results, and API integration.</w:t>
      </w:r>
    </w:p>
    <w:p>
      <w:pPr>
        <w:pStyle w:val="ListBullet"/>
      </w:pPr>
      <w:r>
        <w:t>Backend / Data Engineer: schema, import pipelines, canonical records, validation, APIs, rule versioning, and calculation engine.</w:t>
      </w:r>
    </w:p>
    <w:p>
      <w:pPr>
        <w:pStyle w:val="ListBullet"/>
      </w:pPr>
      <w:r>
        <w:t>QA / Test Engineer: test strategy, fixtures, integration/regression testing, calculation reconciliation, and defect evidence.</w:t>
      </w:r>
    </w:p>
    <w:p>
      <w:pPr>
        <w:pStyle w:val="ListBullet"/>
      </w:pPr>
      <w:r>
        <w:t>Product Owner / Regulatory SME: scope priorities, jurisdiction/rule interpretation, acceptance criteria, and expected calculation results.</w:t>
      </w:r>
    </w:p>
    <w:p>
      <w:pPr>
        <w:pStyle w:val="ListBullet"/>
      </w:pPr>
      <w:r>
        <w:t>Client IT / Data Owner: source-system documentation, data extracts, sandbox access, permissions, field meanings, and refresh constraints.</w:t>
      </w:r>
    </w:p>
    <w:p>
      <w:pPr>
        <w:pStyle w:val="ListBullet"/>
      </w:pPr>
      <w:r>
        <w:t>Roles may be combined depending on actual team size. Assign named people and confirm capacity before treating dates as commitments.</w:t>
      </w:r>
    </w:p>
    <w:p>
      <w:pPr>
        <w:pStyle w:val="ListBullet"/>
      </w:pPr>
      <w:r>
        <w:t>Recommended cadence: short daily stand-up; weekly working demo; weekly risk/decision review; pull-request review and tests throughout.</w:t>
      </w:r>
    </w:p>
    <w:p>
      <w:pPr>
        <w:pStyle w:val="Heading1"/>
      </w:pPr>
      <w:r>
        <w:t>12. Key risks and mitigations</w:t>
      </w:r>
    </w:p>
    <w:p>
      <w:pPr>
        <w:pStyle w:val="ListBullet"/>
      </w:pPr>
      <w:r>
        <w:t>Delayed client API access — keep CSV/mock data flow working and limit the first connector to one source.</w:t>
      </w:r>
    </w:p>
    <w:p>
      <w:pPr>
        <w:pStyle w:val="ListBullet"/>
      </w:pPr>
      <w:r>
        <w:t>Unapproved EPR rules or missing reference results — treat SME approval as a calculation sign-off dependency; build the engine against explicit specifications.</w:t>
      </w:r>
    </w:p>
    <w:p>
      <w:pPr>
        <w:pStyle w:val="ListBullet"/>
      </w:pPr>
      <w:r>
        <w:t>Inconsistent source data — profile early, document mappings, preserve source values, and flag uncertain conversions rather than guessing.</w:t>
      </w:r>
    </w:p>
    <w:p>
      <w:pPr>
        <w:pStyle w:val="ListBullet"/>
      </w:pPr>
      <w:r>
        <w:t>Unclear MVP boundaries — keep one jurisdiction and the agreed core workflow as the delivery target; put additional modules in the backlog.</w:t>
      </w:r>
    </w:p>
    <w:p>
      <w:pPr>
        <w:pStyle w:val="ListBullet"/>
      </w:pPr>
      <w:r>
        <w:t>Security or tenant-isolation gaps — enforce authorization in the backend and test negative access paths before pilot.</w:t>
      </w:r>
    </w:p>
    <w:p>
      <w:pPr>
        <w:pStyle w:val="ListBullet"/>
      </w:pPr>
      <w:r>
        <w:t>Overlapping work causing integration failures — agree API contracts early, use mock APIs where needed, and integrate continuously.</w:t>
      </w:r>
    </w:p>
    <w:p>
      <w:pPr>
        <w:pStyle w:val="Heading1"/>
      </w:pPr>
      <w:r>
        <w:t>13. Decisions required from the team/client</w:t>
      </w:r>
    </w:p>
    <w:p>
      <w:pPr>
        <w:pStyle w:val="ListBullet"/>
      </w:pPr>
      <w:r>
        <w:t>Which jurisdiction, EPR scheme, and reporting year are first?</w:t>
      </w:r>
    </w:p>
    <w:p>
      <w:pPr>
        <w:pStyle w:val="ListBullet"/>
      </w:pPr>
      <w:r>
        <w:t>Who approves the regulatory interpretation and expected calculation results?</w:t>
      </w:r>
    </w:p>
    <w:p>
      <w:pPr>
        <w:pStyle w:val="ListBullet"/>
      </w:pPr>
      <w:r>
        <w:t>What sample datasets and data dictionary can be shared, and when?</w:t>
      </w:r>
    </w:p>
    <w:p>
      <w:pPr>
        <w:pStyle w:val="ListBullet"/>
      </w:pPr>
      <w:r>
        <w:t>Which source system should be the first integration proof, and what access is available?</w:t>
      </w:r>
    </w:p>
    <w:p>
      <w:pPr>
        <w:pStyle w:val="ListBullet"/>
      </w:pPr>
      <w:r>
        <w:t>What are the required tenant/user roles, identity provider, hosting, data residency, retention, and security standards?</w:t>
      </w:r>
    </w:p>
    <w:p>
      <w:pPr>
        <w:pStyle w:val="ListBullet"/>
      </w:pPr>
      <w:r>
        <w:t>Is the initial MVP strictly read-only to source systems, with no write-back?</w:t>
      </w:r>
    </w:p>
    <w:p>
      <w:pPr>
        <w:pStyle w:val="ListBullet"/>
      </w:pPr>
      <w:r>
        <w:t>What are the must-have demo acceptance criteria versus stretch goals?</w:t>
      </w:r>
    </w:p>
    <w:p>
      <w:pPr>
        <w:pStyle w:val="ListBullet"/>
      </w:pPr>
      <w:r>
        <w:t>Who owns each workstream, and what is each person's weekly availability?</w:t>
      </w:r>
    </w:p>
    <w:p>
      <w:pPr>
        <w:pStyle w:val="Heading1"/>
      </w:pPr>
      <w:r>
        <w:t>14. Success criteria for the initial proof-of-value</w:t>
      </w:r>
    </w:p>
    <w:p>
      <w:pPr>
        <w:pStyle w:val="ListBullet"/>
      </w:pPr>
      <w:r>
        <w:t>A representative data file can be imported and errors are understandable.</w:t>
      </w:r>
    </w:p>
    <w:p>
      <w:pPr>
        <w:pStyle w:val="ListBullet"/>
      </w:pPr>
      <w:r>
        <w:t>Product and packaging records can be viewed through the Angular UI and traced to source data.</w:t>
      </w:r>
    </w:p>
    <w:p>
      <w:pPr>
        <w:pStyle w:val="ListBullet"/>
      </w:pPr>
      <w:r>
        <w:t>Data-quality issues can be created, corrected, reviewed, and audited.</w:t>
      </w:r>
    </w:p>
    <w:p>
      <w:pPr>
        <w:pStyle w:val="ListBullet"/>
      </w:pPr>
      <w:r>
        <w:t>One jurisdiction's EPR calculation runs using approved rules and matches agreed reference cases.</w:t>
      </w:r>
    </w:p>
    <w:p>
      <w:pPr>
        <w:pStyle w:val="ListBullet"/>
      </w:pPr>
      <w:r>
        <w:t>Calculation results show rule version, assumptions, exclusions/warnings, and fee breakdown.</w:t>
      </w:r>
    </w:p>
    <w:p>
      <w:pPr>
        <w:pStyle w:val="ListBullet"/>
      </w:pPr>
      <w:r>
        <w:t>Core API/UI flows have automated test coverage and the staging demo is repeatable.</w:t>
      </w:r>
    </w:p>
    <w:p>
      <w:pPr>
        <w:pStyle w:val="ListBullet"/>
      </w:pPr>
      <w:r>
        <w:t>Stakeholders agree on the remaining gaps and make an informed pilot go/no-go decision.</w:t>
      </w:r>
    </w:p>
    <w:p>
      <w:pPr>
        <w:pStyle w:val="Heading1"/>
      </w:pPr>
      <w:r>
        <w:t>15. Document status</w:t>
      </w:r>
    </w:p>
    <w:p>
      <w:r>
        <w:t>Version 1.0 — 26 October 2026. This is a proposed team-facing product blueprint based on current discussions.</w:t>
      </w:r>
    </w:p>
    <w:p>
      <w:r>
        <w:t>Confirmed direction: shared data foundation; data quality and correction workflow; EPR as initial module; potential future PPWR, DPP and costing modules; parallel delivery and continuous testing.</w:t>
      </w:r>
    </w:p>
    <w:p>
      <w:r>
        <w:t>Still to confirm: final jurisdiction and rules, exact data schema, available source APIs, hosting/identity standards, team capacity, and client acceptance criteria.</w:t>
      </w:r>
    </w:p>
    <w:p>
      <w:r>
        <w:t>Update this document after material decisions. If the document conflicts with a later approved decision, surface the conflict and revise the document rather than silently assuming.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Working baseline — validate open questions before committing scope or dates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MONKSPACES  |  TEAM PRODUCT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37415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