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004B87"/>
          <w:sz w:val="48"/>
        </w:rPr>
        <w:t>High-Level Design (HLD) Document</w:t>
      </w:r>
    </w:p>
    <w:p>
      <w:pPr>
        <w:spacing w:before="0" w:after="240"/>
      </w:pPr>
      <w:r>
        <w:rPr>
          <w:rFonts w:ascii="Calibri" w:hAnsi="Calibri"/>
          <w:i/>
          <w:color w:val="4A5568"/>
          <w:sz w:val="24"/>
        </w:rPr>
        <w:t>Infosys Social Value RFP Response Engine — Production Design Specification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Document Identifier:</w:t>
      </w:r>
      <w:r>
        <w:rPr>
          <w:rFonts w:ascii="Calibri" w:hAnsi="Calibri"/>
          <w:color w:val="1A202C"/>
          <w:sz w:val="20"/>
        </w:rPr>
        <w:t xml:space="preserve"> INFOSYS-SV-HLD-2026-V1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Project Name:</w:t>
      </w:r>
      <w:r>
        <w:rPr>
          <w:rFonts w:ascii="Calibri" w:hAnsi="Calibri"/>
          <w:color w:val="1A202C"/>
          <w:sz w:val="20"/>
        </w:rPr>
        <w:t xml:space="preserve"> Social Value RFP Response Builder POC &amp; Enterprise Platform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System Classification:</w:t>
      </w:r>
      <w:r>
        <w:rPr>
          <w:rFonts w:ascii="Calibri" w:hAnsi="Calibri"/>
          <w:color w:val="1A202C"/>
          <w:sz w:val="20"/>
        </w:rPr>
        <w:t xml:space="preserve"> Confidential — Enterprise Decision-Support Architecture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Document Version:</w:t>
      </w:r>
      <w:r>
        <w:rPr>
          <w:rFonts w:ascii="Calibri" w:hAnsi="Calibri"/>
          <w:color w:val="1A202C"/>
          <w:sz w:val="20"/>
        </w:rPr>
        <w:t xml:space="preserve"> 1.0.0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Target Audience:</w:t>
      </w:r>
      <w:r>
        <w:rPr>
          <w:rFonts w:ascii="Calibri" w:hAnsi="Calibri"/>
          <w:color w:val="1A202C"/>
          <w:sz w:val="20"/>
        </w:rPr>
        <w:t xml:space="preserve"> Chief Technology Officers, Enterprise Architects, Bid Directors, Lead Engineers, Security Compliance Officers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Date of Release:</w:t>
      </w:r>
      <w:r>
        <w:rPr>
          <w:rFonts w:ascii="Calibri" w:hAnsi="Calibri"/>
          <w:color w:val="1A202C"/>
          <w:sz w:val="20"/>
        </w:rPr>
        <w:t xml:space="preserve"> October 2026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Executive Summary &amp; Metadata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8" w:space="0" w:color="D2D6DC"/>
          <w:right w:val="none"/>
          <w:insideH w:val="single" w:sz="4" w:space="0" w:color="D2D6DC"/>
          <w:insideV w:val="none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824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</w:t>
            </w:r>
          </w:p>
        </w:tc>
      </w:tr>
      <w:tr>
        <w:trPr>
          <w:cantSplit/>
        </w:trPr>
        <w:tc>
          <w:tcPr>
            <w:tcW w:type="dxa" w:w="4824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System Name</w:t>
            </w:r>
          </w:p>
        </w:tc>
        <w:tc>
          <w:tcPr>
            <w:tcW w:type="dxa" w:w="4824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Infosys Social Value RFP Response Engine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Primary Domain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UK Public Sector Procurement (PPN 06/20, Social Value Model, National TOMs)</w:t>
            </w:r>
          </w:p>
        </w:tc>
      </w:tr>
      <w:tr>
        <w:trPr>
          <w:cantSplit/>
        </w:trPr>
        <w:tc>
          <w:tcPr>
            <w:tcW w:type="dxa" w:w="4824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Primary Frameworks</w:t>
            </w:r>
          </w:p>
        </w:tc>
        <w:tc>
          <w:tcPr>
            <w:tcW w:type="dxa" w:w="4824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FastAPI 0.110+ (Python 3.12+), React 19 + TypeScript + Vite, PostgreSQL 17 + pgvector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AI Infrastructure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Google Gemini (Gemini 3.8 / 1.5 Flash), OpenAI (GPT-4o-mini), Offline Rule-Based Fallback</w:t>
            </w:r>
          </w:p>
        </w:tc>
      </w:tr>
      <w:tr>
        <w:trPr>
          <w:cantSplit/>
        </w:trPr>
        <w:tc>
          <w:tcPr>
            <w:tcW w:type="dxa" w:w="4824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Security Standards</w:t>
            </w:r>
          </w:p>
        </w:tc>
        <w:tc>
          <w:tcPr>
            <w:tcW w:type="dxa" w:w="4824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JWT (RFC 7519), PBKDF2 Password Hashing, Role-Based Access Control (RBAC), 3-Year Audit Retention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Deployment Options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Multi-Container Docker Compose, Azure Container Apps / App Service, Render + Vercel Cloud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1. Business Context &amp; Strategic Objectives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1.1 UK Public Sector Procurement Regulatory Mandate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 xml:space="preserve">In UK public procurement across Central Government Departments, NHS Trusts, and Local Authorities (e.g., Birmingham City Council, Greater Manchester Combined Authority), tenders are evaluated under </w:t>
      </w:r>
      <w:r>
        <w:rPr>
          <w:rFonts w:ascii="Calibri" w:hAnsi="Calibri"/>
          <w:b/>
          <w:color w:val="1A202C"/>
          <w:sz w:val="20"/>
        </w:rPr>
        <w:t>Procurement Policy Note (PPN) 06/20</w:t>
      </w:r>
      <w:r>
        <w:rPr>
          <w:rFonts w:ascii="Calibri" w:hAnsi="Calibri"/>
          <w:color w:val="1A202C"/>
          <w:sz w:val="20"/>
        </w:rPr>
        <w:t xml:space="preserve"> and the </w:t>
      </w:r>
      <w:r>
        <w:rPr>
          <w:rFonts w:ascii="Calibri" w:hAnsi="Calibri"/>
          <w:b/>
          <w:color w:val="1A202C"/>
          <w:sz w:val="20"/>
        </w:rPr>
        <w:t>Public Services (Social Value) Act 2012</w:t>
      </w:r>
      <w:r>
        <w:rPr>
          <w:rFonts w:ascii="Calibri" w:hAnsi="Calibri"/>
          <w:color w:val="1A202C"/>
          <w:sz w:val="20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 xml:space="preserve">Social Value is not a generic CSR bullet point; it accounts for </w:t>
      </w:r>
      <w:r>
        <w:rPr>
          <w:rFonts w:ascii="Calibri" w:hAnsi="Calibri"/>
          <w:b/>
          <w:color w:val="1A202C"/>
          <w:sz w:val="20"/>
        </w:rPr>
        <w:t>10% to 20% of the total evaluated tender score</w:t>
      </w:r>
      <w:r>
        <w:rPr>
          <w:rFonts w:ascii="Calibri" w:hAnsi="Calibri"/>
          <w:color w:val="1A202C"/>
          <w:sz w:val="20"/>
        </w:rPr>
        <w:t>. Multi-million-pound contract awards frequently hinge upon the quality, credibility, and auditable financial commitment of the Social Value proposition.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Typical UK Public Sector Tender Scoring Model:</w:t>
              <w:br/>
              <w:t>┌──────────────────────────────┬──────────────────────────────┬──────────────────────────────┐</w:t>
              <w:br/>
              <w:t>│     Commercial / Price       │     Technical / Delivery     │        Social Value          │</w:t>
              <w:br/>
              <w:t>│            40%               │            45%               │          10% - 15%           │</w:t>
              <w:br/>
              <w:t>└──────────────────────────────┴──────────────────────────────┴──────────────────────────────┘</w:t>
              <w:br/>
              <w:t xml:space="preserve">                                                               ▲</w:t>
              <w:br/>
              <w:t xml:space="preserve">                                               Determines Winning Tenderer</w:t>
            </w:r>
          </w:p>
        </w:tc>
      </w:tr>
    </w:tbl>
    <w:p>
      <w:pPr>
        <w:spacing w:after="120"/>
      </w:pP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1.2 Enterprise Pain Points Addressed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Fragmented Evidence Repository</w:t>
      </w:r>
      <w:r>
        <w:rPr>
          <w:rFonts w:ascii="Calibri" w:hAnsi="Calibri"/>
          <w:color w:val="1A202C"/>
          <w:sz w:val="20"/>
        </w:rPr>
        <w:t>: Bid teams spend 40–80 hours per bid manually searching unindexed shared drives, past tender submissions, and CSR brochures.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Generative AI Hallucination &amp; Financial Liability</w:t>
      </w:r>
      <w:r>
        <w:rPr>
          <w:rFonts w:ascii="Calibri" w:hAnsi="Calibri"/>
          <w:color w:val="1A202C"/>
          <w:sz w:val="20"/>
        </w:rPr>
        <w:t>: Standard LLMs fabricate metrics, invent non-existent charities, and commit companies to impossible numerical deliverables. In public tenders, submitted figures become contractually binding Key Performance Indicators (KPIs).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Localisation Deficit</w:t>
      </w:r>
      <w:r>
        <w:rPr>
          <w:rFonts w:ascii="Calibri" w:hAnsi="Calibri"/>
          <w:color w:val="1A202C"/>
          <w:sz w:val="20"/>
        </w:rPr>
        <w:t>: Local councils strictly penalize generic national initiatives. Bids require ward-level alignment, local college partnerships, and targeted demographic interventions.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1.3 Key Architectural Objectives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Zero Arithmetic Hallucination</w:t>
      </w:r>
      <w:r>
        <w:rPr>
          <w:rFonts w:ascii="Calibri" w:hAnsi="Calibri"/>
          <w:color w:val="1A202C"/>
          <w:sz w:val="20"/>
        </w:rPr>
        <w:t>: Strict separation of AI narrative reasoning from deterministic financial mathematics.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Evidence-Grounded RAG (Retrieval-Augmented Generation)</w:t>
      </w:r>
      <w:r>
        <w:rPr>
          <w:rFonts w:ascii="Calibri" w:hAnsi="Calibri"/>
          <w:color w:val="1A202C"/>
          <w:sz w:val="20"/>
        </w:rPr>
        <w:t>: 100% of generated commitments trace directly back to verified past delivery records and certified rate cards.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Sub-Second Knowledge Retrieval</w:t>
      </w:r>
      <w:r>
        <w:rPr>
          <w:rFonts w:ascii="Calibri" w:hAnsi="Calibri"/>
          <w:color w:val="1A202C"/>
          <w:sz w:val="20"/>
        </w:rPr>
        <w:t xml:space="preserve">: Vector similarity matching across tens of thousands of chunks via </w:t>
      </w:r>
      <w:r>
        <w:rPr>
          <w:rFonts w:ascii="Consolas" w:hAnsi="Consolas"/>
          <w:color w:val="801F48"/>
          <w:sz w:val="18"/>
        </w:rPr>
        <w:t>pgvector</w:t>
      </w:r>
      <w:r>
        <w:rPr>
          <w:rFonts w:ascii="Calibri" w:hAnsi="Calibri"/>
          <w:color w:val="1A202C"/>
          <w:sz w:val="20"/>
        </w:rPr>
        <w:t xml:space="preserve"> indexing.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Enterprise Governance &amp; Auditability</w:t>
      </w:r>
      <w:r>
        <w:rPr>
          <w:rFonts w:ascii="Calibri" w:hAnsi="Calibri"/>
          <w:color w:val="1A202C"/>
          <w:sz w:val="20"/>
        </w:rPr>
        <w:t>: Complete audit logs retained for 3 years (1,095 days) to comply with statutory procurement scrutiny.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2. Architectural Principles &amp; Guiding Tenets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mindmap</w:t>
              <w:br/>
              <w:t xml:space="preserve">  root((Core Design Tenets))</w:t>
              <w:br/>
              <w:t xml:space="preserve">    Deterministic Math</w:t>
              <w:br/>
              <w:t xml:space="preserve">      No LLM arithmetic</w:t>
              <w:br/>
              <w:t xml:space="preserve">      Formulaic audit trail</w:t>
              <w:br/>
              <w:t xml:space="preserve">      Fixed National TOMs rates</w:t>
              <w:br/>
              <w:t xml:space="preserve">    Grounded Truth</w:t>
              <w:br/>
              <w:t xml:space="preserve">      pgvector semantic search</w:t>
              <w:br/>
              <w:t xml:space="preserve">      Source document citations</w:t>
              <w:br/>
              <w:t xml:space="preserve">      Similarity distance scoring</w:t>
              <w:br/>
              <w:t xml:space="preserve">    Resilience &amp; Portability</w:t>
              <w:br/>
              <w:t xml:space="preserve">      Multi-provider LLM support</w:t>
              <w:br/>
              <w:t xml:space="preserve">      Deterministic offline fallback</w:t>
              <w:br/>
              <w:t xml:space="preserve">      PostgreSQL standard DDL</w:t>
              <w:br/>
              <w:t xml:space="preserve">    Statutory Governance</w:t>
              <w:br/>
              <w:t xml:space="preserve">      JWT RBAC authorization</w:t>
              <w:br/>
              <w:t xml:space="preserve">      3-year audit log retention</w:t>
              <w:br/>
              <w:t xml:space="preserve">      Session state permanence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Deterministic Calculation Decoupling</w:t>
      </w:r>
      <w:r>
        <w:rPr>
          <w:rFonts w:ascii="Calibri" w:hAnsi="Calibri"/>
          <w:color w:val="1A202C"/>
          <w:sz w:val="20"/>
        </w:rPr>
        <w:t>: Large Language Models structure initiatives, narrative text, and operational scopes. Mathematical multiplication (</w:t>
      </w:r>
      <w:r>
        <w:rPr>
          <w:rFonts w:ascii="Consolas" w:hAnsi="Consolas"/>
          <w:color w:val="801F48"/>
          <w:sz w:val="18"/>
        </w:rPr>
        <w:t>Annual Volume × Contract Duration × Proxy Unit Value</w:t>
      </w:r>
      <w:r>
        <w:rPr>
          <w:rFonts w:ascii="Calibri" w:hAnsi="Calibri"/>
          <w:color w:val="1A202C"/>
          <w:sz w:val="20"/>
        </w:rPr>
        <w:t>) is strictly executed by Python's deterministic runtime.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Multi-Tier Package Formulation</w:t>
      </w:r>
      <w:r>
        <w:rPr>
          <w:rFonts w:ascii="Calibri" w:hAnsi="Calibri"/>
          <w:color w:val="1A202C"/>
          <w:sz w:val="20"/>
        </w:rPr>
        <w:t>: Every RFP query automatically synthesizes three distinct delivery tiers: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Core Package</w:t>
      </w:r>
      <w:r>
        <w:rPr>
          <w:rFonts w:ascii="Calibri" w:hAnsi="Calibri"/>
          <w:color w:val="1A202C"/>
          <w:sz w:val="20"/>
        </w:rPr>
        <w:t>: Baseline contractual obligations, proven delivery, lowest risk.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Enhanced Package</w:t>
      </w:r>
      <w:r>
        <w:rPr>
          <w:rFonts w:ascii="Calibri" w:hAnsi="Calibri"/>
          <w:color w:val="1A202C"/>
          <w:sz w:val="20"/>
        </w:rPr>
        <w:t>: High-impact, elevated initiatives exceeding target Social Value weighting.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Localised Package</w:t>
      </w:r>
      <w:r>
        <w:rPr>
          <w:rFonts w:ascii="Calibri" w:hAnsi="Calibri"/>
          <w:color w:val="1A202C"/>
          <w:sz w:val="20"/>
        </w:rPr>
        <w:t>: Deep geographic alignment featuring local colleges, charities, and targeted demographics.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Resilient Multi-Provider Strategy</w:t>
      </w:r>
      <w:r>
        <w:rPr>
          <w:rFonts w:ascii="Calibri" w:hAnsi="Calibri"/>
          <w:color w:val="1A202C"/>
          <w:sz w:val="20"/>
        </w:rPr>
        <w:t>: Seamless auto-fallback across Google Gemini, OpenAI, and a self-contained offline rule-based heuristic engine when network or API quotas fail.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Permanent Knowledge Indexing</w:t>
      </w:r>
      <w:r>
        <w:rPr>
          <w:rFonts w:ascii="Calibri" w:hAnsi="Calibri"/>
          <w:color w:val="1A202C"/>
          <w:sz w:val="20"/>
        </w:rPr>
        <w:t>: Uploaded knowledge bases are persistently vectorized into PostgreSQL. No redundant re-indexing is required between system reboots or deployment updates.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3. System Context &amp; Stakeholder Boundaries (C4 Level 1)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The following diagram illustrates the external actors, third-party AI services, and boundary interfaces surrounding the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flowchart TD</w:t>
              <w:br/>
              <w:t xml:space="preserve">    subgraph STAKEHOLDERS["Enterprise Stakeholders"]</w:t>
              <w:br/>
              <w:t xml:space="preserve">        BA["Bid Author / Proposal Manager&lt;br/&gt;(Creates &amp; tunes bids)"]</w:t>
              <w:br/>
              <w:t xml:space="preserve">        REV["Commercial Reviewer&lt;br/&gt;(Audits financial commitments)"]</w:t>
              <w:br/>
              <w:t xml:space="preserve">        ADMIN["Superadmin / System Admin&lt;br/&gt;(Manages documents &amp; users)"]</w:t>
              <w:br/>
              <w:t xml:space="preserve">    end</w:t>
              <w:br/>
              <w:br/>
              <w:t xml:space="preserve">    subgraph SYSTEM["Infosys Social Value RFP Response Platform"]</w:t>
              <w:br/>
              <w:t xml:space="preserve">        APP["Social Value Response Engine&lt;br/&gt;FastAPI Core + React UI"]</w:t>
              <w:br/>
              <w:t xml:space="preserve">    end</w:t>
              <w:br/>
              <w:br/>
              <w:t xml:space="preserve">    subgraph EXT_SERVICES["External Services &amp; Upstreams"]</w:t>
              <w:br/>
              <w:t xml:space="preserve">        GEMINI["Google Gemini API&lt;br/&gt;(Embeddings &amp; Generation)"]</w:t>
              <w:br/>
              <w:t xml:space="preserve">        OPENAI["OpenAI API&lt;br/&gt;(GPT-4o-mini &amp; Text-Embedding-3)"]</w:t>
              <w:br/>
              <w:t xml:space="preserve">        CLIENT_PORTAL["UK Public Sector Tender Portals&lt;br/&gt;(Find a Tender / Contracts Finder)"]</w:t>
              <w:br/>
              <w:t xml:space="preserve">    end</w:t>
              <w:br/>
              <w:br/>
              <w:t xml:space="preserve">    BA --&gt;|Submits tender prompts &amp; refines bids| APP</w:t>
              <w:br/>
              <w:t xml:space="preserve">    REV --&gt;|Audits TOMs math &amp; reviews packages| APP</w:t>
              <w:br/>
              <w:t xml:space="preserve">    ADMIN --&gt;|Ingests corporate docs &amp; user roles| APP</w:t>
              <w:br/>
              <w:br/>
              <w:t xml:space="preserve">    APP --&gt;|Vector embedding &amp; generative prompts| GEMINI</w:t>
              <w:br/>
              <w:t xml:space="preserve">    APP --&gt;|Fallback embedding &amp; LLM completion| OPENAI</w:t>
              <w:br/>
              <w:t xml:space="preserve">    BA -.-&gt;|Exports compliance packages to| CLIENT_PORTAL</w:t>
              <w:br/>
              <w:br/>
              <w:t xml:space="preserve">    style SYSTEM fill:#f0f7ff,stroke:#0066cc,stroke-width:2px</w:t>
              <w:br/>
              <w:t xml:space="preserve">    style STAKEHOLDERS fill:#f6f8fa,stroke:#24292f,stroke-width:1px</w:t>
              <w:br/>
              <w:t xml:space="preserve">    style EXT_SERVICES fill:#fff8f0,stroke:#d97706,stroke-width:1px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4. Container Architecture (C4 Level 2)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The system is decomposed into three primary runtime containers: the Single Page Application (SPA), the Application Backend (FastAPI ASGI), and the Persistent Relational Vector Database (PostgreSQL + pgvector).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flowchart TB</w:t>
              <w:br/>
              <w:t xml:space="preserve">    subgraph CLIENT["Presentation Layer (Client Browser)"]</w:t>
              <w:br/>
              <w:t xml:space="preserve">        SPA["React 19 + TypeScript SPA&lt;br/&gt;Vite 8 • CSS Design Tokens&lt;br/&gt;Port: 5173 / 443"]</w:t>
              <w:br/>
              <w:t xml:space="preserve">    end</w:t>
              <w:br/>
              <w:br/>
              <w:t xml:space="preserve">    subgraph BACKEND["Application Layer (FastAPI ASGI Server)"]</w:t>
              <w:br/>
              <w:t xml:space="preserve">        API["FastAPI 0.110 Gateway&lt;br/&gt;Uvicorn ASGI Runtime&lt;br/&gt;Port: 8000"]</w:t>
              <w:br/>
              <w:t xml:space="preserve">        </w:t>
              <w:br/>
              <w:t xml:space="preserve">        AUTH_MOD["Auth &amp; RBAC Module&lt;br/&gt;(JWT HS256 / PBKDF2)"]</w:t>
              <w:br/>
              <w:t xml:space="preserve">        DOC_MOD["Document Ingestion &amp; Chunking&lt;br/&gt;(PyMuPDF, docx, openpyxl)"]</w:t>
              <w:br/>
              <w:t xml:space="preserve">        RAG_MOD["RAG Orchestrator &amp; Multi-Turn Tuning&lt;br/&gt;(Prompt Interpreter + Context Formulator)"]</w:t>
              <w:br/>
              <w:t xml:space="preserve">        MATH_MOD["Deterministic TOMs Math Engine&lt;br/&gt;(Calculation Service)"]</w:t>
              <w:br/>
              <w:t xml:space="preserve">        AUDIT_MOD["Enterprise Audit Subsystem&lt;br/&gt;(Request Tracker &amp; Statutory Retention)"]</w:t>
              <w:br/>
              <w:t xml:space="preserve">        </w:t>
              <w:br/>
              <w:t xml:space="preserve">        API --&gt; AUTH_MOD</w:t>
              <w:br/>
              <w:t xml:space="preserve">        API --&gt; DOC_MOD</w:t>
              <w:br/>
              <w:t xml:space="preserve">        API --&gt; RAG_MOD</w:t>
              <w:br/>
              <w:t xml:space="preserve">        API --&gt; MATH_MOD</w:t>
              <w:br/>
              <w:t xml:space="preserve">        API --&gt; AUDIT_MOD</w:t>
              <w:br/>
              <w:t xml:space="preserve">    end</w:t>
              <w:br/>
              <w:br/>
              <w:t xml:space="preserve">    subgraph DATA["Data &amp; Persistence Layer"]</w:t>
              <w:br/>
              <w:t xml:space="preserve">        PG[("PostgreSQL 17 Database&lt;br/&gt;with pgvector Extension&lt;br/&gt;Port: 5434 / 5432")]</w:t>
              <w:br/>
              <w:t xml:space="preserve">        TABLES["Relational Tables:&lt;br/&gt;• users&lt;br/&gt;• documents&lt;br/&gt;• document_chunks (1536d vectors)&lt;br/&gt;• prompt_history&lt;br/&gt;• system_audit_logs"]</w:t>
              <w:br/>
              <w:t xml:space="preserve">        PG --- TABLES</w:t>
              <w:br/>
              <w:t xml:space="preserve">    end</w:t>
              <w:br/>
              <w:br/>
              <w:t xml:space="preserve">    subgraph AI_CLOUD["Third-Party AI Gateways"]</w:t>
              <w:br/>
              <w:t xml:space="preserve">        AI_GATEWAY{"AI Provider Strategy&lt;br/&gt;(Auto Detection)"}</w:t>
              <w:br/>
              <w:t xml:space="preserve">        G_API["Google Gemini 3.8 / 1.5"]</w:t>
              <w:br/>
              <w:t xml:space="preserve">        O_API["OpenAI GPT-4o-mini"]</w:t>
              <w:br/>
              <w:t xml:space="preserve">        OFF_ENG["Offline Rule-Based Synthesizer"]</w:t>
              <w:br/>
              <w:t xml:space="preserve">        </w:t>
              <w:br/>
              <w:t xml:space="preserve">        AI_GATEWAY --&gt;|Default / Primary| G_API</w:t>
              <w:br/>
              <w:t xml:space="preserve">        AI_GATEWAY --&gt;|Secondary Fallback| O_API</w:t>
              <w:br/>
              <w:t xml:space="preserve">        AI_GATEWAY --&gt;|Air-Gapped / Outage| OFF_ENG</w:t>
              <w:br/>
              <w:t xml:space="preserve">    end</w:t>
              <w:br/>
              <w:br/>
              <w:t xml:space="preserve">    SPA --&gt;|HTTPS / JSON REST API&lt;br/&gt;Bearer JWT Auth| API</w:t>
              <w:br/>
              <w:t xml:space="preserve">    DOC_MOD --&gt;|Generates 1536-dim embeddings| AI_GATEWAY</w:t>
              <w:br/>
              <w:t xml:space="preserve">    RAG_MOD --&gt;|Generates structured proposal JSON| AI_GATEWAY</w:t>
              <w:br/>
              <w:t xml:space="preserve">    RAG_MOD --&gt;|Formulates &amp; sends initiatives| MATH_MOD</w:t>
              <w:br/>
              <w:t xml:space="preserve">    MATH_MOD --&gt;|Returns audited totals| RAG_MOD</w:t>
              <w:br/>
              <w:t xml:space="preserve">    </w:t>
              <w:br/>
              <w:t xml:space="preserve">    DOC_MOD --&gt;|Stores metadata &amp; vectors| PG</w:t>
              <w:br/>
              <w:t xml:space="preserve">    RAG_MOD --&gt;|Cosine similarity search &lt;= &gt;| PG</w:t>
              <w:br/>
              <w:t xml:space="preserve">    AUTH_MOD --&gt;|Validates credentials &amp; roles| PG</w:t>
              <w:br/>
              <w:t xml:space="preserve">    AUDIT_MOD --&gt;|Persists 3-year audit events| PG</w:t>
              <w:br/>
              <w:br/>
              <w:t xml:space="preserve">    style CLIENT fill:#e0f2fe,stroke:#0284c7,stroke-width:2px</w:t>
              <w:br/>
              <w:t xml:space="preserve">    style BACKEND fill:#f0fdf4,stroke:#16a34a,stroke-width:2px</w:t>
              <w:br/>
              <w:t xml:space="preserve">    style DATA fill:#fef3c7,stroke:#d97706,stroke-width:2px</w:t>
              <w:br/>
              <w:t xml:space="preserve">    style AI_CLOUD fill:#fdf2f8,stroke:#db2777,stroke-width:2px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5. Core Subsystem Decomposition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5.1 Document Ingestion &amp; Parsing Subsystem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Purpose</w:t>
      </w:r>
      <w:r>
        <w:rPr>
          <w:rFonts w:ascii="Calibri" w:hAnsi="Calibri"/>
          <w:color w:val="1A202C"/>
          <w:sz w:val="20"/>
        </w:rPr>
        <w:t>: Ingest heterogeneous organizational knowledge assets (past winning bids, CSR annual reviews, TOMs unit rate schedules, partnership MOUs).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Supported Formats</w:t>
      </w:r>
      <w:r>
        <w:rPr>
          <w:rFonts w:ascii="Calibri" w:hAnsi="Calibri"/>
          <w:color w:val="1A202C"/>
          <w:sz w:val="20"/>
        </w:rPr>
        <w:t xml:space="preserve">: </w:t>
      </w:r>
      <w:r>
        <w:rPr>
          <w:rFonts w:ascii="Consolas" w:hAnsi="Consolas"/>
          <w:color w:val="801F48"/>
          <w:sz w:val="18"/>
        </w:rPr>
        <w:t>.pdf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.docx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.xlsx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.txt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.md</w:t>
      </w:r>
      <w:r>
        <w:rPr>
          <w:rFonts w:ascii="Calibri" w:hAnsi="Calibri"/>
          <w:color w:val="1A202C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Parsing Engines</w:t>
      </w:r>
      <w:r>
        <w:rPr>
          <w:rFonts w:ascii="Calibri" w:hAnsi="Calibri"/>
          <w:color w:val="1A202C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PyMuPDF</w:t>
      </w:r>
      <w:r>
        <w:rPr>
          <w:rFonts w:ascii="Calibri" w:hAnsi="Calibri"/>
          <w:color w:val="1A202C"/>
          <w:sz w:val="20"/>
        </w:rPr>
        <w:t xml:space="preserve"> (</w:t>
      </w:r>
      <w:r>
        <w:rPr>
          <w:rFonts w:ascii="Consolas" w:hAnsi="Consolas"/>
          <w:color w:val="801F48"/>
          <w:sz w:val="18"/>
        </w:rPr>
        <w:t>fitz</w:t>
      </w:r>
      <w:r>
        <w:rPr>
          <w:rFonts w:ascii="Calibri" w:hAnsi="Calibri"/>
          <w:color w:val="1A202C"/>
          <w:sz w:val="20"/>
        </w:rPr>
        <w:t>): High-speed PDF text, page coordinate, and table stream extraction.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python-docx</w:t>
      </w:r>
      <w:r>
        <w:rPr>
          <w:rFonts w:ascii="Calibri" w:hAnsi="Calibri"/>
          <w:color w:val="1A202C"/>
          <w:sz w:val="20"/>
        </w:rPr>
        <w:t>: Heading hierarchy, body paragraphs, and structured table reading.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openpyxl</w:t>
      </w:r>
      <w:r>
        <w:rPr>
          <w:rFonts w:ascii="Calibri" w:hAnsi="Calibri"/>
          <w:color w:val="1A202C"/>
          <w:sz w:val="20"/>
        </w:rPr>
        <w:t>: Numerical rate cards, unit descriptions, and proxy metrics.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Chunking Pipeline</w:t>
      </w:r>
      <w:r>
        <w:rPr>
          <w:rFonts w:ascii="Calibri" w:hAnsi="Calibri"/>
          <w:color w:val="1A202C"/>
          <w:sz w:val="20"/>
        </w:rPr>
        <w:t>: Sliding window semantic chunking (~800 characters with 150-character overlap) ensuring semantic continuity across chunk boundaries.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5.2 Embedding &amp; Semantic Search Subsystem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Vector Space</w:t>
      </w:r>
      <w:r>
        <w:rPr>
          <w:rFonts w:ascii="Calibri" w:hAnsi="Calibri"/>
          <w:color w:val="1A202C"/>
          <w:sz w:val="20"/>
        </w:rPr>
        <w:t>: 1,536-dimensional normalized hypersphere.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Storage</w:t>
      </w:r>
      <w:r>
        <w:rPr>
          <w:rFonts w:ascii="Calibri" w:hAnsi="Calibri"/>
          <w:color w:val="1A202C"/>
          <w:sz w:val="20"/>
        </w:rPr>
        <w:t xml:space="preserve">: PostgreSQL </w:t>
      </w:r>
      <w:r>
        <w:rPr>
          <w:rFonts w:ascii="Consolas" w:hAnsi="Consolas"/>
          <w:color w:val="801F48"/>
          <w:sz w:val="18"/>
        </w:rPr>
        <w:t>vector(1536)</w:t>
      </w:r>
      <w:r>
        <w:rPr>
          <w:rFonts w:ascii="Calibri" w:hAnsi="Calibri"/>
          <w:color w:val="1A202C"/>
          <w:sz w:val="20"/>
        </w:rPr>
        <w:t xml:space="preserve"> column managed via </w:t>
      </w:r>
      <w:r>
        <w:rPr>
          <w:rFonts w:ascii="Consolas" w:hAnsi="Consolas"/>
          <w:color w:val="801F48"/>
          <w:sz w:val="18"/>
        </w:rPr>
        <w:t>pgvector.sqlalchemy</w:t>
      </w:r>
      <w:r>
        <w:rPr>
          <w:rFonts w:ascii="Calibri" w:hAnsi="Calibri"/>
          <w:color w:val="1A202C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Indexing &amp; Distance Operator</w:t>
      </w:r>
      <w:r>
        <w:rPr>
          <w:rFonts w:ascii="Calibri" w:hAnsi="Calibri"/>
          <w:color w:val="1A202C"/>
          <w:sz w:val="20"/>
        </w:rPr>
        <w:t>: Cosine distance operator (</w:t>
      </w:r>
      <w:r>
        <w:rPr>
          <w:rFonts w:ascii="Consolas" w:hAnsi="Consolas"/>
          <w:color w:val="801F48"/>
          <w:sz w:val="18"/>
        </w:rPr>
        <w:t>&lt;=&gt;</w:t>
      </w:r>
      <w:r>
        <w:rPr>
          <w:rFonts w:ascii="Calibri" w:hAnsi="Calibri"/>
          <w:color w:val="1A202C"/>
          <w:sz w:val="20"/>
        </w:rPr>
        <w:t>) evaluating angular similarity: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$$\text{Cosine Similarity}(u, v) = 1 - \frac{u \cdot v}{\|u\|_2 \|v\|_2}$$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Query Optimization</w:t>
      </w:r>
      <w:r>
        <w:rPr>
          <w:rFonts w:ascii="Calibri" w:hAnsi="Calibri"/>
          <w:color w:val="1A202C"/>
          <w:sz w:val="20"/>
        </w:rPr>
        <w:t>: Pre-filtering by archival status (</w:t>
      </w:r>
      <w:r>
        <w:rPr>
          <w:rFonts w:ascii="Consolas" w:hAnsi="Consolas"/>
          <w:color w:val="801F48"/>
          <w:sz w:val="18"/>
        </w:rPr>
        <w:t>is_archived = false</w:t>
      </w:r>
      <w:r>
        <w:rPr>
          <w:rFonts w:ascii="Calibri" w:hAnsi="Calibri"/>
          <w:color w:val="1A202C"/>
          <w:sz w:val="20"/>
        </w:rPr>
        <w:t>) and candidate scoring threshold ($\ge 0.70$).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5.3 Prompt Interpreter &amp; Multi-Turn Tuning Subsystem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Natural Language Intent Recognition</w:t>
      </w:r>
      <w:r>
        <w:rPr>
          <w:rFonts w:ascii="Calibri" w:hAnsi="Calibri"/>
          <w:color w:val="1A202C"/>
          <w:sz w:val="20"/>
        </w:rPr>
        <w:t>: Analyzes arbitrary user inputs to distinguish between valid RFP tender specifications and non-RFP conversational dialogue.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Entity &amp; Parameter Extraction</w:t>
      </w:r>
      <w:r>
        <w:rPr>
          <w:rFonts w:ascii="Calibri" w:hAnsi="Calibri"/>
          <w:color w:val="1A202C"/>
          <w:sz w:val="20"/>
        </w:rPr>
        <w:t>: Automatically parses: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>Client Entity (e.g., "Birmingham City Council")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>Geographic Scope (e.g., "Birmingham, West Midlands")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>Contract Value (e.g., "£10,000,000")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>Contract Duration (e.g., "3 Years")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>Social Value Target Weighting (e.g., "10%")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A202C"/>
          <w:sz w:val="20"/>
        </w:rPr>
        <w:t xml:space="preserve">Focal Priority Themes (e.g., </w:t>
      </w:r>
      <w:r>
        <w:rPr>
          <w:rFonts w:ascii="Consolas" w:hAnsi="Consolas"/>
          <w:color w:val="801F48"/>
          <w:sz w:val="18"/>
        </w:rPr>
        <w:t>["digital inclusion", "youth employment"]</w:t>
      </w:r>
      <w:r>
        <w:rPr>
          <w:rFonts w:ascii="Calibri" w:hAnsi="Calibri"/>
          <w:color w:val="1A202C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Multi-Turn Context State</w:t>
      </w:r>
      <w:r>
        <w:rPr>
          <w:rFonts w:ascii="Calibri" w:hAnsi="Calibri"/>
          <w:color w:val="1A202C"/>
          <w:sz w:val="20"/>
        </w:rPr>
        <w:t xml:space="preserve">: Persists conversation session threads in </w:t>
      </w:r>
      <w:r>
        <w:rPr>
          <w:rFonts w:ascii="Consolas" w:hAnsi="Consolas"/>
          <w:color w:val="801F48"/>
          <w:sz w:val="18"/>
        </w:rPr>
        <w:t>prompt_history</w:t>
      </w:r>
      <w:r>
        <w:rPr>
          <w:rFonts w:ascii="Calibri" w:hAnsi="Calibri"/>
          <w:color w:val="1A202C"/>
          <w:sz w:val="20"/>
        </w:rPr>
        <w:t xml:space="preserve"> with parent-child pointers (</w:t>
      </w:r>
      <w:r>
        <w:rPr>
          <w:rFonts w:ascii="Consolas" w:hAnsi="Consolas"/>
          <w:color w:val="801F48"/>
          <w:sz w:val="18"/>
        </w:rPr>
        <w:t>turn_index</w:t>
      </w:r>
      <w:r>
        <w:rPr>
          <w:rFonts w:ascii="Calibri" w:hAnsi="Calibri"/>
          <w:color w:val="1A202C"/>
          <w:sz w:val="20"/>
        </w:rPr>
        <w:t xml:space="preserve">, </w:t>
      </w:r>
      <w:r>
        <w:rPr>
          <w:rFonts w:ascii="Consolas" w:hAnsi="Consolas"/>
          <w:color w:val="801F48"/>
          <w:sz w:val="18"/>
        </w:rPr>
        <w:t>parent_prompt_id</w:t>
      </w:r>
      <w:r>
        <w:rPr>
          <w:rFonts w:ascii="Calibri" w:hAnsi="Calibri"/>
          <w:color w:val="1A202C"/>
          <w:sz w:val="20"/>
        </w:rPr>
        <w:t>) allowing incremental refinement prompts without loss of prior constraints.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5.4 Deterministic TOMs Calculation &amp; Auditing Subsystem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Regulatory Framework</w:t>
      </w:r>
      <w:r>
        <w:rPr>
          <w:rFonts w:ascii="Calibri" w:hAnsi="Calibri"/>
          <w:color w:val="1A202C"/>
          <w:sz w:val="20"/>
        </w:rPr>
        <w:t>: National TOMs (Themes, Outcomes, and Measures) Framework.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Mathematical Invariant</w:t>
      </w:r>
      <w:r>
        <w:rPr>
          <w:rFonts w:ascii="Calibri" w:hAnsi="Calibri"/>
          <w:color w:val="1A202C"/>
          <w:sz w:val="20"/>
        </w:rPr>
        <w:t>: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$$\text{Initiative Social Value (\pounds)} = \text{Annual Volume} \times \text{Duration (Years)} \times \text{Proxy Unit Value (\pounds)}$$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Package Aggregation &amp; Compliance Scoring</w:t>
      </w:r>
      <w:r>
        <w:rPr>
          <w:rFonts w:ascii="Calibri" w:hAnsi="Calibri"/>
          <w:color w:val="1A202C"/>
          <w:sz w:val="20"/>
        </w:rPr>
        <w:t>: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$$\text{Total Package SV (\pounds)} = \sum_{i=1}^{N} \text{Initiative SV}_i$$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$$\text{Achieved SV Percentage (\%)} = \left( \frac{\text{Total Package SV}}{\text{Contract Value}} \right) \times 100$$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>$$\text{Target Deficit / Surplus (\pounds)} = \text{Total Package SV} - (\text{Contract Value} \times \text{Target \%})$$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Audit Verification</w:t>
      </w:r>
      <w:r>
        <w:rPr>
          <w:rFonts w:ascii="Calibri" w:hAnsi="Calibri"/>
          <w:color w:val="1A202C"/>
          <w:sz w:val="20"/>
        </w:rPr>
        <w:t xml:space="preserve">: Every numerical line item generates an immutable audit trace string (e.g., </w:t>
      </w:r>
      <w:r>
        <w:rPr>
          <w:rFonts w:ascii="Consolas" w:hAnsi="Consolas"/>
          <w:color w:val="801F48"/>
          <w:sz w:val="18"/>
        </w:rPr>
        <w:t>[NT8] Digital Inclusion Workshops: 12.0 workshops/yr × 3 yrs = 36.0 workshops @ £1,250.00 = £45,000.00</w:t>
      </w:r>
      <w:r>
        <w:rPr>
          <w:rFonts w:ascii="Calibri" w:hAnsi="Calibri"/>
          <w:color w:val="1A202C"/>
          <w:sz w:val="20"/>
        </w:rPr>
        <w:t>).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5.5 Authentication, RBAC &amp; Enterprise Security Subsystem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Authentication Protocol</w:t>
      </w:r>
      <w:r>
        <w:rPr>
          <w:rFonts w:ascii="Calibri" w:hAnsi="Calibri"/>
          <w:color w:val="1A202C"/>
          <w:sz w:val="20"/>
        </w:rPr>
        <w:t>: RFC 7519 JSON Web Tokens (JWT) signed using HMAC-SHA256 (</w:t>
      </w:r>
      <w:r>
        <w:rPr>
          <w:rFonts w:ascii="Consolas" w:hAnsi="Consolas"/>
          <w:color w:val="801F48"/>
          <w:sz w:val="18"/>
        </w:rPr>
        <w:t>HS256</w:t>
      </w:r>
      <w:r>
        <w:rPr>
          <w:rFonts w:ascii="Calibri" w:hAnsi="Calibri"/>
          <w:color w:val="1A202C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Password Protection</w:t>
      </w:r>
      <w:r>
        <w:rPr>
          <w:rFonts w:ascii="Calibri" w:hAnsi="Calibri"/>
          <w:color w:val="1A202C"/>
          <w:sz w:val="20"/>
        </w:rPr>
        <w:t>: PBKDF2 with SHA-256 (310,000 iterations and 16-byte random cryptographic salt).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Role-Based Access Control (RBAC)</w:t>
      </w:r>
      <w:r>
        <w:rPr>
          <w:rFonts w:ascii="Calibri" w:hAnsi="Calibri"/>
          <w:color w:val="1A202C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superadmin</w:t>
      </w:r>
      <w:r>
        <w:rPr>
          <w:rFonts w:ascii="Calibri" w:hAnsi="Calibri"/>
          <w:color w:val="1A202C"/>
          <w:sz w:val="20"/>
        </w:rPr>
        <w:t>: Unrestricted access — document ingestion, archive/delete, user provisioning, audit inspection, statutory log purge.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bid_author</w:t>
      </w:r>
      <w:r>
        <w:rPr>
          <w:rFonts w:ascii="Calibri" w:hAnsi="Calibri"/>
          <w:color w:val="1A202C"/>
          <w:sz w:val="20"/>
        </w:rPr>
        <w:t>: Prompt engineering, proposal formulation, multi-turn refinement, report export.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801F48"/>
          <w:sz w:val="18"/>
        </w:rPr>
        <w:t>reviewer</w:t>
      </w:r>
      <w:r>
        <w:rPr>
          <w:rFonts w:ascii="Calibri" w:hAnsi="Calibri"/>
          <w:color w:val="1A202C"/>
          <w:sz w:val="20"/>
        </w:rPr>
        <w:t>: Read-only audit verification, financial gap inspection, compliance scoring.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5.6 Enterprise Audit &amp; Statutory Compliance Subsystem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Compliance Requirement</w:t>
      </w:r>
      <w:r>
        <w:rPr>
          <w:rFonts w:ascii="Calibri" w:hAnsi="Calibri"/>
          <w:color w:val="1A202C"/>
          <w:sz w:val="20"/>
        </w:rPr>
        <w:t>: Public Contracts Regulations 2015 and PPN 06/20 require a verifiable 3-year audit trail for public procurement submissions.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Data Logged</w:t>
      </w:r>
      <w:r>
        <w:rPr>
          <w:rFonts w:ascii="Calibri" w:hAnsi="Calibri"/>
          <w:color w:val="1A202C"/>
          <w:sz w:val="20"/>
        </w:rPr>
        <w:t>: Request IDs, execution timestamp, client IP, endpoint route, HTTP status code, millisecond processing latency, error stacks, and parameter snapshots.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Statutory Purge Policy</w:t>
      </w:r>
      <w:r>
        <w:rPr>
          <w:rFonts w:ascii="Calibri" w:hAnsi="Calibri"/>
          <w:color w:val="1A202C"/>
          <w:sz w:val="20"/>
        </w:rPr>
        <w:t>: Enforces a strict 1,095-day ceiling with scheduled/on-demand purge routines for expired records.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6. End-to-End System Workflows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6.1 Workflow 1: Document Ingestion &amp; Vector Indexing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sequenceDiagram</w:t>
              <w:br/>
              <w:t xml:space="preserve">    autonumber</w:t>
              <w:br/>
              <w:t xml:space="preserve">    actor Admin as Superadmin / Bid Manager</w:t>
              <w:br/>
              <w:t xml:space="preserve">    participant UI as React 19 Frontend</w:t>
              <w:br/>
              <w:t xml:space="preserve">    participant API as FastAPI Ingestion Router</w:t>
              <w:br/>
              <w:t xml:space="preserve">    participant Service as DocumentService</w:t>
              <w:br/>
              <w:t xml:space="preserve">    participant AI as Embedding Provider</w:t>
              <w:br/>
              <w:t xml:space="preserve">    participant DB as PostgreSQL + pgvector</w:t>
              <w:br/>
              <w:br/>
              <w:t xml:space="preserve">    Admin-&gt;&gt;UI: Upload RFP / Case Study (PDF/DOCX/XLSX)</w:t>
              <w:br/>
              <w:t xml:space="preserve">    UI-&gt;&gt;API: POST /documents/ingest (multipart/form-data)</w:t>
              <w:br/>
              <w:t xml:space="preserve">    API-&gt;&gt;Service: ingest_document(file_bytes, filename)</w:t>
              <w:br/>
              <w:t xml:space="preserve">    Service-&gt;&gt;Service: Parse text &amp; tables (PyMuPDF / openpyxl)</w:t>
              <w:br/>
              <w:t xml:space="preserve">    Service-&gt;&gt;Service: Normalize &amp; Chunk (~800 chars, 150 overlap)</w:t>
              <w:br/>
              <w:t xml:space="preserve">    Service-&gt;&gt;DB: INSERT INTO documents (filename, type, metadata)</w:t>
              <w:br/>
              <w:t xml:space="preserve">    Service-&gt;&gt;AI: generate_embeddings([chunk_texts])</w:t>
              <w:br/>
              <w:t xml:space="preserve">    AI--&gt;&gt;Service: Return 1536-dimensional float vectors</w:t>
              <w:br/>
              <w:t xml:space="preserve">    Service-&gt;&gt;DB: INSERT INTO document_chunks (doc_id, content, embedding, metadata)</w:t>
              <w:br/>
              <w:t xml:space="preserve">    DB--&gt;&gt;Service: Commit Transaction</w:t>
              <w:br/>
              <w:t xml:space="preserve">    Service--&gt;&gt;API: DocumentIngestResponse (chunks_count, doc_id)</w:t>
              <w:br/>
              <w:t xml:space="preserve">    API--&gt;&gt;UI: 201 Created (Instant Knowledge Base Update)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6.2 Workflow 2: Natural Language RFP Prompt Submission &amp; 3-Tier Package Formulation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sequenceDiagram</w:t>
              <w:br/>
              <w:t xml:space="preserve">    autonumber</w:t>
              <w:br/>
              <w:t xml:space="preserve">    actor Author as Bid Author</w:t>
              <w:br/>
              <w:t xml:space="preserve">    participant UI as PromptStudio Component</w:t>
              <w:br/>
              <w:t xml:space="preserve">    participant API as Responses Router (/responses/prompt)</w:t>
              <w:br/>
              <w:t xml:space="preserve">    participant NLP as PromptInterpreterService</w:t>
              <w:br/>
              <w:t xml:space="preserve">    participant RAG as RAGService</w:t>
              <w:br/>
              <w:t xml:space="preserve">    participant Search as RetrievalService</w:t>
              <w:br/>
              <w:t xml:space="preserve">    participant DB as PostgreSQL (Vector Search)</w:t>
              <w:br/>
              <w:t xml:space="preserve">    participant LLM as LLM Engine (Gemini / OpenAI)</w:t>
              <w:br/>
              <w:t xml:space="preserve">    participant Calc as CalculationService</w:t>
              <w:br/>
              <w:br/>
              <w:t xml:space="preserve">    Author-&gt;&gt;UI: Enters Tender Prompt ("£10M contract, 3 years, Birmingham Council, 10% SV...")</w:t>
              <w:br/>
              <w:t xml:space="preserve">    UI-&gt;&gt;API: POST /responses/prompt {prompt: text, user_id: uuid}</w:t>
              <w:br/>
              <w:t xml:space="preserve">    API-&gt;&gt;NLP: interpret_and_execute(prompt_text)</w:t>
              <w:br/>
              <w:t xml:space="preserve">    NLP-&gt;&gt;NLP: Extract parameters (Client, Duration, Value, Target %, Priorities)</w:t>
              <w:br/>
              <w:t xml:space="preserve">    NLP-&gt;&gt;RAG: generate_social_value_response(OpportunityRequest)</w:t>
              <w:br/>
              <w:t xml:space="preserve">    RAG-&gt;&gt;Search: retrieve_relevant_context(priorities, location)</w:t>
              <w:br/>
              <w:t xml:space="preserve">    Search-&gt;&gt;DB: SELECT chunk WHERE 1 - (embedding &lt;=&gt; q_vec) &gt;= 0.70 ORDER BY distance</w:t>
              <w:br/>
              <w:t xml:space="preserve">    DB--&gt;&gt;Search: Return Top-K Grounded Chunks</w:t>
              <w:br/>
              <w:t xml:space="preserve">    Search--&gt;&gt;RAG: Formatted Evidence Context Blocks</w:t>
              <w:br/>
              <w:t xml:space="preserve">    RAG-&gt;&gt;LLM: Structured Prompt (Client Criteria + Grounded Chunks + JSON Schema)</w:t>
              <w:br/>
              <w:t xml:space="preserve">    LLM--&gt;&gt;RAG: Structured JSON (Core, Enhanced, Localised Proposals)</w:t>
              <w:br/>
              <w:t xml:space="preserve">    RAG-&gt;&gt;Calc: calculate_package(initiatives, contract_value, duration, target_percent)</w:t>
              <w:br/>
              <w:t xml:space="preserve">    Calc-&gt;&gt;Calc: Deterministic Unit Multiplication (NT1 - NT20 Catalog)</w:t>
              <w:br/>
              <w:t xml:space="preserve">    Calc--&gt;&gt;RAG: Audited Financial Packages + Target Gap Breakdown</w:t>
              <w:br/>
              <w:t xml:space="preserve">    RAG--&gt;&gt;NLP: ResponseGenerationResult</w:t>
              <w:br/>
              <w:t xml:space="preserve">    NLP-&gt;&gt;DB: INSERT INTO prompt_history (raw_prompt, full_result, turn_index)</w:t>
              <w:br/>
              <w:t xml:space="preserve">    NLP--&gt;&gt;API: PromptSubmissionResponse</w:t>
              <w:br/>
              <w:t xml:space="preserve">    API--&gt;&gt;UI: Complete 3-Tier Response + Visual Metrics + Audit Logs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7. High-Level Data Architecture &amp; Storage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6"/>
              </w:rPr>
              <w:t>erDiagram</w:t>
              <w:br/>
              <w:t xml:space="preserve">    USERS ||--o{ SYSTEM_AUDIT_LOGS : "generates"</w:t>
              <w:br/>
              <w:t xml:space="preserve">    DOCUMENTS ||--|{ DOCUMENT_CHUNKS : "contains (1:N)"</w:t>
              <w:br/>
              <w:t xml:space="preserve">    USERS ||--o{ PROMPT_HISTORY : "initiates"</w:t>
              <w:br/>
              <w:br/>
              <w:t xml:space="preserve">    USERS {</w:t>
              <w:br/>
              <w:t xml:space="preserve">        uuid id PK</w:t>
              <w:br/>
              <w:t xml:space="preserve">        string email UK</w:t>
              <w:br/>
              <w:t xml:space="preserve">        string password_hash</w:t>
              <w:br/>
              <w:t xml:space="preserve">        string role</w:t>
              <w:br/>
              <w:t xml:space="preserve">        boolean is_active</w:t>
              <w:br/>
              <w:t xml:space="preserve">        datetime created_at</w:t>
              <w:br/>
              <w:t xml:space="preserve">    }</w:t>
              <w:br/>
              <w:br/>
              <w:t xml:space="preserve">    DOCUMENTS {</w:t>
              <w:br/>
              <w:t xml:space="preserve">        uuid id PK</w:t>
              <w:br/>
              <w:t xml:space="preserve">        string filename</w:t>
              <w:br/>
              <w:t xml:space="preserve">        string document_type</w:t>
              <w:br/>
              <w:t xml:space="preserve">        json metadata</w:t>
              <w:br/>
              <w:t xml:space="preserve">        boolean is_archived</w:t>
              <w:br/>
              <w:t xml:space="preserve">        datetime archived_at</w:t>
              <w:br/>
              <w:t xml:space="preserve">        datetime created_at</w:t>
              <w:br/>
              <w:t xml:space="preserve">    }</w:t>
              <w:br/>
              <w:br/>
              <w:t xml:space="preserve">    DOCUMENT_CHUNKS {</w:t>
              <w:br/>
              <w:t xml:space="preserve">        uuid id PK</w:t>
              <w:br/>
              <w:t xml:space="preserve">        uuid document_id FK</w:t>
              <w:br/>
              <w:t xml:space="preserve">        integer chunk_index</w:t>
              <w:br/>
              <w:t xml:space="preserve">        text content</w:t>
              <w:br/>
              <w:t xml:space="preserve">        json metadata</w:t>
              <w:br/>
              <w:t xml:space="preserve">        vector_1536 embedding</w:t>
              <w:br/>
              <w:t xml:space="preserve">        datetime created_at</w:t>
              <w:br/>
              <w:t xml:space="preserve">    }</w:t>
              <w:br/>
              <w:br/>
              <w:t xml:space="preserve">    PROMPT_HISTORY {</w:t>
              <w:br/>
              <w:t xml:space="preserve">        uuid id PK</w:t>
              <w:br/>
              <w:t xml:space="preserve">        text raw_prompt</w:t>
              <w:br/>
              <w:t xml:space="preserve">        string intent</w:t>
              <w:br/>
              <w:t xml:space="preserve">        boolean is_rfp_prompt</w:t>
              <w:br/>
              <w:t xml:space="preserve">        string client_name</w:t>
              <w:br/>
              <w:t xml:space="preserve">        string location</w:t>
              <w:br/>
              <w:t xml:space="preserve">        float contract_value_gbp</w:t>
              <w:br/>
              <w:t xml:space="preserve">        integer contract_duration_years</w:t>
              <w:br/>
              <w:t xml:space="preserve">        float social_value_weighting_percent</w:t>
              <w:br/>
              <w:t xml:space="preserve">        string session_id</w:t>
              <w:br/>
              <w:t xml:space="preserve">        integer turn_index</w:t>
              <w:br/>
              <w:t xml:space="preserve">        uuid parent_prompt_id</w:t>
              <w:br/>
              <w:t xml:space="preserve">        json full_result</w:t>
              <w:br/>
              <w:t xml:space="preserve">        datetime created_at</w:t>
              <w:br/>
              <w:t xml:space="preserve">    }</w:t>
              <w:br/>
              <w:br/>
              <w:t xml:space="preserve">    SYSTEM_AUDIT_LOGS {</w:t>
              <w:br/>
              <w:t xml:space="preserve">        uuid id PK</w:t>
              <w:br/>
              <w:t xml:space="preserve">        string request_id</w:t>
              <w:br/>
              <w:t xml:space="preserve">        datetime timestamp</w:t>
              <w:br/>
              <w:t xml:space="preserve">        string event_type</w:t>
              <w:br/>
              <w:t xml:space="preserve">        string severity</w:t>
              <w:br/>
              <w:t xml:space="preserve">        string endpoint</w:t>
              <w:br/>
              <w:t xml:space="preserve">        integer status_code</w:t>
              <w:br/>
              <w:t xml:space="preserve">        float duration_ms</w:t>
              <w:br/>
              <w:t xml:space="preserve">        string user_id</w:t>
              <w:br/>
              <w:t xml:space="preserve">        string client_ip</w:t>
              <w:br/>
              <w:t xml:space="preserve">        text message</w:t>
              <w:br/>
              <w:t xml:space="preserve">        text error_detail</w:t>
              <w:br/>
              <w:t xml:space="preserve">        json metadata_payload</w:t>
              <w:br/>
              <w:t xml:space="preserve">    }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8. Non-Functional Requirements (NFR) &amp; Quality Attributes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8" w:space="0" w:color="D2D6DC"/>
          <w:right w:val="none"/>
          <w:insideH w:val="single" w:sz="4" w:space="0" w:color="D2D6DC"/>
          <w:insideV w:val="none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Quality Attribute</w:t>
            </w:r>
          </w:p>
        </w:tc>
        <w:tc>
          <w:tcPr>
            <w:tcW w:type="dxa" w:w="3216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Metric</w:t>
            </w:r>
          </w:p>
        </w:tc>
        <w:tc>
          <w:tcPr>
            <w:tcW w:type="dxa" w:w="3216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Strategy</w:t>
            </w:r>
          </w:p>
        </w:tc>
      </w:tr>
      <w:tr>
        <w:trPr>
          <w:cantSplit/>
        </w:trPr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Response Latency</w:t>
            </w:r>
          </w:p>
        </w:tc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Vector Search: $&lt; 150\text{ ms}$&lt;br/&gt;Full RAG Generation: $&lt; 3.5\text{ s}$</w:t>
            </w:r>
          </w:p>
        </w:tc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In-database pgvector cosine indexing; stream pipeline parsing; single-pass LLM JSON structuring.</w:t>
            </w:r>
          </w:p>
        </w:tc>
      </w:tr>
      <w:tr>
        <w:trPr>
          <w:cantSplit/>
        </w:trP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Arithmetic Integrity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100% Deterministic (Zero Error)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Complete isolation of math calculations from LLM; Python IEEE-754 precision math.</w:t>
            </w:r>
          </w:p>
        </w:tc>
      </w:tr>
      <w:tr>
        <w:trPr>
          <w:cantSplit/>
        </w:trPr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Availability</w:t>
            </w:r>
          </w:p>
        </w:tc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99.9% Production Uptime</w:t>
            </w:r>
          </w:p>
        </w:tc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Stateless ASGI workers; autonomous failover from Gemini $\to$ OpenAI $\to$ Offline Engine.</w:t>
            </w:r>
          </w:p>
        </w:tc>
      </w:tr>
      <w:tr>
        <w:trPr>
          <w:cantSplit/>
        </w:trP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Security &amp; Privacy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OWASP Top 10 Compliant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PBKDF2 cryptographic salt hashing; JWT expiration; parameterized SQL queries (no SQL injection).</w:t>
            </w:r>
          </w:p>
        </w:tc>
      </w:tr>
      <w:tr>
        <w:trPr>
          <w:cantSplit/>
        </w:trPr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Statutory Retention</w:t>
            </w:r>
          </w:p>
        </w:tc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1,095 Days (3 Years)</w:t>
            </w:r>
          </w:p>
        </w:tc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 xml:space="preserve">Automatic timestamp indexing on </w:t>
            </w:r>
            <w:r>
              <w:rPr>
                <w:rFonts w:ascii="Consolas" w:hAnsi="Consolas"/>
                <w:color w:val="801F48"/>
                <w:sz w:val="16"/>
              </w:rPr>
              <w:t>system_audit_logs</w:t>
            </w:r>
            <w:r>
              <w:rPr>
                <w:rFonts w:ascii="Calibri" w:hAnsi="Calibri"/>
                <w:color w:val="1A202C"/>
                <w:sz w:val="18"/>
              </w:rPr>
              <w:t>; bulk purge routine for expired records.</w:t>
            </w:r>
          </w:p>
        </w:tc>
      </w:tr>
      <w:tr>
        <w:trPr>
          <w:cantSplit/>
        </w:trP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Data Portability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Zero Vendor Lock-in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Standard PostgreSQL storage; agnostic embedding schema (1536 dimensions); standard Pydantic models.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9. Infrastructure &amp; Deployment Topology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9.1 Containerized Docker Architecture</w:t>
      </w:r>
    </w:p>
    <w:p>
      <w:pPr>
        <w:spacing w:before="40" w:after="80" w:line="276" w:lineRule="auto"/>
      </w:pPr>
      <w:r>
        <w:rPr>
          <w:rFonts w:ascii="Calibri" w:hAnsi="Calibri"/>
          <w:color w:val="1A202C"/>
          <w:sz w:val="20"/>
        </w:rPr>
        <w:t xml:space="preserve">The application is packaged as self-contained Docker containers orchestrated via </w:t>
      </w:r>
      <w:r>
        <w:rPr>
          <w:rFonts w:ascii="Consolas" w:hAnsi="Consolas"/>
          <w:color w:val="801F48"/>
          <w:sz w:val="18"/>
        </w:rPr>
        <w:t>docker-compose.yml</w:t>
      </w:r>
      <w:r>
        <w:rPr>
          <w:rFonts w:ascii="Calibri" w:hAnsi="Calibri"/>
          <w:color w:val="1A202C"/>
          <w:sz w:val="20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Frontend Service</w:t>
      </w:r>
      <w:r>
        <w:rPr>
          <w:rFonts w:ascii="Calibri" w:hAnsi="Calibri"/>
          <w:color w:val="1A202C"/>
          <w:sz w:val="20"/>
        </w:rPr>
        <w:t>: Multi-stage build (Node 20 Alpine builder $\to$ Nginx Alpine edge server serving compiled SPA assets).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Backend Service</w:t>
      </w:r>
      <w:r>
        <w:rPr>
          <w:rFonts w:ascii="Calibri" w:hAnsi="Calibri"/>
          <w:color w:val="1A202C"/>
          <w:sz w:val="20"/>
        </w:rPr>
        <w:t>: Python 3.12 Slim base image running Uvicorn ASGI workers.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Database Service</w:t>
      </w:r>
      <w:r>
        <w:rPr>
          <w:rFonts w:ascii="Calibri" w:hAnsi="Calibri"/>
          <w:color w:val="1A202C"/>
          <w:sz w:val="20"/>
        </w:rPr>
        <w:t xml:space="preserve">: Official </w:t>
      </w:r>
      <w:r>
        <w:rPr>
          <w:rFonts w:ascii="Consolas" w:hAnsi="Consolas"/>
          <w:color w:val="801F48"/>
          <w:sz w:val="18"/>
        </w:rPr>
        <w:t>pgvector/pgvector:pg17</w:t>
      </w:r>
      <w:r>
        <w:rPr>
          <w:rFonts w:ascii="Calibri" w:hAnsi="Calibri"/>
          <w:color w:val="1A202C"/>
          <w:sz w:val="20"/>
        </w:rPr>
        <w:t xml:space="preserve"> image with persistent Docker volume storage.</w:t>
      </w:r>
    </w:p>
    <w:p>
      <w:pPr>
        <w:keepNext/>
        <w:spacing w:before="240" w:after="60"/>
      </w:pPr>
      <w:r>
        <w:rPr>
          <w:rFonts w:ascii="Calibri" w:hAnsi="Calibri"/>
          <w:b/>
          <w:color w:val="004B87"/>
          <w:sz w:val="24"/>
        </w:rPr>
        <w:t>9.2 Enterprise Cloud Deployment Options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Azure Commercial Cloud</w:t>
      </w:r>
      <w:r>
        <w:rPr>
          <w:rFonts w:ascii="Calibri" w:hAnsi="Calibri"/>
          <w:color w:val="1A202C"/>
          <w:sz w:val="20"/>
        </w:rPr>
        <w:t xml:space="preserve">: Azure Container Apps (Backend + Frontend) + Azure Database for PostgreSQL Flexible Server with </w:t>
      </w:r>
      <w:r>
        <w:rPr>
          <w:rFonts w:ascii="Consolas" w:hAnsi="Consolas"/>
          <w:color w:val="801F48"/>
          <w:sz w:val="18"/>
        </w:rPr>
        <w:t>pgvector</w:t>
      </w:r>
      <w:r>
        <w:rPr>
          <w:rFonts w:ascii="Calibri" w:hAnsi="Calibri"/>
          <w:color w:val="1A202C"/>
          <w:sz w:val="20"/>
        </w:rPr>
        <w:t xml:space="preserve"> enabled.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A202C"/>
          <w:sz w:val="20"/>
        </w:rPr>
        <w:t>Micro-PaaS (Render + Vercel)</w:t>
      </w:r>
      <w:r>
        <w:rPr>
          <w:rFonts w:ascii="Calibri" w:hAnsi="Calibri"/>
          <w:color w:val="1A202C"/>
          <w:sz w:val="20"/>
        </w:rPr>
        <w:t>: Managed FastAPI Web Service on Render with managed PostgreSQL; zero-config Edge CDN deployment on Vercel for React SPA.</w:t>
      </w:r>
    </w:p>
    <w:p>
      <w:pPr>
        <w:spacing w:before="120" w:after="120"/>
        <w:pBdr>
          <w:bottom w:val="single" w:sz="6" w:space="1" w:color="D2D6DC"/>
        </w:pBdr>
      </w:pPr>
    </w:p>
    <w:p>
      <w:pPr>
        <w:keepNext/>
        <w:spacing w:before="320" w:after="80"/>
        <w:pBdr>
          <w:bottom w:val="single" w:sz="10" w:space="2" w:color="004B87"/>
        </w:pBdr>
      </w:pPr>
      <w:r>
        <w:rPr>
          <w:rFonts w:ascii="Calibri" w:hAnsi="Calibri"/>
          <w:b/>
          <w:color w:val="002D62"/>
          <w:sz w:val="30"/>
        </w:rPr>
        <w:t>10. Architectural Risks &amp; Mitigations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8" w:space="0" w:color="D2D6DC"/>
          <w:right w:val="none"/>
          <w:insideH w:val="single" w:sz="4" w:space="0" w:color="D2D6DC"/>
          <w:insideV w:val="none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Identified Risk</w:t>
            </w:r>
          </w:p>
        </w:tc>
        <w:tc>
          <w:tcPr>
            <w:tcW w:type="dxa" w:w="3216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216"/>
            <w:shd w:fill="004B8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Mitigation Strategy</w:t>
            </w:r>
          </w:p>
        </w:tc>
      </w:tr>
      <w:tr>
        <w:trPr>
          <w:cantSplit/>
        </w:trPr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LLM Provider API Outage</w:t>
            </w:r>
          </w:p>
        </w:tc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High</w:t>
            </w:r>
          </w:p>
        </w:tc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System implements triple-tier auto-detection (</w:t>
            </w:r>
            <w:r>
              <w:rPr>
                <w:rFonts w:ascii="Consolas" w:hAnsi="Consolas"/>
                <w:color w:val="801F48"/>
                <w:sz w:val="16"/>
              </w:rPr>
              <w:t>Settings.active_provider</w:t>
            </w:r>
            <w:r>
              <w:rPr>
                <w:rFonts w:ascii="Calibri" w:hAnsi="Calibri"/>
                <w:color w:val="1A202C"/>
                <w:sz w:val="18"/>
              </w:rPr>
              <w:t>). If Gemini is unavailable, it immediately falls back to OpenAI; if both fail, the offline grounded heuristic engine fulfills the bid request.</w:t>
            </w:r>
          </w:p>
        </w:tc>
      </w:tr>
      <w:tr>
        <w:trPr>
          <w:cantSplit/>
        </w:trP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Token Context Overflow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Medium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Chunks are sized to ~800 characters. Top-K retrieval selects the top 5 most relevant chunks ($&lt; 4,000$ characters total), occupying $&lt; 10\%$ of modern LLM context windows.</w:t>
            </w:r>
          </w:p>
        </w:tc>
      </w:tr>
      <w:tr>
        <w:trPr>
          <w:cantSplit/>
        </w:trPr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Commercial Rate Inaccuracy</w:t>
            </w:r>
          </w:p>
        </w:tc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Critical</w:t>
            </w:r>
          </w:p>
        </w:tc>
        <w:tc>
          <w:tcPr>
            <w:tcW w:type="dxa" w:w="3216"/>
            <w:shd w:fill="F7F9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National TOMs unit rates are governed via a single version-controlled configuration catalog (</w:t>
            </w:r>
            <w:r>
              <w:rPr>
                <w:rFonts w:ascii="Consolas" w:hAnsi="Consolas"/>
                <w:color w:val="801F48"/>
                <w:sz w:val="16"/>
              </w:rPr>
              <w:t>SYNTHETIC_TOMS_CATALOG</w:t>
            </w:r>
            <w:r>
              <w:rPr>
                <w:rFonts w:ascii="Calibri" w:hAnsi="Calibri"/>
                <w:color w:val="1A202C"/>
                <w:sz w:val="18"/>
              </w:rPr>
              <w:t>). Rates are never parsed or derived dynamically from unverified LLM text.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718096"/>
        <w:sz w:val="16"/>
      </w:rPr>
      <w:t>CONFIDENTIAL &amp; PROPRIETARY — INFOSYS UK PUBLIC SECTOR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7"/>
      </w:rPr>
      <w:t>Infosys Enterprise Architecture | High-Level Design (HLD) Document (INFOSYS-SV-HLD-2026-V1)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