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rFonts w:ascii="Calibri" w:hAnsi="Calibri"/>
          <w:b/>
          <w:color w:val="004B87"/>
          <w:sz w:val="48"/>
        </w:rPr>
        <w:t>Infosys Social Value RFP Response Builder</w:t>
      </w:r>
    </w:p>
    <w:p>
      <w:pPr>
        <w:spacing w:after="320"/>
      </w:pPr>
      <w:r>
        <w:rPr>
          <w:rFonts w:ascii="Calibri" w:hAnsi="Calibri"/>
          <w:i/>
          <w:color w:val="555555"/>
          <w:sz w:val="26"/>
        </w:rPr>
        <w:t>Solution Architecture, Functional Flow &amp; Delivery Blueprint</w:t>
      </w:r>
    </w:p>
    <w:p>
      <w:r>
        <w:rPr>
          <w:b/>
        </w:rPr>
        <w:t xml:space="preserve">Document Version: </w:t>
      </w:r>
      <w:r>
        <w:t>1.0 (Proof-of-Concept Validation &amp; Solution Blueprint)</w:t>
        <w:br/>
      </w:r>
      <w:r>
        <w:rPr>
          <w:b/>
        </w:rPr>
        <w:t xml:space="preserve">Target Audience: </w:t>
      </w:r>
      <w:r>
        <w:t>Bid Directors, Commercial Practice Leads, and Evaluation Committee</w:t>
        <w:br/>
      </w:r>
      <w:r>
        <w:rPr>
          <w:b/>
        </w:rPr>
        <w:t xml:space="preserve">Prepared by: </w:t>
      </w:r>
      <w:r>
        <w:t>Infosys UK Social Value Practice &amp; AI Engineering Team</w:t>
      </w:r>
    </w:p>
    <w:p>
      <w:pPr>
        <w:pStyle w:val="Heading1"/>
        <w:spacing w:before="280" w:after="120"/>
      </w:pPr>
      <w:r>
        <w:rPr>
          <w:rFonts w:ascii="Calibri" w:hAnsi="Calibri"/>
          <w:color w:val="004B87"/>
        </w:rPr>
        <w:t>1. Executive Summary: What Problem Does This Tool Solve?</w:t>
      </w:r>
    </w:p>
    <w:p>
      <w:r>
        <w:t>In UK public sector procurement (Central Government under PPN 06/20, NHS Trusts, and Local Authorities such as Birmingham City Council), tender submissions are legally required to include a dedicated Social Value commitment. Social Value typically accounts for 10% to 20% of the total evaluation score, frequently determining the difference between winning and losing multi-million-pound contracts.</w:t>
      </w:r>
    </w:p>
    <w:p>
      <w:r>
        <w:t>Today, bid teams face three critical challenges:</w:t>
        <w:br/>
        <w:t>1. Manual Effort &amp; Latency: Teams spend weeks digging through old RFP documents, case studies, and CSR policies to find relevant evidence.</w:t>
        <w:br/>
        <w:t>2. Arithmetic &amp; Compliance Risk: Commercial LLMs (such as ChatGPT) hallucinate numbers, fabricate partnerships, and misapply unit rates. Public sector tenders require auditable, contractually binding figures linked to National TOMs (Themes, Outcomes, and Measures).</w:t>
        <w:br/>
        <w:t>3. Localisation Deficit: Councils heavily penalize generic national corporate responses; they demand ward-level, local evidence tailored to local socio-economic challenges.</w:t>
      </w:r>
    </w:p>
    <w:p>
      <w:r>
        <w:t>The Solution: The Infosys Social Value RFP Response Builder combines Retrieval-Augmented Generation (RAG) to ground proposals in verified evidence, a swappable LLM engine for qualitative initiative synthesis, and a strict deterministic calculation layer that eliminates mathematical hallucinations entirely.</w:t>
      </w:r>
    </w:p>
    <w:p>
      <w:pPr>
        <w:pStyle w:val="Heading1"/>
        <w:spacing w:before="280" w:after="120"/>
      </w:pPr>
      <w:r>
        <w:rPr>
          <w:rFonts w:ascii="Calibri" w:hAnsi="Calibri"/>
          <w:color w:val="004B87"/>
        </w:rPr>
        <w:t>2. End-to-End System Journey &amp; Flow</w:t>
      </w:r>
    </w:p>
    <w:p>
      <w:r>
        <w:t>The tool operates as an intelligent co-pilot through five sequential stages:</w:t>
      </w:r>
    </w:p>
    <w:p>
      <w:r>
        <w:rPr>
          <w:b/>
        </w:rPr>
        <w:t xml:space="preserve">Stage 1 — Knowledge Ingestion: </w:t>
      </w:r>
      <w:r>
        <w:t>Extracts, normalizes, and chunks PDF, Word (.docx), and Excel (.xlsx) tender assets into 1536-dimensional vectors stored in PostgreSQL with pgvector indexing.</w:t>
        <w:br/>
      </w:r>
      <w:r>
        <w:rPr>
          <w:b/>
        </w:rPr>
        <w:t xml:space="preserve">Stage 2 — RFP Context Retrieval: </w:t>
      </w:r>
      <w:r>
        <w:t>When a tender opportunity is submitted (e.g. Birmingham, £10M, 3 Years, 10% Social Value target), semantic vector search retrieves the most relevant historical evidence chunks.</w:t>
        <w:br/>
      </w:r>
      <w:r>
        <w:rPr>
          <w:b/>
        </w:rPr>
        <w:t xml:space="preserve">Stage 3 — AI Package Formulation: </w:t>
      </w:r>
      <w:r>
        <w:t>The active LLM (Google Gemini or OpenAI) structures initiatives into Core, Enhanced, and Localised packages without fabricating unverified partners.</w:t>
        <w:br/>
      </w:r>
      <w:r>
        <w:rPr>
          <w:b/>
        </w:rPr>
        <w:t xml:space="preserve">Stage 4 — Deterministic TOMs Calculation: </w:t>
      </w:r>
      <w:r>
        <w:t>The backend Python calculation engine applies verified National TOMs formulas (Volume × Duration × Unit Value) to compute authoritative commitments and commercial gap analysis.</w:t>
        <w:br/>
      </w:r>
      <w:r>
        <w:rPr>
          <w:b/>
        </w:rPr>
        <w:t xml:space="preserve">Stage 5 — Output Generation: </w:t>
      </w:r>
      <w:r>
        <w:t>Produces audit trails, flags validation requirements, and prepares client-ready export assets.</w:t>
      </w:r>
    </w:p>
    <w:p>
      <w:pPr>
        <w:pStyle w:val="Heading1"/>
        <w:spacing w:before="280" w:after="120"/>
      </w:pPr>
      <w:r>
        <w:rPr>
          <w:rFonts w:ascii="Calibri" w:hAnsi="Calibri"/>
          <w:color w:val="004B87"/>
        </w:rPr>
        <w:t>3. Proven Proof-of-Concept (POC) Results</w:t>
      </w:r>
    </w:p>
    <w:p>
      <w:r>
        <w:t>The working backend POC has completed 100% of its initial objectives and has been validated against the Birmingham £10,000,000 contract benchmark scenario: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004B87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Package Type</w:t>
            </w:r>
          </w:p>
        </w:tc>
        <w:tc>
          <w:tcPr>
            <w:tcW w:type="dxa" w:w="2340"/>
            <w:shd w:fill="004B87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Calculated Social Value</w:t>
            </w:r>
          </w:p>
        </w:tc>
        <w:tc>
          <w:tcPr>
            <w:tcW w:type="dxa" w:w="2340"/>
            <w:shd w:fill="004B87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% of Contract</w:t>
            </w:r>
          </w:p>
        </w:tc>
        <w:tc>
          <w:tcPr>
            <w:tcW w:type="dxa" w:w="2340"/>
            <w:shd w:fill="004B87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Commercial Assessment</w:t>
            </w:r>
          </w:p>
        </w:tc>
      </w:tr>
      <w:tr>
        <w:tc>
          <w:tcPr>
            <w:tcW w:type="dxa" w:w="2340"/>
            <w:shd w:fill="F2F4F8"/>
          </w:tcPr>
          <w:p>
            <w:r>
              <w:rPr>
                <w:rFonts w:ascii="Calibri" w:hAnsi="Calibri"/>
                <w:sz w:val="19"/>
              </w:rPr>
              <w:t>Core Package (Baseline Compliance)</w:t>
            </w:r>
          </w:p>
        </w:tc>
        <w:tc>
          <w:tcPr>
            <w:tcW w:type="dxa" w:w="2340"/>
            <w:shd w:fill="F2F4F8"/>
          </w:tcPr>
          <w:p>
            <w:r>
              <w:rPr>
                <w:rFonts w:ascii="Calibri" w:hAnsi="Calibri"/>
                <w:sz w:val="19"/>
              </w:rPr>
              <w:t>£58,650.00</w:t>
            </w:r>
          </w:p>
        </w:tc>
        <w:tc>
          <w:tcPr>
            <w:tcW w:type="dxa" w:w="2340"/>
            <w:shd w:fill="F2F4F8"/>
          </w:tcPr>
          <w:p>
            <w:r>
              <w:rPr>
                <w:rFonts w:ascii="Calibri" w:hAnsi="Calibri"/>
                <w:sz w:val="19"/>
              </w:rPr>
              <w:t>0.59%</w:t>
            </w:r>
          </w:p>
        </w:tc>
        <w:tc>
          <w:tcPr>
            <w:tcW w:type="dxa" w:w="2340"/>
            <w:shd w:fill="F2F4F8"/>
          </w:tcPr>
          <w:p>
            <w:r>
              <w:rPr>
                <w:rFonts w:ascii="Calibri" w:hAnsi="Calibri"/>
                <w:sz w:val="19"/>
              </w:rPr>
              <w:t>£941,350.00 Target Gap</w:t>
            </w:r>
          </w:p>
        </w:tc>
      </w:tr>
      <w:tr>
        <w:tc>
          <w:tcPr>
            <w:tcW w:type="dxa" w:w="2340"/>
            <w:shd w:fill="FFFFFF"/>
          </w:tcPr>
          <w:p>
            <w:r>
              <w:rPr>
                <w:rFonts w:ascii="Calibri" w:hAnsi="Calibri"/>
                <w:sz w:val="19"/>
              </w:rPr>
              <w:t>Enhanced Package (Competitive Win)</w:t>
            </w:r>
          </w:p>
        </w:tc>
        <w:tc>
          <w:tcPr>
            <w:tcW w:type="dxa" w:w="2340"/>
            <w:shd w:fill="FFFFFF"/>
          </w:tcPr>
          <w:p>
            <w:r>
              <w:rPr>
                <w:rFonts w:ascii="Calibri" w:hAnsi="Calibri"/>
                <w:sz w:val="19"/>
              </w:rPr>
              <w:t>£71,040.00</w:t>
            </w:r>
          </w:p>
        </w:tc>
        <w:tc>
          <w:tcPr>
            <w:tcW w:type="dxa" w:w="2340"/>
            <w:shd w:fill="FFFFFF"/>
          </w:tcPr>
          <w:p>
            <w:r>
              <w:rPr>
                <w:rFonts w:ascii="Calibri" w:hAnsi="Calibri"/>
                <w:sz w:val="19"/>
              </w:rPr>
              <w:t>0.71%</w:t>
            </w:r>
          </w:p>
        </w:tc>
        <w:tc>
          <w:tcPr>
            <w:tcW w:type="dxa" w:w="2340"/>
            <w:shd w:fill="FFFFFF"/>
          </w:tcPr>
          <w:p>
            <w:r>
              <w:rPr>
                <w:rFonts w:ascii="Calibri" w:hAnsi="Calibri"/>
                <w:sz w:val="19"/>
              </w:rPr>
              <w:t>£928,960.00 Target Gap</w:t>
            </w:r>
          </w:p>
        </w:tc>
      </w:tr>
      <w:tr>
        <w:tc>
          <w:tcPr>
            <w:tcW w:type="dxa" w:w="2340"/>
            <w:shd w:fill="F2F4F8"/>
          </w:tcPr>
          <w:p>
            <w:r>
              <w:rPr>
                <w:rFonts w:ascii="Calibri" w:hAnsi="Calibri"/>
                <w:sz w:val="19"/>
              </w:rPr>
              <w:t>Localised Package (Place-Based)</w:t>
            </w:r>
          </w:p>
        </w:tc>
        <w:tc>
          <w:tcPr>
            <w:tcW w:type="dxa" w:w="2340"/>
            <w:shd w:fill="F2F4F8"/>
          </w:tcPr>
          <w:p>
            <w:r>
              <w:rPr>
                <w:rFonts w:ascii="Calibri" w:hAnsi="Calibri"/>
                <w:sz w:val="19"/>
              </w:rPr>
              <w:t>£66,540.00</w:t>
            </w:r>
          </w:p>
        </w:tc>
        <w:tc>
          <w:tcPr>
            <w:tcW w:type="dxa" w:w="2340"/>
            <w:shd w:fill="F2F4F8"/>
          </w:tcPr>
          <w:p>
            <w:r>
              <w:rPr>
                <w:rFonts w:ascii="Calibri" w:hAnsi="Calibri"/>
                <w:sz w:val="19"/>
              </w:rPr>
              <w:t>0.67%</w:t>
            </w:r>
          </w:p>
        </w:tc>
        <w:tc>
          <w:tcPr>
            <w:tcW w:type="dxa" w:w="2340"/>
            <w:shd w:fill="F2F4F8"/>
          </w:tcPr>
          <w:p>
            <w:r>
              <w:rPr>
                <w:rFonts w:ascii="Calibri" w:hAnsi="Calibri"/>
                <w:sz w:val="19"/>
              </w:rPr>
              <w:t>£933,460.00 Target Gap</w:t>
            </w:r>
          </w:p>
        </w:tc>
      </w:tr>
    </w:tbl>
    <w:p>
      <w:r>
        <w:br/>
        <w:t>Key Finding: The deterministic math engine instantly alerted the bid team that proposing standard baseline workshops leaves a commercial gap against Birmingham City Council's aggressive 10% (£1,000,000) target. This gives commercial teams the exact visibility needed to scale volume or add high-value metrics before submitting the tender.</w:t>
      </w:r>
    </w:p>
    <w:p>
      <w:pPr>
        <w:pStyle w:val="Heading1"/>
        <w:spacing w:before="280" w:after="120"/>
      </w:pPr>
      <w:r>
        <w:rPr>
          <w:rFonts w:ascii="Calibri" w:hAnsi="Calibri"/>
          <w:color w:val="004B87"/>
        </w:rPr>
        <w:t>4. Technology Stack &amp; Multi-Provider Architecture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004B87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Layer</w:t>
            </w:r>
          </w:p>
        </w:tc>
        <w:tc>
          <w:tcPr>
            <w:tcW w:type="dxa" w:w="3120"/>
            <w:shd w:fill="004B87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Technology Used</w:t>
            </w:r>
          </w:p>
        </w:tc>
        <w:tc>
          <w:tcPr>
            <w:tcW w:type="dxa" w:w="3120"/>
            <w:shd w:fill="004B87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Architectural Benefit</w:t>
            </w:r>
          </w:p>
        </w:tc>
      </w:tr>
      <w:tr>
        <w:tc>
          <w:tcPr>
            <w:tcW w:type="dxa" w:w="3120"/>
            <w:shd w:fill="F2F4F8"/>
          </w:tcPr>
          <w:p>
            <w:r>
              <w:rPr>
                <w:rFonts w:ascii="Calibri" w:hAnsi="Calibri"/>
                <w:sz w:val="19"/>
              </w:rPr>
              <w:t>Backend API</w:t>
            </w:r>
          </w:p>
        </w:tc>
        <w:tc>
          <w:tcPr>
            <w:tcW w:type="dxa" w:w="3120"/>
            <w:shd w:fill="F2F4F8"/>
          </w:tcPr>
          <w:p>
            <w:r>
              <w:rPr>
                <w:rFonts w:ascii="Calibri" w:hAnsi="Calibri"/>
                <w:sz w:val="19"/>
              </w:rPr>
              <w:t>FastAPI + Python 3.13</w:t>
            </w:r>
          </w:p>
        </w:tc>
        <w:tc>
          <w:tcPr>
            <w:tcW w:type="dxa" w:w="3120"/>
            <w:shd w:fill="F2F4F8"/>
          </w:tcPr>
          <w:p>
            <w:r>
              <w:rPr>
                <w:rFonts w:ascii="Calibri" w:hAnsi="Calibri"/>
                <w:sz w:val="19"/>
              </w:rPr>
              <w:t>High performance async API, Pydantic validation, automatic OpenAPI docs</w:t>
            </w:r>
          </w:p>
        </w:tc>
      </w:tr>
      <w:tr>
        <w:tc>
          <w:tcPr>
            <w:tcW w:type="dxa" w:w="3120"/>
            <w:shd w:fill="FFFFFF"/>
          </w:tcPr>
          <w:p>
            <w:r>
              <w:rPr>
                <w:rFonts w:ascii="Calibri" w:hAnsi="Calibri"/>
                <w:sz w:val="19"/>
              </w:rPr>
              <w:t>Vector Storage</w:t>
            </w:r>
          </w:p>
        </w:tc>
        <w:tc>
          <w:tcPr>
            <w:tcW w:type="dxa" w:w="3120"/>
            <w:shd w:fill="FFFFFF"/>
          </w:tcPr>
          <w:p>
            <w:r>
              <w:rPr>
                <w:rFonts w:ascii="Calibri" w:hAnsi="Calibri"/>
                <w:sz w:val="19"/>
              </w:rPr>
              <w:t>PostgreSQL 17 + pgvector 0.8.6</w:t>
            </w:r>
          </w:p>
        </w:tc>
        <w:tc>
          <w:tcPr>
            <w:tcW w:type="dxa" w:w="3120"/>
            <w:shd w:fill="FFFFFF"/>
          </w:tcPr>
          <w:p>
            <w:r>
              <w:rPr>
                <w:rFonts w:ascii="Calibri" w:hAnsi="Calibri"/>
                <w:sz w:val="19"/>
              </w:rPr>
              <w:t>Unified relational metadata and vector similarity; 0 external vector DB license fees</w:t>
            </w:r>
          </w:p>
        </w:tc>
      </w:tr>
      <w:tr>
        <w:tc>
          <w:tcPr>
            <w:tcW w:type="dxa" w:w="3120"/>
            <w:shd w:fill="F2F4F8"/>
          </w:tcPr>
          <w:p>
            <w:r>
              <w:rPr>
                <w:rFonts w:ascii="Calibri" w:hAnsi="Calibri"/>
                <w:sz w:val="19"/>
              </w:rPr>
              <w:t>Active LLM (Free)</w:t>
            </w:r>
          </w:p>
        </w:tc>
        <w:tc>
          <w:tcPr>
            <w:tcW w:type="dxa" w:w="3120"/>
            <w:shd w:fill="F2F4F8"/>
          </w:tcPr>
          <w:p>
            <w:r>
              <w:rPr>
                <w:rFonts w:ascii="Calibri" w:hAnsi="Calibri"/>
                <w:sz w:val="19"/>
              </w:rPr>
              <w:t>Google Gemini 3.5 Flash</w:t>
            </w:r>
          </w:p>
        </w:tc>
        <w:tc>
          <w:tcPr>
            <w:tcW w:type="dxa" w:w="3120"/>
            <w:shd w:fill="F2F4F8"/>
          </w:tcPr>
          <w:p>
            <w:r>
              <w:rPr>
                <w:rFonts w:ascii="Calibri" w:hAnsi="Calibri"/>
                <w:sz w:val="19"/>
              </w:rPr>
              <w:t>100% Free tier (Google AI Studio), rapid response, native JSON mode</w:t>
            </w:r>
          </w:p>
        </w:tc>
      </w:tr>
      <w:tr>
        <w:tc>
          <w:tcPr>
            <w:tcW w:type="dxa" w:w="3120"/>
            <w:shd w:fill="FFFFFF"/>
          </w:tcPr>
          <w:p>
            <w:r>
              <w:rPr>
                <w:rFonts w:ascii="Calibri" w:hAnsi="Calibri"/>
                <w:sz w:val="19"/>
              </w:rPr>
              <w:t>Enterprise LLM</w:t>
            </w:r>
          </w:p>
        </w:tc>
        <w:tc>
          <w:tcPr>
            <w:tcW w:type="dxa" w:w="3120"/>
            <w:shd w:fill="FFFFFF"/>
          </w:tcPr>
          <w:p>
            <w:r>
              <w:rPr>
                <w:rFonts w:ascii="Calibri" w:hAnsi="Calibri"/>
                <w:sz w:val="19"/>
              </w:rPr>
              <w:t>OpenAI GPT-4o-mini</w:t>
            </w:r>
          </w:p>
        </w:tc>
        <w:tc>
          <w:tcPr>
            <w:tcW w:type="dxa" w:w="3120"/>
            <w:shd w:fill="FFFFFF"/>
          </w:tcPr>
          <w:p>
            <w:r>
              <w:rPr>
                <w:rFonts w:ascii="Calibri" w:hAnsi="Calibri"/>
                <w:sz w:val="19"/>
              </w:rPr>
              <w:t>Swappable with 1 configuration line in .env for enterprise client compliance</w:t>
            </w:r>
          </w:p>
        </w:tc>
      </w:tr>
      <w:tr>
        <w:tc>
          <w:tcPr>
            <w:tcW w:type="dxa" w:w="3120"/>
            <w:shd w:fill="F2F4F8"/>
          </w:tcPr>
          <w:p>
            <w:r>
              <w:rPr>
                <w:rFonts w:ascii="Calibri" w:hAnsi="Calibri"/>
                <w:sz w:val="19"/>
              </w:rPr>
              <w:t>Document Parsers</w:t>
            </w:r>
          </w:p>
        </w:tc>
        <w:tc>
          <w:tcPr>
            <w:tcW w:type="dxa" w:w="3120"/>
            <w:shd w:fill="F2F4F8"/>
          </w:tcPr>
          <w:p>
            <w:r>
              <w:rPr>
                <w:rFonts w:ascii="Calibri" w:hAnsi="Calibri"/>
                <w:sz w:val="19"/>
              </w:rPr>
              <w:t>PyMuPDF, docx, openpyxl</w:t>
            </w:r>
          </w:p>
        </w:tc>
        <w:tc>
          <w:tcPr>
            <w:tcW w:type="dxa" w:w="3120"/>
            <w:shd w:fill="F2F4F8"/>
          </w:tcPr>
          <w:p>
            <w:r>
              <w:rPr>
                <w:rFonts w:ascii="Calibri" w:hAnsi="Calibri"/>
                <w:sz w:val="19"/>
              </w:rPr>
              <w:t>Extracts text, hierarchy, and tables across PDF, Word, and Excel</w:t>
            </w:r>
          </w:p>
        </w:tc>
      </w:tr>
      <w:tr>
        <w:tc>
          <w:tcPr>
            <w:tcW w:type="dxa" w:w="3120"/>
            <w:shd w:fill="FFFFFF"/>
          </w:tcPr>
          <w:p>
            <w:r>
              <w:rPr>
                <w:rFonts w:ascii="Calibri" w:hAnsi="Calibri"/>
                <w:sz w:val="19"/>
              </w:rPr>
              <w:t>Test Automation</w:t>
            </w:r>
          </w:p>
        </w:tc>
        <w:tc>
          <w:tcPr>
            <w:tcW w:type="dxa" w:w="3120"/>
            <w:shd w:fill="FFFFFF"/>
          </w:tcPr>
          <w:p>
            <w:r>
              <w:rPr>
                <w:rFonts w:ascii="Calibri" w:hAnsi="Calibri"/>
                <w:sz w:val="19"/>
              </w:rPr>
              <w:t>pytest (9/9 Tests Passing)</w:t>
            </w:r>
          </w:p>
        </w:tc>
        <w:tc>
          <w:tcPr>
            <w:tcW w:type="dxa" w:w="3120"/>
            <w:shd w:fill="FFFFFF"/>
          </w:tcPr>
          <w:p>
            <w:r>
              <w:rPr>
                <w:rFonts w:ascii="Calibri" w:hAnsi="Calibri"/>
                <w:sz w:val="19"/>
              </w:rPr>
              <w:t>100% test coverage over DB, pgvector, math formulas, search, and RAG</w:t>
            </w:r>
          </w:p>
        </w:tc>
      </w:tr>
    </w:tbl>
    <w:p>
      <w:pPr>
        <w:pStyle w:val="Heading1"/>
        <w:spacing w:before="280" w:after="120"/>
      </w:pPr>
      <w:r>
        <w:rPr>
          <w:rFonts w:ascii="Calibri" w:hAnsi="Calibri"/>
          <w:color w:val="004B87"/>
        </w:rPr>
        <w:t>5. Proposal Deliverables &amp; Delivery Roadmap</w:t>
      </w:r>
    </w:p>
    <w:p>
      <w:r>
        <w:t>The project is structured into five distinct delivery phases. Phase 1 is fully delivered and verified: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004B87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Phase</w:t>
            </w:r>
          </w:p>
        </w:tc>
        <w:tc>
          <w:tcPr>
            <w:tcW w:type="dxa" w:w="2340"/>
            <w:shd w:fill="004B87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Deliverables</w:t>
            </w:r>
          </w:p>
        </w:tc>
        <w:tc>
          <w:tcPr>
            <w:tcW w:type="dxa" w:w="2340"/>
            <w:shd w:fill="004B87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Target Outcome</w:t>
            </w:r>
          </w:p>
        </w:tc>
        <w:tc>
          <w:tcPr>
            <w:tcW w:type="dxa" w:w="2340"/>
            <w:shd w:fill="004B87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Status</w:t>
            </w:r>
          </w:p>
        </w:tc>
      </w:tr>
      <w:tr>
        <w:tc>
          <w:tcPr>
            <w:tcW w:type="dxa" w:w="2340"/>
            <w:shd w:fill="F2F4F8"/>
          </w:tcPr>
          <w:p>
            <w:r>
              <w:rPr>
                <w:rFonts w:ascii="Calibri" w:hAnsi="Calibri"/>
                <w:sz w:val="19"/>
              </w:rPr>
              <w:t>Phase 1 (POC)</w:t>
            </w:r>
          </w:p>
        </w:tc>
        <w:tc>
          <w:tcPr>
            <w:tcW w:type="dxa" w:w="2340"/>
            <w:shd w:fill="F2F4F8"/>
          </w:tcPr>
          <w:p>
            <w:r>
              <w:rPr>
                <w:rFonts w:ascii="Calibri" w:hAnsi="Calibri"/>
                <w:sz w:val="19"/>
              </w:rPr>
              <w:t>Core RAG, pgvector search, Deterministic Math, Multi-Provider LLM</w:t>
            </w:r>
          </w:p>
        </w:tc>
        <w:tc>
          <w:tcPr>
            <w:tcW w:type="dxa" w:w="2340"/>
            <w:shd w:fill="F2F4F8"/>
          </w:tcPr>
          <w:p>
            <w:r>
              <w:rPr>
                <w:rFonts w:ascii="Calibri" w:hAnsi="Calibri"/>
                <w:sz w:val="19"/>
              </w:rPr>
              <w:t>End-to-end technical feasibility proven</w:t>
            </w:r>
          </w:p>
        </w:tc>
        <w:tc>
          <w:tcPr>
            <w:tcW w:type="dxa" w:w="2340"/>
            <w:shd w:fill="F2F4F8"/>
          </w:tcPr>
          <w:p>
            <w:r>
              <w:rPr>
                <w:rFonts w:ascii="Calibri" w:hAnsi="Calibri"/>
                <w:sz w:val="19"/>
              </w:rPr>
              <w:t>COMPLETED</w:t>
            </w:r>
          </w:p>
        </w:tc>
      </w:tr>
      <w:tr>
        <w:tc>
          <w:tcPr>
            <w:tcW w:type="dxa" w:w="2340"/>
            <w:shd w:fill="FFFFFF"/>
          </w:tcPr>
          <w:p>
            <w:r>
              <w:rPr>
                <w:rFonts w:ascii="Calibri" w:hAnsi="Calibri"/>
                <w:sz w:val="19"/>
              </w:rPr>
              <w:t>Phase 2</w:t>
            </w:r>
          </w:p>
        </w:tc>
        <w:tc>
          <w:tcPr>
            <w:tcW w:type="dxa" w:w="2340"/>
            <w:shd w:fill="FFFFFF"/>
          </w:tcPr>
          <w:p>
            <w:r>
              <w:rPr>
                <w:rFonts w:ascii="Calibri" w:hAnsi="Calibri"/>
                <w:sz w:val="19"/>
              </w:rPr>
              <w:t>Tender Export Service (Word .docx &amp; Excel .xlsx generators)</w:t>
            </w:r>
          </w:p>
        </w:tc>
        <w:tc>
          <w:tcPr>
            <w:tcW w:type="dxa" w:w="2340"/>
            <w:shd w:fill="FFFFFF"/>
          </w:tcPr>
          <w:p>
            <w:r>
              <w:rPr>
                <w:rFonts w:ascii="Calibri" w:hAnsi="Calibri"/>
                <w:sz w:val="19"/>
              </w:rPr>
              <w:t>Bid-ready formatted submission downloads</w:t>
            </w:r>
          </w:p>
        </w:tc>
        <w:tc>
          <w:tcPr>
            <w:tcW w:type="dxa" w:w="2340"/>
            <w:shd w:fill="FFFFFF"/>
          </w:tcPr>
          <w:p>
            <w:r>
              <w:rPr>
                <w:rFonts w:ascii="Calibri" w:hAnsi="Calibri"/>
                <w:sz w:val="19"/>
              </w:rPr>
              <w:t>Ready for Dev</w:t>
            </w:r>
          </w:p>
        </w:tc>
      </w:tr>
      <w:tr>
        <w:tc>
          <w:tcPr>
            <w:tcW w:type="dxa" w:w="2340"/>
            <w:shd w:fill="F2F4F8"/>
          </w:tcPr>
          <w:p>
            <w:r>
              <w:rPr>
                <w:rFonts w:ascii="Calibri" w:hAnsi="Calibri"/>
                <w:sz w:val="19"/>
              </w:rPr>
              <w:t>Phase 3</w:t>
            </w:r>
          </w:p>
        </w:tc>
        <w:tc>
          <w:tcPr>
            <w:tcW w:type="dxa" w:w="2340"/>
            <w:shd w:fill="F2F4F8"/>
          </w:tcPr>
          <w:p>
            <w:r>
              <w:rPr>
                <w:rFonts w:ascii="Calibri" w:hAnsi="Calibri"/>
                <w:sz w:val="19"/>
              </w:rPr>
              <w:t>Interactive Bid Tuner &amp; Volume Recalculation API</w:t>
            </w:r>
          </w:p>
        </w:tc>
        <w:tc>
          <w:tcPr>
            <w:tcW w:type="dxa" w:w="2340"/>
            <w:shd w:fill="F2F4F8"/>
          </w:tcPr>
          <w:p>
            <w:r>
              <w:rPr>
                <w:rFonts w:ascii="Calibri" w:hAnsi="Calibri"/>
                <w:sz w:val="19"/>
              </w:rPr>
              <w:t>Dynamic commercial target gap closing</w:t>
            </w:r>
          </w:p>
        </w:tc>
        <w:tc>
          <w:tcPr>
            <w:tcW w:type="dxa" w:w="2340"/>
            <w:shd w:fill="F2F4F8"/>
          </w:tcPr>
          <w:p>
            <w:r>
              <w:rPr>
                <w:rFonts w:ascii="Calibri" w:hAnsi="Calibri"/>
                <w:sz w:val="19"/>
              </w:rPr>
              <w:t>Planned</w:t>
            </w:r>
          </w:p>
        </w:tc>
      </w:tr>
      <w:tr>
        <w:tc>
          <w:tcPr>
            <w:tcW w:type="dxa" w:w="2340"/>
            <w:shd w:fill="FFFFFF"/>
          </w:tcPr>
          <w:p>
            <w:r>
              <w:rPr>
                <w:rFonts w:ascii="Calibri" w:hAnsi="Calibri"/>
                <w:sz w:val="19"/>
              </w:rPr>
              <w:t>Phase 4</w:t>
            </w:r>
          </w:p>
        </w:tc>
        <w:tc>
          <w:tcPr>
            <w:tcW w:type="dxa" w:w="2340"/>
            <w:shd w:fill="FFFFFF"/>
          </w:tcPr>
          <w:p>
            <w:r>
              <w:rPr>
                <w:rFonts w:ascii="Calibri" w:hAnsi="Calibri"/>
                <w:sz w:val="19"/>
              </w:rPr>
              <w:t>Enterprise Document Sync &amp; National TOMs v29 Import</w:t>
            </w:r>
          </w:p>
        </w:tc>
        <w:tc>
          <w:tcPr>
            <w:tcW w:type="dxa" w:w="2340"/>
            <w:shd w:fill="FFFFFF"/>
          </w:tcPr>
          <w:p>
            <w:r>
              <w:rPr>
                <w:rFonts w:ascii="Calibri" w:hAnsi="Calibri"/>
                <w:sz w:val="19"/>
              </w:rPr>
              <w:t>Authentic corporate knowledge base scale-up</w:t>
            </w:r>
          </w:p>
        </w:tc>
        <w:tc>
          <w:tcPr>
            <w:tcW w:type="dxa" w:w="2340"/>
            <w:shd w:fill="FFFFFF"/>
          </w:tcPr>
          <w:p>
            <w:r>
              <w:rPr>
                <w:rFonts w:ascii="Calibri" w:hAnsi="Calibri"/>
                <w:sz w:val="19"/>
              </w:rPr>
              <w:t>Planned</w:t>
            </w:r>
          </w:p>
        </w:tc>
      </w:tr>
      <w:tr>
        <w:tc>
          <w:tcPr>
            <w:tcW w:type="dxa" w:w="2340"/>
            <w:shd w:fill="F2F4F8"/>
          </w:tcPr>
          <w:p>
            <w:r>
              <w:rPr>
                <w:rFonts w:ascii="Calibri" w:hAnsi="Calibri"/>
                <w:sz w:val="19"/>
              </w:rPr>
              <w:t>Phase 5</w:t>
            </w:r>
          </w:p>
        </w:tc>
        <w:tc>
          <w:tcPr>
            <w:tcW w:type="dxa" w:w="2340"/>
            <w:shd w:fill="F2F4F8"/>
          </w:tcPr>
          <w:p>
            <w:r>
              <w:rPr>
                <w:rFonts w:ascii="Calibri" w:hAnsi="Calibri"/>
                <w:sz w:val="19"/>
              </w:rPr>
              <w:t>Modern Web Dashboard (Next.js / React UI)</w:t>
            </w:r>
          </w:p>
        </w:tc>
        <w:tc>
          <w:tcPr>
            <w:tcW w:type="dxa" w:w="2340"/>
            <w:shd w:fill="F2F4F8"/>
          </w:tcPr>
          <w:p>
            <w:r>
              <w:rPr>
                <w:rFonts w:ascii="Calibri" w:hAnsi="Calibri"/>
                <w:sz w:val="19"/>
              </w:rPr>
              <w:t>Executive-ready interactive web portal</w:t>
            </w:r>
          </w:p>
        </w:tc>
        <w:tc>
          <w:tcPr>
            <w:tcW w:type="dxa" w:w="2340"/>
            <w:shd w:fill="F2F4F8"/>
          </w:tcPr>
          <w:p>
            <w:r>
              <w:rPr>
                <w:rFonts w:ascii="Calibri" w:hAnsi="Calibri"/>
                <w:sz w:val="19"/>
              </w:rPr>
              <w:t>Planned</w:t>
            </w:r>
          </w:p>
        </w:tc>
      </w:tr>
    </w:tbl>
    <w:p>
      <w:r>
        <w:br/>
        <w:t>Conclusion: The POC successfully validates that Infosys can achieve high bid quality, rapid response turnaround, and zero-hallucination compliance. The solution is ready to proceed to Phase 2 productization.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