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Infosys Social Value Initiative: Birmingham Digital Inclusion Clinics</w:t>
      </w:r>
    </w:p>
    <w:p>
      <w:r>
        <w:rPr>
          <w:b/>
        </w:rPr>
        <w:t xml:space="preserve">Classification: </w:t>
      </w:r>
      <w:r>
        <w:t>Synthetic POC Data Only — Demonstration Knowledge Base</w:t>
        <w:br/>
      </w:r>
      <w:r>
        <w:rPr>
          <w:b/>
        </w:rPr>
        <w:t xml:space="preserve">Target Geography: </w:t>
      </w:r>
      <w:r>
        <w:t>Birmingham &amp; Greater West Midlands</w:t>
        <w:br/>
      </w:r>
      <w:r>
        <w:rPr>
          <w:b/>
        </w:rPr>
        <w:t xml:space="preserve">Primary Theme: </w:t>
      </w:r>
      <w:r>
        <w:t>Digital Inclusion &amp; Skills</w:t>
        <w:br/>
      </w:r>
      <w:r>
        <w:rPr>
          <w:b/>
        </w:rPr>
        <w:t xml:space="preserve">Author: </w:t>
      </w:r>
      <w:r>
        <w:t>Infosys UK Social Value Practice</w:t>
      </w:r>
    </w:p>
    <w:p>
      <w:pPr>
        <w:pStyle w:val="Heading1"/>
      </w:pPr>
      <w:r>
        <w:t>1. Executive Summary &amp; Context</w:t>
      </w:r>
    </w:p>
    <w:p>
      <w:r>
        <w:t>In collaboration with local community anchors across Birmingham wards (including Ladywood, Aston, and Nechells), Infosys proposes a structured Digital Inclusion Clinic programme. The initiative addresses digital poverty by providing accessible, face-to-face workshops on fundamental digital literacy, access to essential council online services, digital NHS portals, and online banking safety.</w:t>
      </w:r>
    </w:p>
    <w:p>
      <w:pPr>
        <w:pStyle w:val="Heading1"/>
      </w:pPr>
      <w:r>
        <w:t>2. Initiative Specifications</w:t>
      </w:r>
    </w:p>
    <w:p>
      <w:r>
        <w:t>• Initiative Name: Digital Inclusion Workshop Series</w:t>
        <w:br/>
        <w:t>• Theme: Digital Inclusion</w:t>
        <w:br/>
        <w:t>• Target Beneficiaries: Elderly residents, long-term jobseekers, and economically inactive households.</w:t>
        <w:br/>
        <w:t>• Delivery Mechanism: 4 comprehensive multi-hour workshops per contract year.</w:t>
        <w:br/>
        <w:t>• Cohort Size: 12-15 participants per workshop session.</w:t>
        <w:br/>
        <w:t>• Annual Volume: 4 workshops per year (48-60 direct beneficiaries annually).</w:t>
        <w:br/>
        <w:t>• National TOMs Proxy Alignment: NT8 (No. of digital skills / inclusion workshops delivered to vulnerable groups).</w:t>
        <w:br/>
        <w:t>• Proxy Unit Value: £1,250.00 per workshop.</w:t>
      </w:r>
    </w:p>
    <w:p>
      <w:pPr>
        <w:pStyle w:val="Heading1"/>
      </w:pPr>
      <w:r>
        <w:t>3. Local Delivery Partner &amp; Venues</w:t>
      </w:r>
    </w:p>
    <w:p>
      <w:r>
        <w:t>Delivery is coordinated in partnership with Birmingham Community Matters (BCM) and local library learning hubs. BCM assists with grassroots participant outreach, safeguarding, and venue coordination, while Infosys STEM volunteers deliver curriculum and hands-on coaching. (Note: Synthetic partner example for POC purposes).</w:t>
      </w:r>
    </w:p>
    <w:p>
      <w:pPr>
        <w:pStyle w:val="Heading1"/>
      </w:pPr>
      <w:r>
        <w:t>4. Refurbished Hardware &amp; Connectivity Donations</w:t>
      </w:r>
    </w:p>
    <w:p>
      <w:r>
        <w:t>To ensure sustainable digital access beyond the classroom, Infosys commits to donating 20 wiped and refurbished corporate enterprise laptops per contract year, paired with 12-month data SIMs. This aligns with proxy metric NT20 (Refurbished Digital Devices Donated) at a proxy value of £320.00 per device.</w:t>
      </w:r>
    </w:p>
    <w:p>
      <w:pPr>
        <w:pStyle w:val="Heading1"/>
      </w:pPr>
      <w:r>
        <w:t>5. 3-Year Delivery Milestone Plan</w:t>
      </w:r>
    </w:p>
    <w:tbl>
      <w:tblPr>
        <w:tblW w:type="auto" w:w="0"/>
        <w:tblLook w:firstColumn="1" w:firstRow="1" w:lastColumn="0" w:lastRow="0" w:noHBand="0" w:noVBand="1" w:val="04A0"/>
      </w:tblPr>
      <w:tblGrid>
        <w:gridCol w:w="2160"/>
        <w:gridCol w:w="2160"/>
        <w:gridCol w:w="2160"/>
        <w:gridCol w:w="2160"/>
      </w:tblGrid>
      <w:tr>
        <w:tc>
          <w:tcPr>
            <w:tcW w:type="dxa" w:w="2160"/>
          </w:tcPr>
          <w:p>
            <w:r>
              <w:t>Year</w:t>
            </w:r>
          </w:p>
        </w:tc>
        <w:tc>
          <w:tcPr>
            <w:tcW w:type="dxa" w:w="2160"/>
          </w:tcPr>
          <w:p>
            <w:r>
              <w:t>Workshops (NT8)</w:t>
            </w:r>
          </w:p>
        </w:tc>
        <w:tc>
          <w:tcPr>
            <w:tcW w:type="dxa" w:w="2160"/>
          </w:tcPr>
          <w:p>
            <w:r>
              <w:t>Devices Donated (NT20)</w:t>
            </w:r>
          </w:p>
        </w:tc>
        <w:tc>
          <w:tcPr>
            <w:tcW w:type="dxa" w:w="2160"/>
          </w:tcPr>
          <w:p>
            <w:r>
              <w:t>Annual Proxy Value</w:t>
            </w:r>
          </w:p>
        </w:tc>
      </w:tr>
      <w:tr>
        <w:tc>
          <w:tcPr>
            <w:tcW w:type="dxa" w:w="2160"/>
          </w:tcPr>
          <w:p>
            <w:r>
              <w:t>Year 1</w:t>
            </w:r>
          </w:p>
        </w:tc>
        <w:tc>
          <w:tcPr>
            <w:tcW w:type="dxa" w:w="2160"/>
          </w:tcPr>
          <w:p>
            <w:r>
              <w:t>4 workshops (48 learners)</w:t>
            </w:r>
          </w:p>
        </w:tc>
        <w:tc>
          <w:tcPr>
            <w:tcW w:type="dxa" w:w="2160"/>
          </w:tcPr>
          <w:p>
            <w:r>
              <w:t>20 laptops</w:t>
            </w:r>
          </w:p>
        </w:tc>
        <w:tc>
          <w:tcPr>
            <w:tcW w:type="dxa" w:w="2160"/>
          </w:tcPr>
          <w:p>
            <w:r>
              <w:t>£11,400.00</w:t>
            </w:r>
          </w:p>
        </w:tc>
      </w:tr>
      <w:tr>
        <w:tc>
          <w:tcPr>
            <w:tcW w:type="dxa" w:w="2160"/>
          </w:tcPr>
          <w:p>
            <w:r>
              <w:t>Year 2</w:t>
            </w:r>
          </w:p>
        </w:tc>
        <w:tc>
          <w:tcPr>
            <w:tcW w:type="dxa" w:w="2160"/>
          </w:tcPr>
          <w:p>
            <w:r>
              <w:t>4 workshops (48 learners)</w:t>
            </w:r>
          </w:p>
        </w:tc>
        <w:tc>
          <w:tcPr>
            <w:tcW w:type="dxa" w:w="2160"/>
          </w:tcPr>
          <w:p>
            <w:r>
              <w:t>20 laptops</w:t>
            </w:r>
          </w:p>
        </w:tc>
        <w:tc>
          <w:tcPr>
            <w:tcW w:type="dxa" w:w="2160"/>
          </w:tcPr>
          <w:p>
            <w:r>
              <w:t>£11,400.00</w:t>
            </w:r>
          </w:p>
        </w:tc>
      </w:tr>
      <w:tr>
        <w:tc>
          <w:tcPr>
            <w:tcW w:type="dxa" w:w="2160"/>
          </w:tcPr>
          <w:p>
            <w:r>
              <w:t>Year 3</w:t>
            </w:r>
          </w:p>
        </w:tc>
        <w:tc>
          <w:tcPr>
            <w:tcW w:type="dxa" w:w="2160"/>
          </w:tcPr>
          <w:p>
            <w:r>
              <w:t>4 workshops (48 learners)</w:t>
            </w:r>
          </w:p>
        </w:tc>
        <w:tc>
          <w:tcPr>
            <w:tcW w:type="dxa" w:w="2160"/>
          </w:tcPr>
          <w:p>
            <w:r>
              <w:t>20 laptops</w:t>
            </w:r>
          </w:p>
        </w:tc>
        <w:tc>
          <w:tcPr>
            <w:tcW w:type="dxa" w:w="2160"/>
          </w:tcPr>
          <w:p>
            <w:r>
              <w:t>£11,400.00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