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6B1A2A"/>
          <w:sz w:val="52"/>
          <w:szCs w:val="52"/>
        </w:rPr>
        <w:t xml:space="preserve">MON MIROIR</w:t>
      </w:r>
    </w:p>
    <w:p>
      <w:pPr>
        <w:spacing w:after="100"/>
        <w:jc w:val="center"/>
      </w:pPr>
      <w:r>
        <w:rPr>
          <w:rFonts w:ascii="Arial" w:cs="Arial" w:eastAsia="Arial" w:hAnsi="Arial"/>
          <w:i/>
          <w:iCs/>
          <w:color w:val="888078"/>
          <w:sz w:val="24"/>
          <w:szCs w:val="24"/>
        </w:rPr>
        <w:t xml:space="preserve">Application clinique pour Mineurs Non Accompagnés</w:t>
      </w:r>
    </w:p>
    <w:p>
      <w:pPr>
        <w:spacing w:after="600"/>
        <w:jc w:val="center"/>
      </w:pPr>
      <w:r>
        <w:rPr>
          <w:rFonts w:ascii="Arial" w:cs="Arial" w:eastAsia="Arial" w:hAnsi="Arial"/>
          <w:color w:val="1A1614"/>
          <w:sz w:val="22"/>
          <w:szCs w:val="22"/>
        </w:rPr>
        <w:t xml:space="preserve">Tribunal pour Enfants de Toulouse</w:t>
      </w:r>
    </w:p>
    <w:p>
      <w:pPr>
        <w:pBdr>
          <w:top w:val="single" w:color="6B1A2A" w:sz="6"/>
          <w:bottom w:val="single" w:color="6B1A2A" w:sz="6"/>
        </w:pBdr>
        <w:spacing w:before="200" w:after="200"/>
        <w:jc w:val="center"/>
      </w:pPr>
      <w:r>
        <w:rPr>
          <w:rFonts w:ascii="Arial" w:cs="Arial" w:eastAsia="Arial" w:hAnsi="Arial"/>
          <w:b/>
          <w:bCs/>
          <w:color w:val="6B1A2A"/>
          <w:sz w:val="28"/>
          <w:szCs w:val="28"/>
        </w:rPr>
        <w:t xml:space="preserve">POLITIQUE DE CONFIDENTIALITÉ ET REGISTRE DES TRAITEMENTS</w:t>
      </w:r>
    </w:p>
    <w:p>
      <w:pPr>
        <w:spacing w:before="200" w:after="100"/>
        <w:jc w:val="center"/>
      </w:pPr>
      <w:r>
        <w:rPr>
          <w:rFonts w:ascii="Arial" w:cs="Arial" w:eastAsia="Arial" w:hAnsi="Arial"/>
          <w:color w:val="888078"/>
          <w:sz w:val="20"/>
          <w:szCs w:val="20"/>
        </w:rPr>
        <w:t xml:space="preserve">Conformité RGPD — Règlement (UE) 2016/679</w:t>
      </w:r>
    </w:p>
    <w:p>
      <w:pPr>
        <w:spacing w:after="800"/>
        <w:jc w:val="center"/>
      </w:pPr>
      <w:r>
        <w:rPr>
          <w:rFonts w:ascii="Arial" w:cs="Arial" w:eastAsia="Arial" w:hAnsi="Arial"/>
          <w:b/>
          <w:bCs/>
          <w:color w:val="1A1614"/>
          <w:sz w:val="20"/>
          <w:szCs w:val="20"/>
        </w:rPr>
        <w:t xml:space="preserve">Version 1.0 — 31/03/2026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AA" w:sz="1"/>
              <w:left w:val="single" w:color="D4A0AA" w:sz="1"/>
              <w:bottom w:val="single" w:color="D4A0AA" w:sz="1"/>
              <w:right w:val="single" w:color="D4A0AA" w:sz="1"/>
            </w:tcBorders>
            <w:shd w:fill="F4E8EB" w:val="clear"/>
            <w:tcMar>
              <w:top w:type="dxa" w:w="160"/>
              <w:left w:type="dxa" w:w="200"/>
              <w:bottom w:type="dxa" w:w="160"/>
              <w:right w:type="dxa" w:w="200"/>
            </w:tcMar>
          </w:tcPr>
          <w:p>
            <w:r>
              <w:rPr>
                <w:rFonts w:ascii="Arial" w:cs="Arial" w:eastAsia="Arial" w:hAnsi="Arial"/>
                <w:b/>
                <w:bCs/>
                <w:color w:val="6B1A2A"/>
                <w:sz w:val="20"/>
                <w:szCs w:val="20"/>
              </w:rPr>
              <w:t xml:space="preserve">⚠  DOCUMENT CONFIDENTIEL</w:t>
            </w:r>
          </w:p>
          <w:p>
            <w:pPr>
              <w:spacing w:before="80"/>
            </w:pPr>
            <w:r>
              <w:rPr>
                <w:rFonts w:ascii="Arial" w:cs="Arial" w:eastAsia="Arial" w:hAnsi="Arial"/>
                <w:color w:val="1A1614"/>
                <w:sz w:val="18"/>
                <w:szCs w:val="18"/>
              </w:rPr>
              <w:t xml:space="preserve">Ce document contient des informations relatives au traitement de données personnelles de mineurs dans le cadre de procédures judiciaires. Il est soumis au secret professionnel et ne doit pas être divulgué à des tiers non habilités.</w:t>
            </w:r>
          </w:p>
        </w:tc>
      </w:tr>
    </w:tbl>
    <w:p>
      <w:pPr>
        <w:spacing w:before="400"/>
      </w:pPr>
    </w:p>
    <w:p>
      <w:pPr>
        <w:pStyle w:val="Heading1"/>
        <w:pBdr>
          <w:bottom w:val="single" w:color="6B1A2A" w:sz="4"/>
        </w:pBdr>
        <w:spacing w:before="400" w:after="200"/>
      </w:pPr>
      <w:r>
        <w:rPr>
          <w:rFonts w:ascii="Arial" w:cs="Arial" w:eastAsia="Arial" w:hAnsi="Arial"/>
          <w:b/>
          <w:bCs/>
          <w:color w:val="6B1A2A"/>
          <w:sz w:val="28"/>
          <w:szCs w:val="28"/>
        </w:rPr>
        <w:t xml:space="preserve">1. Responsable du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A0AA" w:sz="1"/>
              <w:left w:val="single" w:color="D4A0AA" w:sz="1"/>
              <w:bottom w:val="single" w:color="D4A0AA" w:sz="1"/>
              <w:right w:val="single" w:color="D4A0AA" w:sz="1"/>
            </w:tcBorders>
            <w:shd w:fill="F4E8EB" w:val="clear"/>
            <w:tcMar>
              <w:top w:type="dxa" w:w="80"/>
              <w:left w:type="dxa" w:w="120"/>
              <w:bottom w:type="dxa" w:w="80"/>
              <w:right w:type="dxa" w:w="120"/>
            </w:tcMar>
          </w:tcPr>
          <w:p>
            <w:r>
              <w:rPr>
                <w:rFonts w:ascii="Arial" w:cs="Arial" w:eastAsia="Arial" w:hAnsi="Arial"/>
                <w:b/>
                <w:bCs/>
                <w:color w:val="6B1A2A"/>
                <w:sz w:val="18"/>
                <w:szCs w:val="18"/>
              </w:rPr>
              <w:t xml:space="preserve">Organisme</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Tribunal pour Enfants de Toulouse</w:t>
            </w:r>
          </w:p>
        </w:tc>
      </w:tr>
      <w:tr>
        <w:tc>
          <w:tcPr>
            <w:tcW w:type="dxa" w:w="3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b/>
                <w:bCs/>
                <w:color w:val="6B1A2A"/>
                <w:sz w:val="18"/>
                <w:szCs w:val="18"/>
              </w:rPr>
              <w:t xml:space="preserve">Adresse</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À compléter — Toulouse (31)</w:t>
            </w:r>
          </w:p>
        </w:tc>
      </w:tr>
      <w:tr>
        <w:tc>
          <w:tcPr>
            <w:tcW w:type="dxa" w:w="3000"/>
            <w:tcBorders>
              <w:top w:val="single" w:color="D4A0AA" w:sz="1"/>
              <w:left w:val="single" w:color="D4A0AA" w:sz="1"/>
              <w:bottom w:val="single" w:color="D4A0AA" w:sz="1"/>
              <w:right w:val="single" w:color="D4A0AA" w:sz="1"/>
            </w:tcBorders>
            <w:shd w:fill="F4E8EB" w:val="clear"/>
            <w:tcMar>
              <w:top w:type="dxa" w:w="80"/>
              <w:left w:type="dxa" w:w="120"/>
              <w:bottom w:type="dxa" w:w="80"/>
              <w:right w:type="dxa" w:w="120"/>
            </w:tcMar>
          </w:tcPr>
          <w:p>
            <w:r>
              <w:rPr>
                <w:rFonts w:ascii="Arial" w:cs="Arial" w:eastAsia="Arial" w:hAnsi="Arial"/>
                <w:b/>
                <w:bCs/>
                <w:color w:val="6B1A2A"/>
                <w:sz w:val="18"/>
                <w:szCs w:val="18"/>
              </w:rPr>
              <w:t xml:space="preserve">Responsable</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Si Mohamed ANAYA — Interprète judiciaire</w:t>
            </w:r>
          </w:p>
        </w:tc>
      </w:tr>
      <w:tr>
        <w:tc>
          <w:tcPr>
            <w:tcW w:type="dxa" w:w="3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b/>
                <w:bCs/>
                <w:color w:val="6B1A2A"/>
                <w:sz w:val="18"/>
                <w:szCs w:val="18"/>
              </w:rPr>
              <w:t xml:space="preserve">Email</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À compléter @tribunal-toulouse.fr</w:t>
            </w:r>
          </w:p>
        </w:tc>
      </w:tr>
      <w:tr>
        <w:tc>
          <w:tcPr>
            <w:tcW w:type="dxa" w:w="3000"/>
            <w:tcBorders>
              <w:top w:val="single" w:color="D4A0AA" w:sz="1"/>
              <w:left w:val="single" w:color="D4A0AA" w:sz="1"/>
              <w:bottom w:val="single" w:color="D4A0AA" w:sz="1"/>
              <w:right w:val="single" w:color="D4A0AA" w:sz="1"/>
            </w:tcBorders>
            <w:shd w:fill="F4E8EB" w:val="clear"/>
            <w:tcMar>
              <w:top w:type="dxa" w:w="80"/>
              <w:left w:type="dxa" w:w="120"/>
              <w:bottom w:type="dxa" w:w="80"/>
              <w:right w:type="dxa" w:w="120"/>
            </w:tcMar>
          </w:tcPr>
          <w:p>
            <w:r>
              <w:rPr>
                <w:rFonts w:ascii="Arial" w:cs="Arial" w:eastAsia="Arial" w:hAnsi="Arial"/>
                <w:b/>
                <w:bCs/>
                <w:color w:val="6B1A2A"/>
                <w:sz w:val="18"/>
                <w:szCs w:val="18"/>
              </w:rPr>
              <w:t xml:space="preserve">DPO</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À désigner — Service informatique du Tribunal</w:t>
            </w:r>
          </w:p>
        </w:tc>
      </w:tr>
      <w:tr>
        <w:tc>
          <w:tcPr>
            <w:tcW w:type="dxa" w:w="3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b/>
                <w:bCs/>
                <w:color w:val="6B1A2A"/>
                <w:sz w:val="18"/>
                <w:szCs w:val="18"/>
              </w:rPr>
              <w:t xml:space="preserve">Date</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31/03/2026</w:t>
            </w:r>
          </w:p>
        </w:tc>
      </w:tr>
    </w:tbl>
    <w:p>
      <w:pPr>
        <w:spacing w:before="300"/>
      </w:pPr>
    </w:p>
    <w:p>
      <w:pPr>
        <w:pStyle w:val="Heading1"/>
        <w:pBdr>
          <w:bottom w:val="single" w:color="6B1A2A" w:sz="4"/>
        </w:pBdr>
        <w:spacing w:before="400" w:after="200"/>
      </w:pPr>
      <w:r>
        <w:rPr>
          <w:rFonts w:ascii="Arial" w:cs="Arial" w:eastAsia="Arial" w:hAnsi="Arial"/>
          <w:b/>
          <w:bCs/>
          <w:color w:val="6B1A2A"/>
          <w:sz w:val="28"/>
          <w:szCs w:val="28"/>
        </w:rPr>
        <w:t xml:space="preserve">2. Finalités et base légale du traitement</w:t>
      </w:r>
    </w:p>
    <w:p>
      <w:pPr>
        <w:spacing w:before="80" w:after="80"/>
      </w:pPr>
      <w:r>
        <w:rPr>
          <w:rFonts w:ascii="Arial" w:cs="Arial" w:eastAsia="Arial" w:hAnsi="Arial"/>
          <w:b w:val="false"/>
          <w:bCs w:val="false"/>
          <w:i w:val="false"/>
          <w:iCs w:val="false"/>
          <w:color w:val="1A1614"/>
          <w:sz w:val="20"/>
          <w:szCs w:val="20"/>
        </w:rPr>
        <w:t xml:space="preserve">L'application Mon Miroir traite des données personnelles de Mineurs Non Accompagnés (MNA) dans le cadre de l'article 9 du RGPD (données sensibles — mineurs) et de l'article 8 du RGPD (conditions applicables aux mineurs).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13"/>
        <w:gridCol w:w="2513"/>
      </w:tblGrid>
      <w:tr>
        <w:tc>
          <w:tcPr>
            <w:tcW w:type="dxa" w:w="3000"/>
            <w:tcBorders>
              <w:top w:val="single" w:color="D4A0AA" w:sz="1"/>
              <w:left w:val="single" w:color="D4A0AA" w:sz="1"/>
              <w:bottom w:val="single" w:color="D4A0AA" w:sz="1"/>
              <w:right w:val="single" w:color="D4A0AA" w:sz="1"/>
            </w:tcBorders>
            <w:shd w:fill="6B1A2A" w:val="clear"/>
            <w:tcMar>
              <w:top w:type="dxa" w:w="80"/>
              <w:left w:type="dxa" w:w="120"/>
              <w:bottom w:type="dxa" w:w="80"/>
              <w:right w:type="dxa" w:w="120"/>
            </w:tcMar>
          </w:tcPr>
          <w:p>
            <w:r>
              <w:rPr>
                <w:rFonts w:ascii="Arial" w:cs="Arial" w:eastAsia="Arial" w:hAnsi="Arial"/>
                <w:b/>
                <w:bCs/>
                <w:color w:val="FFFFFF"/>
                <w:sz w:val="18"/>
                <w:szCs w:val="18"/>
              </w:rPr>
              <w:t xml:space="preserve">Finalité</w:t>
            </w:r>
          </w:p>
        </w:tc>
        <w:tc>
          <w:tcPr>
            <w:tcW w:type="dxa" w:w="3513"/>
            <w:tcBorders>
              <w:top w:val="single" w:color="D4A0AA" w:sz="1"/>
              <w:left w:val="single" w:color="D4A0AA" w:sz="1"/>
              <w:bottom w:val="single" w:color="D4A0AA" w:sz="1"/>
              <w:right w:val="single" w:color="D4A0AA" w:sz="1"/>
            </w:tcBorders>
            <w:shd w:fill="6B1A2A" w:val="clear"/>
            <w:tcMar>
              <w:top w:type="dxa" w:w="80"/>
              <w:left w:type="dxa" w:w="120"/>
              <w:bottom w:type="dxa" w:w="80"/>
              <w:right w:type="dxa" w:w="120"/>
            </w:tcMar>
          </w:tcPr>
          <w:p>
            <w:r>
              <w:rPr>
                <w:rFonts w:ascii="Arial" w:cs="Arial" w:eastAsia="Arial" w:hAnsi="Arial"/>
                <w:b/>
                <w:bCs/>
                <w:color w:val="FFFFFF"/>
                <w:sz w:val="18"/>
                <w:szCs w:val="18"/>
              </w:rPr>
              <w:t xml:space="preserve">Base légale</w:t>
            </w:r>
          </w:p>
        </w:tc>
        <w:tc>
          <w:tcPr>
            <w:tcW w:type="dxa" w:w="2513"/>
            <w:tcBorders>
              <w:top w:val="single" w:color="D4A0AA" w:sz="1"/>
              <w:left w:val="single" w:color="D4A0AA" w:sz="1"/>
              <w:bottom w:val="single" w:color="D4A0AA" w:sz="1"/>
              <w:right w:val="single" w:color="D4A0AA" w:sz="1"/>
            </w:tcBorders>
            <w:shd w:fill="6B1A2A" w:val="clear"/>
            <w:tcMar>
              <w:top w:type="dxa" w:w="80"/>
              <w:left w:type="dxa" w:w="120"/>
              <w:bottom w:type="dxa" w:w="80"/>
              <w:right w:type="dxa" w:w="120"/>
            </w:tcMar>
          </w:tcPr>
          <w:p>
            <w:r>
              <w:rPr>
                <w:rFonts w:ascii="Arial" w:cs="Arial" w:eastAsia="Arial" w:hAnsi="Arial"/>
                <w:b/>
                <w:bCs/>
                <w:color w:val="FFFFFF"/>
                <w:sz w:val="18"/>
                <w:szCs w:val="18"/>
              </w:rPr>
              <w:t xml:space="preserve">Durée conservation</w:t>
            </w:r>
          </w:p>
        </w:tc>
      </w:tr>
      <w:tr>
        <w:tc>
          <w:tcPr>
            <w:tcW w:type="dxa" w:w="300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Recueil du récit de vie du MNA</w:t>
            </w:r>
          </w:p>
        </w:tc>
        <w:tc>
          <w:tcPr>
            <w:tcW w:type="dxa" w:w="3513"/>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Mission d'intérêt public — Art. 6(1)(e) RGPD</w:t>
            </w:r>
          </w:p>
        </w:tc>
        <w:tc>
          <w:tcPr>
            <w:tcW w:type="dxa" w:w="2513"/>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Durée de la mesure + 5 ans</w:t>
            </w:r>
          </w:p>
        </w:tc>
      </w:tr>
      <w:tr>
        <w:tc>
          <w:tcPr>
            <w:tcW w:type="dxa" w:w="3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Constitution du CV interactif</w:t>
            </w:r>
          </w:p>
        </w:tc>
        <w:tc>
          <w:tcPr>
            <w:tcW w:type="dxa" w:w="3513"/>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Intérêt légitime — accompagnement judiciaire</w:t>
            </w:r>
          </w:p>
        </w:tc>
        <w:tc>
          <w:tcPr>
            <w:tcW w:type="dxa" w:w="2513"/>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Durée de la mesure + 5 ans</w:t>
            </w:r>
          </w:p>
        </w:tc>
      </w:tr>
      <w:tr>
        <w:tc>
          <w:tcPr>
            <w:tcW w:type="dxa" w:w="300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Observations cliniques du Pilote</w:t>
            </w:r>
          </w:p>
        </w:tc>
        <w:tc>
          <w:tcPr>
            <w:tcW w:type="dxa" w:w="3513"/>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Obligation légale — Art. 6(1)(c) RGPD</w:t>
            </w:r>
          </w:p>
        </w:tc>
        <w:tc>
          <w:tcPr>
            <w:tcW w:type="dxa" w:w="2513"/>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10 ans (archives judiciaires)</w:t>
            </w:r>
          </w:p>
        </w:tc>
      </w:tr>
      <w:tr>
        <w:tc>
          <w:tcPr>
            <w:tcW w:type="dxa" w:w="3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Enregistrements vocaux (TTS)</w:t>
            </w:r>
          </w:p>
        </w:tc>
        <w:tc>
          <w:tcPr>
            <w:tcW w:type="dxa" w:w="3513"/>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Consentement explicite requis — Art. 6(1)(a)</w:t>
            </w:r>
          </w:p>
        </w:tc>
        <w:tc>
          <w:tcPr>
            <w:tcW w:type="dxa" w:w="2513"/>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Session uniquement — non persisté</w:t>
            </w:r>
          </w:p>
        </w:tc>
      </w:tr>
    </w:tbl>
    <w:p>
      <w:pPr>
        <w:spacing w:before="300"/>
      </w:pPr>
    </w:p>
    <w:p>
      <w:pPr>
        <w:pStyle w:val="Heading1"/>
        <w:pBdr>
          <w:bottom w:val="single" w:color="6B1A2A" w:sz="4"/>
        </w:pBdr>
        <w:spacing w:before="400" w:after="200"/>
      </w:pPr>
      <w:r>
        <w:rPr>
          <w:rFonts w:ascii="Arial" w:cs="Arial" w:eastAsia="Arial" w:hAnsi="Arial"/>
          <w:b/>
          <w:bCs/>
          <w:color w:val="6B1A2A"/>
          <w:sz w:val="28"/>
          <w:szCs w:val="28"/>
        </w:rPr>
        <w:t xml:space="preserve">3. Catégories de données traitées</w:t>
      </w:r>
    </w:p>
    <w:p>
      <w:pPr>
        <w:spacing w:before="80" w:after="80"/>
      </w:pPr>
      <w:r>
        <w:rPr>
          <w:rFonts w:ascii="Arial" w:cs="Arial" w:eastAsia="Arial" w:hAnsi="Arial"/>
          <w:b w:val="false"/>
          <w:bCs w:val="false"/>
          <w:i w:val="false"/>
          <w:iCs w:val="false"/>
          <w:color w:val="1A1614"/>
          <w:sz w:val="20"/>
          <w:szCs w:val="20"/>
        </w:rPr>
        <w:t xml:space="preserve">Les données traitées par Mon Miroir appartiennent à des catégories sensibles au sens de l'article 9 du RGPD (données de santé, données relatives à des mineurs, données judiciaires).</w:t>
      </w:r>
    </w:p>
    <w:p>
      <w:pPr>
        <w:spacing w:before="120"/>
      </w:pPr>
    </w:p>
    <w:p>
      <w:pPr>
        <w:pStyle w:val="Heading2"/>
        <w:spacing w:before="280" w:after="120"/>
      </w:pPr>
      <w:r>
        <w:rPr>
          <w:rFonts w:ascii="Arial" w:cs="Arial" w:eastAsia="Arial" w:hAnsi="Arial"/>
          <w:b/>
          <w:bCs/>
          <w:color w:val="1A1614"/>
          <w:sz w:val="24"/>
          <w:szCs w:val="24"/>
        </w:rPr>
        <w:t xml:space="preserve">3.1 Données d'identification</w:t>
      </w:r>
    </w:p>
    <w:p>
      <w:pPr>
        <w:pStyle w:val="ListParagraph"/>
        <w:numPr>
          <w:ilvl w:val="0"/>
          <w:numId w:val="2"/>
        </w:numPr>
        <w:spacing w:before="60" w:after="60"/>
      </w:pPr>
      <w:r>
        <w:rPr>
          <w:rFonts w:ascii="Arial" w:cs="Arial" w:eastAsia="Arial" w:hAnsi="Arial"/>
          <w:color w:val="1A1614"/>
          <w:sz w:val="20"/>
          <w:szCs w:val="20"/>
        </w:rPr>
        <w:t xml:space="preserve">Prénom du jeune (jamais le nom de famille)</w:t>
      </w:r>
    </w:p>
    <w:p>
      <w:pPr>
        <w:pStyle w:val="ListParagraph"/>
        <w:numPr>
          <w:ilvl w:val="0"/>
          <w:numId w:val="2"/>
        </w:numPr>
        <w:spacing w:before="60" w:after="60"/>
      </w:pPr>
      <w:r>
        <w:rPr>
          <w:rFonts w:ascii="Arial" w:cs="Arial" w:eastAsia="Arial" w:hAnsi="Arial"/>
          <w:color w:val="1A1614"/>
          <w:sz w:val="20"/>
          <w:szCs w:val="20"/>
        </w:rPr>
        <w:t xml:space="preserve">Âge et date de naissance approximative</w:t>
      </w:r>
    </w:p>
    <w:p>
      <w:pPr>
        <w:pStyle w:val="ListParagraph"/>
        <w:numPr>
          <w:ilvl w:val="0"/>
          <w:numId w:val="2"/>
        </w:numPr>
        <w:spacing w:before="60" w:after="60"/>
      </w:pPr>
      <w:r>
        <w:rPr>
          <w:rFonts w:ascii="Arial" w:cs="Arial" w:eastAsia="Arial" w:hAnsi="Arial"/>
          <w:color w:val="1A1614"/>
          <w:sz w:val="20"/>
          <w:szCs w:val="20"/>
        </w:rPr>
        <w:t xml:space="preserve">Pays et région d'origine</w:t>
      </w:r>
    </w:p>
    <w:p>
      <w:pPr>
        <w:pStyle w:val="ListParagraph"/>
        <w:numPr>
          <w:ilvl w:val="0"/>
          <w:numId w:val="2"/>
        </w:numPr>
        <w:spacing w:before="60" w:after="60"/>
      </w:pPr>
      <w:r>
        <w:rPr>
          <w:rFonts w:ascii="Arial" w:cs="Arial" w:eastAsia="Arial" w:hAnsi="Arial"/>
          <w:color w:val="1A1614"/>
          <w:sz w:val="20"/>
          <w:szCs w:val="20"/>
        </w:rPr>
        <w:t xml:space="preserve">Situation administrative actuelle</w:t>
      </w:r>
    </w:p>
    <w:p>
      <w:pPr>
        <w:pStyle w:val="Heading2"/>
        <w:spacing w:before="280" w:after="120"/>
      </w:pPr>
      <w:r>
        <w:rPr>
          <w:rFonts w:ascii="Arial" w:cs="Arial" w:eastAsia="Arial" w:hAnsi="Arial"/>
          <w:b/>
          <w:bCs/>
          <w:color w:val="1A1614"/>
          <w:sz w:val="24"/>
          <w:szCs w:val="24"/>
        </w:rPr>
        <w:t xml:space="preserve">3.2 Données du récit de vie</w:t>
      </w:r>
    </w:p>
    <w:p>
      <w:pPr>
        <w:pStyle w:val="ListParagraph"/>
        <w:numPr>
          <w:ilvl w:val="0"/>
          <w:numId w:val="2"/>
        </w:numPr>
        <w:spacing w:before="60" w:after="60"/>
      </w:pPr>
      <w:r>
        <w:rPr>
          <w:rFonts w:ascii="Arial" w:cs="Arial" w:eastAsia="Arial" w:hAnsi="Arial"/>
          <w:color w:val="1A1614"/>
          <w:sz w:val="20"/>
          <w:szCs w:val="20"/>
        </w:rPr>
        <w:t xml:space="preserve">Texte libre saisi par le jeune (récit non corrigé)</w:t>
      </w:r>
    </w:p>
    <w:p>
      <w:pPr>
        <w:pStyle w:val="ListParagraph"/>
        <w:numPr>
          <w:ilvl w:val="0"/>
          <w:numId w:val="2"/>
        </w:numPr>
        <w:spacing w:before="60" w:after="60"/>
      </w:pPr>
      <w:r>
        <w:rPr>
          <w:rFonts w:ascii="Arial" w:cs="Arial" w:eastAsia="Arial" w:hAnsi="Arial"/>
          <w:color w:val="1A1614"/>
          <w:sz w:val="20"/>
          <w:szCs w:val="20"/>
        </w:rPr>
        <w:t xml:space="preserve">Réponses aux entretiens guidés QUOI → COMMENT</w:t>
      </w:r>
    </w:p>
    <w:p>
      <w:pPr>
        <w:pStyle w:val="ListParagraph"/>
        <w:numPr>
          <w:ilvl w:val="0"/>
          <w:numId w:val="2"/>
        </w:numPr>
        <w:spacing w:before="60" w:after="60"/>
      </w:pPr>
      <w:r>
        <w:rPr>
          <w:rFonts w:ascii="Arial" w:cs="Arial" w:eastAsia="Arial" w:hAnsi="Arial"/>
          <w:color w:val="1A1614"/>
          <w:sz w:val="20"/>
          <w:szCs w:val="20"/>
        </w:rPr>
        <w:t xml:space="preserve">Éléments de parcours d'exil (données sensibles — Art. 9 RGPD)</w:t>
      </w:r>
    </w:p>
    <w:p>
      <w:pPr>
        <w:pStyle w:val="Heading2"/>
        <w:spacing w:before="280" w:after="120"/>
      </w:pPr>
      <w:r>
        <w:rPr>
          <w:rFonts w:ascii="Arial" w:cs="Arial" w:eastAsia="Arial" w:hAnsi="Arial"/>
          <w:b/>
          <w:bCs/>
          <w:color w:val="1A1614"/>
          <w:sz w:val="24"/>
          <w:szCs w:val="24"/>
        </w:rPr>
        <w:t xml:space="preserve">3.3 Données cliniques</w:t>
      </w:r>
    </w:p>
    <w:p>
      <w:pPr>
        <w:pStyle w:val="ListParagraph"/>
        <w:numPr>
          <w:ilvl w:val="0"/>
          <w:numId w:val="2"/>
        </w:numPr>
        <w:spacing w:before="60" w:after="60"/>
      </w:pPr>
      <w:r>
        <w:rPr>
          <w:rFonts w:ascii="Arial" w:cs="Arial" w:eastAsia="Arial" w:hAnsi="Arial"/>
          <w:color w:val="1A1614"/>
          <w:sz w:val="20"/>
          <w:szCs w:val="20"/>
        </w:rPr>
        <w:t xml:space="preserve">Observations du Pilote humain</w:t>
      </w:r>
    </w:p>
    <w:p>
      <w:pPr>
        <w:pStyle w:val="ListParagraph"/>
        <w:numPr>
          <w:ilvl w:val="0"/>
          <w:numId w:val="2"/>
        </w:numPr>
        <w:spacing w:before="60" w:after="60"/>
      </w:pPr>
      <w:r>
        <w:rPr>
          <w:rFonts w:ascii="Arial" w:cs="Arial" w:eastAsia="Arial" w:hAnsi="Arial"/>
          <w:color w:val="1A1614"/>
          <w:sz w:val="20"/>
          <w:szCs w:val="20"/>
        </w:rPr>
        <w:t xml:space="preserve">Alertes de détresse signalées</w:t>
      </w:r>
    </w:p>
    <w:p>
      <w:pPr>
        <w:pStyle w:val="ListParagraph"/>
        <w:numPr>
          <w:ilvl w:val="0"/>
          <w:numId w:val="2"/>
        </w:numPr>
        <w:spacing w:before="60" w:after="60"/>
      </w:pPr>
      <w:r>
        <w:rPr>
          <w:rFonts w:ascii="Arial" w:cs="Arial" w:eastAsia="Arial" w:hAnsi="Arial"/>
          <w:color w:val="1A1614"/>
          <w:sz w:val="20"/>
          <w:szCs w:val="20"/>
        </w:rPr>
        <w:t xml:space="preserve">Notes de supervision et rapports pour le Tribunal</w:t>
      </w:r>
    </w:p>
    <w:p>
      <w:pPr>
        <w:pStyle w:val="Heading2"/>
        <w:spacing w:before="280" w:after="120"/>
      </w:pPr>
      <w:r>
        <w:rPr>
          <w:rFonts w:ascii="Arial" w:cs="Arial" w:eastAsia="Arial" w:hAnsi="Arial"/>
          <w:b/>
          <w:bCs/>
          <w:color w:val="1A1614"/>
          <w:sz w:val="24"/>
          <w:szCs w:val="24"/>
        </w:rPr>
        <w:t xml:space="preserve">3.4 Données techniques</w:t>
      </w:r>
    </w:p>
    <w:p>
      <w:pPr>
        <w:pStyle w:val="ListParagraph"/>
        <w:numPr>
          <w:ilvl w:val="0"/>
          <w:numId w:val="2"/>
        </w:numPr>
        <w:spacing w:before="60" w:after="60"/>
      </w:pPr>
      <w:r>
        <w:rPr>
          <w:rFonts w:ascii="Arial" w:cs="Arial" w:eastAsia="Arial" w:hAnsi="Arial"/>
          <w:color w:val="1A1614"/>
          <w:sz w:val="20"/>
          <w:szCs w:val="20"/>
        </w:rPr>
        <w:t xml:space="preserve">Historiques de conversation (stockés en localStorage navigateur — non transmis au serveur)</w:t>
      </w:r>
    </w:p>
    <w:p>
      <w:pPr>
        <w:pStyle w:val="ListParagraph"/>
        <w:numPr>
          <w:ilvl w:val="0"/>
          <w:numId w:val="2"/>
        </w:numPr>
        <w:spacing w:before="60" w:after="60"/>
      </w:pPr>
      <w:r>
        <w:rPr>
          <w:rFonts w:ascii="Arial" w:cs="Arial" w:eastAsia="Arial" w:hAnsi="Arial"/>
          <w:color w:val="1A1614"/>
          <w:sz w:val="20"/>
          <w:szCs w:val="20"/>
        </w:rPr>
        <w:t xml:space="preserve">Logs de connexion des Pilotes (email, date/heure)</w:t>
      </w:r>
    </w:p>
    <w:p>
      <w:pPr>
        <w:pStyle w:val="ListParagraph"/>
        <w:numPr>
          <w:ilvl w:val="0"/>
          <w:numId w:val="2"/>
        </w:numPr>
        <w:spacing w:before="60" w:after="60"/>
      </w:pPr>
      <w:r>
        <w:rPr>
          <w:rFonts w:ascii="Arial" w:cs="Arial" w:eastAsia="Arial" w:hAnsi="Arial"/>
          <w:color w:val="1A1614"/>
          <w:sz w:val="20"/>
          <w:szCs w:val="20"/>
        </w:rPr>
        <w:t xml:space="preserve">Synthèses vocales générées (non persistées au-delà de la session)</w:t>
      </w:r>
    </w:p>
    <w:p>
      <w:pPr>
        <w:spacing w:before="300"/>
      </w:pPr>
    </w:p>
    <w:p>
      <w:pPr>
        <w:pStyle w:val="Heading1"/>
        <w:pBdr>
          <w:bottom w:val="single" w:color="6B1A2A" w:sz="4"/>
        </w:pBdr>
        <w:spacing w:before="400" w:after="200"/>
      </w:pPr>
      <w:r>
        <w:rPr>
          <w:rFonts w:ascii="Arial" w:cs="Arial" w:eastAsia="Arial" w:hAnsi="Arial"/>
          <w:b/>
          <w:bCs/>
          <w:color w:val="6B1A2A"/>
          <w:sz w:val="28"/>
          <w:szCs w:val="28"/>
        </w:rPr>
        <w:t xml:space="preserve">4. Sous-traitants et transferts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D4A0AA" w:sz="1"/>
              <w:left w:val="single" w:color="D4A0AA" w:sz="1"/>
              <w:bottom w:val="single" w:color="D4A0AA" w:sz="1"/>
              <w:right w:val="single" w:color="D4A0AA" w:sz="1"/>
            </w:tcBorders>
            <w:shd w:fill="6B1A2A" w:val="clear"/>
            <w:tcMar>
              <w:top w:type="dxa" w:w="80"/>
              <w:left w:type="dxa" w:w="120"/>
              <w:bottom w:type="dxa" w:w="80"/>
              <w:right w:type="dxa" w:w="120"/>
            </w:tcMar>
          </w:tcPr>
          <w:p>
            <w:r>
              <w:rPr>
                <w:rFonts w:ascii="Arial" w:cs="Arial" w:eastAsia="Arial" w:hAnsi="Arial"/>
                <w:b/>
                <w:bCs/>
                <w:color w:val="FFFFFF"/>
                <w:sz w:val="18"/>
                <w:szCs w:val="18"/>
              </w:rPr>
              <w:t xml:space="preserve">Sous-traitant</w:t>
            </w:r>
          </w:p>
        </w:tc>
        <w:tc>
          <w:tcPr>
            <w:tcW w:type="dxa" w:w="2500"/>
            <w:tcBorders>
              <w:top w:val="single" w:color="D4A0AA" w:sz="1"/>
              <w:left w:val="single" w:color="D4A0AA" w:sz="1"/>
              <w:bottom w:val="single" w:color="D4A0AA" w:sz="1"/>
              <w:right w:val="single" w:color="D4A0AA" w:sz="1"/>
            </w:tcBorders>
            <w:shd w:fill="6B1A2A"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2000"/>
            <w:tcBorders>
              <w:top w:val="single" w:color="D4A0AA" w:sz="1"/>
              <w:left w:val="single" w:color="D4A0AA" w:sz="1"/>
              <w:bottom w:val="single" w:color="D4A0AA" w:sz="1"/>
              <w:right w:val="single" w:color="D4A0AA" w:sz="1"/>
            </w:tcBorders>
            <w:shd w:fill="6B1A2A" w:val="clear"/>
            <w:tcMar>
              <w:top w:type="dxa" w:w="80"/>
              <w:left w:type="dxa" w:w="120"/>
              <w:bottom w:type="dxa" w:w="80"/>
              <w:right w:type="dxa" w:w="120"/>
            </w:tcMar>
          </w:tcPr>
          <w:p>
            <w:r>
              <w:rPr>
                <w:rFonts w:ascii="Arial" w:cs="Arial" w:eastAsia="Arial" w:hAnsi="Arial"/>
                <w:b/>
                <w:bCs/>
                <w:color w:val="FFFFFF"/>
                <w:sz w:val="18"/>
                <w:szCs w:val="18"/>
              </w:rPr>
              <w:t xml:space="preserve">Localisation</w:t>
            </w:r>
          </w:p>
        </w:tc>
        <w:tc>
          <w:tcPr>
            <w:tcW w:type="dxa" w:w="2026"/>
            <w:tcBorders>
              <w:top w:val="single" w:color="D4A0AA" w:sz="1"/>
              <w:left w:val="single" w:color="D4A0AA" w:sz="1"/>
              <w:bottom w:val="single" w:color="D4A0AA" w:sz="1"/>
              <w:right w:val="single" w:color="D4A0AA" w:sz="1"/>
            </w:tcBorders>
            <w:shd w:fill="6B1A2A" w:val="clear"/>
            <w:tcMar>
              <w:top w:type="dxa" w:w="80"/>
              <w:left w:type="dxa" w:w="120"/>
              <w:bottom w:type="dxa" w:w="80"/>
              <w:right w:type="dxa" w:w="120"/>
            </w:tcMar>
          </w:tcPr>
          <w:p>
            <w:r>
              <w:rPr>
                <w:rFonts w:ascii="Arial" w:cs="Arial" w:eastAsia="Arial" w:hAnsi="Arial"/>
                <w:b/>
                <w:bCs/>
                <w:color w:val="FFFFFF"/>
                <w:sz w:val="18"/>
                <w:szCs w:val="18"/>
              </w:rPr>
              <w:t xml:space="preserve">Garanties</w:t>
            </w:r>
          </w:p>
        </w:tc>
      </w:tr>
      <w:tr>
        <w:tc>
          <w:tcPr>
            <w:tcW w:type="dxa" w:w="250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Anthropic (Claude API)</w:t>
            </w:r>
          </w:p>
        </w:tc>
        <w:tc>
          <w:tcPr>
            <w:tcW w:type="dxa" w:w="250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Traitement IA des conversations</w:t>
            </w:r>
          </w:p>
        </w:tc>
        <w:tc>
          <w:tcPr>
            <w:tcW w:type="dxa" w:w="200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USA — CCT</w:t>
            </w:r>
          </w:p>
        </w:tc>
        <w:tc>
          <w:tcPr>
            <w:tcW w:type="dxa" w:w="2026"/>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b/>
                <w:bCs/>
                <w:color w:val="6B1A2A"/>
                <w:sz w:val="18"/>
                <w:szCs w:val="18"/>
              </w:rPr>
              <w:t xml:space="preserve">DPA + anonymisation requise</w:t>
            </w:r>
          </w:p>
        </w:tc>
      </w:tr>
      <w:tr>
        <w:tc>
          <w:tcPr>
            <w:tcW w:type="dxa" w:w="25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Vercel (hébergement)</w:t>
            </w:r>
          </w:p>
        </w:tc>
        <w:tc>
          <w:tcPr>
            <w:tcW w:type="dxa" w:w="25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Hébergement de l'application</w:t>
            </w:r>
          </w:p>
        </w:tc>
        <w:tc>
          <w:tcPr>
            <w:tcW w:type="dxa" w:w="2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USA — CCT</w:t>
            </w:r>
          </w:p>
        </w:tc>
        <w:tc>
          <w:tcPr>
            <w:tcW w:type="dxa" w:w="2026"/>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color w:val="1A1614"/>
                <w:sz w:val="18"/>
                <w:szCs w:val="18"/>
              </w:rPr>
              <w:t xml:space="preserve">Chiffrement HTTPS + Protection Vercel</w:t>
            </w:r>
          </w:p>
        </w:tc>
      </w:tr>
    </w:tbl>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AA" w:sz="1"/>
              <w:left w:val="single" w:color="D4A0AA" w:sz="1"/>
              <w:bottom w:val="single" w:color="D4A0AA" w:sz="1"/>
              <w:right w:val="single" w:color="D4A0AA" w:sz="1"/>
            </w:tcBorders>
            <w:shd w:fill="FEF3C7" w:val="clear"/>
            <w:tcMar>
              <w:top w:type="dxa" w:w="120"/>
              <w:left w:type="dxa" w:w="200"/>
              <w:bottom w:type="dxa" w:w="120"/>
              <w:right w:type="dxa" w:w="200"/>
            </w:tcMar>
          </w:tcPr>
          <w:p>
            <w:r>
              <w:rPr>
                <w:rFonts w:ascii="Arial" w:cs="Arial" w:eastAsia="Arial" w:hAnsi="Arial"/>
                <w:b/>
                <w:bCs/>
                <w:color w:val="B45309"/>
                <w:sz w:val="18"/>
                <w:szCs w:val="18"/>
              </w:rPr>
              <w:t xml:space="preserve">⚠  ACTION REQUISE — Anonymisation des données MNA</w:t>
            </w:r>
          </w:p>
          <w:p>
            <w:pPr>
              <w:spacing w:before="60"/>
            </w:pPr>
            <w:r>
              <w:rPr>
                <w:rFonts w:ascii="Arial" w:cs="Arial" w:eastAsia="Arial" w:hAnsi="Arial"/>
                <w:color w:val="1A1614"/>
                <w:sz w:val="18"/>
                <w:szCs w:val="18"/>
              </w:rPr>
              <w:t xml:space="preserve">Les récits envoyés à l'API Anthropic ne doivent pas contenir de données permettant d'identifier le jeune. Le Pilote doit s'assurer que les prénoms, lieux précis et dates exactes sont remplacés par des pseudonymes avant toute transmission à l'IA.</w:t>
            </w:r>
          </w:p>
        </w:tc>
      </w:tr>
    </w:tbl>
    <w:p>
      <w:pPr>
        <w:spacing w:before="300"/>
      </w:pPr>
    </w:p>
    <w:p>
      <w:pPr>
        <w:pStyle w:val="Heading1"/>
        <w:pBdr>
          <w:bottom w:val="single" w:color="6B1A2A" w:sz="4"/>
        </w:pBdr>
        <w:spacing w:before="400" w:after="200"/>
      </w:pPr>
      <w:r>
        <w:rPr>
          <w:rFonts w:ascii="Arial" w:cs="Arial" w:eastAsia="Arial" w:hAnsi="Arial"/>
          <w:b/>
          <w:bCs/>
          <w:color w:val="6B1A2A"/>
          <w:sz w:val="28"/>
          <w:szCs w:val="28"/>
        </w:rPr>
        <w:t xml:space="preserve">5. Droits des personnes concernées</w:t>
      </w:r>
    </w:p>
    <w:p>
      <w:pPr>
        <w:spacing w:before="80" w:after="80"/>
      </w:pPr>
      <w:r>
        <w:rPr>
          <w:rFonts w:ascii="Arial" w:cs="Arial" w:eastAsia="Arial" w:hAnsi="Arial"/>
          <w:b w:val="false"/>
          <w:bCs w:val="false"/>
          <w:i w:val="false"/>
          <w:iCs w:val="false"/>
          <w:color w:val="1A1614"/>
          <w:sz w:val="20"/>
          <w:szCs w:val="20"/>
        </w:rPr>
        <w:t xml:space="preserve">Conformément aux articles 15 à 22 du RGPD, les personnes concernées (ou leurs représentants légaux pour les mineurs) disposent des droits suivants :</w:t>
      </w:r>
    </w:p>
    <w:p>
      <w:pPr>
        <w:spacing w:before="120"/>
      </w:pPr>
    </w:p>
    <w:p>
      <w:pPr>
        <w:pStyle w:val="ListParagraph"/>
        <w:numPr>
          <w:ilvl w:val="0"/>
          <w:numId w:val="2"/>
        </w:numPr>
        <w:spacing w:before="60" w:after="60"/>
      </w:pPr>
      <w:r>
        <w:rPr>
          <w:rFonts w:ascii="Arial" w:cs="Arial" w:eastAsia="Arial" w:hAnsi="Arial"/>
          <w:color w:val="1A1614"/>
          <w:sz w:val="20"/>
          <w:szCs w:val="20"/>
        </w:rPr>
        <w:t xml:space="preserve">Droit d'accès aux données les concernant (Art. 15)</w:t>
      </w:r>
    </w:p>
    <w:p>
      <w:pPr>
        <w:pStyle w:val="ListParagraph"/>
        <w:numPr>
          <w:ilvl w:val="0"/>
          <w:numId w:val="2"/>
        </w:numPr>
        <w:spacing w:before="60" w:after="60"/>
      </w:pPr>
      <w:r>
        <w:rPr>
          <w:rFonts w:ascii="Arial" w:cs="Arial" w:eastAsia="Arial" w:hAnsi="Arial"/>
          <w:color w:val="1A1614"/>
          <w:sz w:val="20"/>
          <w:szCs w:val="20"/>
        </w:rPr>
        <w:t xml:space="preserve">Droit de rectification des données inexactes (Art. 16)</w:t>
      </w:r>
    </w:p>
    <w:p>
      <w:pPr>
        <w:pStyle w:val="ListParagraph"/>
        <w:numPr>
          <w:ilvl w:val="0"/>
          <w:numId w:val="2"/>
        </w:numPr>
        <w:spacing w:before="60" w:after="60"/>
      </w:pPr>
      <w:r>
        <w:rPr>
          <w:rFonts w:ascii="Arial" w:cs="Arial" w:eastAsia="Arial" w:hAnsi="Arial"/>
          <w:color w:val="1A1614"/>
          <w:sz w:val="20"/>
          <w:szCs w:val="20"/>
        </w:rPr>
        <w:t xml:space="preserve">Droit à l'effacement (« droit à l'oubli ») sous conditions (Art. 17)</w:t>
      </w:r>
    </w:p>
    <w:p>
      <w:pPr>
        <w:pStyle w:val="ListParagraph"/>
        <w:numPr>
          <w:ilvl w:val="0"/>
          <w:numId w:val="2"/>
        </w:numPr>
        <w:spacing w:before="60" w:after="60"/>
      </w:pPr>
      <w:r>
        <w:rPr>
          <w:rFonts w:ascii="Arial" w:cs="Arial" w:eastAsia="Arial" w:hAnsi="Arial"/>
          <w:color w:val="1A1614"/>
          <w:sz w:val="20"/>
          <w:szCs w:val="20"/>
        </w:rPr>
        <w:t xml:space="preserve">Droit à la limitation du traitement (Art. 18)</w:t>
      </w:r>
    </w:p>
    <w:p>
      <w:pPr>
        <w:pStyle w:val="ListParagraph"/>
        <w:numPr>
          <w:ilvl w:val="0"/>
          <w:numId w:val="2"/>
        </w:numPr>
        <w:spacing w:before="60" w:after="60"/>
      </w:pPr>
      <w:r>
        <w:rPr>
          <w:rFonts w:ascii="Arial" w:cs="Arial" w:eastAsia="Arial" w:hAnsi="Arial"/>
          <w:color w:val="1A1614"/>
          <w:sz w:val="20"/>
          <w:szCs w:val="20"/>
        </w:rPr>
        <w:t xml:space="preserve">Droit à la portabilité des données (Art. 20)</w:t>
      </w:r>
    </w:p>
    <w:p>
      <w:pPr>
        <w:pStyle w:val="ListParagraph"/>
        <w:numPr>
          <w:ilvl w:val="0"/>
          <w:numId w:val="2"/>
        </w:numPr>
        <w:spacing w:before="60" w:after="60"/>
      </w:pPr>
      <w:r>
        <w:rPr>
          <w:rFonts w:ascii="Arial" w:cs="Arial" w:eastAsia="Arial" w:hAnsi="Arial"/>
          <w:color w:val="1A1614"/>
          <w:sz w:val="20"/>
          <w:szCs w:val="20"/>
        </w:rPr>
        <w:t xml:space="preserve">Droit d'opposition au traitement (Art. 21)</w:t>
      </w:r>
    </w:p>
    <w:p>
      <w:pPr>
        <w:spacing w:before="120"/>
      </w:pPr>
    </w:p>
    <w:p>
      <w:pPr>
        <w:spacing w:before="80" w:after="80"/>
      </w:pPr>
      <w:r>
        <w:rPr>
          <w:rFonts w:ascii="Arial" w:cs="Arial" w:eastAsia="Arial" w:hAnsi="Arial"/>
          <w:b w:val="false"/>
          <w:bCs w:val="false"/>
          <w:i w:val="false"/>
          <w:iCs w:val="false"/>
          <w:color w:val="1A1614"/>
          <w:sz w:val="20"/>
          <w:szCs w:val="20"/>
        </w:rPr>
        <w:t xml:space="preserve">Pour exercer ces droits, contacter le responsable du traitement : Tribunal pour Enfants de Toulouse.</w:t>
      </w:r>
    </w:p>
    <w:p>
      <w:pPr>
        <w:spacing w:before="80" w:after="80"/>
      </w:pPr>
      <w:r>
        <w:rPr>
          <w:rFonts w:ascii="Arial" w:cs="Arial" w:eastAsia="Arial" w:hAnsi="Arial"/>
          <w:b w:val="false"/>
          <w:bCs w:val="false"/>
          <w:i/>
          <w:iCs/>
          <w:color w:val="888078"/>
          <w:sz w:val="20"/>
          <w:szCs w:val="20"/>
        </w:rPr>
        <w:t xml:space="preserve">En cas de litige : CNIL — www.cnil.fr — 3 Place de Fontenoy, 75007 Paris.</w:t>
      </w:r>
    </w:p>
    <w:p>
      <w:pPr>
        <w:spacing w:before="300"/>
      </w:pPr>
    </w:p>
    <w:p>
      <w:pPr>
        <w:pStyle w:val="Heading1"/>
        <w:pBdr>
          <w:bottom w:val="single" w:color="6B1A2A" w:sz="4"/>
        </w:pBdr>
        <w:spacing w:before="400" w:after="200"/>
      </w:pPr>
      <w:r>
        <w:rPr>
          <w:rFonts w:ascii="Arial" w:cs="Arial" w:eastAsia="Arial" w:hAnsi="Arial"/>
          <w:b/>
          <w:bCs/>
          <w:color w:val="6B1A2A"/>
          <w:sz w:val="28"/>
          <w:szCs w:val="28"/>
        </w:rPr>
        <w:t xml:space="preserve">6. Mesures de sécurité techniques et organisationnelles</w:t>
      </w:r>
    </w:p>
    <w:p>
      <w:pPr>
        <w:pStyle w:val="Heading2"/>
        <w:spacing w:before="280" w:after="120"/>
      </w:pPr>
      <w:r>
        <w:rPr>
          <w:rFonts w:ascii="Arial" w:cs="Arial" w:eastAsia="Arial" w:hAnsi="Arial"/>
          <w:b/>
          <w:bCs/>
          <w:color w:val="1A1614"/>
          <w:sz w:val="24"/>
          <w:szCs w:val="24"/>
        </w:rPr>
        <w:t xml:space="preserve">6.1 Mesures techniques en place</w:t>
      </w:r>
    </w:p>
    <w:p>
      <w:pPr>
        <w:pStyle w:val="ListParagraph"/>
        <w:numPr>
          <w:ilvl w:val="0"/>
          <w:numId w:val="2"/>
        </w:numPr>
        <w:spacing w:before="60" w:after="60"/>
      </w:pPr>
      <w:r>
        <w:rPr>
          <w:rFonts w:ascii="Arial" w:cs="Arial" w:eastAsia="Arial" w:hAnsi="Arial"/>
          <w:color w:val="1A1614"/>
          <w:sz w:val="20"/>
          <w:szCs w:val="20"/>
        </w:rPr>
        <w:t xml:space="preserve">Chiffrement HTTPS (TLS 1.3) sur l'ensemble des communications</w:t>
      </w:r>
    </w:p>
    <w:p>
      <w:pPr>
        <w:pStyle w:val="ListParagraph"/>
        <w:numPr>
          <w:ilvl w:val="0"/>
          <w:numId w:val="2"/>
        </w:numPr>
        <w:spacing w:before="60" w:after="60"/>
      </w:pPr>
      <w:r>
        <w:rPr>
          <w:rFonts w:ascii="Arial" w:cs="Arial" w:eastAsia="Arial" w:hAnsi="Arial"/>
          <w:color w:val="1A1614"/>
          <w:sz w:val="20"/>
          <w:szCs w:val="20"/>
        </w:rPr>
        <w:t xml:space="preserve">Clé API Anthropic stockée côté serveur uniquement (variable d'environnement Vercel)</w:t>
      </w:r>
    </w:p>
    <w:p>
      <w:pPr>
        <w:pStyle w:val="ListParagraph"/>
        <w:numPr>
          <w:ilvl w:val="0"/>
          <w:numId w:val="2"/>
        </w:numPr>
        <w:spacing w:before="60" w:after="60"/>
      </w:pPr>
      <w:r>
        <w:rPr>
          <w:rFonts w:ascii="Arial" w:cs="Arial" w:eastAsia="Arial" w:hAnsi="Arial"/>
          <w:color w:val="1A1614"/>
          <w:sz w:val="20"/>
          <w:szCs w:val="20"/>
        </w:rPr>
        <w:t xml:space="preserve">Authentification des Pilotes par email institutionnel @tribunal-toulouse.fr</w:t>
      </w:r>
    </w:p>
    <w:p>
      <w:pPr>
        <w:pStyle w:val="ListParagraph"/>
        <w:numPr>
          <w:ilvl w:val="0"/>
          <w:numId w:val="2"/>
        </w:numPr>
        <w:spacing w:before="60" w:after="60"/>
      </w:pPr>
      <w:r>
        <w:rPr>
          <w:rFonts w:ascii="Arial" w:cs="Arial" w:eastAsia="Arial" w:hAnsi="Arial"/>
          <w:color w:val="1A1614"/>
          <w:sz w:val="20"/>
          <w:szCs w:val="20"/>
        </w:rPr>
        <w:t xml:space="preserve">Données de conversation stockées en localStorage navigateur — non transmises au serveur</w:t>
      </w:r>
    </w:p>
    <w:p>
      <w:pPr>
        <w:pStyle w:val="ListParagraph"/>
        <w:numPr>
          <w:ilvl w:val="0"/>
          <w:numId w:val="2"/>
        </w:numPr>
        <w:spacing w:before="60" w:after="60"/>
      </w:pPr>
      <w:r>
        <w:rPr>
          <w:rFonts w:ascii="Arial" w:cs="Arial" w:eastAsia="Arial" w:hAnsi="Arial"/>
          <w:color w:val="1A1614"/>
          <w:sz w:val="20"/>
          <w:szCs w:val="20"/>
        </w:rPr>
        <w:t xml:space="preserve">Hachage SHA-256 des mots de passe provisoires</w:t>
      </w:r>
    </w:p>
    <w:p>
      <w:pPr>
        <w:pStyle w:val="ListParagraph"/>
        <w:numPr>
          <w:ilvl w:val="0"/>
          <w:numId w:val="2"/>
        </w:numPr>
        <w:spacing w:before="60" w:after="60"/>
      </w:pPr>
      <w:r>
        <w:rPr>
          <w:rFonts w:ascii="Arial" w:cs="Arial" w:eastAsia="Arial" w:hAnsi="Arial"/>
          <w:color w:val="1A1614"/>
          <w:sz w:val="20"/>
          <w:szCs w:val="20"/>
        </w:rPr>
        <w:t xml:space="preserve">Protection d'accès Vercel (Deployment Protection activée)</w:t>
      </w:r>
    </w:p>
    <w:p>
      <w:pPr>
        <w:pStyle w:val="Heading2"/>
        <w:spacing w:before="280" w:after="120"/>
      </w:pPr>
      <w:r>
        <w:rPr>
          <w:rFonts w:ascii="Arial" w:cs="Arial" w:eastAsia="Arial" w:hAnsi="Arial"/>
          <w:b/>
          <w:bCs/>
          <w:color w:val="1A1614"/>
          <w:sz w:val="24"/>
          <w:szCs w:val="24"/>
        </w:rPr>
        <w:t xml:space="preserve">6.2 Mesures organisationnelles</w:t>
      </w:r>
    </w:p>
    <w:p>
      <w:pPr>
        <w:pStyle w:val="ListParagraph"/>
        <w:numPr>
          <w:ilvl w:val="0"/>
          <w:numId w:val="2"/>
        </w:numPr>
        <w:spacing w:before="60" w:after="60"/>
      </w:pPr>
      <w:r>
        <w:rPr>
          <w:rFonts w:ascii="Arial" w:cs="Arial" w:eastAsia="Arial" w:hAnsi="Arial"/>
          <w:color w:val="1A1614"/>
          <w:sz w:val="20"/>
          <w:szCs w:val="20"/>
        </w:rPr>
        <w:t xml:space="preserve">Accès strictement limité aux Pilotes habilités par le Tribunal</w:t>
      </w:r>
    </w:p>
    <w:p>
      <w:pPr>
        <w:pStyle w:val="ListParagraph"/>
        <w:numPr>
          <w:ilvl w:val="0"/>
          <w:numId w:val="2"/>
        </w:numPr>
        <w:spacing w:before="60" w:after="60"/>
      </w:pPr>
      <w:r>
        <w:rPr>
          <w:rFonts w:ascii="Arial" w:cs="Arial" w:eastAsia="Arial" w:hAnsi="Arial"/>
          <w:color w:val="1A1614"/>
          <w:sz w:val="20"/>
          <w:szCs w:val="20"/>
        </w:rPr>
        <w:t xml:space="preserve">Formation des Pilotes aux obligations de confidentialité</w:t>
      </w:r>
    </w:p>
    <w:p>
      <w:pPr>
        <w:pStyle w:val="ListParagraph"/>
        <w:numPr>
          <w:ilvl w:val="0"/>
          <w:numId w:val="2"/>
        </w:numPr>
        <w:spacing w:before="60" w:after="60"/>
      </w:pPr>
      <w:r>
        <w:rPr>
          <w:rFonts w:ascii="Arial" w:cs="Arial" w:eastAsia="Arial" w:hAnsi="Arial"/>
          <w:color w:val="1A1614"/>
          <w:sz w:val="20"/>
          <w:szCs w:val="20"/>
        </w:rPr>
        <w:t xml:space="preserve">Pas de stockage de données nominatives sur les serveurs de l'application</w:t>
      </w:r>
    </w:p>
    <w:p>
      <w:pPr>
        <w:pStyle w:val="ListParagraph"/>
        <w:numPr>
          <w:ilvl w:val="0"/>
          <w:numId w:val="2"/>
        </w:numPr>
        <w:spacing w:before="60" w:after="60"/>
      </w:pPr>
      <w:r>
        <w:rPr>
          <w:rFonts w:ascii="Arial" w:cs="Arial" w:eastAsia="Arial" w:hAnsi="Arial"/>
          <w:color w:val="1A1614"/>
          <w:sz w:val="20"/>
          <w:szCs w:val="20"/>
        </w:rPr>
        <w:t xml:space="preserve">Anonymisation des données avant transmission à l'IA (voir section 4)</w:t>
      </w:r>
    </w:p>
    <w:p>
      <w:pPr>
        <w:pStyle w:val="Heading2"/>
        <w:spacing w:before="280" w:after="120"/>
      </w:pPr>
      <w:r>
        <w:rPr>
          <w:rFonts w:ascii="Arial" w:cs="Arial" w:eastAsia="Arial" w:hAnsi="Arial"/>
          <w:b/>
          <w:bCs/>
          <w:color w:val="1A1614"/>
          <w:sz w:val="24"/>
          <w:szCs w:val="24"/>
        </w:rPr>
        <w:t xml:space="preserve">6.3 Mesures à mettre en place (roadmap)</w:t>
      </w:r>
    </w:p>
    <w:p>
      <w:pPr>
        <w:pStyle w:val="ListParagraph"/>
        <w:numPr>
          <w:ilvl w:val="0"/>
          <w:numId w:val="2"/>
        </w:numPr>
        <w:spacing w:before="60" w:after="60"/>
      </w:pPr>
      <w:r>
        <w:rPr>
          <w:rFonts w:ascii="Arial" w:cs="Arial" w:eastAsia="Arial" w:hAnsi="Arial"/>
          <w:color w:val="1A1614"/>
          <w:sz w:val="20"/>
          <w:szCs w:val="20"/>
        </w:rPr>
        <w:t xml:space="preserve">Migration vers authentification Azure AD (@tribunal-toulouse.fr) — en cours</w:t>
      </w:r>
    </w:p>
    <w:p>
      <w:pPr>
        <w:pStyle w:val="ListParagraph"/>
        <w:numPr>
          <w:ilvl w:val="0"/>
          <w:numId w:val="2"/>
        </w:numPr>
        <w:spacing w:before="60" w:after="60"/>
      </w:pPr>
      <w:r>
        <w:rPr>
          <w:rFonts w:ascii="Arial" w:cs="Arial" w:eastAsia="Arial" w:hAnsi="Arial"/>
          <w:color w:val="1A1614"/>
          <w:sz w:val="20"/>
          <w:szCs w:val="20"/>
        </w:rPr>
        <w:t xml:space="preserve">Chiffrement du localStorage côté navigateur — prévu</w:t>
      </w:r>
    </w:p>
    <w:p>
      <w:pPr>
        <w:pStyle w:val="ListParagraph"/>
        <w:numPr>
          <w:ilvl w:val="0"/>
          <w:numId w:val="2"/>
        </w:numPr>
        <w:spacing w:before="60" w:after="60"/>
      </w:pPr>
      <w:r>
        <w:rPr>
          <w:rFonts w:ascii="Arial" w:cs="Arial" w:eastAsia="Arial" w:hAnsi="Arial"/>
          <w:color w:val="1A1614"/>
          <w:sz w:val="20"/>
          <w:szCs w:val="20"/>
        </w:rPr>
        <w:t xml:space="preserve">Audit de sécurité par le service informatique du Tribunal — à planifier</w:t>
      </w:r>
    </w:p>
    <w:p>
      <w:pPr>
        <w:pStyle w:val="ListParagraph"/>
        <w:numPr>
          <w:ilvl w:val="0"/>
          <w:numId w:val="2"/>
        </w:numPr>
        <w:spacing w:before="60" w:after="60"/>
      </w:pPr>
      <w:r>
        <w:rPr>
          <w:rFonts w:ascii="Arial" w:cs="Arial" w:eastAsia="Arial" w:hAnsi="Arial"/>
          <w:color w:val="1A1614"/>
          <w:sz w:val="20"/>
          <w:szCs w:val="20"/>
        </w:rPr>
        <w:t xml:space="preserve">Désignation d'un DPO — à initier</w:t>
      </w:r>
    </w:p>
    <w:p>
      <w:pPr>
        <w:spacing w:before="300"/>
      </w:pPr>
    </w:p>
    <w:p>
      <w:pPr>
        <w:pStyle w:val="Heading1"/>
        <w:pBdr>
          <w:bottom w:val="single" w:color="6B1A2A" w:sz="4"/>
        </w:pBdr>
        <w:spacing w:before="400" w:after="200"/>
      </w:pPr>
      <w:r>
        <w:rPr>
          <w:rFonts w:ascii="Arial" w:cs="Arial" w:eastAsia="Arial" w:hAnsi="Arial"/>
          <w:b/>
          <w:bCs/>
          <w:color w:val="6B1A2A"/>
          <w:sz w:val="28"/>
          <w:szCs w:val="28"/>
        </w:rPr>
        <w:t xml:space="preserve">7. Procédure en cas de violation de données</w:t>
      </w:r>
    </w:p>
    <w:p>
      <w:pPr>
        <w:spacing w:before="80" w:after="80"/>
      </w:pPr>
      <w:r>
        <w:rPr>
          <w:rFonts w:ascii="Arial" w:cs="Arial" w:eastAsia="Arial" w:hAnsi="Arial"/>
          <w:b w:val="false"/>
          <w:bCs w:val="false"/>
          <w:i w:val="false"/>
          <w:iCs w:val="false"/>
          <w:color w:val="1A1614"/>
          <w:sz w:val="20"/>
          <w:szCs w:val="20"/>
        </w:rPr>
        <w:t xml:space="preserve">En cas de violation de données personnelles, le responsable du traitement doit :</w:t>
      </w:r>
    </w:p>
    <w:p>
      <w:pPr>
        <w:spacing w:before="120"/>
      </w:pPr>
    </w:p>
    <w:p>
      <w:pPr>
        <w:pStyle w:val="ListParagraph"/>
        <w:numPr>
          <w:ilvl w:val="0"/>
          <w:numId w:val="2"/>
        </w:numPr>
        <w:spacing w:before="60" w:after="60"/>
      </w:pPr>
      <w:r>
        <w:rPr>
          <w:rFonts w:ascii="Arial" w:cs="Arial" w:eastAsia="Arial" w:hAnsi="Arial"/>
          <w:color w:val="1A1614"/>
          <w:sz w:val="20"/>
          <w:szCs w:val="20"/>
        </w:rPr>
        <w:t xml:space="preserve">Notifier la CNIL dans les 72 heures (Art. 33 RGPD)</w:t>
      </w:r>
    </w:p>
    <w:p>
      <w:pPr>
        <w:pStyle w:val="ListParagraph"/>
        <w:numPr>
          <w:ilvl w:val="0"/>
          <w:numId w:val="2"/>
        </w:numPr>
        <w:spacing w:before="60" w:after="60"/>
      </w:pPr>
      <w:r>
        <w:rPr>
          <w:rFonts w:ascii="Arial" w:cs="Arial" w:eastAsia="Arial" w:hAnsi="Arial"/>
          <w:color w:val="1A1614"/>
          <w:sz w:val="20"/>
          <w:szCs w:val="20"/>
        </w:rPr>
        <w:t xml:space="preserve">Notifier les personnes concernées si la violation présente un risque élevé (Art. 34 RGPD)</w:t>
      </w:r>
    </w:p>
    <w:p>
      <w:pPr>
        <w:pStyle w:val="ListParagraph"/>
        <w:numPr>
          <w:ilvl w:val="0"/>
          <w:numId w:val="2"/>
        </w:numPr>
        <w:spacing w:before="60" w:after="60"/>
      </w:pPr>
      <w:r>
        <w:rPr>
          <w:rFonts w:ascii="Arial" w:cs="Arial" w:eastAsia="Arial" w:hAnsi="Arial"/>
          <w:color w:val="1A1614"/>
          <w:sz w:val="20"/>
          <w:szCs w:val="20"/>
        </w:rPr>
        <w:t xml:space="preserve">Documenter la violation dans le registre des incidents</w:t>
      </w:r>
    </w:p>
    <w:p>
      <w:pPr>
        <w:pStyle w:val="ListParagraph"/>
        <w:numPr>
          <w:ilvl w:val="0"/>
          <w:numId w:val="2"/>
        </w:numPr>
        <w:spacing w:before="60" w:after="60"/>
      </w:pPr>
      <w:r>
        <w:rPr>
          <w:rFonts w:ascii="Arial" w:cs="Arial" w:eastAsia="Arial" w:hAnsi="Arial"/>
          <w:color w:val="1A1614"/>
          <w:sz w:val="20"/>
          <w:szCs w:val="20"/>
        </w:rPr>
        <w:t xml:space="preserve">Mettre en place des mesures correctives immédiates</w:t>
      </w:r>
    </w:p>
    <w:p>
      <w:pPr>
        <w:spacing w:before="120"/>
      </w:pPr>
    </w:p>
    <w:p>
      <w:pPr>
        <w:spacing w:before="80" w:after="80"/>
      </w:pPr>
      <w:r>
        <w:rPr>
          <w:rFonts w:ascii="Arial" w:cs="Arial" w:eastAsia="Arial" w:hAnsi="Arial"/>
          <w:b w:val="false"/>
          <w:bCs w:val="false"/>
          <w:i w:val="false"/>
          <w:iCs w:val="false"/>
          <w:color w:val="1A1614"/>
          <w:sz w:val="20"/>
          <w:szCs w:val="20"/>
        </w:rPr>
        <w:t xml:space="preserve">Contact en cas d'incident : À compléter — service informatique du Tribunal pour Enfants de Toulouse.</w:t>
      </w:r>
    </w:p>
    <w:p>
      <w:pPr>
        <w:spacing w:before="300"/>
      </w:pPr>
    </w:p>
    <w:p>
      <w:pPr>
        <w:pStyle w:val="Heading1"/>
        <w:pBdr>
          <w:bottom w:val="single" w:color="6B1A2A" w:sz="4"/>
        </w:pBdr>
        <w:spacing w:before="400" w:after="200"/>
      </w:pPr>
      <w:r>
        <w:rPr>
          <w:rFonts w:ascii="Arial" w:cs="Arial" w:eastAsia="Arial" w:hAnsi="Arial"/>
          <w:b/>
          <w:bCs/>
          <w:color w:val="6B1A2A"/>
          <w:sz w:val="28"/>
          <w:szCs w:val="28"/>
        </w:rPr>
        <w:t xml:space="preserve">8. Mentions légales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4A0AA" w:sz="1"/>
              <w:left w:val="single" w:color="D4A0AA" w:sz="1"/>
              <w:bottom w:val="single" w:color="D4A0AA" w:sz="1"/>
              <w:right w:val="single" w:color="D4A0AA" w:sz="1"/>
            </w:tcBorders>
            <w:shd w:fill="F4E8EB" w:val="clear"/>
            <w:tcMar>
              <w:top w:type="dxa" w:w="80"/>
              <w:left w:type="dxa" w:w="120"/>
              <w:bottom w:type="dxa" w:w="80"/>
              <w:right w:type="dxa" w:w="120"/>
            </w:tcMar>
          </w:tcPr>
          <w:p>
            <w:r>
              <w:rPr>
                <w:rFonts w:ascii="Arial" w:cs="Arial" w:eastAsia="Arial" w:hAnsi="Arial"/>
                <w:b/>
                <w:bCs/>
                <w:color w:val="6B1A2A"/>
                <w:sz w:val="18"/>
                <w:szCs w:val="18"/>
              </w:rPr>
              <w:t xml:space="preserve">Éditeur</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Si Mohamed ANAYA — Tribunal pour Enfants de Toulouse</w:t>
            </w:r>
          </w:p>
        </w:tc>
      </w:tr>
      <w:tr>
        <w:tc>
          <w:tcPr>
            <w:tcW w:type="dxa" w:w="3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b/>
                <w:bCs/>
                <w:color w:val="6B1A2A"/>
                <w:sz w:val="18"/>
                <w:szCs w:val="18"/>
              </w:rPr>
              <w:t xml:space="preserve">Hébergeur</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Vercel Inc. — 340 Pine Street, San Francisco, CA 94104, USA</w:t>
            </w:r>
          </w:p>
        </w:tc>
      </w:tr>
      <w:tr>
        <w:tc>
          <w:tcPr>
            <w:tcW w:type="dxa" w:w="3000"/>
            <w:tcBorders>
              <w:top w:val="single" w:color="D4A0AA" w:sz="1"/>
              <w:left w:val="single" w:color="D4A0AA" w:sz="1"/>
              <w:bottom w:val="single" w:color="D4A0AA" w:sz="1"/>
              <w:right w:val="single" w:color="D4A0AA" w:sz="1"/>
            </w:tcBorders>
            <w:shd w:fill="F4E8EB" w:val="clear"/>
            <w:tcMar>
              <w:top w:type="dxa" w:w="80"/>
              <w:left w:type="dxa" w:w="120"/>
              <w:bottom w:type="dxa" w:w="80"/>
              <w:right w:type="dxa" w:w="120"/>
            </w:tcMar>
          </w:tcPr>
          <w:p>
            <w:r>
              <w:rPr>
                <w:rFonts w:ascii="Arial" w:cs="Arial" w:eastAsia="Arial" w:hAnsi="Arial"/>
                <w:b/>
                <w:bCs/>
                <w:color w:val="6B1A2A"/>
                <w:sz w:val="18"/>
                <w:szCs w:val="18"/>
              </w:rPr>
              <w:t xml:space="preserve">IA utilisée</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Anthropic Claude (claude-sonnet-4-20250514) — usage clinique supervisé</w:t>
            </w:r>
          </w:p>
        </w:tc>
      </w:tr>
      <w:tr>
        <w:tc>
          <w:tcPr>
            <w:tcW w:type="dxa" w:w="3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b/>
                <w:bCs/>
                <w:color w:val="6B1A2A"/>
                <w:sz w:val="18"/>
                <w:szCs w:val="18"/>
              </w:rPr>
              <w:t xml:space="preserve">Cadre légal</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Ordonnance du 2 février 1945 relative à l'enfance délinquante</w:t>
            </w:r>
          </w:p>
        </w:tc>
      </w:tr>
      <w:tr>
        <w:tc>
          <w:tcPr>
            <w:tcW w:type="dxa" w:w="3000"/>
            <w:tcBorders>
              <w:top w:val="single" w:color="D4A0AA" w:sz="1"/>
              <w:left w:val="single" w:color="D4A0AA" w:sz="1"/>
              <w:bottom w:val="single" w:color="D4A0AA" w:sz="1"/>
              <w:right w:val="single" w:color="D4A0AA" w:sz="1"/>
            </w:tcBorders>
            <w:shd w:fill="F4E8EB" w:val="clear"/>
            <w:tcMar>
              <w:top w:type="dxa" w:w="80"/>
              <w:left w:type="dxa" w:w="120"/>
              <w:bottom w:type="dxa" w:w="80"/>
              <w:right w:type="dxa" w:w="120"/>
            </w:tcMar>
          </w:tcPr>
          <w:p>
            <w:r>
              <w:rPr>
                <w:rFonts w:ascii="Arial" w:cs="Arial" w:eastAsia="Arial" w:hAnsi="Arial"/>
                <w:b/>
                <w:bCs/>
                <w:color w:val="6B1A2A"/>
                <w:sz w:val="18"/>
                <w:szCs w:val="18"/>
              </w:rPr>
              <w:t xml:space="preserve">RGPD</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Règlement (UE) 2016/679 — Art. 9 (données sensibles) — Art. 8 (mineurs)</w:t>
            </w:r>
          </w:p>
        </w:tc>
      </w:tr>
      <w:tr>
        <w:tc>
          <w:tcPr>
            <w:tcW w:type="dxa" w:w="3000"/>
            <w:tcBorders>
              <w:top w:val="single" w:color="D4A0AA" w:sz="1"/>
              <w:left w:val="single" w:color="D4A0AA" w:sz="1"/>
              <w:bottom w:val="single" w:color="D4A0AA" w:sz="1"/>
              <w:right w:val="single" w:color="D4A0AA" w:sz="1"/>
            </w:tcBorders>
            <w:shd w:fill="F7F5F3" w:val="clear"/>
            <w:tcMar>
              <w:top w:type="dxa" w:w="80"/>
              <w:left w:type="dxa" w:w="120"/>
              <w:bottom w:type="dxa" w:w="80"/>
              <w:right w:type="dxa" w:w="120"/>
            </w:tcMar>
          </w:tcPr>
          <w:p>
            <w:r>
              <w:rPr>
                <w:rFonts w:ascii="Arial" w:cs="Arial" w:eastAsia="Arial" w:hAnsi="Arial"/>
                <w:b/>
                <w:bCs/>
                <w:color w:val="6B1A2A"/>
                <w:sz w:val="18"/>
                <w:szCs w:val="18"/>
              </w:rPr>
              <w:t xml:space="preserve">Version</w:t>
            </w:r>
          </w:p>
        </w:tc>
        <w:tc>
          <w:tcPr>
            <w:tcW w:type="dxa" w:w="6360"/>
            <w:tcBorders>
              <w:top w:val="single" w:color="D4A0AA" w:sz="1"/>
              <w:left w:val="single" w:color="D4A0AA" w:sz="1"/>
              <w:bottom w:val="single" w:color="D4A0AA" w:sz="1"/>
              <w:right w:val="single" w:color="D4A0AA" w:sz="1"/>
            </w:tcBorders>
            <w:shd w:fill="FFFFFF" w:val="clear"/>
            <w:tcMar>
              <w:top w:type="dxa" w:w="80"/>
              <w:left w:type="dxa" w:w="120"/>
              <w:bottom w:type="dxa" w:w="80"/>
              <w:right w:type="dxa" w:w="120"/>
            </w:tcMar>
          </w:tcPr>
          <w:p>
            <w:r>
              <w:rPr>
                <w:rFonts w:ascii="Arial" w:cs="Arial" w:eastAsia="Arial" w:hAnsi="Arial"/>
                <w:color w:val="1A1614"/>
                <w:sz w:val="18"/>
                <w:szCs w:val="18"/>
              </w:rPr>
              <w:t xml:space="preserve">1.0 — 31/03/2026</w:t>
            </w:r>
          </w:p>
        </w:tc>
      </w:tr>
    </w:tbl>
    <w:p>
      <w:pPr>
        <w:spacing w:before="400"/>
      </w:pPr>
    </w:p>
    <w:p>
      <w:pPr>
        <w:pBdr>
          <w:top w:val="single" w:color="6B1A2A" w:sz="4"/>
        </w:pBdr>
        <w:spacing w:before="200" w:after="200"/>
      </w:pPr>
      <w:r>
        <w:rPr>
          <w:rFonts w:ascii="Arial" w:cs="Arial" w:eastAsia="Arial" w:hAnsi="Arial"/>
          <w:b/>
          <w:bCs/>
          <w:color w:val="6B1A2A"/>
          <w:sz w:val="22"/>
          <w:szCs w:val="22"/>
        </w:rPr>
        <w:t xml:space="preserve">Validation et signatures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D4A0AA" w:sz="1"/>
              <w:left w:val="single" w:color="D4A0AA" w:sz="1"/>
              <w:bottom w:val="single" w:color="D4A0AA" w:sz="1"/>
              <w:right w:val="single" w:color="D4A0AA" w:sz="1"/>
            </w:tcBorders>
            <w:shd w:fill="F4E8EB" w:val="clear"/>
            <w:tcMar>
              <w:top w:type="dxa" w:w="80"/>
              <w:left w:type="dxa" w:w="120"/>
              <w:bottom w:type="dxa" w:w="80"/>
              <w:right w:type="dxa" w:w="120"/>
            </w:tcMar>
          </w:tcPr>
          <w:p>
            <w:r>
              <w:rPr>
                <w:rFonts w:ascii="Arial" w:cs="Arial" w:eastAsia="Arial" w:hAnsi="Arial"/>
                <w:b/>
                <w:bCs/>
                <w:color w:val="6B1A2A"/>
                <w:sz w:val="18"/>
                <w:szCs w:val="18"/>
              </w:rPr>
              <w:t xml:space="preserve">Responsable du traitement</w:t>
            </w:r>
          </w:p>
        </w:tc>
        <w:tc>
          <w:tcPr>
            <w:tcW w:type="dxa" w:w="4513"/>
            <w:tcBorders>
              <w:top w:val="single" w:color="D4A0AA" w:sz="1"/>
              <w:left w:val="single" w:color="D4A0AA" w:sz="1"/>
              <w:bottom w:val="single" w:color="D4A0AA" w:sz="1"/>
              <w:right w:val="single" w:color="D4A0AA" w:sz="1"/>
            </w:tcBorders>
            <w:shd w:fill="F4E8EB" w:val="clear"/>
            <w:tcMar>
              <w:top w:type="dxa" w:w="80"/>
              <w:left w:type="dxa" w:w="120"/>
              <w:bottom w:type="dxa" w:w="80"/>
              <w:right w:type="dxa" w:w="120"/>
            </w:tcMar>
          </w:tcPr>
          <w:p>
            <w:r>
              <w:rPr>
                <w:rFonts w:ascii="Arial" w:cs="Arial" w:eastAsia="Arial" w:hAnsi="Arial"/>
                <w:b/>
                <w:bCs/>
                <w:color w:val="6B1A2A"/>
                <w:sz w:val="18"/>
                <w:szCs w:val="18"/>
              </w:rPr>
              <w:t xml:space="preserve">DPO (à désigner)</w:t>
            </w:r>
          </w:p>
        </w:tc>
      </w:tr>
      <w:tr>
        <w:tc>
          <w:tcPr>
            <w:tcW w:type="dxa" w:w="4513"/>
            <w:tcBorders>
              <w:top w:val="single" w:color="D4A0AA" w:sz="1"/>
              <w:left w:val="single" w:color="D4A0AA" w:sz="1"/>
              <w:bottom w:val="single" w:color="D4A0AA" w:sz="1"/>
              <w:right w:val="single" w:color="D4A0AA" w:sz="1"/>
            </w:tcBorders>
            <w:shd w:fill="FFFFFF" w:val="clear"/>
            <w:tcMar>
              <w:top w:type="dxa" w:w="200"/>
              <w:left w:type="dxa" w:w="120"/>
              <w:bottom w:type="dxa" w:w="200"/>
              <w:right w:type="dxa" w:w="120"/>
            </w:tcMar>
          </w:tcPr>
          <w:p>
            <w:r>
              <w:rPr>
                <w:rFonts w:ascii="Arial" w:cs="Arial" w:eastAsia="Arial" w:hAnsi="Arial"/>
                <w:color w:val="1A1614"/>
                <w:sz w:val="18"/>
                <w:szCs w:val="18"/>
              </w:rPr>
              <w:t xml:space="preserve">Si Mohamed ANAYA</w:t>
            </w:r>
          </w:p>
          <w:p>
            <w:pPr>
              <w:spacing w:before="40"/>
            </w:pPr>
            <w:r>
              <w:rPr>
                <w:rFonts w:ascii="Arial" w:cs="Arial" w:eastAsia="Arial" w:hAnsi="Arial"/>
                <w:color w:val="888078"/>
                <w:sz w:val="16"/>
                <w:szCs w:val="16"/>
              </w:rPr>
              <w:t xml:space="preserve">Interprète judiciaire</w:t>
            </w:r>
          </w:p>
          <w:p>
            <w:pPr>
              <w:spacing w:before="40"/>
            </w:pPr>
            <w:r>
              <w:rPr>
                <w:rFonts w:ascii="Arial" w:cs="Arial" w:eastAsia="Arial" w:hAnsi="Arial"/>
                <w:color w:val="888078"/>
                <w:sz w:val="16"/>
                <w:szCs w:val="16"/>
              </w:rPr>
              <w:t xml:space="preserve">Tribunal pour Enfants de Toulouse</w:t>
            </w:r>
          </w:p>
          <w:p>
            <w:pPr>
              <w:pBdr>
                <w:bottom w:val="single" w:color="888078" w:sz="2"/>
              </w:pBdr>
              <w:spacing w:before="200"/>
            </w:pPr>
            <w:r>
              <w:rPr>
                <w:rFonts w:ascii="Arial" w:cs="Arial" w:eastAsia="Arial" w:hAnsi="Arial"/>
                <w:sz w:val="18"/>
                <w:szCs w:val="18"/>
              </w:rPr>
              <w:t xml:space="preserve"> </w:t>
            </w:r>
          </w:p>
          <w:p>
            <w:pPr>
              <w:spacing w:before="40"/>
            </w:pPr>
            <w:r>
              <w:rPr>
                <w:rFonts w:ascii="Arial" w:cs="Arial" w:eastAsia="Arial" w:hAnsi="Arial"/>
                <w:color w:val="888078"/>
                <w:sz w:val="14"/>
                <w:szCs w:val="14"/>
              </w:rPr>
              <w:t xml:space="preserve">Signature — Date : 31/03/2026</w:t>
            </w:r>
          </w:p>
        </w:tc>
        <w:tc>
          <w:tcPr>
            <w:tcW w:type="dxa" w:w="4513"/>
            <w:tcBorders>
              <w:top w:val="single" w:color="D4A0AA" w:sz="1"/>
              <w:left w:val="single" w:color="D4A0AA" w:sz="1"/>
              <w:bottom w:val="single" w:color="D4A0AA" w:sz="1"/>
              <w:right w:val="single" w:color="D4A0AA" w:sz="1"/>
            </w:tcBorders>
            <w:shd w:fill="FFFFFF" w:val="clear"/>
            <w:tcMar>
              <w:top w:type="dxa" w:w="200"/>
              <w:left w:type="dxa" w:w="120"/>
              <w:bottom w:type="dxa" w:w="200"/>
              <w:right w:type="dxa" w:w="120"/>
            </w:tcMar>
          </w:tcPr>
          <w:p>
            <w:r>
              <w:rPr>
                <w:rFonts w:ascii="Arial" w:cs="Arial" w:eastAsia="Arial" w:hAnsi="Arial"/>
                <w:i/>
                <w:iCs/>
                <w:color w:val="888078"/>
                <w:sz w:val="18"/>
                <w:szCs w:val="18"/>
              </w:rPr>
              <w:t xml:space="preserve">À désigner</w:t>
            </w:r>
          </w:p>
          <w:p>
            <w:pPr>
              <w:pBdr>
                <w:bottom w:val="single" w:color="888078" w:sz="2"/>
              </w:pBdr>
              <w:spacing w:before="200"/>
            </w:pPr>
            <w:r>
              <w:rPr>
                <w:rFonts w:ascii="Arial" w:cs="Arial" w:eastAsia="Arial" w:hAnsi="Arial"/>
                <w:sz w:val="18"/>
                <w:szCs w:val="18"/>
              </w:rPr>
              <w:t xml:space="preserve"> </w:t>
            </w:r>
          </w:p>
          <w:p>
            <w:pPr>
              <w:spacing w:before="40"/>
            </w:pPr>
            <w:r>
              <w:rPr>
                <w:rFonts w:ascii="Arial" w:cs="Arial" w:eastAsia="Arial" w:hAnsi="Arial"/>
                <w:color w:val="888078"/>
                <w:sz w:val="14"/>
                <w:szCs w:val="14"/>
              </w:rPr>
              <w:t xml:space="preserve">Signature — Date :</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AA" w:sz="2"/>
      </w:pBdr>
      <w:spacing w:before="80"/>
      <w:jc w:val="center"/>
    </w:pPr>
    <w:r>
      <w:rPr>
        <w:rFonts w:ascii="Arial" w:cs="Arial" w:eastAsia="Arial" w:hAnsi="Arial"/>
        <w:color w:val="888078"/>
        <w:sz w:val="16"/>
        <w:szCs w:val="16"/>
      </w:rPr>
      <w:t xml:space="preserve">Document confidentiel — Usage strictement professionnel — RGPD Art. 9 — Données de mineurs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1A2A" w:sz="4"/>
      </w:pBdr>
      <w:spacing w:after="120"/>
    </w:pPr>
    <w:r>
      <w:rPr>
        <w:rFonts w:ascii="Arial" w:cs="Arial" w:eastAsia="Arial" w:hAnsi="Arial"/>
        <w:b/>
        <w:bCs/>
        <w:color w:val="6B1A2A"/>
        <w:sz w:val="16"/>
        <w:szCs w:val="16"/>
      </w:rPr>
      <w:t xml:space="preserve">MON MIROIR  —  Politique de confidentialité RGPD</w:t>
    </w:r>
    <w:r>
      <w:rPr>
        <w:rFonts w:ascii="Arial" w:cs="Arial" w:eastAsia="Arial" w:hAnsi="Arial"/>
        <w:color w:val="888078"/>
        <w:sz w:val="16"/>
        <w:szCs w:val="16"/>
      </w:rPr>
      <w:t xml:space="preserve">  |  Tribunal pour Enfants de Toulouse  |  31/03/2026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6B1A2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A16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2026-03-31T17:54:52.545Z</dcterms:created>
  <dcterms:modified xsi:type="dcterms:W3CDTF">2026-03-31T17:54:52.545Z</dcterms:modified>
</cp:coreProperties>
</file>

<file path=docProps/custom.xml><?xml version="1.0" encoding="utf-8"?>
<Properties xmlns="http://schemas.openxmlformats.org/officeDocument/2006/custom-properties" xmlns:vt="http://schemas.openxmlformats.org/officeDocument/2006/docPropsVTypes"/>
</file>