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3A7CC">
      <w:pPr>
        <w:pStyle w:val="2"/>
        <w:bidi w:val="0"/>
        <w:rPr>
          <w:rFonts w:hint="eastAsia"/>
          <w:lang w:val="en-US" w:eastAsia="zh-CN"/>
        </w:rPr>
      </w:pPr>
      <w:r>
        <w:rPr>
          <w:rFonts w:hint="eastAsia"/>
          <w:lang w:val="en-US" w:eastAsia="zh-CN"/>
        </w:rPr>
        <w:t>社会时钟</w:t>
      </w:r>
    </w:p>
    <w:p w14:paraId="7087F2E5">
      <w:pPr>
        <w:rPr>
          <w:rFonts w:hint="default"/>
          <w:lang w:val="en-US" w:eastAsia="zh-CN"/>
        </w:rPr>
      </w:pPr>
    </w:p>
    <w:p w14:paraId="674928A0">
      <w:pPr>
        <w:rPr>
          <w:rFonts w:hint="eastAsia"/>
          <w:lang w:val="en-US" w:eastAsia="zh-CN"/>
        </w:rPr>
      </w:pPr>
      <w:r>
        <w:rPr>
          <w:rFonts w:hint="eastAsia"/>
          <w:lang w:val="en-US" w:eastAsia="zh-CN"/>
        </w:rPr>
        <w:t>【</w:t>
      </w:r>
      <w:r>
        <w:rPr>
          <w:rFonts w:hint="eastAsia"/>
          <w:shd w:val="clear" w:color="FFFFFF" w:fill="D9D9D9"/>
          <w:lang w:val="en-US" w:eastAsia="zh-CN"/>
        </w:rPr>
        <w:t>关键词：社会时钟、逆社会时钟、自我时区</w:t>
      </w:r>
      <w:r>
        <w:rPr>
          <w:rFonts w:hint="eastAsia"/>
          <w:lang w:val="en-US" w:eastAsia="zh-CN"/>
        </w:rPr>
        <w:t xml:space="preserve"> 】本文探讨了青年群体中“逆社会时钟”现象，即个体主动偏离社会规定的生命时间表（如升学、就业、结婚等常规节奏），通过重返过去、中止当下或延时进入未来等方式重构自我生命历程。区别于“内卷”与“躺平”（不受自我所控制的时间速度规定）的两极路径，逆社会时钟者基于时间自主性，借助自我节奏的锚定与调适、建构独特的“自我时区”，以及追求本真的生命意义，开辟出第三条道路——既非盲目竞争也非彻底退出，而是按照自身意愿掌控时间节奏，实现“为自己而活”的自主生存方式。</w:t>
      </w:r>
    </w:p>
    <w:p w14:paraId="6B27FE68">
      <w:pPr>
        <w:pStyle w:val="2"/>
        <w:bidi w:val="0"/>
        <w:rPr>
          <w:rFonts w:hint="eastAsia"/>
          <w:lang w:val="en-US" w:eastAsia="zh-CN"/>
        </w:rPr>
      </w:pPr>
      <w:r>
        <w:rPr>
          <w:rFonts w:hint="eastAsia"/>
          <w:lang w:val="en-US" w:eastAsia="zh-CN"/>
        </w:rPr>
        <w:t>AI是否应当介入定性研究反思</w:t>
      </w:r>
    </w:p>
    <w:p w14:paraId="34F22732">
      <w:pPr>
        <w:bidi w:val="0"/>
        <w:rPr>
          <w:sz w:val="24"/>
          <w:szCs w:val="24"/>
        </w:rPr>
      </w:pPr>
      <w:r>
        <w:rPr>
          <w:rFonts w:hint="eastAsia"/>
          <w:sz w:val="24"/>
          <w:szCs w:val="24"/>
          <w:u w:val="none"/>
          <w:lang w:eastAsia="zh-CN"/>
        </w:rPr>
        <w:t>【</w:t>
      </w:r>
      <w:r>
        <w:rPr>
          <w:rFonts w:hint="eastAsia"/>
          <w:sz w:val="24"/>
          <w:szCs w:val="24"/>
          <w:u w:val="none"/>
          <w:shd w:val="clear" w:color="FFFFFF" w:fill="D9D9D9"/>
          <w:lang w:val="en-US" w:eastAsia="zh-CN"/>
        </w:rPr>
        <w:t>对定性研究反思（反思型主题分析）的定义</w:t>
      </w:r>
      <w:r>
        <w:rPr>
          <w:rFonts w:hint="eastAsia"/>
          <w:sz w:val="24"/>
          <w:szCs w:val="24"/>
          <w:u w:val="none"/>
          <w:lang w:eastAsia="zh-CN"/>
        </w:rPr>
        <w:t>】</w:t>
      </w:r>
      <w:r>
        <w:rPr>
          <w:sz w:val="24"/>
          <w:szCs w:val="24"/>
          <w:u w:val="single"/>
        </w:rPr>
        <w:t>反思型主题分析是一种由人类研究者通过开发、解读和反思意义模式（即主题）来分析质性资料的方法。反思型主题分析过程具有深度的主观性、迭代性，并时刻对无处不在的权力关系保持警惕</w:t>
      </w:r>
      <w:r>
        <w:rPr>
          <w:sz w:val="24"/>
          <w:szCs w:val="24"/>
        </w:rPr>
        <w:t>。</w:t>
      </w:r>
    </w:p>
    <w:p w14:paraId="34B9764F">
      <w:pPr>
        <w:bidi w:val="0"/>
        <w:rPr>
          <w:sz w:val="24"/>
          <w:szCs w:val="24"/>
        </w:rPr>
      </w:pPr>
    </w:p>
    <w:p w14:paraId="4866FD25">
      <w:pPr>
        <w:bidi w:val="0"/>
        <w:rPr>
          <w:rFonts w:hint="eastAsia"/>
          <w:lang w:val="en-US" w:eastAsia="zh-CN"/>
        </w:rPr>
      </w:pPr>
      <w:r>
        <w:rPr>
          <w:rFonts w:hint="eastAsia"/>
          <w:sz w:val="24"/>
          <w:szCs w:val="24"/>
          <w:lang w:eastAsia="zh-CN"/>
        </w:rPr>
        <w:t>【</w:t>
      </w:r>
      <w:r>
        <w:rPr>
          <w:rFonts w:hint="eastAsia"/>
          <w:sz w:val="24"/>
          <w:szCs w:val="24"/>
          <w:shd w:val="clear" w:color="FFFFFF" w:fill="D9D9D9"/>
          <w:lang w:val="en-US" w:eastAsia="zh-CN"/>
        </w:rPr>
        <w:t>为什么反对AI介入定性研究反思</w:t>
      </w:r>
      <w:r>
        <w:rPr>
          <w:rFonts w:hint="eastAsia"/>
          <w:sz w:val="24"/>
          <w:szCs w:val="24"/>
          <w:lang w:eastAsia="zh-CN"/>
        </w:rPr>
        <w:t>】</w:t>
      </w:r>
      <w:r>
        <w:rPr>
          <w:rFonts w:hint="eastAsia"/>
          <w:lang w:val="en-US" w:eastAsia="zh-CN"/>
        </w:rPr>
        <w:t>①</w:t>
      </w:r>
      <w:r>
        <w:t>作为模拟智能的生成式人工智能无法进行意义建构</w:t>
      </w:r>
      <w:r>
        <w:rPr>
          <w:rFonts w:hint="eastAsia"/>
          <w:lang w:eastAsia="zh-CN"/>
        </w:rPr>
        <w:t>，</w:t>
      </w:r>
      <w:r>
        <w:t>AI本质上只是在处理信息，通过算法逼近人类情感，但并不真正具备意义生成能力</w:t>
      </w:r>
      <w:r>
        <w:rPr>
          <w:rFonts w:hint="eastAsia"/>
          <w:lang w:eastAsia="zh-CN"/>
        </w:rPr>
        <w:t>，</w:t>
      </w:r>
      <w:r>
        <w:rPr>
          <w:rFonts w:hint="eastAsia"/>
          <w:lang w:val="en-US" w:eastAsia="zh-CN"/>
        </w:rPr>
        <w:t>无法真正具备“反思性”，具有扼杀边缘学者思想的风险</w:t>
      </w:r>
      <w:r>
        <w:t>；</w:t>
      </w:r>
      <w:r>
        <w:rPr>
          <w:rFonts w:hint="eastAsia"/>
          <w:lang w:val="en-US" w:eastAsia="zh-CN"/>
        </w:rPr>
        <w:t>②</w:t>
      </w:r>
      <w:r>
        <w:rPr>
          <w:sz w:val="24"/>
          <w:szCs w:val="24"/>
        </w:rPr>
        <w:t>质性研究应当保持其作</w:t>
      </w:r>
      <w:r>
        <w:t>为人类特有研究实践的本质</w:t>
      </w:r>
      <w:r>
        <w:rPr>
          <w:rFonts w:hint="eastAsia"/>
          <w:lang w:eastAsia="zh-CN"/>
        </w:rPr>
        <w:t>，</w:t>
      </w:r>
      <w:r>
        <w:rPr>
          <w:rFonts w:hint="eastAsia"/>
          <w:lang w:val="en-US" w:eastAsia="zh-CN"/>
        </w:rPr>
        <w:t>对AI介入定性研究的依赖，本质上交出了社会学研究者自身的解释权，从而导致研究者生产的不再是基于社会现实的知识，而是基于算法模拟的伪知识，由此丧失评判性与反思性</w:t>
      </w:r>
      <w:r>
        <w:rPr>
          <w:sz w:val="24"/>
          <w:szCs w:val="24"/>
        </w:rPr>
        <w:t>；</w:t>
      </w:r>
      <w:r>
        <w:rPr>
          <w:rFonts w:hint="eastAsia"/>
          <w:sz w:val="24"/>
          <w:szCs w:val="24"/>
          <w:lang w:val="en-US" w:eastAsia="zh-CN"/>
        </w:rPr>
        <w:t>③一些</w:t>
      </w:r>
      <w:r>
        <w:t>大型AI企业所从事的剥削性、殖民主义和榨取式活动</w:t>
      </w:r>
      <w:r>
        <w:rPr>
          <w:rFonts w:hint="eastAsia"/>
          <w:lang w:eastAsia="zh-CN"/>
        </w:rPr>
        <w:t>，</w:t>
      </w:r>
      <w:r>
        <w:rPr>
          <w:rFonts w:hint="eastAsia"/>
          <w:lang w:val="en-US" w:eastAsia="zh-CN"/>
        </w:rPr>
        <w:t>有损社会平等与社会正义。</w:t>
      </w:r>
    </w:p>
    <w:p w14:paraId="07BDF573">
      <w:pPr>
        <w:pStyle w:val="2"/>
        <w:bidi w:val="0"/>
        <w:rPr>
          <w:rFonts w:hint="default"/>
          <w:lang w:val="en-US" w:eastAsia="zh-CN"/>
        </w:rPr>
      </w:pPr>
      <w:r>
        <w:rPr>
          <w:rFonts w:hint="eastAsia"/>
          <w:lang w:val="en-US" w:eastAsia="zh-CN"/>
        </w:rPr>
        <w:t>质性研究的十大误区</w:t>
      </w:r>
    </w:p>
    <w:p w14:paraId="091975A8">
      <w:pPr>
        <w:bidi w:val="0"/>
        <w:rPr>
          <w:rFonts w:hint="eastAsia"/>
          <w:lang w:val="en-US" w:eastAsia="zh-CN"/>
        </w:rPr>
      </w:pPr>
      <w:r>
        <w:rPr>
          <w:rFonts w:hint="eastAsia"/>
          <w:lang w:val="en-US" w:eastAsia="zh-CN"/>
        </w:rPr>
        <w:t>大范畴：①不恰当地使用量化研究标准评估质性研究文章（1-5）；②</w:t>
      </w:r>
      <w:r>
        <w:rPr>
          <w:rFonts w:hint="eastAsia"/>
        </w:rPr>
        <w:t>对质性分析结果的不恰当预期</w:t>
      </w:r>
      <w:r>
        <w:rPr>
          <w:rFonts w:hint="eastAsia"/>
          <w:lang w:eastAsia="zh-CN"/>
        </w:rPr>
        <w:t>（</w:t>
      </w:r>
      <w:r>
        <w:rPr>
          <w:rFonts w:hint="eastAsia"/>
          <w:lang w:val="en-US" w:eastAsia="zh-CN"/>
        </w:rPr>
        <w:t>6-10</w:t>
      </w:r>
      <w:r>
        <w:rPr>
          <w:rFonts w:hint="eastAsia"/>
          <w:lang w:eastAsia="zh-CN"/>
        </w:rPr>
        <w:t>）。</w:t>
      </w:r>
      <w:r>
        <w:rPr>
          <w:rFonts w:hint="eastAsia"/>
          <w:lang w:val="en-US" w:eastAsia="zh-CN"/>
        </w:rPr>
        <w:t>细分：</w:t>
      </w:r>
    </w:p>
    <w:p w14:paraId="3733C654">
      <w:pPr>
        <w:bidi w:val="0"/>
        <w:rPr>
          <w:rFonts w:hint="eastAsia"/>
          <w:lang w:val="en-US" w:eastAsia="zh-CN"/>
        </w:rPr>
      </w:pPr>
    </w:p>
    <w:p w14:paraId="3272811A">
      <w:pPr>
        <w:bidi w:val="0"/>
        <w:rPr>
          <w:rFonts w:hint="eastAsia"/>
          <w:lang w:val="en-US" w:eastAsia="zh-CN"/>
        </w:rPr>
      </w:pPr>
      <w:r>
        <w:rPr>
          <w:rFonts w:hint="eastAsia"/>
          <w:lang w:val="en-US" w:eastAsia="zh-CN"/>
        </w:rPr>
        <w:t>【</w:t>
      </w:r>
      <w:r>
        <w:rPr>
          <w:rFonts w:hint="eastAsia"/>
          <w:shd w:val="clear" w:color="FFFFFF" w:fill="D9D9D9"/>
          <w:lang w:val="en-US" w:eastAsia="zh-CN"/>
        </w:rPr>
        <w:t>误解一：质性研究方法“太主观”</w:t>
      </w:r>
      <w:r>
        <w:rPr>
          <w:rFonts w:hint="eastAsia"/>
          <w:lang w:val="en-US" w:eastAsia="zh-CN"/>
        </w:rPr>
        <w:t>】回应：质性研究常因“太主观”而受到质疑，但主观性实际上是所有研究（包括量化研究）固有的特征，因此质性研究的主观性不应被视为缺陷，而应被理解为一种</w:t>
      </w:r>
      <w:r>
        <w:rPr>
          <w:rFonts w:hint="eastAsia"/>
          <w:b/>
          <w:bCs w:val="0"/>
          <w:lang w:val="en-US" w:eastAsia="zh-CN"/>
        </w:rPr>
        <w:t>有目的的方法论选择</w:t>
      </w:r>
      <w:r>
        <w:rPr>
          <w:rFonts w:hint="eastAsia"/>
          <w:lang w:val="en-US" w:eastAsia="zh-CN"/>
        </w:rPr>
        <w:t>。质性研究者对主观性的态度从“最小化”到“突出”构成广阔光谱，并服务于更多样化的研究目标与问题。为回应批评，研究者应将研究问题与方法选择合理关联，采用系统化的操作和反思性过程来保障严谨性。</w:t>
      </w:r>
      <w:r>
        <w:t>编辑、审稿人和作者</w:t>
      </w:r>
      <w:r>
        <w:rPr>
          <w:rFonts w:hint="eastAsia"/>
          <w:lang w:val="en-US" w:eastAsia="zh-CN"/>
        </w:rPr>
        <w:t>应当警惕错误的“客观 vs. 主观”二元对立，尊重质性与量化方法在目标、路径和严谨性标准上的本质差异。</w:t>
      </w:r>
    </w:p>
    <w:p w14:paraId="146556C9">
      <w:pPr>
        <w:bidi w:val="0"/>
        <w:rPr>
          <w:rFonts w:hint="default"/>
          <w:lang w:val="en-US" w:eastAsia="zh-CN"/>
        </w:rPr>
      </w:pPr>
    </w:p>
    <w:p w14:paraId="5DE5D5BD">
      <w:pPr>
        <w:bidi w:val="0"/>
        <w:rPr>
          <w:rFonts w:hint="eastAsia"/>
          <w:lang w:eastAsia="zh-CN"/>
        </w:rPr>
      </w:pPr>
      <w:r>
        <w:rPr>
          <w:rFonts w:hint="eastAsia"/>
          <w:lang w:eastAsia="zh-CN"/>
        </w:rPr>
        <w:t>【</w:t>
      </w:r>
      <w:r>
        <w:rPr>
          <w:rFonts w:hint="eastAsia"/>
          <w:shd w:val="clear" w:color="FFFFFF" w:fill="D9D9D9"/>
          <w:lang w:val="en-US" w:eastAsia="zh-CN"/>
        </w:rPr>
        <w:t>误解二：质性研究的样本量“太小”</w:t>
      </w:r>
      <w:r>
        <w:rPr>
          <w:rFonts w:hint="eastAsia"/>
          <w:lang w:eastAsia="zh-CN"/>
        </w:rPr>
        <w:t>】</w:t>
      </w:r>
      <w:r>
        <w:rPr>
          <w:rFonts w:hint="eastAsia"/>
          <w:lang w:val="en-US" w:eastAsia="zh-CN"/>
        </w:rPr>
        <w:t>回应：</w:t>
      </w:r>
      <w:r>
        <w:rPr>
          <w:rFonts w:hint="eastAsia"/>
          <w:lang w:eastAsia="zh-CN"/>
        </w:rPr>
        <w:t>质性研究常因样本量“太小”而被期刊编辑初审拒稿，这实际上是将量化研究的统计标准误用于质性研究。事实上，质性研究的样本量取决于研究问题、设计、取向（如民族志、扎根理论等）、数据类型及分析方式，不同取向对“充足样本量”的规定差异巨大。质性研究追求对研究对象的深度理解，而非统计推断。合理的样本量应结合目的抽样策略（如理论抽样、最大差异化抽样、同质化抽样等）来论证，样本量本身并非研究质量的指标，有时少量关键知情人就能提供核心洞见。因此，编辑和审稿人应避免草率以样本量小为由拒稿，而应基于研究目标与方法综合评估其合理性。</w:t>
      </w:r>
    </w:p>
    <w:p w14:paraId="674B2C55">
      <w:pPr>
        <w:bidi w:val="0"/>
        <w:rPr>
          <w:rFonts w:hint="eastAsia"/>
          <w:lang w:eastAsia="zh-CN"/>
        </w:rPr>
      </w:pPr>
    </w:p>
    <w:p w14:paraId="34CF6135">
      <w:pPr>
        <w:bidi w:val="0"/>
        <w:rPr>
          <w:rFonts w:hint="eastAsia"/>
        </w:rPr>
      </w:pPr>
      <w:r>
        <w:rPr>
          <w:rFonts w:hint="eastAsia"/>
          <w:lang w:eastAsia="zh-CN"/>
        </w:rPr>
        <w:t>【</w:t>
      </w:r>
      <w:r>
        <w:rPr>
          <w:rFonts w:hint="eastAsia"/>
          <w:shd w:val="clear" w:color="FFFFFF" w:fill="D9D9D9"/>
        </w:rPr>
        <w:t>误解</w:t>
      </w:r>
      <w:r>
        <w:rPr>
          <w:rFonts w:hint="eastAsia"/>
          <w:shd w:val="clear" w:color="FFFFFF" w:fill="D9D9D9"/>
          <w:lang w:val="en-US" w:eastAsia="zh-CN"/>
        </w:rPr>
        <w:t>三</w:t>
      </w:r>
      <w:r>
        <w:rPr>
          <w:rFonts w:hint="eastAsia"/>
          <w:shd w:val="clear" w:color="FFFFFF" w:fill="D9D9D9"/>
        </w:rPr>
        <w:t>：质性研究结果没有代表性</w:t>
      </w:r>
      <w:r>
        <w:rPr>
          <w:rFonts w:hint="eastAsia"/>
          <w:lang w:eastAsia="zh-CN"/>
        </w:rPr>
        <w:t>】</w:t>
      </w:r>
      <w:r>
        <w:rPr>
          <w:rFonts w:hint="eastAsia"/>
          <w:lang w:val="en-US" w:eastAsia="zh-CN"/>
        </w:rPr>
        <w:t>回应：</w:t>
      </w:r>
      <w:r>
        <w:rPr>
          <w:rFonts w:hint="eastAsia"/>
        </w:rPr>
        <w:t>质性研究常因不具备统计可推广性而被批评为“没有影响力”，但这实际上混淆了量化研究与质性研究的不同目标：</w:t>
      </w:r>
      <w:r>
        <w:rPr>
          <w:rFonts w:hint="eastAsia"/>
          <w:u w:val="single"/>
        </w:rPr>
        <w:t>质性研究不追求代表总体，而是致力于对特定案例或人群进行深入、情境化的理解</w:t>
      </w:r>
      <w:r>
        <w:rPr>
          <w:rFonts w:hint="eastAsia"/>
        </w:rPr>
        <w:t>。评估质性研究价值应使用“可转移性”这一标准，即读者能多大程度将研究发现迁移到自身或其他情境。研究者可通过“深描”、第一手陈述、理论框架以及明确说明迁移路径等方式增强可转移性，从而体现研究的适用性、共鸣性与理论参与性。因此，审稿人和编辑不应以“不具代表性”为由否定质性研究，而应引导研究者阐明其发现的可转移性。</w:t>
      </w:r>
    </w:p>
    <w:p w14:paraId="7BED0408">
      <w:pPr>
        <w:bidi w:val="0"/>
        <w:rPr>
          <w:rFonts w:hint="eastAsia"/>
          <w:lang w:eastAsia="zh-CN"/>
        </w:rPr>
      </w:pPr>
    </w:p>
    <w:p w14:paraId="1E608F6E">
      <w:pPr>
        <w:bidi w:val="0"/>
        <w:rPr>
          <w:rFonts w:hint="default"/>
          <w:lang w:val="en-US" w:eastAsia="zh-CN"/>
        </w:rPr>
      </w:pPr>
      <w:r>
        <w:rPr>
          <w:rFonts w:hint="eastAsia"/>
          <w:lang w:eastAsia="zh-CN"/>
        </w:rPr>
        <w:t>【</w:t>
      </w:r>
      <w:r>
        <w:rPr>
          <w:rFonts w:hint="eastAsia"/>
          <w:shd w:val="clear" w:color="FFFFFF" w:fill="D9D9D9"/>
        </w:rPr>
        <w:t>误解</w:t>
      </w:r>
      <w:r>
        <w:rPr>
          <w:rFonts w:hint="eastAsia"/>
          <w:shd w:val="clear" w:color="FFFFFF" w:fill="D9D9D9"/>
          <w:lang w:val="en-US" w:eastAsia="zh-CN"/>
        </w:rPr>
        <w:t>四</w:t>
      </w:r>
      <w:r>
        <w:rPr>
          <w:rFonts w:hint="eastAsia"/>
          <w:shd w:val="clear" w:color="FFFFFF" w:fill="D9D9D9"/>
        </w:rPr>
        <w:t>：质性研究结果需要数字支持</w:t>
      </w:r>
      <w:r>
        <w:rPr>
          <w:rFonts w:hint="eastAsia"/>
          <w:lang w:eastAsia="zh-CN"/>
        </w:rPr>
        <w:t>】</w:t>
      </w:r>
      <w:r>
        <w:rPr>
          <w:rFonts w:hint="eastAsia"/>
          <w:lang w:val="en-US" w:eastAsia="zh-CN"/>
        </w:rPr>
        <w:t>回应：在质性研究中使用数字长期存在争议：</w:t>
      </w:r>
      <w:r>
        <w:rPr>
          <w:rFonts w:hint="eastAsia"/>
          <w:u w:val="single"/>
          <w:lang w:val="en-US" w:eastAsia="zh-CN"/>
        </w:rPr>
        <w:t>加入数字并不能天然增强研究的合法性</w:t>
      </w:r>
      <w:r>
        <w:rPr>
          <w:rFonts w:hint="eastAsia"/>
          <w:lang w:val="en-US" w:eastAsia="zh-CN"/>
        </w:rPr>
        <w:t>，且对质性数据进行计数通常弊大于利——它可能简化和扭曲关键发现、丢失受访者视角、并阻碍新洞见的生成。然而，在特定情境下，计数也有其正当用途，例如解释小样本如何产生大量数据、识别容易被忽视的模式，或为质性比较分析（QCA）等跨案例技术做准备。因此，编辑和审稿人不应强求质性研究提供数字证据，研究者则应在明确方法的前提下谨慎使用数字，避免为了迎合量化标准而被迫“量化”自己的质性工作。</w:t>
      </w:r>
    </w:p>
    <w:p w14:paraId="7FF600B6">
      <w:pPr>
        <w:bidi w:val="0"/>
      </w:pPr>
    </w:p>
    <w:p w14:paraId="44356567">
      <w:pPr>
        <w:bidi w:val="0"/>
        <w:rPr>
          <w:rFonts w:hint="eastAsia"/>
          <w:lang w:eastAsia="zh-CN"/>
        </w:rPr>
      </w:pPr>
      <w:r>
        <w:rPr>
          <w:rFonts w:hint="eastAsia"/>
          <w:lang w:eastAsia="zh-CN"/>
        </w:rPr>
        <w:t>【</w:t>
      </w:r>
      <w:r>
        <w:rPr>
          <w:rFonts w:hint="eastAsia"/>
          <w:shd w:val="clear" w:color="FFFFFF" w:fill="D9D9D9"/>
        </w:rPr>
        <w:t>误解</w:t>
      </w:r>
      <w:r>
        <w:rPr>
          <w:rFonts w:hint="eastAsia"/>
          <w:shd w:val="clear" w:color="FFFFFF" w:fill="D9D9D9"/>
          <w:lang w:val="en-US" w:eastAsia="zh-CN"/>
        </w:rPr>
        <w:t>五</w:t>
      </w:r>
      <w:r>
        <w:rPr>
          <w:rFonts w:hint="eastAsia"/>
          <w:shd w:val="clear" w:color="FFFFFF" w:fill="D9D9D9"/>
        </w:rPr>
        <w:t>：质性研究分析需要编码者间信度</w:t>
      </w:r>
      <w:r>
        <w:rPr>
          <w:rFonts w:hint="eastAsia"/>
          <w:lang w:eastAsia="zh-CN"/>
        </w:rPr>
        <w:t>】（</w:t>
      </w:r>
      <w:r>
        <w:rPr>
          <w:rFonts w:hint="eastAsia"/>
        </w:rPr>
        <w:t>编码者间信度（Interrater Reliability，IRR</w:t>
      </w:r>
      <w:r>
        <w:rPr>
          <w:rFonts w:hint="eastAsia"/>
          <w:lang w:eastAsia="zh-CN"/>
        </w:rPr>
        <w:t>：</w:t>
      </w:r>
      <w:r>
        <w:rPr>
          <w:rFonts w:hint="eastAsia"/>
        </w:rPr>
        <w:t>两个或更多人在独立进行编码或切分质性数据时达成一致的程度</w:t>
      </w:r>
      <w:r>
        <w:rPr>
          <w:rFonts w:hint="eastAsia"/>
          <w:lang w:eastAsia="zh-CN"/>
        </w:rPr>
        <w:t>）针对质性研究，审稿人常不恰当地建议使用编码者间信度（IRR），并误以为这能提升研究的严谨性。然而，IRR源于量化研究传统，在质性研究中仅适用于少数偏演绎分析的方法，且其过度强调编码的可靠一致性，而非对社会现象的解释性理解。质性研究更应优先采用解释性技术，调动分析者对研究课题的深入投入，通过团队共识法等迭代程序形成解释性分析的趋同。因此，编辑和审稿人应认识到IRR通常不适用于质性研究，也不代表严谨性本身；研究者应描述与其分析路径相匹配的迭代解释过程，而非盲目追求编码者间信度。</w:t>
      </w:r>
    </w:p>
    <w:p w14:paraId="79244F05">
      <w:pPr>
        <w:bidi w:val="0"/>
        <w:rPr>
          <w:rFonts w:hint="eastAsia"/>
          <w:lang w:eastAsia="zh-CN"/>
        </w:rPr>
      </w:pPr>
    </w:p>
    <w:p w14:paraId="7F2D9CC8">
      <w:pPr>
        <w:bidi w:val="0"/>
        <w:rPr>
          <w:rFonts w:hint="eastAsia"/>
          <w:lang w:eastAsia="zh-CN"/>
        </w:rPr>
      </w:pPr>
      <w:r>
        <w:rPr>
          <w:rFonts w:hint="eastAsia"/>
          <w:lang w:eastAsia="zh-CN"/>
        </w:rPr>
        <w:t>【</w:t>
      </w:r>
      <w:r>
        <w:rPr>
          <w:rFonts w:hint="eastAsia"/>
          <w:shd w:val="clear" w:color="FFFFFF" w:fill="D9D9D9"/>
        </w:rPr>
        <w:t>误解</w:t>
      </w:r>
      <w:r>
        <w:rPr>
          <w:rFonts w:hint="eastAsia"/>
          <w:shd w:val="clear" w:color="FFFFFF" w:fill="D9D9D9"/>
          <w:lang w:val="en-US" w:eastAsia="zh-CN"/>
        </w:rPr>
        <w:t>六</w:t>
      </w:r>
      <w:r>
        <w:rPr>
          <w:rFonts w:hint="eastAsia"/>
          <w:shd w:val="clear" w:color="FFFFFF" w:fill="D9D9D9"/>
        </w:rPr>
        <w:t>：质性研究需要达到饱和</w:t>
      </w:r>
      <w:r>
        <w:rPr>
          <w:rFonts w:hint="eastAsia"/>
          <w:lang w:eastAsia="zh-CN"/>
        </w:rPr>
        <w:t>】</w:t>
      </w:r>
      <w:r>
        <w:rPr>
          <w:rFonts w:hint="eastAsia"/>
          <w:lang w:val="en-US" w:eastAsia="zh-CN"/>
        </w:rPr>
        <w:t>回应：</w:t>
      </w:r>
      <w:r>
        <w:rPr>
          <w:rFonts w:hint="eastAsia"/>
          <w:lang w:eastAsia="zh-CN"/>
        </w:rPr>
        <w:t>饱和度常被不恰当地视为质性研究严谨性的通用标准，但这一概念源自扎根理论，并非适用于所有质性传统。许多研究者在使用“饱和”时定义模糊，且未说明其具体应用方式。在实施</w:t>
      </w:r>
      <w:r>
        <w:rPr>
          <w:rFonts w:hint="eastAsia"/>
          <w:lang w:val="en-US" w:eastAsia="zh-CN"/>
        </w:rPr>
        <w:t>研究中</w:t>
      </w:r>
      <w:r>
        <w:rPr>
          <w:rFonts w:hint="eastAsia"/>
          <w:lang w:eastAsia="zh-CN"/>
        </w:rPr>
        <w:t>，替代性标准如“信息效力”可能更为合适，即样本所含研究相关信息越丰富，所需样本量越小，从而判断是否足以回答研究问题。因此，饱和度并非严谨性的普适标志；若使用饱和法，作者应明确其类型、相关性及评估方法。</w:t>
      </w:r>
    </w:p>
    <w:p w14:paraId="293568EA">
      <w:pPr>
        <w:bidi w:val="0"/>
        <w:rPr>
          <w:rFonts w:hint="eastAsia"/>
          <w:lang w:eastAsia="zh-CN"/>
        </w:rPr>
      </w:pPr>
    </w:p>
    <w:p w14:paraId="4827E8B3">
      <w:pPr>
        <w:bidi w:val="0"/>
        <w:rPr>
          <w:rFonts w:hint="eastAsia"/>
          <w:lang w:eastAsia="zh-CN"/>
        </w:rPr>
      </w:pPr>
      <w:r>
        <w:rPr>
          <w:rFonts w:hint="eastAsia"/>
          <w:lang w:eastAsia="zh-CN"/>
        </w:rPr>
        <w:t>【</w:t>
      </w:r>
      <w:r>
        <w:rPr>
          <w:rFonts w:hint="eastAsia"/>
          <w:shd w:val="clear" w:color="FFFFFF" w:fill="D9D9D9"/>
        </w:rPr>
        <w:t>误解</w:t>
      </w:r>
      <w:r>
        <w:rPr>
          <w:rFonts w:hint="eastAsia"/>
          <w:shd w:val="clear" w:color="FFFFFF" w:fill="D9D9D9"/>
          <w:lang w:val="en-US" w:eastAsia="zh-CN"/>
        </w:rPr>
        <w:t>七</w:t>
      </w:r>
      <w:r>
        <w:rPr>
          <w:rFonts w:hint="eastAsia"/>
          <w:shd w:val="clear" w:color="FFFFFF" w:fill="D9D9D9"/>
        </w:rPr>
        <w:t>：质性研究需要进行受访者核查</w:t>
      </w:r>
      <w:r>
        <w:rPr>
          <w:rFonts w:hint="eastAsia"/>
          <w:lang w:eastAsia="zh-CN"/>
        </w:rPr>
        <w:t>】受访者核查常被审稿人视为质性研究的严谨性</w:t>
      </w:r>
      <w:r>
        <w:rPr>
          <w:rFonts w:hint="eastAsia"/>
          <w:lang w:val="en-US" w:eastAsia="zh-CN"/>
        </w:rPr>
        <w:t>的核心</w:t>
      </w:r>
      <w:r>
        <w:rPr>
          <w:rFonts w:hint="eastAsia"/>
          <w:lang w:eastAsia="zh-CN"/>
        </w:rPr>
        <w:t>标准，但这一方法在实际应用中充满争议。若缺乏反思性，受访者核查可能因受访者无法准确判断去情境化的聚合结果、要求不当修改或引发创伤回忆等而威胁研究效度。质性研究者应优先在数据收集期间通过澄清性问题确保理解准确，而非事后回溯式核查。在实施科学等情境中，受访者核查往往不切实际，更应采用协作沟通与定期反思。若确需使用，作者应明确说明理由、程序及反馈纳入方式，避免机械套用该标准。</w:t>
      </w:r>
    </w:p>
    <w:p w14:paraId="7D3CE6F0">
      <w:pPr>
        <w:bidi w:val="0"/>
        <w:rPr>
          <w:rFonts w:hint="eastAsia"/>
          <w:lang w:eastAsia="zh-CN"/>
        </w:rPr>
      </w:pPr>
    </w:p>
    <w:p w14:paraId="312B9902">
      <w:pPr>
        <w:bidi w:val="0"/>
        <w:rPr>
          <w:rFonts w:hint="eastAsia"/>
          <w:lang w:eastAsia="zh-CN"/>
        </w:rPr>
      </w:pPr>
      <w:r>
        <w:rPr>
          <w:rFonts w:hint="eastAsia"/>
          <w:lang w:eastAsia="zh-CN"/>
        </w:rPr>
        <w:t>【</w:t>
      </w:r>
      <w:r>
        <w:rPr>
          <w:rFonts w:hint="eastAsia"/>
          <w:shd w:val="clear" w:color="FFFFFF" w:fill="D9D9D9"/>
        </w:rPr>
        <w:t>误解</w:t>
      </w:r>
      <w:r>
        <w:rPr>
          <w:rFonts w:hint="eastAsia"/>
          <w:shd w:val="clear" w:color="FFFFFF" w:fill="D9D9D9"/>
          <w:lang w:val="en-US" w:eastAsia="zh-CN"/>
        </w:rPr>
        <w:t>八</w:t>
      </w:r>
      <w:r>
        <w:rPr>
          <w:rFonts w:hint="eastAsia"/>
          <w:shd w:val="clear" w:color="FFFFFF" w:fill="D9D9D9"/>
        </w:rPr>
        <w:t>：质性分析需要进行编码</w:t>
      </w:r>
      <w:r>
        <w:rPr>
          <w:rFonts w:hint="eastAsia"/>
          <w:lang w:eastAsia="zh-CN"/>
        </w:rPr>
        <w:t>】审稿人常不恰当地要求质性研究必须使用逐行编码，误以为这是保证分析系统性和可复制性的唯一方式。事实上，编码仅是众多有效分析路径之一，其他如快速质性分析、图表法、矩阵分析等方法同样能产生可靠的发现。因此，审稿人应摒弃对编码的固有期待，转而关注研究者是否清晰、逻辑地描述了其分析步骤，并系统且反思性地应用于整个数据集。</w:t>
      </w:r>
    </w:p>
    <w:p w14:paraId="62E18E2E">
      <w:pPr>
        <w:bidi w:val="0"/>
        <w:rPr>
          <w:rFonts w:hint="eastAsia"/>
          <w:lang w:eastAsia="zh-CN"/>
        </w:rPr>
      </w:pPr>
    </w:p>
    <w:p w14:paraId="208C3159">
      <w:pPr>
        <w:bidi w:val="0"/>
        <w:rPr>
          <w:rFonts w:hint="eastAsia"/>
          <w:lang w:eastAsia="zh-CN"/>
        </w:rPr>
      </w:pPr>
      <w:r>
        <w:rPr>
          <w:rFonts w:hint="eastAsia"/>
          <w:lang w:eastAsia="zh-CN"/>
        </w:rPr>
        <w:t>【</w:t>
      </w:r>
      <w:r>
        <w:rPr>
          <w:rFonts w:hint="eastAsia"/>
          <w:shd w:val="clear" w:color="FFFFFF" w:fill="D9D9D9"/>
        </w:rPr>
        <w:t>误解</w:t>
      </w:r>
      <w:r>
        <w:rPr>
          <w:rFonts w:hint="eastAsia"/>
          <w:shd w:val="clear" w:color="FFFFFF" w:fill="D9D9D9"/>
          <w:lang w:val="en-US" w:eastAsia="zh-CN"/>
        </w:rPr>
        <w:t>九</w:t>
      </w:r>
      <w:r>
        <w:rPr>
          <w:rFonts w:hint="eastAsia"/>
          <w:shd w:val="clear" w:color="FFFFFF" w:fill="D9D9D9"/>
        </w:rPr>
        <w:t>：质性研究结果需要提炼主题</w:t>
      </w:r>
      <w:r>
        <w:rPr>
          <w:rFonts w:hint="eastAsia"/>
          <w:lang w:eastAsia="zh-CN"/>
        </w:rPr>
        <w:t>】审稿人和编辑常期望质性研究在结果部分呈现“主题”，但主题分析虽常见却非唯一有效的呈现方式。主题一词定义多样，在其他研究传统（如文学批评）与社会科学中的含义不同。事实上，质性研究的发现还可以通过话题、领域、类别、社会行为、过程等多种形式呈现，具体取决于分析路径（如质性内容分析、快速质性分析、民族志等）。因此，审稿人应评估作者如何定义其分析单位以及所采用的结果形式是否适合研究问题；作者则需引用理论文献，为自己的分析过程和结果形式提供明确辩护。</w:t>
      </w:r>
    </w:p>
    <w:p w14:paraId="0DD869A9">
      <w:pPr>
        <w:bidi w:val="0"/>
      </w:pPr>
    </w:p>
    <w:p w14:paraId="67551A10">
      <w:pPr>
        <w:bidi w:val="0"/>
        <w:rPr>
          <w:rFonts w:hint="eastAsia"/>
          <w:lang w:eastAsia="zh-CN"/>
        </w:rPr>
      </w:pPr>
      <w:r>
        <w:rPr>
          <w:rFonts w:hint="eastAsia"/>
          <w:lang w:eastAsia="zh-CN"/>
        </w:rPr>
        <w:t>【</w:t>
      </w:r>
      <w:r>
        <w:rPr>
          <w:rFonts w:hint="eastAsia"/>
          <w:shd w:val="clear" w:color="FFFFFF" w:fill="D9D9D9"/>
        </w:rPr>
        <w:t>误解</w:t>
      </w:r>
      <w:r>
        <w:rPr>
          <w:rFonts w:hint="eastAsia"/>
          <w:shd w:val="clear" w:color="FFFFFF" w:fill="D9D9D9"/>
          <w:lang w:val="en-US" w:eastAsia="zh-CN"/>
        </w:rPr>
        <w:t>十</w:t>
      </w:r>
      <w:r>
        <w:rPr>
          <w:rFonts w:hint="eastAsia"/>
          <w:shd w:val="clear" w:color="FFFFFF" w:fill="D9D9D9"/>
        </w:rPr>
        <w:t>：质性数据分析软件是必需的</w:t>
      </w:r>
      <w:r>
        <w:rPr>
          <w:rFonts w:hint="eastAsia"/>
          <w:lang w:eastAsia="zh-CN"/>
        </w:rPr>
        <w:t>】审稿人常期望质性研究必须使用质性数据分析软件，但软件仅是辅助工具，无法代替研究者进行分析。实际上，并非所有研究都需要软件，例如在实施科学中广泛应用的快速质性分析，往往借助Word或Excel等通用工具来完成，以节省时间和培训成本。质性研究者应清晰描述自己使用的工具及其如何辅助数据管理与分析，而非为了迎合期待而强行使用</w:t>
      </w:r>
      <w:r>
        <w:rPr>
          <w:rFonts w:hint="eastAsia"/>
          <w:lang w:val="en-US" w:eastAsia="zh-CN"/>
        </w:rPr>
        <w:t>质性数据分析软件</w:t>
      </w:r>
      <w:r>
        <w:rPr>
          <w:rFonts w:hint="eastAsia"/>
          <w:lang w:eastAsia="zh-CN"/>
        </w:rPr>
        <w:t>。</w:t>
      </w:r>
    </w:p>
    <w:p w14:paraId="7013DF2C">
      <w:pPr>
        <w:bidi w:val="0"/>
      </w:pPr>
    </w:p>
    <w:p w14:paraId="62067AE1">
      <w:pPr>
        <w:pStyle w:val="2"/>
        <w:bidi w:val="0"/>
        <w:rPr>
          <w:rFonts w:hint="eastAsia"/>
          <w:shd w:val="clear" w:color="FFFFFF" w:fill="D9D9D9"/>
          <w:lang w:val="en-US" w:eastAsia="zh-CN"/>
        </w:rPr>
      </w:pPr>
      <w:r>
        <w:rPr>
          <w:rFonts w:hint="eastAsia"/>
          <w:lang w:val="en-US" w:eastAsia="zh-CN"/>
        </w:rPr>
        <w:t>数字智能化时代对社会学的挑战</w:t>
      </w:r>
    </w:p>
    <w:p w14:paraId="46F57670">
      <w:pPr>
        <w:rPr>
          <w:rFonts w:hint="default"/>
          <w:lang w:val="en-US" w:eastAsia="zh-CN"/>
        </w:rPr>
      </w:pPr>
      <w:r>
        <w:rPr>
          <w:rFonts w:hint="default"/>
          <w:shd w:val="clear" w:color="FFFFFF" w:fill="D9D9D9"/>
          <w:lang w:val="en-US" w:eastAsia="zh-CN"/>
        </w:rPr>
        <w:t>数字智能化时代</w:t>
      </w:r>
      <w:r>
        <w:rPr>
          <w:rFonts w:hint="default"/>
          <w:lang w:val="en-US" w:eastAsia="zh-CN"/>
        </w:rPr>
        <w:t>对社会学的首要挑战在于研究对象与场域的根本重构。面对面互动、地域共同体等传统分析单位，正被算法中介的虚拟社群、平台化劳动关系与数据化自我呈现所取代，社区、阶级、公共领域等既有概念面临再定义压力。数字痕迹虽提供海量行为素材，但其生成并非为研究设计，存在选择性偏差与语境缺失，研究者难以区分数字行为与真实态度，算法黑箱更可能将商业逻辑伪装为客观测量。伦理层面，数据采集的知情同意边界模糊，隐私泄露与数字殖民风险加剧，传统伦理框架难以覆盖爬虫抓取、二次使用与算法推断等新实践。</w:t>
      </w:r>
    </w:p>
    <w:p w14:paraId="57953C27">
      <w:pPr>
        <w:rPr>
          <w:rFonts w:hint="default"/>
          <w:lang w:val="en-US" w:eastAsia="zh-CN"/>
        </w:rPr>
      </w:pPr>
    </w:p>
    <w:p w14:paraId="551B07C4">
      <w:pPr>
        <w:rPr>
          <w:rFonts w:hint="default"/>
          <w:lang w:val="en-US" w:eastAsia="zh-CN"/>
        </w:rPr>
      </w:pPr>
      <w:r>
        <w:rPr>
          <w:rFonts w:hint="default"/>
          <w:lang w:val="en-US" w:eastAsia="zh-CN"/>
        </w:rPr>
        <w:t>方法论与理论范式亦遭遇深层冲击。定量研究依赖抽样调查与结构化问卷，大数据则强调全样本与相关性挖掘，二者在因果识别与模型可解释性上存在张力，机器学习的预测逻辑与社会学的解释逻辑亟需重新协调。定性研究同样面临虚拟民族志中在场感与信任机制的变异，数字田野边界模糊使传统参与观察操作困难。理论层面，算法治理、平台资本主义与监控社会等新议题，迫使社会学超越经典批判理论，发展能解释代码权力与评分社会的概念工具。数字鸿沟与算法歧视等议题更要求社会学积极介入跨学科对话，在更新方法论的同时反思学科的认识论基础与价值立场。</w:t>
      </w:r>
    </w:p>
    <w:p w14:paraId="64A7911F">
      <w:pPr>
        <w:pStyle w:val="2"/>
        <w:bidi w:val="0"/>
        <w:rPr>
          <w:rFonts w:hint="eastAsia"/>
          <w:lang w:val="en-US" w:eastAsia="zh-CN"/>
        </w:rPr>
      </w:pPr>
      <w:r>
        <w:rPr>
          <w:rFonts w:hint="eastAsia"/>
          <w:lang w:val="en-US" w:eastAsia="zh-CN"/>
        </w:rPr>
        <w:t>从拉图尔理论看待民俗实践</w:t>
      </w:r>
    </w:p>
    <w:p w14:paraId="19D936D9">
      <w:pPr>
        <w:bidi w:val="0"/>
        <w:rPr>
          <w:rFonts w:hint="eastAsia"/>
          <w:lang w:val="en-US" w:eastAsia="zh-CN"/>
        </w:rPr>
      </w:pPr>
      <w:r>
        <w:rPr>
          <w:rFonts w:hint="eastAsia"/>
          <w:lang w:val="en-US" w:eastAsia="zh-CN"/>
        </w:rPr>
        <w:t>（民俗学不应再被简单地理解为对传统或已有习俗的时代继承，而应是人类与非人类力量相互作用、经由转译重组而侧好难过的行动者网络，是由人类、自然、社会与文化等多方面异质性要素动态组合、共同生成的一种行动性的、关系型的“混合体”）</w:t>
      </w:r>
    </w:p>
    <w:p w14:paraId="33A58DC5">
      <w:pPr>
        <w:bidi w:val="0"/>
        <w:rPr>
          <w:rFonts w:hint="eastAsia"/>
          <w:lang w:val="en-US" w:eastAsia="zh-CN"/>
        </w:rPr>
      </w:pPr>
    </w:p>
    <w:p w14:paraId="2E823661">
      <w:pPr>
        <w:bidi w:val="0"/>
        <w:rPr>
          <w:rFonts w:hint="default"/>
          <w:lang w:val="en-US" w:eastAsia="zh-CN"/>
        </w:rPr>
      </w:pPr>
      <w:r>
        <w:rPr>
          <w:rFonts w:hint="default"/>
          <w:lang w:val="en-US" w:eastAsia="zh-CN"/>
        </w:rPr>
        <w:t>从拉图尔行动者网络理论视角审视，民俗实践不应被理解为对既定传统的被动继承或社会结构的文化表征，而是一张由异质性行动者动态联结、持续生成的“行动者网络”。例如，一场祈雨仪式中</w:t>
      </w:r>
      <w:r>
        <w:rPr>
          <w:rFonts w:hint="eastAsia"/>
          <w:lang w:val="en-US" w:eastAsia="zh-CN"/>
        </w:rPr>
        <w:t>，</w:t>
      </w:r>
      <w:r>
        <w:rPr>
          <w:rFonts w:hint="default"/>
          <w:lang w:val="en-US" w:eastAsia="zh-CN"/>
        </w:rPr>
        <w:t>行动者不仅包括参与仪式的村民、巫师或家族长辈等人类元素，还囊括神灵观念、祭品、村落风水等非人类元素。这些异质性要素通过“转译”过程被纳入同一网络：旱情（自然行动者）、祭品（物质行动者）、村长（权威行动者）</w:t>
      </w:r>
      <w:r>
        <w:rPr>
          <w:rFonts w:hint="eastAsia"/>
          <w:lang w:val="en-US" w:eastAsia="zh-CN"/>
        </w:rPr>
        <w:t>等</w:t>
      </w:r>
      <w:r>
        <w:rPr>
          <w:rFonts w:hint="default"/>
          <w:lang w:val="en-US" w:eastAsia="zh-CN"/>
        </w:rPr>
        <w:t>相互界定、彼此赋予行动力，共同塑造了民俗实践的“在场”形态。民俗实践因而成为一种关系性的“混合体”，其稳定性不依赖文化本质，而依赖网络中各行动者持续互动的强度与可重复性。</w:t>
      </w:r>
    </w:p>
    <w:p w14:paraId="14230AD7">
      <w:pPr>
        <w:bidi w:val="0"/>
        <w:rPr>
          <w:rFonts w:hint="default"/>
          <w:lang w:val="en-US" w:eastAsia="zh-CN"/>
        </w:rPr>
      </w:pPr>
    </w:p>
    <w:p w14:paraId="243E4BBA">
      <w:pPr>
        <w:bidi w:val="0"/>
        <w:rPr>
          <w:rFonts w:hint="default"/>
          <w:lang w:val="en-US" w:eastAsia="zh-CN"/>
        </w:rPr>
      </w:pPr>
      <w:r>
        <w:rPr>
          <w:rFonts w:hint="default"/>
          <w:lang w:val="en-US" w:eastAsia="zh-CN"/>
        </w:rPr>
        <w:t>这一视角颠覆了民俗学传统中将民俗视为“遗留物”或“共同体精神”的本质化预设。民俗不再是等待被识别与保护的文化标本，而是动态的、充满争议的关系效应。当网络中的某个行动者缺席、被替换或重新定义，民俗实践本身便可能发生断裂、重组甚至消逝</w:t>
      </w:r>
      <w:r>
        <w:rPr>
          <w:rFonts w:hint="eastAsia"/>
          <w:lang w:val="en-US" w:eastAsia="zh-CN"/>
        </w:rPr>
        <w:t>（如祭品材料变动、更新等）</w:t>
      </w:r>
      <w:r>
        <w:rPr>
          <w:rFonts w:hint="default"/>
          <w:lang w:val="en-US" w:eastAsia="zh-CN"/>
        </w:rPr>
        <w:t>。同时，ANT视角还揭示民俗实践中的权力博弈：谁有权定义“正宗”？何种非人类行动者被动员来赋予实践合法性？因此，研究民俗不再是追溯起源或提炼集体意识，而是追踪异质性行动者如何通过转译缔结网络，并在具体情境中不断生成、维持或瓦解我们所称的“民俗”。这种理解将民俗从历史深潭中打捞至动态的、多行动者参与的当代实践场域，为非遗保护与文化传承研究提供了更具操作性的分析路径。</w:t>
      </w:r>
    </w:p>
    <w:p w14:paraId="7A927BDD">
      <w:pPr>
        <w:pStyle w:val="2"/>
        <w:bidi w:val="0"/>
        <w:rPr>
          <w:rFonts w:hint="default"/>
          <w:lang w:val="en-US" w:eastAsia="zh-CN"/>
        </w:rPr>
      </w:pPr>
      <w:r>
        <w:rPr>
          <w:rFonts w:hint="eastAsia"/>
          <w:lang w:val="en-US" w:eastAsia="zh-CN"/>
        </w:rPr>
        <w:t>柳田国男的民俗学划分</w:t>
      </w:r>
    </w:p>
    <w:p w14:paraId="0ECFD913">
      <w:pPr>
        <w:rPr>
          <w:rFonts w:hint="default"/>
          <w:lang w:val="en-US" w:eastAsia="zh-CN"/>
        </w:rPr>
      </w:pPr>
      <w:r>
        <w:rPr>
          <w:rFonts w:hint="eastAsia"/>
          <w:lang w:val="en-US" w:eastAsia="zh-CN"/>
        </w:rPr>
        <w:t>【</w:t>
      </w:r>
      <w:r>
        <w:rPr>
          <w:rFonts w:hint="eastAsia"/>
          <w:shd w:val="clear" w:color="FFFFFF" w:fill="D9D9D9"/>
          <w:lang w:val="en-US" w:eastAsia="zh-CN"/>
        </w:rPr>
        <w:t>民俗学划分</w:t>
      </w:r>
      <w:r>
        <w:rPr>
          <w:rFonts w:hint="eastAsia"/>
          <w:lang w:val="en-US" w:eastAsia="zh-CN"/>
        </w:rPr>
        <w:t>】</w:t>
      </w:r>
      <w:r>
        <w:rPr>
          <w:rFonts w:hint="default"/>
          <w:lang w:val="en-US" w:eastAsia="zh-CN"/>
        </w:rPr>
        <w:t>柳田国男将民俗学研究者的视角划分为“旅人之学”“寓公之学”与“土著之学”三个层次，深刻揭示了研究者与田野之间关系由浅入深的递进逻辑。“旅人之学”指短期造访的外部观察者，虽能敏锐捕捉新奇事象，但因缺乏文化浸润，理解往往停留于表层，易产生误读。“寓公之学”指较长时间居留的准局内人，如任职地方的官员或教师，他们获得了一定的生活体验与信任关系，能深入观察民俗的实际运作，但仍因“终将离开”而难以触及最深层的文化逻辑与情感结构。“土著之学”则指研究者彻底扎根于当地，成为社群的一份子，从内部生长出对文化的整体性理解与主体性阐释，真正把握民俗背后的生命经验与价值体系。这一划分旨在强调，唯有通过深度融入与长期共生，才能抵达民俗的内核。</w:t>
      </w:r>
    </w:p>
    <w:p w14:paraId="7B88C5C2">
      <w:pPr>
        <w:rPr>
          <w:rFonts w:hint="default"/>
          <w:lang w:val="en-US" w:eastAsia="zh-CN"/>
        </w:rPr>
      </w:pPr>
    </w:p>
    <w:p w14:paraId="6D652132">
      <w:pPr>
        <w:rPr>
          <w:rFonts w:hint="default"/>
          <w:lang w:val="en-US" w:eastAsia="zh-CN"/>
        </w:rPr>
      </w:pPr>
      <w:r>
        <w:rPr>
          <w:rFonts w:hint="default"/>
          <w:lang w:val="en-US" w:eastAsia="zh-CN"/>
        </w:rPr>
        <w:t>这一划分对当代民俗学研究具有深刻的方法论启示。首先，它警示研究者正视自身的位置性，避免以“旅人”的猎奇眼光将研究对象他者化，倡导通过长期的田野调查努力向“土著之学”靠拢，以获取真正的内部视角与地方性知识。其次，它提示我们在推崇局内人研究的同时，需保持学术自反性，警惕因过度沉浸而丧失分析距离。当代民俗学应在尊重社区主体性的前提下，鼓励研究者与当地人共同生产知识，使学术研究真正扎根于民众的生活世界，服务于文化的活态传承与理解。</w:t>
      </w:r>
    </w:p>
    <w:p w14:paraId="378F7875">
      <w:pPr>
        <w:rPr>
          <w:rFonts w:hint="eastAsia"/>
          <w:lang w:val="en-US" w:eastAsia="zh-CN"/>
        </w:rPr>
      </w:pPr>
    </w:p>
    <w:p w14:paraId="18076D2F">
      <w:pPr>
        <w:rPr>
          <w:rFonts w:hint="eastAsia"/>
          <w:lang w:val="en-US" w:eastAsia="zh-CN"/>
        </w:rPr>
      </w:pPr>
      <w:r>
        <w:rPr>
          <w:rFonts w:hint="eastAsia"/>
          <w:lang w:val="en-US" w:eastAsia="zh-CN"/>
        </w:rPr>
        <w:t>【</w:t>
      </w:r>
      <w:r>
        <w:rPr>
          <w:rFonts w:hint="eastAsia"/>
          <w:shd w:val="clear" w:color="FFFFFF" w:fill="D9D9D9"/>
          <w:lang w:val="en-US" w:eastAsia="zh-CN"/>
        </w:rPr>
        <w:t>重出立证法</w:t>
      </w:r>
      <w:r>
        <w:rPr>
          <w:rFonts w:hint="eastAsia"/>
          <w:lang w:val="en-US" w:eastAsia="zh-CN"/>
        </w:rPr>
        <w:t>】是柳田国男在民间文学研究中提出的方法论，指通过比较同一故事或母题在不同地域文本中重复出现的要素，确认其作为民俗事实的证据地位。该方法认为反复出现的部分具有稳定性，可据此追溯原始形态与演变轨迹，强调从变异中提取共同要素，是日本民俗学类型研究的重要工具。</w:t>
      </w:r>
    </w:p>
    <w:p w14:paraId="3E78DD59">
      <w:pPr>
        <w:rPr>
          <w:rFonts w:hint="eastAsia"/>
          <w:lang w:val="en-US" w:eastAsia="zh-CN"/>
        </w:rPr>
      </w:pPr>
    </w:p>
    <w:p w14:paraId="16EC3947">
      <w:pPr>
        <w:rPr>
          <w:rFonts w:hint="default"/>
          <w:lang w:val="en-US" w:eastAsia="zh-CN"/>
        </w:rPr>
      </w:pPr>
      <w:r>
        <w:rPr>
          <w:rFonts w:hint="eastAsia"/>
          <w:lang w:val="en-US" w:eastAsia="zh-CN"/>
        </w:rPr>
        <w:t>【</w:t>
      </w:r>
      <w:r>
        <w:rPr>
          <w:rFonts w:hint="eastAsia"/>
          <w:shd w:val="clear" w:color="FFFFFF" w:fill="D9D9D9"/>
          <w:lang w:val="en-US" w:eastAsia="zh-CN"/>
        </w:rPr>
        <w:t>周圈论</w:t>
      </w:r>
      <w:r>
        <w:rPr>
          <w:rFonts w:hint="eastAsia"/>
          <w:lang w:val="en-US" w:eastAsia="zh-CN"/>
        </w:rPr>
        <w:t>】柳田国男提出。该理论认为，文化总是从中心向周边传播，在传播过程中，旧有文化形态会逐渐被边缘化，最终退缩并保存于交通闭塞的边远地区，形成以中央为圆心、周边为遗留圈的同心圆式分布格局。通过比较各地民俗的异同，研究者可依据其离中心的距离来逆向推定文化的新旧层次。</w:t>
      </w:r>
    </w:p>
    <w:p w14:paraId="6049395C">
      <w:pPr>
        <w:pStyle w:val="2"/>
        <w:bidi w:val="0"/>
        <w:rPr>
          <w:rFonts w:hint="eastAsia"/>
          <w:lang w:val="en-US" w:eastAsia="zh-CN"/>
        </w:rPr>
      </w:pPr>
      <w:r>
        <w:rPr>
          <w:rFonts w:hint="eastAsia"/>
          <w:lang w:val="en-US" w:eastAsia="zh-CN"/>
        </w:rPr>
        <w:t>绿色建筑到银色建筑</w:t>
      </w:r>
    </w:p>
    <w:p w14:paraId="2F307BDF">
      <w:pPr>
        <w:rPr>
          <w:rFonts w:hint="eastAsia"/>
          <w:lang w:val="en-US" w:eastAsia="zh-CN"/>
        </w:rPr>
      </w:pPr>
      <w:r>
        <w:rPr>
          <w:rFonts w:hint="eastAsia"/>
          <w:lang w:val="en-US" w:eastAsia="zh-CN"/>
        </w:rPr>
        <w:t>学者将城市规划重心从“绿色建筑”转向“银色建筑”的呼吁，实质上是对城市空间如何回应人口结构根本性转变的深刻反思。“绿色建筑”关注生态可持续性，强调节能减排、低碳材料与环境友好，是现代城市文明的重要标志；而“银色建筑”则聚焦于对老年群体身体机能衰退、社会关系变化以及心理需求的系统性响应。其核心并非以牺牲生态为代价，而是主张在可持续发展的框架下，将“适老化”提升至与“生态化”同等重要的优先级。具体而言，“银色建筑”涵盖的无障碍设施、防滑地面、清晰标识、照明优化、公共交通与住宅的无缝衔接，以及社区内嵌入的医疗照护与社交空间，是对老年人独立生活能力与社会融入感的直接保障。</w:t>
      </w:r>
    </w:p>
    <w:p w14:paraId="49E70B8A">
      <w:pPr>
        <w:rPr>
          <w:rFonts w:hint="eastAsia"/>
          <w:lang w:val="en-US" w:eastAsia="zh-CN"/>
        </w:rPr>
      </w:pPr>
    </w:p>
    <w:p w14:paraId="71B8C66C">
      <w:pPr>
        <w:rPr>
          <w:rFonts w:hint="default"/>
          <w:lang w:val="en-US" w:eastAsia="zh-CN"/>
        </w:rPr>
      </w:pPr>
      <w:r>
        <w:rPr>
          <w:rFonts w:hint="eastAsia"/>
          <w:lang w:val="en-US" w:eastAsia="zh-CN"/>
        </w:rPr>
        <w:t>这一转向的现实紧迫性在于，老龄化社会中的城市空间若继续以健康成年人为默认使用者，便会成为隐性的“排斥性空间”，将老年人逐渐推向边缘与隔离。老年人的就医、购物、社交等日常活动往往受限于体力与感官功能，城市若缺乏就近可达的公共服务、安全舒适的步行环境以及代际交流的公共空间，会加剧其社会退缩与健康衰退。而“银色建筑”本质上是一种通用设计，它不仅服务老年人，也为推婴儿车的父母、临时受伤者乃至所有市民创造更友好的环境。因此，这一呼吁的核心逻辑，是让城市规划从“环境友好”的单向度目标，转向“全龄友好”的包容性视野。当然，这一转型也面临现实挑战，如改造存量建筑的成本、如何平衡不同年龄群体对公共空间的使用需求、以及避免将老龄化仅仅“技术化”处理而忽视社会参与的本质。但无论如何，将“银色建筑”纳入城市建设的核心议程，标志着社会开始以制度性行动回应人口结构变迁，是对“在地老化”与“积极老龄化”理念最切实的空间落实。</w:t>
      </w:r>
    </w:p>
    <w:p w14:paraId="30ED8070">
      <w:pPr>
        <w:pStyle w:val="2"/>
        <w:bidi w:val="0"/>
        <w:rPr>
          <w:rFonts w:hint="eastAsia"/>
          <w:lang w:val="en-US" w:eastAsia="zh-CN"/>
        </w:rPr>
      </w:pPr>
      <w:r>
        <w:rPr>
          <w:rFonts w:hint="eastAsia"/>
          <w:lang w:val="en-US" w:eastAsia="zh-CN"/>
        </w:rPr>
        <w:t>医护工作者职业倦怠和应对措施</w:t>
      </w:r>
    </w:p>
    <w:p w14:paraId="478E8AEC">
      <w:pPr>
        <w:rPr>
          <w:rFonts w:hint="default"/>
          <w:lang w:val="en-US" w:eastAsia="zh-CN"/>
        </w:rPr>
      </w:pPr>
      <w:r>
        <w:rPr>
          <w:rFonts w:hint="default"/>
          <w:lang w:val="en-US" w:eastAsia="zh-CN"/>
        </w:rPr>
        <w:t>老年医护工作者的职业倦怠是指在长期从事老年人医疗、护理与照护工作中，因持续的情感付出、高强度的工作负荷以及价值认同的冲突而引发的身心耗竭状态。这一现象在老年医护领域尤为突出，其根源在于老年照护具有高情感卷入、低社会回报的特点。与急性期治疗不同，老年医护工作往往伴随患者的功能衰退与生命终末期照护，医护人员在日常工作中频繁面对治疗效果有限、患者离世以及家属情绪压力，容易产生情感耗竭感。与此同时，老年医护工作常被社会低估，薪酬待遇与职业声望与其工作强度不成正比，导致个人成就感降低。</w:t>
      </w:r>
      <w:r>
        <w:rPr>
          <w:rFonts w:hint="eastAsia"/>
          <w:lang w:val="en-US" w:eastAsia="zh-CN"/>
        </w:rPr>
        <w:t>上述因素</w:t>
      </w:r>
      <w:r>
        <w:rPr>
          <w:rFonts w:hint="default"/>
          <w:lang w:val="en-US" w:eastAsia="zh-CN"/>
        </w:rPr>
        <w:t>使从业者长期处于超负荷运转状态，职业倦怠问题尤为严峻。</w:t>
      </w:r>
    </w:p>
    <w:p w14:paraId="281BE0C9">
      <w:pPr>
        <w:rPr>
          <w:rFonts w:hint="default"/>
          <w:lang w:val="en-US" w:eastAsia="zh-CN"/>
        </w:rPr>
      </w:pPr>
    </w:p>
    <w:p w14:paraId="17D5FC47">
      <w:pPr>
        <w:rPr>
          <w:rFonts w:hint="eastAsia"/>
          <w:lang w:val="en-US" w:eastAsia="zh-CN"/>
        </w:rPr>
      </w:pPr>
      <w:r>
        <w:rPr>
          <w:rFonts w:hint="default"/>
          <w:lang w:val="en-US" w:eastAsia="zh-CN"/>
        </w:rPr>
        <w:t>应对老年医护工作者职业倦怠需要从组织支持与个体调适两个层面协同推进。在组织层面，应建立常态化的心理支持机制，帮助从业者处理照护过程中积累的负面情绪。同时，通过优化排班制度、合理配置人力资源、提高薪酬待遇与职业晋升通道，增强岗位吸引力。在制度设计上，应推动长期护理保险与医护服务价格改革，为老年医护服务提供可持续的经费保障此外，社会层面应加强对老年医护工作的价值认同，通过媒体宣传与荣誉表彰，提升职业尊严感。只有将组织支持、制度保障与社会认同形成合力，才能从根本上缓解老年医护工作者的职业倦怠，稳定老年照护人才队伍。</w:t>
      </w:r>
    </w:p>
    <w:p w14:paraId="42532F9F">
      <w:pPr>
        <w:pStyle w:val="2"/>
        <w:bidi w:val="0"/>
        <w:rPr>
          <w:rFonts w:hint="eastAsia"/>
          <w:lang w:val="en-US" w:eastAsia="zh-CN"/>
        </w:rPr>
      </w:pPr>
      <w:r>
        <w:rPr>
          <w:rFonts w:hint="eastAsia"/>
          <w:lang w:val="en-US" w:eastAsia="zh-CN"/>
        </w:rPr>
        <w:t>“疾病的隐喻”与老年学</w:t>
      </w:r>
    </w:p>
    <w:p w14:paraId="0D88872E">
      <w:pPr>
        <w:bidi w:val="0"/>
        <w:rPr>
          <w:rFonts w:hint="eastAsia"/>
          <w:lang w:val="en-US" w:eastAsia="zh-CN"/>
        </w:rPr>
      </w:pPr>
      <w:r>
        <w:rPr>
          <w:rFonts w:hint="eastAsia"/>
          <w:lang w:val="en-US" w:eastAsia="zh-CN"/>
        </w:rPr>
        <w:t>苏珊·桑塔格在《疾病的隐喻》中批判了社会如何将疾病（尤其是结核病、癌症、艾滋病等）从纯粹的生理事实，转化为附着道德评判、心理投射和社会偏见的隐喻。她指出，隐喻剥夺了患者的真实体验，使其在承受病痛的同时，还需背负“性格缺陷”、“天谴”等污名。在老年学领域，这一理论极具解释力：衰老及伴随的慢性病、失智症，同样被层层隐喻所包裹。例如，阿尔茨海默病常被描述为“漫长的告别”“精神死亡”，这种叙事将患者简化为“活着的尸体”，遮蔽了其作为人的主体性与未完全丧失的感知能力。老年本身也被隐喻为“社会包袱”“衰退期”，而非生命经验的累积阶段。这些隐喻不仅加剧了老年群体的自我否定，还影响公共政策与社会服务的方向，使医疗资源更倾向于“治愈”而非“照护”，忽略了对生命质量的尊重。</w:t>
      </w:r>
    </w:p>
    <w:p w14:paraId="53BB54C8">
      <w:pPr>
        <w:bidi w:val="0"/>
        <w:rPr>
          <w:rFonts w:hint="eastAsia"/>
          <w:lang w:val="en-US" w:eastAsia="zh-CN"/>
        </w:rPr>
      </w:pPr>
    </w:p>
    <w:p w14:paraId="5AA65848">
      <w:pPr>
        <w:rPr>
          <w:rFonts w:hint="eastAsia"/>
          <w:lang w:val="en-US" w:eastAsia="zh-CN"/>
        </w:rPr>
      </w:pPr>
      <w:r>
        <w:rPr>
          <w:rFonts w:hint="eastAsia"/>
          <w:lang w:val="en-US" w:eastAsia="zh-CN"/>
        </w:rPr>
        <w:t>理解桑塔格对老年学的启示，在于倡导一种“去隐喻化”的老年观与疾病观。在理论层面，这意味着破除将衰老与疾病本质化为失败或耻辱的叙事，重新将其理解为生命历程的自然组成部分。在实践层面，则要求老年照护回归到对个体具体处境与需求的关注，而非将其置于抽象的道德或经济标签之下。安宁疗护、以人为本的照护模式，正是对这种隐喻祛魅的回应——它强调即使认知功能衰退，个体依然拥有感受尊严、获得关怀的权利。桑塔格的批判提醒我们，社会对老年与疾病的集体想象，往往比疾病本身更具破坏力；而真正的老年学进步，不仅在于延长寿命，更在于清除附着于衰老之上的隐喻负担，让人们在生命晚期依然能够不被定义、不被污名地存在。</w:t>
      </w:r>
    </w:p>
    <w:p w14:paraId="7C3B7E35">
      <w:pPr>
        <w:rPr>
          <w:rFonts w:hint="eastAsia"/>
          <w:lang w:val="en-US" w:eastAsia="zh-CN"/>
        </w:rPr>
      </w:pPr>
    </w:p>
    <w:p w14:paraId="38FC1B4C">
      <w:pPr>
        <w:pStyle w:val="2"/>
        <w:bidi w:val="0"/>
        <w:rPr>
          <w:rFonts w:hint="default"/>
          <w:lang w:val="en-US" w:eastAsia="zh-CN"/>
        </w:rPr>
      </w:pPr>
      <w:r>
        <w:rPr>
          <w:rFonts w:hint="eastAsia"/>
          <w:lang w:val="en-US" w:eastAsia="zh-CN"/>
        </w:rPr>
        <w:t>延迟退休相关思考</w:t>
      </w:r>
    </w:p>
    <w:p w14:paraId="56CDDC5F">
      <w:pPr>
        <w:rPr>
          <w:rFonts w:hint="default"/>
          <w:lang w:val="en-US" w:eastAsia="zh-CN"/>
        </w:rPr>
      </w:pPr>
      <w:r>
        <w:rPr>
          <w:rFonts w:hint="default"/>
          <w:shd w:val="clear" w:color="FFFFFF" w:fill="D9D9D9"/>
          <w:lang w:val="en-US" w:eastAsia="zh-CN"/>
        </w:rPr>
        <w:t>延迟退休</w:t>
      </w:r>
      <w:r>
        <w:rPr>
          <w:rFonts w:hint="default"/>
          <w:lang w:val="en-US" w:eastAsia="zh-CN"/>
        </w:rPr>
        <w:t>作为应对人口老龄化的关键政策调整，其首要意义在于回应社会结构的深刻变迁。从宏观层面看，随着人均预期寿命延长与健康预期寿命提升，传统的退休制度已难以匹配当下的人口格局与劳动力市场供需。老年学研究表明，在生命历程视角下，单纯依据日历年龄划定劳动参与边界，既是对老年人力资源的浪费，也可能加剧养老保障体系的支付压力。这一政策的底层逻辑，在于重新定义“老年”的社会建构标准，推动社会从“养”到“用”的认知转型。通过延长有劳动意愿和能力者的工作年限，不仅可以增加劳动力供给弹性，缓解抚养比失衡，还能通过代际更替中的经验传承，维持社会资本与知识的延续性。</w:t>
      </w:r>
    </w:p>
    <w:p w14:paraId="191DC3A0">
      <w:pPr>
        <w:rPr>
          <w:rFonts w:hint="default"/>
          <w:lang w:val="en-US" w:eastAsia="zh-CN"/>
        </w:rPr>
      </w:pPr>
    </w:p>
    <w:p w14:paraId="75E30BF3">
      <w:pPr>
        <w:rPr>
          <w:rFonts w:hint="default"/>
          <w:lang w:val="en-US" w:eastAsia="zh-CN"/>
        </w:rPr>
      </w:pPr>
      <w:r>
        <w:rPr>
          <w:rFonts w:hint="default"/>
          <w:lang w:val="en-US" w:eastAsia="zh-CN"/>
        </w:rPr>
        <w:t>然而，从微观层面审视，延迟退休的实施必须直面中国社会内部的累积劣势与健康不平等现实。不同职业群体的劳动强度、健康损耗速率以及职业满足感存在显著差异，这意味着延迟退休不能采取“一刀切”模式。对于从事高强度体力劳动或处于健康劣势的群体而言，延迟退休可能意味着剥夺其应得的养老权益，加剧晚年的健康鸿沟。因此，政策的有效性取决于配套制度的精细化设计，如建立弹性退休机制、强化职业健康保护与终身学习体系，并着力弥合健康数字鸿沟，确保弱势群体在数字化职场中不被边缘化。归根结底，延迟退休的思考不应局限于财政平衡，而应着眼于构建全生命周期的公平发展机会，使各年龄段人群在制度框架内都能获得尊重与保障。</w:t>
      </w:r>
    </w:p>
    <w:p w14:paraId="5C49060A">
      <w:pPr>
        <w:rPr>
          <w:rFonts w:hint="default"/>
          <w:lang w:val="en-US" w:eastAsia="zh-CN"/>
        </w:rPr>
      </w:pPr>
    </w:p>
    <w:p w14:paraId="39094A87">
      <w:pPr>
        <w:pStyle w:val="2"/>
        <w:bidi w:val="0"/>
        <w:rPr>
          <w:rFonts w:hint="eastAsia"/>
          <w:lang w:val="en-US" w:eastAsia="zh-CN"/>
        </w:rPr>
      </w:pPr>
      <w:r>
        <w:rPr>
          <w:rFonts w:hint="eastAsia"/>
          <w:lang w:val="en-US" w:eastAsia="zh-CN"/>
        </w:rPr>
        <w:t>病残扩张理论</w:t>
      </w:r>
    </w:p>
    <w:p w14:paraId="0DACE9B0">
      <w:pPr>
        <w:rPr>
          <w:rFonts w:hint="eastAsia"/>
          <w:lang w:val="en-US" w:eastAsia="zh-CN"/>
        </w:rPr>
      </w:pPr>
    </w:p>
    <w:p w14:paraId="536FED82">
      <w:pPr>
        <w:bidi w:val="0"/>
        <w:rPr>
          <w:rFonts w:hint="default"/>
          <w:lang w:val="en-US" w:eastAsia="zh-CN"/>
        </w:rPr>
      </w:pPr>
      <w:r>
        <w:t>老年学、老年医学里有个理论我很喜欢：病残扩张理论。一句话说明：健康可以导致长寿，但长寿不一定就健康。该理论区别于病残收缩与平衡理论，为人类平均寿命延长的进步图景，蒙上了一股失败的色彩：实证资料表明，自现代化与流行病转型以来，医疗技术进步充分促进了寿命延长，使大量人口进入老龄区间，然而，平均预期寿命的延长速率远高于健康寿命的延长速率。也就是说，虽然人口预期寿命提升了，但是病残寿命年却相应地受退行性疾病（亦即区别于重度致死疾病的认知障碍、行动障碍、情绪失调等疾病，如阿尔茨默、帕金森症等）影响而得到扩张。以优生学视角看来，原本不能在自然选择下存活的部分人口，因医疗技术进步存活了下来，但却是“不健康”地存活。因此，这是一种“胜利的失败”抑或“胜利的代价”。病残扩张理论冲击了积极老龄化老年健康与社会参与的基本预设，也为老年人口医疗支出、社会政策制定等带来新的挑战。</w:t>
      </w:r>
    </w:p>
    <w:p w14:paraId="2F669279">
      <w:pPr>
        <w:pStyle w:val="2"/>
        <w:bidi w:val="0"/>
        <w:rPr>
          <w:rFonts w:hint="default"/>
          <w:lang w:val="en-US" w:eastAsia="zh-CN"/>
        </w:rPr>
      </w:pPr>
      <w:r>
        <w:rPr>
          <w:rFonts w:hint="eastAsia"/>
          <w:lang w:val="en-US" w:eastAsia="zh-CN"/>
        </w:rPr>
        <w:t>人工智能与人口老龄化</w:t>
      </w:r>
    </w:p>
    <w:p w14:paraId="1501BCE6">
      <w:pPr>
        <w:rPr>
          <w:rFonts w:hint="eastAsia"/>
          <w:lang w:val="en-US" w:eastAsia="zh-CN"/>
        </w:rPr>
      </w:pPr>
      <w:r>
        <w:rPr>
          <w:rFonts w:hint="eastAsia"/>
          <w:lang w:val="en-US" w:eastAsia="zh-CN"/>
        </w:rPr>
        <w:t>【</w:t>
      </w:r>
      <w:r>
        <w:rPr>
          <w:rFonts w:hint="eastAsia"/>
          <w:shd w:val="clear" w:color="FFFFFF" w:fill="D9D9D9"/>
          <w:lang w:val="en-US" w:eastAsia="zh-CN"/>
        </w:rPr>
        <w:t>三条机制对冲老龄化</w:t>
      </w:r>
      <w:r>
        <w:rPr>
          <w:rFonts w:hint="eastAsia"/>
          <w:lang w:val="en-US" w:eastAsia="zh-CN"/>
        </w:rPr>
        <w:t>】人工智能主要通过三条机制应对老龄化对经济增长的冲击。一是, 提高生产的智能化和自动化程度, 减弱生产活动对劳动的依赖, 从而减轻老龄化背景下劳动力供给减少对经济增长的不利影响。二是, 提高资本回报率, 进而提高储蓄率和投资率, 以减缓老龄化背景下储蓄率和投资率下降对经济增长的冲击。三是, 促进全要素生产率的提升, 从而进一步对冲老龄化对经济增长的冲击。</w:t>
      </w:r>
    </w:p>
    <w:p w14:paraId="37B84C49">
      <w:pPr>
        <w:rPr>
          <w:rFonts w:hint="eastAsia"/>
          <w:lang w:val="en-US" w:eastAsia="zh-CN"/>
        </w:rPr>
      </w:pPr>
    </w:p>
    <w:p w14:paraId="4E249264">
      <w:pPr>
        <w:rPr>
          <w:rFonts w:hint="eastAsia"/>
          <w:lang w:val="en-US" w:eastAsia="zh-CN"/>
        </w:rPr>
      </w:pPr>
      <w:r>
        <w:rPr>
          <w:rFonts w:hint="eastAsia"/>
          <w:lang w:val="en-US" w:eastAsia="zh-CN"/>
        </w:rPr>
        <w:t>【</w:t>
      </w:r>
      <w:r>
        <w:rPr>
          <w:rFonts w:hint="eastAsia"/>
          <w:shd w:val="clear" w:color="FFFFFF" w:fill="D9D9D9"/>
          <w:lang w:val="en-US" w:eastAsia="zh-CN"/>
        </w:rPr>
        <w:t>人工智能与劳动力</w:t>
      </w:r>
      <w:r>
        <w:rPr>
          <w:rFonts w:hint="eastAsia"/>
          <w:lang w:val="en-US" w:eastAsia="zh-CN"/>
        </w:rPr>
        <w:t>】劳动力是生产和经济增长不可或缺的要素投入, 然而老龄化却会导致劳动力供给减少。这是因为, 老龄化会使得劳动年龄人口不断减少, 而且伴随着老龄化的不断加剧, 全社会的劳动参与率会越来越低。不过, 人工智能可以减少生产过程中的劳动力需求, 从而减弱老龄化对经济增长的不利影响。</w:t>
      </w:r>
    </w:p>
    <w:p w14:paraId="5A864196">
      <w:pPr>
        <w:rPr>
          <w:rFonts w:hint="eastAsia"/>
          <w:lang w:val="en-US" w:eastAsia="zh-CN"/>
        </w:rPr>
      </w:pPr>
    </w:p>
    <w:p w14:paraId="1D6F184D">
      <w:pPr>
        <w:rPr>
          <w:rFonts w:hint="eastAsia"/>
          <w:lang w:val="en-US" w:eastAsia="zh-CN"/>
        </w:rPr>
      </w:pPr>
      <w:r>
        <w:rPr>
          <w:rFonts w:hint="eastAsia"/>
          <w:lang w:val="en-US" w:eastAsia="zh-CN"/>
        </w:rPr>
        <w:t>【</w:t>
      </w:r>
      <w:r>
        <w:rPr>
          <w:rFonts w:hint="eastAsia"/>
          <w:shd w:val="clear" w:color="FFFFFF" w:fill="D9D9D9"/>
          <w:lang w:val="en-US" w:eastAsia="zh-CN"/>
        </w:rPr>
        <w:t>人工智能与资本生产</w:t>
      </w:r>
      <w:r>
        <w:rPr>
          <w:rFonts w:hint="eastAsia"/>
          <w:lang w:val="en-US" w:eastAsia="zh-CN"/>
        </w:rPr>
        <w:t>】老龄化会降低储蓄率和投资率, 进而降低资本积累速度, 阻碍经济增长。根据生命周期理论, 一个国家的劳动年龄人口占比越高则储蓄率和投资率越高, 老年人占比越高则储蓄率和投资率越低。不仅如此, 老龄化过程中劳动供给减少, 会使得资本边际产出递减规律的影响更加明显, 进而降低投资回报率, 投资率和储蓄率也就随之下行。相比之下, 人工智能则会提高资本回报率, 从而提高储蓄率和投资率, 进而减弱老龄化的冲击。伴随着人工智能水平的提高, 生产过程的智能化和自动化水平会不断升高, 而且越来越多的生产任务可以用资本代替劳动加以完成, 从而使得生产过程中资本相对于劳动变得更加重要, 投资回报率将因此而上升。除此之外, 人工智能的发展还可以促进全社会技术进步和全要素生产率的提升, 这同样有助于提高资本回报率。</w:t>
      </w:r>
    </w:p>
    <w:p w14:paraId="6AEE015B">
      <w:pPr>
        <w:rPr>
          <w:rFonts w:hint="eastAsia"/>
          <w:lang w:val="en-US" w:eastAsia="zh-CN"/>
        </w:rPr>
      </w:pPr>
    </w:p>
    <w:p w14:paraId="319922E6">
      <w:pPr>
        <w:rPr>
          <w:rFonts w:hint="eastAsia"/>
          <w:lang w:val="en-US" w:eastAsia="zh-CN"/>
        </w:rPr>
      </w:pPr>
      <w:r>
        <w:rPr>
          <w:rFonts w:hint="eastAsia"/>
          <w:lang w:val="en-US" w:eastAsia="zh-CN"/>
        </w:rPr>
        <w:t>【</w:t>
      </w:r>
      <w:r>
        <w:rPr>
          <w:rFonts w:hint="eastAsia"/>
          <w:shd w:val="clear" w:color="FFFFFF" w:fill="D9D9D9"/>
          <w:lang w:val="en-US" w:eastAsia="zh-CN"/>
        </w:rPr>
        <w:t>人工智能应对老龄化对经济增长冲击的核心机制</w:t>
      </w:r>
      <w:r>
        <w:rPr>
          <w:rFonts w:hint="eastAsia"/>
          <w:lang w:val="en-US" w:eastAsia="zh-CN"/>
        </w:rPr>
        <w:t>】①人工智能可以提高生产的智能化和自动化程度, 更大幅度地实现资本对劳动的替代, 从而减轻老龄化背景下劳动力供给减少对经济增长的不利影响；②人工智能可以提高资本回报率, 进而提高储蓄率和投资率, 以减缓老龄化背景下储蓄率和投资率下降对经济增长的冲击；③人工智能可以促进全社会的技术进步, 提高全要素生产率, 从而进一步对冲老龄化对经济增长的不利影响。</w:t>
      </w:r>
    </w:p>
    <w:p w14:paraId="2ACA701C">
      <w:pPr>
        <w:rPr>
          <w:rFonts w:hint="eastAsia"/>
          <w:lang w:val="en-US" w:eastAsia="zh-CN"/>
        </w:rPr>
      </w:pPr>
      <w:r>
        <w:rPr>
          <w:rFonts w:hint="eastAsia"/>
          <w:lang w:val="en-US" w:eastAsia="zh-CN"/>
        </w:rPr>
        <w:br w:type="textWrapping"/>
      </w:r>
      <w:r>
        <w:rPr>
          <w:rFonts w:hint="eastAsia"/>
          <w:lang w:val="en-US" w:eastAsia="zh-CN"/>
        </w:rPr>
        <w:t>【</w:t>
      </w:r>
      <w:r>
        <w:rPr>
          <w:rFonts w:hint="eastAsia"/>
          <w:shd w:val="clear" w:color="FFFFFF" w:fill="D9D9D9"/>
          <w:lang w:val="en-US" w:eastAsia="zh-CN"/>
        </w:rPr>
        <w:t>延迟退休为什么比不上人工智能</w:t>
      </w:r>
      <w:r>
        <w:rPr>
          <w:rFonts w:hint="eastAsia"/>
          <w:lang w:val="en-US" w:eastAsia="zh-CN"/>
        </w:rPr>
        <w:t>】①延迟退休政策试图“挖掘”劳动供给, 但是难以扭转老龄化背景下劳动供给日趋减少的趋势。与之不同, 人工智能可以提升生产的智能化和自动化程度, 持续不断地减少劳动需求数量, 从而使其可以长期可持续地应对老龄化的冲击；②人工智能可以提高资本回报率, 从而驱动储蓄率和投资率升高, 延迟退休政策无法比拟；③人工智能有助于提高技术进步速度和全要素生产率增速, 延迟退休政策难以实现。（解释②：</w:t>
      </w:r>
      <w:r>
        <w:rPr>
          <w:u w:val="single"/>
        </w:rPr>
        <w:t>人工智能（AI）能够提高资本的使用效率，</w:t>
      </w:r>
      <w:r>
        <w:rPr>
          <w:b/>
          <w:bCs w:val="0"/>
          <w:u w:val="single"/>
        </w:rPr>
        <w:t>让同样的资本创造出更多的利润（即资本回报率上升）</w:t>
      </w:r>
      <w:r>
        <w:rPr>
          <w:u w:val="single"/>
        </w:rPr>
        <w:t>。当资本回报率变高时，人们会更愿意把钱存起来（因为</w:t>
      </w:r>
      <w:r>
        <w:rPr>
          <w:b/>
          <w:bCs w:val="0"/>
          <w:u w:val="single"/>
        </w:rPr>
        <w:t>储蓄能带来更高收益</w:t>
      </w:r>
      <w:r>
        <w:rPr>
          <w:u w:val="single"/>
        </w:rPr>
        <w:t>），企业也更愿意借钱投资（因为投资能赚到更多钱）。这样一来，整个社会的</w:t>
      </w:r>
      <w:r>
        <w:rPr>
          <w:b/>
          <w:bCs w:val="0"/>
          <w:u w:val="single"/>
        </w:rPr>
        <w:t>储蓄率和投资率</w:t>
      </w:r>
      <w:r>
        <w:rPr>
          <w:u w:val="single"/>
        </w:rPr>
        <w:t>就会随之上升。</w:t>
      </w:r>
      <w:r>
        <w:rPr>
          <w:rFonts w:hint="eastAsia"/>
          <w:lang w:val="en-US" w:eastAsia="zh-CN"/>
        </w:rPr>
        <w:t>）</w:t>
      </w:r>
    </w:p>
    <w:p w14:paraId="5C49A067">
      <w:pPr>
        <w:rPr>
          <w:rFonts w:hint="eastAsia"/>
          <w:lang w:val="en-US" w:eastAsia="zh-CN"/>
        </w:rPr>
      </w:pPr>
    </w:p>
    <w:p w14:paraId="1FCCA091">
      <w:pPr>
        <w:rPr>
          <w:rFonts w:hint="eastAsia"/>
          <w:lang w:val="en-US" w:eastAsia="zh-CN"/>
        </w:rPr>
      </w:pPr>
      <w:r>
        <w:rPr>
          <w:rFonts w:hint="eastAsia"/>
          <w:lang w:val="en-US" w:eastAsia="zh-CN"/>
        </w:rPr>
        <w:t>【</w:t>
      </w:r>
      <w:r>
        <w:rPr>
          <w:rFonts w:hint="eastAsia"/>
          <w:shd w:val="clear" w:color="FFFFFF" w:fill="D9D9D9"/>
          <w:lang w:val="en-US" w:eastAsia="zh-CN"/>
        </w:rPr>
        <w:t>中国人口老龄化现状、对策</w:t>
      </w:r>
      <w:r>
        <w:rPr>
          <w:rFonts w:hint="eastAsia"/>
          <w:lang w:val="en-US" w:eastAsia="zh-CN"/>
        </w:rPr>
        <w:t>】</w:t>
      </w:r>
    </w:p>
    <w:p w14:paraId="09ED3EAF">
      <w:pPr>
        <w:rPr>
          <w:rFonts w:hint="eastAsia"/>
          <w:lang w:val="en-US" w:eastAsia="zh-CN"/>
        </w:rPr>
      </w:pPr>
    </w:p>
    <w:p w14:paraId="16AC64BC">
      <w:pPr>
        <w:rPr>
          <w:rFonts w:hint="eastAsia"/>
          <w:lang w:val="en-US" w:eastAsia="zh-CN"/>
        </w:rPr>
      </w:pPr>
      <w:r>
        <w:rPr>
          <w:rFonts w:hint="eastAsia"/>
          <w:lang w:val="en-US" w:eastAsia="zh-CN"/>
        </w:rPr>
        <w:t>现状：老龄化规模大，速度快；劳动力规模持续萎缩；社会养老负担较重；未富先老持续加大经济运行下行压力；需要社会提供更多的养老支持</w:t>
      </w:r>
    </w:p>
    <w:p w14:paraId="65F48A6E">
      <w:pPr>
        <w:rPr>
          <w:rFonts w:hint="eastAsia"/>
          <w:lang w:val="en-US" w:eastAsia="zh-CN"/>
        </w:rPr>
      </w:pPr>
    </w:p>
    <w:p w14:paraId="7425F973">
      <w:pPr>
        <w:rPr>
          <w:rFonts w:hint="eastAsia"/>
          <w:lang w:val="en-US" w:eastAsia="zh-CN"/>
        </w:rPr>
      </w:pPr>
      <w:r>
        <w:rPr>
          <w:rFonts w:hint="eastAsia"/>
          <w:lang w:val="en-US" w:eastAsia="zh-CN"/>
        </w:rPr>
        <w:t>对策：积极推进延迟退休政策、建立与老龄化社会相适应的再分配体系（要建立以与老龄化社会相适应的再分配体系，避免出现因老龄化加剧产生的收入差距扩大、与老龄化相关的贫困加剧等不利局面）、加快构建健全完善的社会保障制度、提高生育率，为生育权回归家庭做好政策支持、转变养老观念，加强老年社会工作建设。</w:t>
      </w:r>
    </w:p>
    <w:p w14:paraId="2B417ADE">
      <w:pPr>
        <w:pStyle w:val="2"/>
        <w:bidi w:val="0"/>
        <w:rPr>
          <w:rFonts w:hint="eastAsia"/>
          <w:lang w:val="en-US" w:eastAsia="zh-CN"/>
        </w:rPr>
      </w:pPr>
      <w:r>
        <w:rPr>
          <w:rFonts w:hint="eastAsia"/>
          <w:lang w:val="en-US" w:eastAsia="zh-CN"/>
        </w:rPr>
        <w:t>安乐死</w:t>
      </w:r>
    </w:p>
    <w:p w14:paraId="718C9E00">
      <w:pPr>
        <w:bidi w:val="0"/>
        <w:rPr>
          <w:rFonts w:hint="default"/>
          <w:lang w:val="en-US" w:eastAsia="zh-CN"/>
        </w:rPr>
      </w:pPr>
      <w:r>
        <w:rPr>
          <w:rFonts w:hint="eastAsia"/>
          <w:lang w:val="en-US" w:eastAsia="zh-CN"/>
        </w:rPr>
        <w:t>【</w:t>
      </w:r>
      <w:r>
        <w:rPr>
          <w:rFonts w:hint="eastAsia"/>
          <w:shd w:val="clear" w:color="FFFFFF" w:fill="D9D9D9"/>
          <w:lang w:val="en-US" w:eastAsia="zh-CN"/>
        </w:rPr>
        <w:t>对安乐死的看法</w:t>
      </w:r>
      <w:r>
        <w:rPr>
          <w:rFonts w:hint="eastAsia"/>
          <w:lang w:val="en-US" w:eastAsia="zh-CN"/>
        </w:rPr>
        <w:t>】</w:t>
      </w:r>
      <w:r>
        <w:rPr>
          <w:rFonts w:hint="default"/>
          <w:lang w:val="en-US" w:eastAsia="zh-CN"/>
        </w:rPr>
        <w:t>人口老龄化程度的不断加深，正在深刻重塑社会对生命伦理与死亡方式的看法，其中安乐死议题尤为凸显。在老龄化时代，慢性病高发、失能失智状态延长以及临终阶段的照护资源紧张，使许多人开始重新审视生命的质量与死亡的尊严。传统的家庭养老模式因少子化与代际分离而功能弱化，个体在生命末期可能面临孤独无助或过度医疗的双重困境。在这种背景下，安乐死被视为一种从漫长痛苦中解脱的途径，体现了对个体自主选择权的尊重。一些人认为，在寿命大幅延长的现代社会，人不仅应享有“优生”的权利，也应拥有“优逝”的权利，即在医学无法逆转病情时，以无痛苦的方式结束生命成为追求生命尊严的最后保障。</w:t>
      </w:r>
    </w:p>
    <w:p w14:paraId="69B493EE">
      <w:pPr>
        <w:rPr>
          <w:rFonts w:hint="default"/>
          <w:lang w:val="en-US" w:eastAsia="zh-CN"/>
        </w:rPr>
      </w:pPr>
    </w:p>
    <w:p w14:paraId="5BE3891C">
      <w:pPr>
        <w:rPr>
          <w:rFonts w:hint="default"/>
          <w:lang w:val="en-US" w:eastAsia="zh-CN"/>
        </w:rPr>
      </w:pPr>
      <w:r>
        <w:rPr>
          <w:rFonts w:hint="default"/>
          <w:lang w:val="en-US" w:eastAsia="zh-CN"/>
        </w:rPr>
        <w:t>然而，老龄化时代对安乐死的看法始终伴随着深刻的制度与伦理张力。反对意见指出，安乐死的合法化可能对老年群体构成隐性的社会压力，使其在医疗资源紧张或照护负担沉重的背景下，产生“拖累家人”的负罪感，从而被迫选择放弃生命而非真正出于自由意志。这触及社会公正的深层议题，即社会是否已建立起完善的安宁疗护体系，能否确保每位老人都能在无痛的关怀中有尊严地走完人生全程。因此，关于安乐死的讨论，本质上是对社会如何对待其最脆弱成员的追问。在老龄化时代，这一议题呼唤的不应仅仅是合法化的简单结论，更应推动全社会对生命教育的深化、对临终关怀体系的完善以及对代际互助伦理的重塑，使个体在面对死亡时，既拥有选择的自由，也拥有被温暖守护的保障。</w:t>
      </w:r>
    </w:p>
    <w:p w14:paraId="24020FC0">
      <w:pPr>
        <w:pStyle w:val="2"/>
        <w:bidi w:val="0"/>
        <w:rPr>
          <w:rFonts w:hint="eastAsia"/>
          <w:lang w:val="en-US" w:eastAsia="zh-CN"/>
        </w:rPr>
      </w:pPr>
      <w:r>
        <w:rPr>
          <w:rFonts w:hint="eastAsia"/>
          <w:lang w:val="en-US" w:eastAsia="zh-CN"/>
        </w:rPr>
        <w:t>计算扎根理论</w:t>
      </w:r>
    </w:p>
    <w:p w14:paraId="10BE5C35">
      <w:pPr>
        <w:bidi w:val="0"/>
        <w:rPr>
          <w:rFonts w:hint="eastAsia"/>
          <w:lang w:val="en-US" w:eastAsia="zh-CN"/>
        </w:rPr>
      </w:pPr>
      <w:r>
        <w:rPr>
          <w:rFonts w:hint="eastAsia"/>
          <w:lang w:val="en-US" w:eastAsia="zh-CN"/>
        </w:rPr>
        <w:t>词共现分析：通过统计词汇在文本中共同出现的频率来构建概念网络，其结果直观且易于理解，因而具有较高的可解释性。研究者可直接基于词汇频率观察词语间的关联模式，并推导出潜在的主题或情感倾向。然而，该方法的局限在于仅能捕捉表层词汇关系，难以深入揭示词语间的深层语义和上下文依赖性。</w:t>
      </w:r>
    </w:p>
    <w:p w14:paraId="658D3DC2">
      <w:pPr>
        <w:bidi w:val="0"/>
        <w:rPr>
          <w:rFonts w:hint="eastAsia"/>
          <w:lang w:val="en-US" w:eastAsia="zh-CN"/>
        </w:rPr>
      </w:pPr>
    </w:p>
    <w:p w14:paraId="1F6053A7">
      <w:pPr>
        <w:bidi w:val="0"/>
        <w:rPr>
          <w:rFonts w:hint="eastAsia"/>
          <w:lang w:val="en-US" w:eastAsia="zh-CN"/>
        </w:rPr>
      </w:pPr>
      <w:r>
        <w:rPr>
          <w:rFonts w:hint="eastAsia"/>
          <w:lang w:val="en-US" w:eastAsia="zh-CN"/>
        </w:rPr>
        <w:t>词嵌入分析：通过将词汇映射至高维向量空间，利用大规模文本数据训练的语言模型捕捉词语间的语义相似度和接近性。其通过几何关系推断词义，不仅能反映复杂的语义关联和语境信息，还能为研究者提供更为精细的分析工具。</w:t>
      </w:r>
    </w:p>
    <w:p w14:paraId="32393C28">
      <w:pPr>
        <w:bidi w:val="0"/>
        <w:rPr>
          <w:rFonts w:hint="eastAsia"/>
          <w:lang w:val="en-US" w:eastAsia="zh-CN"/>
        </w:rPr>
      </w:pPr>
    </w:p>
    <w:p w14:paraId="77F2A927">
      <w:pPr>
        <w:bidi w:val="0"/>
        <w:rPr>
          <w:rFonts w:hint="eastAsia"/>
          <w:lang w:val="en-US" w:eastAsia="zh-CN"/>
        </w:rPr>
      </w:pPr>
      <w:r>
        <w:rPr>
          <w:rFonts w:hint="eastAsia"/>
          <w:lang w:val="en-US" w:eastAsia="zh-CN"/>
        </w:rPr>
        <w:t>经典扎根理论：编码作为一种研究方法在社会科学领域被广泛应用，其概念源自由格拉泽和斯特劳斯开创的扎根理论。作为质性研究核心范式，扎根理论强调通过对数据的深入分析归纳生成理论。在编码过程中，研究者从数据中识别概念，通过不断比较不同数据片段，逐步抽象、综合出范畴。这个过程要求研究者从实际数据出发，避免预设的理论框架干扰分析。扎根理论优势在于其开放性和对数据的尊重。通过编码突破既有理论框架的限制，直接从数据中提炼理论，防止简单套用现有框架可能导致的数据扭曲或忽略有价值的线索。</w:t>
      </w:r>
    </w:p>
    <w:p w14:paraId="61A67D17">
      <w:pPr>
        <w:bidi w:val="0"/>
        <w:rPr>
          <w:rFonts w:hint="eastAsia"/>
          <w:lang w:val="en-US" w:eastAsia="zh-CN"/>
        </w:rPr>
      </w:pPr>
    </w:p>
    <w:p w14:paraId="666687FE">
      <w:pPr>
        <w:pStyle w:val="2"/>
        <w:bidi w:val="0"/>
        <w:rPr>
          <w:rFonts w:hint="eastAsia"/>
          <w:lang w:val="en-US" w:eastAsia="zh-CN"/>
        </w:rPr>
      </w:pPr>
      <w:r>
        <w:rPr>
          <w:rFonts w:hint="eastAsia"/>
          <w:lang w:val="en-US" w:eastAsia="zh-CN"/>
        </w:rPr>
        <w:t>人工智能与就业</w:t>
      </w:r>
    </w:p>
    <w:p w14:paraId="1B45D60A">
      <w:pPr>
        <w:bidi w:val="0"/>
        <w:rPr>
          <w:rFonts w:hint="default"/>
          <w:lang w:val="en-US" w:eastAsia="zh-CN"/>
        </w:rPr>
      </w:pPr>
      <w:r>
        <w:rPr>
          <w:rFonts w:hint="default"/>
          <w:lang w:val="en-US" w:eastAsia="zh-CN"/>
        </w:rPr>
        <w:t>人工智能对就业可能产生的影响首先表现为替代效应与岗位极化。替代效应指AI与自动化技术可替代重复性高、规则明确的程序性劳动，如数据录入、客服、生产线质检及部分翻译工作，导致中等技能岗位缩减。与以往技术革命不同，AI开始侵蚀部分认知技能岗位，如初级法律文书与医学影像分析。岗位极化则表现为就业结构向高技能创造性岗位（如AI研发、创意设计）与低技能服务岗位（如护理、保洁）两端集中，中间层级萎缩，加剧收入不平等。同时，零工经济与平台劳动关系进一步碎片化，传统雇佣稳定性下降，劳动者面临技能折旧加速与再培训压力。</w:t>
      </w:r>
    </w:p>
    <w:p w14:paraId="2A8A0995">
      <w:pPr>
        <w:bidi w:val="0"/>
        <w:rPr>
          <w:rFonts w:hint="default"/>
          <w:lang w:val="en-US" w:eastAsia="zh-CN"/>
        </w:rPr>
      </w:pPr>
    </w:p>
    <w:p w14:paraId="52D6D2AA">
      <w:pPr>
        <w:bidi w:val="0"/>
        <w:rPr>
          <w:rFonts w:hint="default"/>
          <w:lang w:val="en-US" w:eastAsia="zh-CN"/>
        </w:rPr>
      </w:pPr>
      <w:r>
        <w:rPr>
          <w:rFonts w:hint="default"/>
          <w:lang w:val="en-US" w:eastAsia="zh-CN"/>
        </w:rPr>
        <w:t>其次，AI也会产生创造效应与协作效应。创造效应体现在新岗位的生成，如算法伦理师、数据标注员、人机交互设计师以及AI维护与训练相关职业，这些岗位此前不存在。协作效应强调AI作为辅助工具提升劳动生产率，使劳动者从繁琐事务中解放，专注更高价值的判断与创造性工作，例如医生借助诊断系统提高准确率。此外，AI可能催生新的商业模式与产业生态，带动配套就业。但总体影响取决于制度调节：若教育体系快速响应技能需求、社会保障覆盖过渡期失业、并引入机器人税或全民基本收入等再分配机制，则可缓解冲击；否则可能导致技术性失业与结构性矛盾加剧。因此，AI对就业的净效应并非单向，而是社会选择的结果。</w:t>
      </w:r>
    </w:p>
    <w:p w14:paraId="1AC7CEBD">
      <w:pPr>
        <w:pStyle w:val="2"/>
        <w:bidi w:val="0"/>
        <w:rPr>
          <w:rFonts w:hint="eastAsia"/>
          <w:lang w:val="en-US" w:eastAsia="zh-CN"/>
        </w:rPr>
      </w:pPr>
      <w:r>
        <w:rPr>
          <w:rFonts w:hint="eastAsia"/>
          <w:lang w:val="en-US" w:eastAsia="zh-CN"/>
        </w:rPr>
        <w:t>积极老龄化</w:t>
      </w:r>
    </w:p>
    <w:p w14:paraId="5E5DD624">
      <w:pPr>
        <w:bidi w:val="0"/>
        <w:rPr>
          <w:rFonts w:hint="eastAsia"/>
          <w:lang w:val="en-US" w:eastAsia="zh-CN"/>
        </w:rPr>
      </w:pPr>
      <w:r>
        <w:rPr>
          <w:rFonts w:hint="eastAsia"/>
          <w:lang w:val="en-US" w:eastAsia="zh-CN"/>
        </w:rPr>
        <w:t>不足之处：①潜在的“成功老龄化”压力，将老年人划分为“积极”和“不积极”，可能带来标签效应与相应歧视；②过于强调个体责任，忽视贫困、医疗资源不均等社会结构性问题；③对高龄、失能、认知障碍老年人关注不足，理论更适用于相对健康的低龄老人，对最需要照顾的群体支持描述不足；④概念边界模糊，难以量化“积极”概念，容易泛化，导致现实政策落实不足；⑤经济注意倾向：有时过度强调老年人对经济的贡献（如再就业），而忽略了老年人的尊严、休闲、精神需求等非生产性价值；⑥文化不适用：该理论源自强调独立、自主、参与的西方价值观，在一些集体主义或家庭养老为主的文化中可能不契合；⑦性别盲点：女性老年人往往承担更多无偿照顾劳动，积极老龄化可能未充分考量性别差异。</w:t>
      </w:r>
    </w:p>
    <w:p w14:paraId="3E4DD3E9">
      <w:pPr>
        <w:bidi w:val="0"/>
        <w:rPr>
          <w:rFonts w:hint="eastAsia"/>
          <w:lang w:val="en-US" w:eastAsia="zh-CN"/>
        </w:rPr>
      </w:pPr>
    </w:p>
    <w:p w14:paraId="02BA3DA0">
      <w:pPr>
        <w:bidi w:val="0"/>
        <w:rPr>
          <w:rFonts w:hint="eastAsia"/>
          <w:lang w:val="en-US" w:eastAsia="zh-CN"/>
        </w:rPr>
      </w:pPr>
      <w:r>
        <w:rPr>
          <w:rFonts w:hint="eastAsia"/>
          <w:lang w:val="en-US" w:eastAsia="zh-CN"/>
        </w:rPr>
        <w:t>欧洲是世界上人口老龄化率最高的地区，中国是世界老年人口数量最多的国家。</w:t>
      </w:r>
    </w:p>
    <w:p w14:paraId="38DE464E">
      <w:pPr>
        <w:bidi w:val="0"/>
        <w:rPr>
          <w:rFonts w:hint="eastAsia"/>
          <w:lang w:val="en-US" w:eastAsia="zh-CN"/>
        </w:rPr>
      </w:pPr>
    </w:p>
    <w:p w14:paraId="73CFF8F3">
      <w:pPr>
        <w:bidi w:val="0"/>
        <w:rPr>
          <w:rFonts w:hint="eastAsia"/>
          <w:lang w:val="en-US" w:eastAsia="zh-CN"/>
        </w:rPr>
      </w:pPr>
      <w:r>
        <w:rPr>
          <w:rFonts w:hint="eastAsia"/>
          <w:lang w:val="en-US" w:eastAsia="zh-CN"/>
        </w:rPr>
        <w:t>中国人口老龄化的特点：未富先老和未备先老；巨大区域差异问题（农村老龄化成本远高城市）；生育率持续下降，且经济发展与生育率密切相关，试图干预生育率的政策难以产生积极显著效果。反而专注生命周期的健康与生产能力→积极老龄化概念。</w:t>
      </w:r>
    </w:p>
    <w:p w14:paraId="293FE1DD">
      <w:pPr>
        <w:bidi w:val="0"/>
        <w:rPr>
          <w:rFonts w:hint="eastAsia"/>
          <w:lang w:val="en-US" w:eastAsia="zh-CN"/>
        </w:rPr>
      </w:pPr>
    </w:p>
    <w:p w14:paraId="650F854E">
      <w:pPr>
        <w:bidi w:val="0"/>
        <w:rPr>
          <w:rFonts w:hint="default"/>
          <w:lang w:val="en-US" w:eastAsia="zh-CN"/>
        </w:rPr>
      </w:pPr>
      <w:r>
        <w:rPr>
          <w:rFonts w:hint="eastAsia"/>
          <w:lang w:val="en-US" w:eastAsia="zh-CN"/>
        </w:rPr>
        <w:t>虽然老龄化不可避免，但它同时也有很强的可塑性，这就意味着，旨在预防老年慢性病的政策不仅能提高生活质量和生产力，还能有助于减少健康和护理服务需求。换言之，政策制定者不要过度关注老年人口规模，而更多地关注老年人所处的老龄化环境。这就需要关注终生的老龄化过程，而不是老年人本身。对于老年政策的启示：老年人本身→老龄化过程的整个生命历程。旨在预防晚年残疾的社会政策（如积极老龄化政策）必须以生命历程为导向。社会政策在决定老年质量和老年群体间不平等方面比遗传基因重要得多，是影响老龄化的非遗传因素中最为重要的因素。因此，它能够改变老龄化过程，从而使老年人个体和整个社会均从中受益。</w:t>
      </w:r>
    </w:p>
    <w:p w14:paraId="3121983E">
      <w:pPr>
        <w:bidi w:val="0"/>
        <w:rPr>
          <w:rFonts w:hint="eastAsia"/>
          <w:lang w:val="en-US" w:eastAsia="zh-CN"/>
        </w:rPr>
      </w:pPr>
    </w:p>
    <w:p w14:paraId="166CA1CC">
      <w:pPr>
        <w:bidi w:val="0"/>
        <w:rPr>
          <w:rFonts w:hint="default"/>
          <w:lang w:val="en-US" w:eastAsia="zh-CN"/>
        </w:rPr>
      </w:pPr>
      <w:r>
        <w:rPr>
          <w:rFonts w:hint="eastAsia"/>
          <w:lang w:val="en-US" w:eastAsia="zh-CN"/>
        </w:rPr>
        <w:t>脱离理论（消极社会排斥）→生产老龄化（引入生命历程、社会参与）→积极老龄化（生活质量、精神与物质福祉与参与）</w:t>
      </w:r>
    </w:p>
    <w:p w14:paraId="647AE706">
      <w:pPr>
        <w:rPr>
          <w:rFonts w:hint="default"/>
          <w:lang w:val="en-US" w:eastAsia="zh-CN"/>
        </w:rPr>
      </w:pPr>
    </w:p>
    <w:p w14:paraId="324CA58B">
      <w:pPr>
        <w:rPr>
          <w:rFonts w:hint="default"/>
          <w:lang w:val="en-US" w:eastAsia="zh-CN"/>
        </w:rPr>
      </w:pPr>
      <w:r>
        <w:rPr>
          <w:rFonts w:hint="eastAsia"/>
          <w:lang w:val="en-US" w:eastAsia="zh-CN"/>
        </w:rPr>
        <w:t>积极老龄化七项基本原则：①“积极”应包括所有有助于身体和精神健康的活动；②生命历程视角认识到，晚年的慢性病和身体功能受限无一例外地是早年社会经济状况及环境风险的必然结果（累积劣势）；③预防措施至关重要。老龄化政策旨在尽可能多和早地预防可能损害晚年生活质量的慢性疾病；④在积极老龄化综合战略实施中，必须采取所有可能的政策杠杆（如上游的初级防御以及下游的二级预防和康复），并且需要建立跨越中央和地方所有政府部门的组织体系。⑤积极老龄化不应排斥任何年龄段的人；⑥在公共卫生方面，需避免自上而下的劝告或抽象行为原则，而应采取赋权手段，寻求让不同的社会群体参与到老龄化决策的对话之中；⑦必须考虑到不平等和文化多样性、性别差异等，因地制宜实施政策。政策干预效果（从倒U字型到倒L型）</w:t>
      </w:r>
    </w:p>
    <w:p w14:paraId="627A616B">
      <w:pPr>
        <w:rPr>
          <w:rFonts w:hint="eastAsia"/>
          <w:lang w:val="en-US" w:eastAsia="zh-CN"/>
        </w:rPr>
      </w:pPr>
    </w:p>
    <w:p w14:paraId="08F8C063">
      <w:pPr>
        <w:rPr>
          <w:rFonts w:ascii="宋体" w:hAnsi="宋体" w:eastAsia="宋体" w:cs="宋体"/>
          <w:sz w:val="24"/>
          <w:szCs w:val="24"/>
        </w:rPr>
      </w:pPr>
      <w:r>
        <w:rPr>
          <w:rFonts w:ascii="宋体" w:hAnsi="宋体" w:eastAsia="宋体" w:cs="宋体"/>
          <w:sz w:val="24"/>
          <w:szCs w:val="24"/>
        </w:rPr>
        <w:drawing>
          <wp:inline distT="0" distB="0" distL="114300" distR="114300">
            <wp:extent cx="4485005" cy="2458085"/>
            <wp:effectExtent l="0" t="0" r="10795"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rot="10800000" flipH="1" flipV="1">
                      <a:off x="0" y="0"/>
                      <a:ext cx="4485005" cy="2458085"/>
                    </a:xfrm>
                    <a:prstGeom prst="rect">
                      <a:avLst/>
                    </a:prstGeom>
                    <a:noFill/>
                    <a:ln w="9525">
                      <a:noFill/>
                    </a:ln>
                  </pic:spPr>
                </pic:pic>
              </a:graphicData>
            </a:graphic>
          </wp:inline>
        </w:drawing>
      </w:r>
    </w:p>
    <w:p w14:paraId="5ECB2C8E">
      <w:pPr>
        <w:rPr>
          <w:rFonts w:hint="eastAsia"/>
          <w:lang w:val="en-US" w:eastAsia="zh-CN"/>
        </w:rPr>
      </w:pPr>
    </w:p>
    <w:p w14:paraId="475D18EF">
      <w:pPr>
        <w:pStyle w:val="2"/>
        <w:bidi w:val="0"/>
        <w:rPr>
          <w:rFonts w:hint="eastAsia"/>
          <w:lang w:val="en-US" w:eastAsia="zh-CN"/>
        </w:rPr>
      </w:pPr>
      <w:r>
        <w:rPr>
          <w:rFonts w:hint="eastAsia"/>
          <w:lang w:val="en-US" w:eastAsia="zh-CN"/>
        </w:rPr>
        <w:t>潘光旦与米尔斯思想比较</w:t>
      </w:r>
    </w:p>
    <w:p w14:paraId="6DA94061">
      <w:pPr>
        <w:rPr>
          <w:rFonts w:hint="default"/>
          <w:lang w:val="en-US" w:eastAsia="zh-CN"/>
        </w:rPr>
      </w:pPr>
    </w:p>
    <w:p w14:paraId="6B24C8CB">
      <w:pPr>
        <w:rPr>
          <w:rFonts w:hint="eastAsia"/>
          <w:lang w:val="en-US" w:eastAsia="zh-CN"/>
        </w:rPr>
      </w:pPr>
      <w:r>
        <w:rPr>
          <w:rFonts w:hint="eastAsia"/>
          <w:lang w:val="en-US" w:eastAsia="zh-CN"/>
        </w:rPr>
        <w:t>潘</w:t>
      </w:r>
      <w:r>
        <w:rPr>
          <w:rFonts w:hint="eastAsia"/>
        </w:rPr>
        <w:t>光旦曾在对荀子与斯宾塞思想的探讨</w:t>
      </w:r>
      <w:r>
        <w:rPr>
          <w:rFonts w:hint="eastAsia"/>
          <w:lang w:eastAsia="zh-CN"/>
        </w:rPr>
        <w:t>（</w:t>
      </w:r>
      <w:r>
        <w:rPr>
          <w:rFonts w:hint="eastAsia"/>
          <w:lang w:val="en-US" w:eastAsia="zh-CN"/>
        </w:rPr>
        <w:t>侧重于方法论立场</w:t>
      </w:r>
      <w:r>
        <w:rPr>
          <w:rFonts w:hint="eastAsia"/>
          <w:lang w:eastAsia="zh-CN"/>
        </w:rPr>
        <w:t>）</w:t>
      </w:r>
      <w:r>
        <w:rPr>
          <w:rFonts w:hint="eastAsia"/>
        </w:rPr>
        <w:t>中，论述过同</w:t>
      </w:r>
      <w:r>
        <w:rPr>
          <w:rFonts w:hint="eastAsia"/>
          <w:lang w:val="en-US" w:eastAsia="zh-CN"/>
        </w:rPr>
        <w:t>米尔斯“社</w:t>
      </w:r>
      <w:r>
        <w:rPr>
          <w:rFonts w:hint="eastAsia"/>
        </w:rPr>
        <w:t>会学想象力</w:t>
      </w:r>
      <w:r>
        <w:rPr>
          <w:rFonts w:hint="eastAsia"/>
          <w:lang w:eastAsia="zh-CN"/>
        </w:rPr>
        <w:t>”</w:t>
      </w:r>
      <w:r>
        <w:rPr>
          <w:rFonts w:hint="eastAsia"/>
        </w:rPr>
        <w:t>近似的说法，也就是“</w:t>
      </w:r>
      <w:r>
        <w:rPr>
          <w:rFonts w:hint="eastAsia"/>
        </w:rPr>
        <w:fldChar w:fldCharType="begin"/>
      </w:r>
      <w:r>
        <w:rPr>
          <w:rFonts w:hint="eastAsia"/>
        </w:rPr>
        <w:instrText xml:space="preserve"> HYPERLINK "https://zhida.zhihu.com/search?content_id=268800291&amp;content_type=Article&amp;match_order=1&amp;q=%E8%A7%A3%E8%94%BD&amp;zhida_source=entity" \t "https://www.zhihu.com/people/mo-gu-49-61-90/_blank" </w:instrText>
      </w:r>
      <w:r>
        <w:rPr>
          <w:rFonts w:hint="eastAsia"/>
        </w:rPr>
        <w:fldChar w:fldCharType="separate"/>
      </w:r>
      <w:r>
        <w:rPr>
          <w:rFonts w:hint="eastAsia"/>
        </w:rPr>
        <w:t>解蔽</w:t>
      </w:r>
      <w:r>
        <w:rPr>
          <w:rFonts w:hint="eastAsia"/>
        </w:rPr>
        <w:fldChar w:fldCharType="end"/>
      </w:r>
      <w:r>
        <w:rPr>
          <w:rFonts w:hint="eastAsia"/>
        </w:rPr>
        <w:t>”。潘先生</w:t>
      </w:r>
      <w:r>
        <w:rPr>
          <w:rFonts w:hint="eastAsia"/>
          <w:lang w:val="en-US" w:eastAsia="zh-CN"/>
        </w:rPr>
        <w:t>认为，近代以来，</w:t>
      </w:r>
      <w:r>
        <w:rPr>
          <w:rFonts w:hint="eastAsia"/>
        </w:rPr>
        <w:t>专业化的教学与知识</w:t>
      </w:r>
      <w:r>
        <w:rPr>
          <w:rFonts w:hint="eastAsia"/>
          <w:lang w:val="en-US" w:eastAsia="zh-CN"/>
        </w:rPr>
        <w:t>分工遮蔽了</w:t>
      </w:r>
      <w:r>
        <w:rPr>
          <w:rFonts w:hint="eastAsia"/>
        </w:rPr>
        <w:t>人对于世界的整体性认识与人格的完整培养，个人生活倾向于安居一隅以及以偏概全，由此产生偏见、成见或朋比纷争，此即对整体性世界的“遮蔽”。</w:t>
      </w:r>
      <w:r>
        <w:rPr>
          <w:rFonts w:hint="eastAsia"/>
          <w:lang w:val="en-US" w:eastAsia="zh-CN"/>
        </w:rPr>
        <w:t>在</w:t>
      </w:r>
      <w:r>
        <w:rPr>
          <w:rFonts w:hint="eastAsia"/>
        </w:rPr>
        <w:t>米尔斯</w:t>
      </w:r>
      <w:r>
        <w:rPr>
          <w:rFonts w:hint="eastAsia"/>
          <w:lang w:val="en-US" w:eastAsia="zh-CN"/>
        </w:rPr>
        <w:t>那里，与“遮蔽”近同的概念是</w:t>
      </w:r>
      <w:r>
        <w:rPr>
          <w:rFonts w:hint="eastAsia"/>
        </w:rPr>
        <w:t>“个人困扰”</w:t>
      </w:r>
      <w:r>
        <w:rPr>
          <w:rFonts w:hint="eastAsia"/>
          <w:lang w:eastAsia="zh-CN"/>
        </w:rPr>
        <w:t>、“</w:t>
      </w:r>
      <w:r>
        <w:rPr>
          <w:rFonts w:hint="eastAsia"/>
          <w:lang w:val="en-US" w:eastAsia="zh-CN"/>
        </w:rPr>
        <w:t>不安与漠然</w:t>
      </w:r>
      <w:r>
        <w:rPr>
          <w:rFonts w:hint="eastAsia"/>
          <w:lang w:eastAsia="zh-CN"/>
        </w:rPr>
        <w:t>”</w:t>
      </w:r>
      <w:r>
        <w:rPr>
          <w:rFonts w:hint="eastAsia"/>
          <w:lang w:val="en-US" w:eastAsia="zh-CN"/>
        </w:rPr>
        <w:t>与</w:t>
      </w:r>
      <w:r>
        <w:rPr>
          <w:rFonts w:hint="eastAsia"/>
        </w:rPr>
        <w:t>“虚假意识”</w:t>
      </w:r>
      <w:r>
        <w:rPr>
          <w:rFonts w:hint="eastAsia"/>
          <w:lang w:eastAsia="zh-CN"/>
        </w:rPr>
        <w:t>，</w:t>
      </w:r>
      <w:r>
        <w:rPr>
          <w:rFonts w:hint="eastAsia"/>
          <w:lang w:val="en-US" w:eastAsia="zh-CN"/>
        </w:rPr>
        <w:t>而社会学的想象力之所以提倡对个人困扰与公共议题有机连接，并确立把握人生、历史在社会当中关联的任务与承诺，也正为着“解蔽”的缘故。在遮蔽与解蔽之间，</w:t>
      </w:r>
      <w:r>
        <w:rPr>
          <w:rFonts w:hint="eastAsia"/>
        </w:rPr>
        <w:t>社会学存在的核心价值</w:t>
      </w:r>
      <w:r>
        <w:rPr>
          <w:rFonts w:hint="eastAsia"/>
          <w:lang w:eastAsia="zh-CN"/>
        </w:rPr>
        <w:t>，</w:t>
      </w:r>
      <w:r>
        <w:rPr>
          <w:rFonts w:hint="eastAsia"/>
          <w:lang w:val="en-US" w:eastAsia="zh-CN"/>
        </w:rPr>
        <w:t>正</w:t>
      </w:r>
      <w:r>
        <w:rPr>
          <w:rFonts w:hint="eastAsia"/>
        </w:rPr>
        <w:t>是在对社会生活的整体性追求中，</w:t>
      </w:r>
      <w:r>
        <w:rPr>
          <w:rFonts w:hint="eastAsia"/>
          <w:lang w:val="en-US" w:eastAsia="zh-CN"/>
        </w:rPr>
        <w:t>努力</w:t>
      </w:r>
      <w:r>
        <w:rPr>
          <w:rFonts w:hint="eastAsia"/>
        </w:rPr>
        <w:t>破除个体生活、学识与品行的偏狭，</w:t>
      </w:r>
      <w:r>
        <w:rPr>
          <w:rFonts w:hint="eastAsia"/>
          <w:lang w:val="en-US" w:eastAsia="zh-CN"/>
        </w:rPr>
        <w:t>抵达解蔽的晴明之境界（顺便一提，这也正是韦伯对学术作用限定于“</w:t>
      </w:r>
      <w:r>
        <w:t>Klarheit</w:t>
      </w:r>
      <w:r>
        <w:rPr>
          <w:rFonts w:hint="eastAsia"/>
          <w:lang w:val="en-US" w:eastAsia="zh-CN"/>
        </w:rPr>
        <w:t>”的主题）。很少有像社会学如此的学科：</w:t>
      </w:r>
      <w:r>
        <w:rPr>
          <w:rFonts w:hint="eastAsia"/>
          <w:lang w:eastAsia="zh-CN"/>
        </w:rPr>
        <w:t>“</w:t>
      </w:r>
      <w:r>
        <w:rPr>
          <w:rFonts w:hint="eastAsia"/>
          <w:lang w:val="en-US" w:eastAsia="zh-CN"/>
        </w:rPr>
        <w:t>解蔽</w:t>
      </w:r>
      <w:r>
        <w:rPr>
          <w:rFonts w:hint="eastAsia"/>
          <w:lang w:eastAsia="zh-CN"/>
        </w:rPr>
        <w:t>”</w:t>
      </w:r>
      <w:r>
        <w:rPr>
          <w:rFonts w:hint="eastAsia"/>
          <w:lang w:val="en-US" w:eastAsia="zh-CN"/>
        </w:rPr>
        <w:t>既是其学科存在的鹄的，也是其存在的困难与挑战，正所谓“群学之难，难在解蔽”</w:t>
      </w:r>
      <w:r>
        <w:rPr>
          <w:rFonts w:hint="eastAsia"/>
        </w:rPr>
        <w:t>。</w:t>
      </w:r>
      <w:r>
        <w:rPr>
          <w:rFonts w:hint="eastAsia"/>
          <w:lang w:val="en-US" w:eastAsia="zh-CN"/>
        </w:rPr>
        <w:t>为此，潘光旦把</w:t>
      </w:r>
      <w:r>
        <w:rPr>
          <w:rFonts w:hint="eastAsia"/>
          <w:lang w:eastAsia="zh-CN"/>
        </w:rPr>
        <w:t>“</w:t>
      </w:r>
      <w:r>
        <w:rPr>
          <w:rFonts w:hint="eastAsia"/>
          <w:lang w:val="en-US" w:eastAsia="zh-CN"/>
        </w:rPr>
        <w:t>解蔽</w:t>
      </w:r>
      <w:r>
        <w:rPr>
          <w:rFonts w:hint="eastAsia"/>
          <w:lang w:eastAsia="zh-CN"/>
        </w:rPr>
        <w:t>”</w:t>
      </w:r>
      <w:r>
        <w:rPr>
          <w:rFonts w:hint="eastAsia"/>
          <w:lang w:val="en-US" w:eastAsia="zh-CN"/>
        </w:rPr>
        <w:t>的起点立足于人，而非外部社会，</w:t>
      </w:r>
      <w:r>
        <w:rPr>
          <w:rFonts w:hint="eastAsia"/>
        </w:rPr>
        <w:t>倡导儒学的“</w:t>
      </w:r>
      <w:r>
        <w:rPr>
          <w:rFonts w:hint="eastAsia"/>
        </w:rPr>
        <w:fldChar w:fldCharType="begin"/>
      </w:r>
      <w:r>
        <w:rPr>
          <w:rFonts w:hint="eastAsia"/>
        </w:rPr>
        <w:instrText xml:space="preserve"> HYPERLINK "https://zhida.zhihu.com/search?content_id=268800291&amp;content_type=Article&amp;match_order=1&amp;q=%E8%99%9A%E5%A3%B9%E8%80%8C%E9%9D%99&amp;zhida_source=entity" \t "https://www.zhihu.com/people/mo-gu-49-61-90/_blank" </w:instrText>
      </w:r>
      <w:r>
        <w:rPr>
          <w:rFonts w:hint="eastAsia"/>
        </w:rPr>
        <w:fldChar w:fldCharType="separate"/>
      </w:r>
      <w:r>
        <w:rPr>
          <w:rFonts w:hint="eastAsia"/>
        </w:rPr>
        <w:t>虚壹而静</w:t>
      </w:r>
      <w:r>
        <w:rPr>
          <w:rFonts w:hint="eastAsia"/>
        </w:rPr>
        <w:fldChar w:fldCharType="end"/>
      </w:r>
      <w:r>
        <w:rPr>
          <w:rFonts w:hint="eastAsia"/>
        </w:rPr>
        <w:t>”</w:t>
      </w:r>
      <w:r>
        <w:rPr>
          <w:rFonts w:hint="eastAsia"/>
          <w:lang w:eastAsia="zh-CN"/>
        </w:rPr>
        <w:t>——</w:t>
      </w:r>
      <w:r>
        <w:rPr>
          <w:rFonts w:hint="eastAsia"/>
          <w:lang w:val="en-US" w:eastAsia="zh-CN"/>
        </w:rPr>
        <w:t>虚：虚心，不先入为主；</w:t>
      </w:r>
      <w:r>
        <w:rPr>
          <w:rFonts w:hint="eastAsia"/>
        </w:rPr>
        <w:fldChar w:fldCharType="begin"/>
      </w:r>
      <w:r>
        <w:rPr>
          <w:rFonts w:hint="eastAsia"/>
        </w:rPr>
        <w:instrText xml:space="preserve"> HYPERLINK "https://zhida.zhihu.com/search?content_id=268800291&amp;content_type=Article&amp;match_order=1&amp;q=%E8%99%9A%E5%A3%B9%E8%80%8C%E9%9D%99&amp;zhida_source=entity" \t "https://www.zhihu.com/people/mo-gu-49-61-90/_blank" </w:instrText>
      </w:r>
      <w:r>
        <w:rPr>
          <w:rFonts w:hint="eastAsia"/>
        </w:rPr>
        <w:fldChar w:fldCharType="separate"/>
      </w:r>
      <w:r>
        <w:rPr>
          <w:rFonts w:hint="eastAsia"/>
        </w:rPr>
        <w:t>壹</w:t>
      </w:r>
      <w:r>
        <w:rPr>
          <w:rFonts w:hint="eastAsia"/>
          <w:lang w:eastAsia="zh-CN"/>
        </w:rPr>
        <w:t>：</w:t>
      </w:r>
      <w:r>
        <w:rPr>
          <w:rFonts w:hint="eastAsia"/>
        </w:rPr>
        <w:fldChar w:fldCharType="end"/>
      </w:r>
      <w:r>
        <w:rPr>
          <w:rFonts w:hint="eastAsia"/>
          <w:lang w:val="en-US" w:eastAsia="zh-CN"/>
        </w:rPr>
        <w:t>集中注意力钻研一问题；静：静心排除杂念——主张人既要从</w:t>
      </w:r>
      <w:r>
        <w:rPr>
          <w:rFonts w:hint="eastAsia"/>
        </w:rPr>
        <w:t>整体</w:t>
      </w:r>
      <w:r>
        <w:rPr>
          <w:rFonts w:hint="eastAsia"/>
          <w:lang w:val="en-US" w:eastAsia="zh-CN"/>
        </w:rPr>
        <w:t>的、囫囵的</w:t>
      </w:r>
      <w:r>
        <w:rPr>
          <w:rFonts w:hint="eastAsia"/>
        </w:rPr>
        <w:t>视角把握事物</w:t>
      </w:r>
      <w:r>
        <w:rPr>
          <w:rFonts w:hint="eastAsia"/>
          <w:lang w:eastAsia="zh-CN"/>
        </w:rPr>
        <w:t>，</w:t>
      </w:r>
      <w:r>
        <w:rPr>
          <w:rFonts w:hint="eastAsia"/>
          <w:lang w:val="en-US" w:eastAsia="zh-CN"/>
        </w:rPr>
        <w:t>也要排除先入之见、虚心展开对社会生活的认知。这种“虚壹而静”的学问可被称之为人学，或者用布尔迪厄的话说，是某种反思性的学科场域。群学与人学的关系在于，群学（社会学）为解蔽故，必要地以人学为思想基础与起点，先去人之蔽，后去社会之蔽，或者说，去人之蔽与社会之蔽本就是同根木与同源水。因此，米尔斯的“</w:t>
      </w:r>
      <w:r>
        <w:rPr>
          <w:rFonts w:hint="eastAsia"/>
        </w:rPr>
        <w:t>社会学的想象力</w:t>
      </w:r>
      <w:r>
        <w:rPr>
          <w:rFonts w:hint="eastAsia"/>
          <w:lang w:eastAsia="zh-CN"/>
        </w:rPr>
        <w:t>”，</w:t>
      </w:r>
      <w:r>
        <w:rPr>
          <w:rFonts w:hint="eastAsia"/>
          <w:lang w:val="en-US" w:eastAsia="zh-CN"/>
        </w:rPr>
        <w:t>在潘光旦的思想中，可以转换为作为连接人学与群学、对己功夫与对外认识的核心桥梁，它并非</w:t>
      </w:r>
      <w:r>
        <w:rPr>
          <w:rFonts w:hint="eastAsia"/>
        </w:rPr>
        <w:t>单纯</w:t>
      </w:r>
      <w:r>
        <w:rPr>
          <w:rFonts w:hint="eastAsia"/>
          <w:lang w:val="en-US" w:eastAsia="zh-CN"/>
        </w:rPr>
        <w:t>发挥</w:t>
      </w:r>
      <w:r>
        <w:rPr>
          <w:rFonts w:hint="eastAsia"/>
        </w:rPr>
        <w:t>思维</w:t>
      </w:r>
      <w:r>
        <w:rPr>
          <w:rFonts w:hint="eastAsia"/>
          <w:lang w:val="en-US" w:eastAsia="zh-CN"/>
        </w:rPr>
        <w:t>创作或文学想象的</w:t>
      </w:r>
      <w:r>
        <w:rPr>
          <w:rFonts w:hint="eastAsia"/>
        </w:rPr>
        <w:t>功能，而是更多地涉及人的品行</w:t>
      </w:r>
      <w:r>
        <w:rPr>
          <w:rFonts w:hint="eastAsia"/>
          <w:lang w:val="en-US" w:eastAsia="zh-CN"/>
        </w:rPr>
        <w:t>修为</w:t>
      </w:r>
      <w:r>
        <w:rPr>
          <w:rFonts w:hint="eastAsia"/>
        </w:rPr>
        <w:t>与心智</w:t>
      </w:r>
      <w:r>
        <w:rPr>
          <w:rFonts w:hint="eastAsia"/>
          <w:lang w:val="en-US" w:eastAsia="zh-CN"/>
        </w:rPr>
        <w:t>能力</w:t>
      </w:r>
      <w:r>
        <w:rPr>
          <w:rFonts w:hint="eastAsia"/>
        </w:rPr>
        <w:t>的培养</w:t>
      </w:r>
      <w:r>
        <w:rPr>
          <w:rFonts w:hint="eastAsia"/>
          <w:lang w:val="en-US" w:eastAsia="zh-CN"/>
        </w:rPr>
        <w:t>。好的社会学，本质上正是具备德性与伦理维度的认知活动。阳明先生说“破山中贼易，破心中贼难”，心贼实属个人困扰，山贼又指向公共议题。而我们现在知道，唯有建立起山贼与心贼之间的充分关联，最终又回归心贼，返诸己身，作为昔日遮蔽的、山贼的世界才会因晴明为你敞开。</w:t>
      </w:r>
    </w:p>
    <w:p w14:paraId="7AF581FA">
      <w:pPr>
        <w:rPr>
          <w:rFonts w:hint="eastAsia"/>
          <w:lang w:val="en-US" w:eastAsia="zh-CN"/>
        </w:rPr>
      </w:pPr>
    </w:p>
    <w:p w14:paraId="3E13F74A">
      <w:pPr>
        <w:pStyle w:val="2"/>
        <w:bidi w:val="0"/>
        <w:rPr>
          <w:rFonts w:hint="eastAsia"/>
          <w:lang w:val="en-US" w:eastAsia="zh-CN"/>
        </w:rPr>
      </w:pPr>
      <w:r>
        <w:rPr>
          <w:rFonts w:hint="eastAsia"/>
          <w:lang w:val="en-US" w:eastAsia="zh-CN"/>
        </w:rPr>
        <w:t>韦伯、班扬与帕森斯</w:t>
      </w:r>
    </w:p>
    <w:p w14:paraId="45B43FBC">
      <w:pPr>
        <w:rPr>
          <w:rFonts w:hint="eastAsia"/>
          <w:lang w:val="en-US" w:eastAsia="zh-CN"/>
        </w:rPr>
      </w:pPr>
      <w:r>
        <w:rPr>
          <w:rFonts w:hint="eastAsia"/>
          <w:lang w:val="en-US" w:eastAsia="zh-CN"/>
        </w:rPr>
        <w:t>韦伯从没说过“理性铁笼”、“官僚铁笼”类似的表述，“铁笼”（iron cage）是帕森斯翻译《新教伦理与资本主义精神》时意译的产物，借自于17世纪英国约翰·班杨的基督教寓言小说《天路历程》中的“绝望铁笼”的场景：主人公在绝望巨人的城堡（名为“怀疑堡”）地牢里，遇见过一个铁笼子（iron cage），里面关押着一位曾悔改却又背教的人，眼神充满着绝望。韦伯的原表述是：</w:t>
      </w:r>
      <w:r>
        <w:t>stahlhartes Gehäuse</w:t>
      </w:r>
      <w:r>
        <w:rPr>
          <w:rFonts w:hint="eastAsia"/>
          <w:lang w:eastAsia="zh-CN"/>
        </w:rPr>
        <w:t>，</w:t>
      </w:r>
      <w:r>
        <w:rPr>
          <w:rFonts w:hint="eastAsia"/>
          <w:lang w:val="en-US" w:eastAsia="zh-CN"/>
        </w:rPr>
        <w:t>直译即为“如钢铁般坚硬的外壳”，</w:t>
      </w:r>
      <w:r>
        <w:t>Gehäuse</w:t>
      </w:r>
      <w:r>
        <w:rPr>
          <w:rFonts w:hint="eastAsia"/>
          <w:lang w:val="en-US" w:eastAsia="zh-CN"/>
        </w:rPr>
        <w:t>更多地指case（外壳、盒子、容器）而非cage（笼子、囚笼），用cage翻译</w:t>
      </w:r>
      <w:r>
        <w:t>Gehäuse</w:t>
      </w:r>
      <w:r>
        <w:rPr>
          <w:rFonts w:hint="eastAsia"/>
          <w:lang w:val="en-US" w:eastAsia="zh-CN"/>
        </w:rPr>
        <w:t>并不严谨妥帖。韦伯原表述的具体段落是《新教伦理》第五章结尾部分：“</w:t>
      </w:r>
      <w:r>
        <w:t>对尘世财富的担忧</w:t>
      </w:r>
      <w:r>
        <w:rPr>
          <w:rFonts w:hint="eastAsia"/>
          <w:lang w:eastAsia="zh-CN"/>
        </w:rPr>
        <w:t>（</w:t>
      </w:r>
      <w:r>
        <w:rPr>
          <w:rFonts w:hint="eastAsia"/>
          <w:lang w:val="en-US" w:eastAsia="zh-CN"/>
        </w:rPr>
        <w:t>指加尔文教禁欲伦理与天职观念</w:t>
      </w:r>
      <w:r>
        <w:rPr>
          <w:rFonts w:hint="eastAsia"/>
          <w:lang w:eastAsia="zh-CN"/>
        </w:rPr>
        <w:t>）</w:t>
      </w:r>
      <w:r>
        <w:t>，本应像一件</w:t>
      </w:r>
      <w:r>
        <w:rPr>
          <w:rFonts w:hint="eastAsia"/>
          <w:lang w:val="en-US" w:eastAsia="zh-CN"/>
        </w:rPr>
        <w:t>轻飘飘</w:t>
      </w:r>
      <w:r>
        <w:t>的</w:t>
      </w:r>
      <w:r>
        <w:rPr>
          <w:rFonts w:hint="eastAsia"/>
          <w:lang w:val="en-US" w:eastAsia="zh-CN"/>
        </w:rPr>
        <w:t>外衣</w:t>
      </w:r>
      <w:r>
        <w:rPr>
          <w:rFonts w:hint="eastAsia"/>
          <w:lang w:eastAsia="zh-CN"/>
        </w:rPr>
        <w:t>（</w:t>
      </w:r>
      <w:r>
        <w:t>ein dünner Mantel</w:t>
      </w:r>
      <w:r>
        <w:rPr>
          <w:rFonts w:hint="default"/>
        </w:rPr>
        <w:t> </w:t>
      </w:r>
      <w:r>
        <w:rPr>
          <w:rFonts w:hint="eastAsia"/>
          <w:lang w:eastAsia="zh-CN"/>
        </w:rPr>
        <w:t>）</w:t>
      </w:r>
      <w:r>
        <w:t>——圣人随时可以把它脱下——轻松地搭在圣人的肩上。然而命运决定了，这件外套变成了一个钢铁般坚硬的外壳</w:t>
      </w:r>
      <w:r>
        <w:rPr>
          <w:rFonts w:hint="eastAsia"/>
          <w:lang w:eastAsia="zh-CN"/>
        </w:rPr>
        <w:t>（</w:t>
      </w:r>
      <w:r>
        <w:t>stahlhartes Gehäuse</w:t>
      </w:r>
      <w:r>
        <w:rPr>
          <w:rFonts w:hint="eastAsia"/>
          <w:lang w:eastAsia="zh-CN"/>
        </w:rPr>
        <w:t>）</w:t>
      </w:r>
      <w:r>
        <w:t>。</w:t>
      </w:r>
      <w:r>
        <w:rPr>
          <w:rFonts w:hint="eastAsia"/>
          <w:lang w:eastAsia="zh-CN"/>
        </w:rPr>
        <w:t>”</w:t>
      </w:r>
      <w:r>
        <w:rPr>
          <w:rFonts w:hint="eastAsia"/>
          <w:lang w:val="en-US" w:eastAsia="zh-CN"/>
        </w:rPr>
        <w:t>很明显，原文中“如钢铁般坚硬的外壳”对应“轻飘飘的外衣”，而“外衣”和“外壳”都具有“覆盖”的属性，但存在着明显的程度差异：人可以轻而易举地抛下毫无分离的外衣，却不能同等轻松地脱下某种覆盖在自己皮肤上的坚硬外壳。放在现代性转型的视野中，这句话正表明人们可以轻松地抛弃宗教的伦理精神与价值建构，然而，资本主义经济、政治、文化所带来的人的深度异化，却从根本而言难以抛下：穿不穿与否已不再取决于主体的意志抉择。在这个意义上，帕森斯的意译强化了</w:t>
      </w:r>
      <w:r>
        <w:t>Gehäuse</w:t>
      </w:r>
      <w:r>
        <w:rPr>
          <w:rFonts w:hint="eastAsia"/>
          <w:lang w:val="en-US" w:eastAsia="zh-CN"/>
        </w:rPr>
        <w:t>的语意冲击与悲剧色彩：在现代性的迅猛发展中，谁又不会轻而易举地沦为《天路历程》中那个经历了悔改、弃教又身心绝望，最后在逼仄的大铁笼子里无处可走的人呢？不过，把</w:t>
      </w:r>
      <w:r>
        <w:t>stahlhartes Gehäuse</w:t>
      </w:r>
      <w:r>
        <w:rPr>
          <w:rFonts w:hint="eastAsia"/>
          <w:lang w:val="en-US" w:eastAsia="zh-CN"/>
        </w:rPr>
        <w:t>翻译成“铁笼”存在着一个核心问题：放在韦伯的原文里，倘若人脱掉轻飘飘的衣裳，进入了铁笼，那么这并没有说明人在进入铁笼前的身体状态，是身穿钢铁还是赤身裸体，倘若赤身裸体似乎是被逼无奈，而倘若是身穿钢铁则呈现出某种“自我封闭”的意味，那么这又涉及着一种怎样认识自身与世界的主体？要知道，人完全可以身穿钢铁“自由生活”，习焉不察，而不囿于所谓“铁笼”的影响。也正是因为“自我封闭”的属性能够凸显现代性施加于主体的悲剧，所以直译为“如钢铁般坚硬的外壳”，也完全不输帕森斯挪用约翰·班杨寓言情节的“铁笼”一词。</w:t>
      </w:r>
    </w:p>
    <w:p w14:paraId="3DE2319B">
      <w:pPr>
        <w:rPr>
          <w:rFonts w:hint="eastAsia"/>
          <w:lang w:val="en-US" w:eastAsia="zh-CN"/>
        </w:rPr>
      </w:pPr>
    </w:p>
    <w:p w14:paraId="3AC4FC33">
      <w:pPr>
        <w:pStyle w:val="2"/>
        <w:bidi w:val="0"/>
        <w:rPr>
          <w:rFonts w:hint="default"/>
          <w:lang w:val="en-US" w:eastAsia="zh-CN"/>
        </w:rPr>
      </w:pPr>
      <w:r>
        <w:rPr>
          <w:rFonts w:hint="eastAsia"/>
          <w:lang w:val="en-US" w:eastAsia="zh-CN"/>
        </w:rPr>
        <w:t>民族共同体：滕尼斯与纳粹</w:t>
      </w:r>
    </w:p>
    <w:p w14:paraId="75A705DF">
      <w:pPr>
        <w:bidi w:val="0"/>
      </w:pPr>
      <w:r>
        <w:t>有资料表明，纳粹吸收并重新编码了德国社会学家滕尼斯Gemeinschaft（共同体）与Gesellschaft（社会）的经典二元划分，将魏玛共和国自由主义议会政治、资本流动、社会分裂的原子化、利益导向结构，纳入对Gesellschaft的负面想象之中，以此论证建立超越阶级与党派冲突的Volksgemeinschaft（即民族共同体。该词曾在1914年德国一战期间广泛使用，用于民族整合，彼时尚未系统发展为纳粹式种族排他概念）的必要性。于是滕尼斯笔下历史发展中构建共同体的“自然意志”，在纳粹的意识形态叙事中被重写为围绕着元首的一元化意志结构，亦即领袖原则（Führerprinzip）。为塑造如此的Volksgeminschaft，纳粹采取了Gleichschaltung（一体化）的极权政治：系统削弱一切政治、社会、法律系统的自主性与多样性，党国不分，打造绝对的、反犹太的、沙文气息的伪社会和谐。民族共同体是纳粹的政治目的与远景，同滕尼斯客观的历史划分法毫无关系；而滕尼斯因为主张自由主义和同情工人运动，在纳粹上台之后备受打压、排挤，不久便因高龄疾病死去。综上，读滕尼斯的《共同体与社会》（1887年发表），为我们理解纳粹的“民族共同体”理念，无疑具备着极高的思想史价值。</w:t>
      </w:r>
    </w:p>
    <w:p w14:paraId="457FF90E">
      <w:pPr>
        <w:bidi w:val="0"/>
      </w:pPr>
    </w:p>
    <w:p w14:paraId="06E7EDC2">
      <w:pPr>
        <w:pStyle w:val="2"/>
        <w:bidi w:val="0"/>
        <w:rPr>
          <w:rFonts w:hint="eastAsia"/>
          <w:lang w:val="en-US" w:eastAsia="zh-CN"/>
        </w:rPr>
      </w:pPr>
      <w:r>
        <w:rPr>
          <w:rFonts w:hint="eastAsia"/>
          <w:lang w:val="en-US" w:eastAsia="zh-CN"/>
        </w:rPr>
        <w:t>民俗主义</w:t>
      </w:r>
    </w:p>
    <w:p w14:paraId="59E40A78">
      <w:pPr>
        <w:pStyle w:val="7"/>
        <w:bidi w:val="0"/>
        <w:rPr>
          <w:rFonts w:hint="default"/>
          <w:lang w:val="en-US" w:eastAsia="zh-CN"/>
        </w:rPr>
      </w:pPr>
      <w:r>
        <w:t>民俗学有个词叫“民俗主义”（folklorism），一开始该词仅仅指涉在现代化、全球化进程中商业逻辑与旅游业发展对民俗事象的征用、破坏与改造，带来了民俗原生态的景观化、民俗传承让位于功利原则、各种伪民俗及伪节日被制造出来、民俗文化形态被庸俗化云云，具备批判内涵。后来这个词逐渐具有了辩证色彩；一方面，商业化发展确实带来了民俗事象在征用过程中的受破坏、景观化、千篇一律，好比你如今在每个网红城市都打卡差不多的景点、吃差不多的美食、买差不多的（估计都是从义乌批发过来的，生产线都是一个）冰箱贴与纪念周边等，在哪里都能找到漆扇这种打着非遗体验的伪民俗发明（说到底，也少有人在乎这一非遗的实际起源）——但是另一方面，倘若没有商业逻辑给予民俗事象的“麦当劳化”（借用瑞泽尔著名的比喻），仅凭民俗事象本身的“本真性”，很难得到现代社会人们的真正关注，或可持续发展的经济模式，更遑论传承与延续生命本身。现代社会的效率与资本原则，既对民俗本真性前所未有的破坏，但也同时赋予其某种持续发展与传播传承的潜能，与资本自我扩展、繁衍的逻辑共生共振。民俗保护要求本真，而民俗发展要求与经济全球化接轨，民俗主义无疑凸现了这两者间的张力与悖论。</w:t>
      </w:r>
    </w:p>
    <w:p w14:paraId="49DFE410">
      <w:pPr>
        <w:pStyle w:val="2"/>
        <w:bidi w:val="0"/>
        <w:rPr>
          <w:rFonts w:hint="eastAsia"/>
          <w:lang w:val="en-US" w:eastAsia="zh-CN"/>
        </w:rPr>
      </w:pPr>
      <w:r>
        <w:rPr>
          <w:rFonts w:hint="eastAsia"/>
          <w:lang w:val="en-US" w:eastAsia="zh-CN"/>
        </w:rPr>
        <w:t>中国人口老龄化指标的“放大与缩小”</w:t>
      </w:r>
    </w:p>
    <w:p w14:paraId="41775C24">
      <w:pPr>
        <w:rPr>
          <w:rFonts w:hint="eastAsia"/>
          <w:lang w:val="en-US" w:eastAsia="zh-CN"/>
        </w:rPr>
      </w:pPr>
      <w:r>
        <w:rPr>
          <w:rFonts w:hint="eastAsia"/>
          <w:lang w:val="en-US" w:eastAsia="zh-CN"/>
        </w:rPr>
        <w:t>基础性影响因素：①老龄研究中所要测量的变量大多具有抽象性与宏观性，这为操作化处理和指标使用带来了不可回避的困难。一方面，操作在量化研究中最为困难，部分抽象概念难以找到对应指标，另一方面具体方法与测量指标上具有选择的多样性与主观性；②考虑到数据的现实制约，必须牺牲老龄指标的部分有效性以换取相应的可行性；③社会变迁的普遍性使得既有指标随着时间推移逐渐丧失解释效力。指标的有效性受时间、环境因素的影响，而科学规范的指标的发明与应用需要严密论证与反复检验，是故社会科学指标常常面临时滞性的弊端。④老龄指标的选择受到人思想认识和自身利益的干扰，具有先入为主的主观倾向，例如，户籍人口老龄化指标能够夸大城市的老龄化风险，由此凸显老龄问题的严重性，从而为相关部门获取更多资源与再造权力提供可能。⑤老龄指标的恰当使用受到研究者和政策制定者本身智识水平的限制，缺少关联性与批判性的思维方式建构老龄指标，会使得对人口老龄化的认知片面、有害。</w:t>
      </w:r>
    </w:p>
    <w:p w14:paraId="171DBCEC">
      <w:pPr>
        <w:rPr>
          <w:rFonts w:hint="eastAsia"/>
          <w:lang w:val="en-US" w:eastAsia="zh-CN"/>
        </w:rPr>
      </w:pPr>
    </w:p>
    <w:p w14:paraId="534BBCA0">
      <w:pPr>
        <w:rPr>
          <w:rFonts w:hint="eastAsia"/>
          <w:lang w:val="en-US" w:eastAsia="zh-CN"/>
        </w:rPr>
      </w:pPr>
      <w:r>
        <w:rPr>
          <w:rFonts w:hint="eastAsia"/>
          <w:lang w:val="en-US" w:eastAsia="zh-CN"/>
        </w:rPr>
        <w:t>（1）放大劳动年龄人口比例与缩小人口抚养比</w:t>
      </w:r>
    </w:p>
    <w:p w14:paraId="6FAE3341">
      <w:pPr>
        <w:rPr>
          <w:rFonts w:hint="eastAsia"/>
          <w:lang w:val="en-US" w:eastAsia="zh-CN"/>
        </w:rPr>
      </w:pPr>
    </w:p>
    <w:p w14:paraId="28CE5A85">
      <w:pPr>
        <w:rPr>
          <w:rFonts w:hint="eastAsia"/>
          <w:lang w:val="en-US" w:eastAsia="zh-CN"/>
        </w:rPr>
      </w:pPr>
      <w:r>
        <w:rPr>
          <w:rFonts w:hint="eastAsia"/>
          <w:lang w:val="en-US" w:eastAsia="zh-CN"/>
        </w:rPr>
        <w:t>人口抚养比是指人口总体中非劳动年龄人口数与劳动年龄人口数之比，用以呈现每100名劳动年龄人口要负担多少名非劳动年龄人口，包含老年抚养比与少儿抚养比。人口抚养比是名义指标，侧重于对人口年龄结构的反映，而不能准确反映社会经济负担或产出情况。该指标会放大劳动年龄人口比例与缩小人口抚养比。原因：①法律禁止15岁人口就业（低估，负担没那么小）；②受教育实践延长与初次就业年龄推移；③失业、丧失劳动能力、从事家务等（低估）；③提前退休并领取养老金（低估）；④女性比男性更早退休并领取养老金（低估）；⑤城市“退而不休”与农村“活到老、干到老”（高估，负担没那么大）。</w:t>
      </w:r>
    </w:p>
    <w:p w14:paraId="68CD750D">
      <w:pPr>
        <w:rPr>
          <w:rFonts w:hint="eastAsia"/>
          <w:lang w:val="en-US" w:eastAsia="zh-CN"/>
        </w:rPr>
      </w:pPr>
    </w:p>
    <w:p w14:paraId="731AF465">
      <w:pPr>
        <w:rPr>
          <w:rFonts w:hint="eastAsia"/>
          <w:lang w:val="en-US" w:eastAsia="zh-CN"/>
        </w:rPr>
      </w:pPr>
      <w:r>
        <w:rPr>
          <w:rFonts w:hint="eastAsia"/>
          <w:lang w:val="en-US" w:eastAsia="zh-CN"/>
        </w:rPr>
        <w:t>（2）城市人口老龄化方法与农村人口老龄化缩小</w:t>
      </w:r>
    </w:p>
    <w:p w14:paraId="58A442B3">
      <w:pPr>
        <w:rPr>
          <w:rFonts w:hint="eastAsia"/>
          <w:lang w:val="en-US" w:eastAsia="zh-CN"/>
        </w:rPr>
      </w:pPr>
    </w:p>
    <w:p w14:paraId="1A535775">
      <w:pPr>
        <w:rPr>
          <w:rFonts w:hint="default"/>
          <w:lang w:val="en-US" w:eastAsia="zh-CN"/>
        </w:rPr>
      </w:pPr>
      <w:r>
        <w:rPr>
          <w:rFonts w:hint="default"/>
          <w:lang w:val="en-US" w:eastAsia="zh-CN"/>
        </w:rPr>
        <w:t>随着人口迁移流动的不断增多，城乡人口老龄化进程发生逆转，城市人口老龄化速度有所放缓，而农村人口老龄化速度有所加快，致使出现人口老龄化的城乡倒置现象。随着人口老龄化城乡倒置现象愈发明显，忽略了人口流动因素的户籍人口统计口径再也无法准确衡量某一区域的人口老龄化水平，其突出表现为放大城市人口老龄化程度与缩小农村人口老龄化程度。</w:t>
      </w:r>
    </w:p>
    <w:p w14:paraId="6E41FFBC">
      <w:pPr>
        <w:rPr>
          <w:rFonts w:hint="default"/>
          <w:lang w:val="en-US" w:eastAsia="zh-CN"/>
        </w:rPr>
      </w:pPr>
    </w:p>
    <w:p w14:paraId="52753FEC">
      <w:pPr>
        <w:rPr>
          <w:rFonts w:hint="eastAsia"/>
          <w:lang w:val="en-US" w:eastAsia="zh-CN"/>
        </w:rPr>
      </w:pPr>
      <w:r>
        <w:rPr>
          <w:rFonts w:hint="eastAsia"/>
          <w:lang w:val="en-US" w:eastAsia="zh-CN"/>
        </w:rPr>
        <w:t>人口流动的高度年龄选择性、人口流动规模较大且持续扩张、流动人口内部的“迭代更新”、人口流动中的举家迁移与老人留守→城市高估、农村低估→常驻口径人口老龄化</w:t>
      </w:r>
    </w:p>
    <w:p w14:paraId="1A47A243">
      <w:pPr>
        <w:rPr>
          <w:rFonts w:hint="eastAsia"/>
          <w:lang w:val="en-US" w:eastAsia="zh-CN"/>
        </w:rPr>
      </w:pPr>
    </w:p>
    <w:p w14:paraId="7E5596CF">
      <w:pPr>
        <w:rPr>
          <w:rFonts w:hint="eastAsia"/>
          <w:lang w:val="en-US" w:eastAsia="zh-CN"/>
        </w:rPr>
      </w:pPr>
      <w:r>
        <w:rPr>
          <w:rFonts w:hint="eastAsia"/>
          <w:lang w:val="en-US" w:eastAsia="zh-CN"/>
        </w:rPr>
        <w:t>（3）家庭养老服务功能的放大与政府养老责任的缩小</w:t>
      </w:r>
    </w:p>
    <w:p w14:paraId="3546C533">
      <w:pPr>
        <w:rPr>
          <w:rFonts w:hint="eastAsia"/>
          <w:lang w:val="en-US" w:eastAsia="zh-CN"/>
        </w:rPr>
      </w:pPr>
    </w:p>
    <w:p w14:paraId="6F0C28F7">
      <w:pPr>
        <w:rPr>
          <w:rFonts w:hint="eastAsia"/>
          <w:lang w:val="en-US" w:eastAsia="zh-CN"/>
        </w:rPr>
      </w:pPr>
      <w:r>
        <w:rPr>
          <w:rFonts w:hint="default"/>
          <w:lang w:val="en-US" w:eastAsia="zh-CN"/>
        </w:rPr>
        <w:t>在现代工业社会来临之前，家庭成员多居住生活在同一屋檐下或者相邻而居， 因此</w:t>
      </w:r>
      <w:r>
        <w:rPr>
          <w:rFonts w:hint="eastAsia"/>
          <w:lang w:val="en-US" w:eastAsia="zh-CN"/>
        </w:rPr>
        <w:t>。</w:t>
      </w:r>
      <w:r>
        <w:rPr>
          <w:rFonts w:hint="default"/>
          <w:lang w:val="en-US" w:eastAsia="zh-CN"/>
        </w:rPr>
        <w:t>名义上的家庭结构指标可以较为真实地反映民众的居住安排和偏好， 也能够较好地体现家庭养老资源的多寡。然而， 在现代化进程中，中国家庭结构伴随社会变迁与经济转型也经历了急剧的变动，大规模的年轻人口不断从乡村流入城市、 从中小城市涌入大城市， 严重冲击着传统的家庭结构，也大大动摇了家庭养老的基础与功能的发挥。在少子老龄化和人口外流的叠加效应下， 家庭逐渐向规模更小、 内部结构更简单、 家庭成员空间分离的类型转变， 部分地区家庭养老资源的枯竭要比想象中更加严重。故而，名义上的完整家庭结构指标大大低估了人口迁移流动对家庭养老资源的冲击， 其突出表现为放大家庭养老功能与缩小政府养老负担， 且在农村地区尤为明显</w:t>
      </w:r>
      <w:r>
        <w:rPr>
          <w:rFonts w:hint="eastAsia"/>
          <w:lang w:val="en-US" w:eastAsia="zh-CN"/>
        </w:rPr>
        <w:t>。</w:t>
      </w:r>
    </w:p>
    <w:p w14:paraId="3081C66E">
      <w:pPr>
        <w:rPr>
          <w:rFonts w:hint="eastAsia"/>
          <w:lang w:val="en-US" w:eastAsia="zh-CN"/>
        </w:rPr>
      </w:pPr>
    </w:p>
    <w:p w14:paraId="7189841E">
      <w:pPr>
        <w:rPr>
          <w:rFonts w:hint="eastAsia"/>
          <w:lang w:val="en-US" w:eastAsia="zh-CN"/>
        </w:rPr>
      </w:pPr>
      <w:r>
        <w:rPr>
          <w:rFonts w:hint="eastAsia"/>
          <w:lang w:val="en-US" w:eastAsia="zh-CN"/>
        </w:rPr>
        <w:t>原因：①家庭成员的空间分离：家庭照料服务的不可及，乃至赡养脱离。②家庭成员的空间分离导致了老年人情感支持的匮乏。③子女价值观的改变与老年人权威感的丧失，进一步弱化了家庭内部的赡养意愿。</w:t>
      </w:r>
    </w:p>
    <w:p w14:paraId="7F1CD3BD">
      <w:pPr>
        <w:rPr>
          <w:rFonts w:hint="eastAsia"/>
          <w:lang w:val="en-US" w:eastAsia="zh-CN"/>
        </w:rPr>
      </w:pPr>
    </w:p>
    <w:p w14:paraId="6A9FF2D4">
      <w:pPr>
        <w:rPr>
          <w:rFonts w:hint="default"/>
          <w:lang w:val="en-US" w:eastAsia="zh-CN"/>
        </w:rPr>
      </w:pPr>
      <w:r>
        <w:rPr>
          <w:rFonts w:hint="eastAsia"/>
          <w:lang w:val="en-US" w:eastAsia="zh-CN"/>
        </w:rPr>
        <w:t>（4）健康预期寿命：健康老龄化的放大与病痛老龄化的缩小</w:t>
      </w:r>
    </w:p>
    <w:p w14:paraId="128A286B">
      <w:pPr>
        <w:rPr>
          <w:rFonts w:hint="default"/>
          <w:lang w:val="en-US" w:eastAsia="zh-CN"/>
        </w:rPr>
      </w:pPr>
    </w:p>
    <w:p w14:paraId="0014FF98">
      <w:pPr>
        <w:rPr>
          <w:rFonts w:hint="eastAsia"/>
          <w:lang w:val="en-US" w:eastAsia="zh-CN"/>
        </w:rPr>
      </w:pPr>
    </w:p>
    <w:p w14:paraId="1A86387D">
      <w:pPr>
        <w:rPr>
          <w:rFonts w:hint="default"/>
          <w:lang w:val="en-US" w:eastAsia="zh-CN"/>
        </w:rPr>
      </w:pPr>
    </w:p>
    <w:p w14:paraId="06F702B6">
      <w:pPr>
        <w:rPr>
          <w:rFonts w:hint="default"/>
          <w:lang w:val="en-US" w:eastAsia="zh-CN"/>
        </w:rPr>
      </w:pPr>
    </w:p>
    <w:p w14:paraId="7B460617">
      <w:pPr>
        <w:rPr>
          <w:rFonts w:hint="default"/>
          <w:lang w:val="en-US" w:eastAsia="zh-CN"/>
        </w:rPr>
      </w:pPr>
      <w:r>
        <w:rPr>
          <w:rFonts w:hint="default"/>
          <w:lang w:val="en-US" w:eastAsia="zh-CN"/>
        </w:rPr>
        <w:drawing>
          <wp:inline distT="0" distB="0" distL="114300" distR="114300">
            <wp:extent cx="5269230" cy="3661410"/>
            <wp:effectExtent l="0" t="0" r="3810" b="11430"/>
            <wp:docPr id="3" name="图片 3" descr="0F7E56A9D9BEE625F698A6FCF3B5E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F7E56A9D9BEE625F698A6FCF3B5E0F3"/>
                    <pic:cNvPicPr>
                      <a:picLocks noChangeAspect="1"/>
                    </pic:cNvPicPr>
                  </pic:nvPicPr>
                  <pic:blipFill>
                    <a:blip r:embed="rId5"/>
                    <a:stretch>
                      <a:fillRect/>
                    </a:stretch>
                  </pic:blipFill>
                  <pic:spPr>
                    <a:xfrm>
                      <a:off x="0" y="0"/>
                      <a:ext cx="5269230" cy="3661410"/>
                    </a:xfrm>
                    <a:prstGeom prst="rect">
                      <a:avLst/>
                    </a:prstGeom>
                  </pic:spPr>
                </pic:pic>
              </a:graphicData>
            </a:graphic>
          </wp:inline>
        </w:drawing>
      </w:r>
    </w:p>
    <w:p w14:paraId="4FED44C4">
      <w:pPr>
        <w:rPr>
          <w:rFonts w:hint="default"/>
          <w:lang w:val="en-US" w:eastAsia="zh-CN"/>
        </w:rPr>
      </w:pPr>
    </w:p>
    <w:p w14:paraId="0555AC63">
      <w:pPr>
        <w:rPr>
          <w:rFonts w:hint="eastAsia"/>
          <w:lang w:val="en-US" w:eastAsia="zh-CN"/>
        </w:rPr>
      </w:pPr>
      <w:r>
        <w:rPr>
          <w:rFonts w:hint="eastAsia"/>
          <w:lang w:val="en-US" w:eastAsia="zh-CN"/>
        </w:rPr>
        <w:t>（5）老年年龄标准：养老负担的放大与老年人自身作用的缩小</w:t>
      </w:r>
    </w:p>
    <w:p w14:paraId="1AC65ABB">
      <w:pPr>
        <w:rPr>
          <w:rFonts w:hint="eastAsia"/>
          <w:lang w:val="en-US" w:eastAsia="zh-CN"/>
        </w:rPr>
      </w:pPr>
    </w:p>
    <w:p w14:paraId="6B365668">
      <w:pPr>
        <w:rPr>
          <w:rFonts w:hint="default"/>
          <w:lang w:val="en-US" w:eastAsia="zh-CN"/>
        </w:rPr>
      </w:pPr>
      <w:r>
        <w:rPr>
          <w:rFonts w:hint="default"/>
          <w:lang w:val="en-US" w:eastAsia="zh-CN"/>
        </w:rPr>
        <w:drawing>
          <wp:inline distT="0" distB="0" distL="114300" distR="114300">
            <wp:extent cx="5266690" cy="3658235"/>
            <wp:effectExtent l="0" t="0" r="6350" b="14605"/>
            <wp:docPr id="4" name="图片 4" descr="d202cbb6d55c392cb56115828fad70c4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202cbb6d55c392cb56115828fad70c4_720"/>
                    <pic:cNvPicPr>
                      <a:picLocks noChangeAspect="1"/>
                    </pic:cNvPicPr>
                  </pic:nvPicPr>
                  <pic:blipFill>
                    <a:blip r:embed="rId6"/>
                    <a:stretch>
                      <a:fillRect/>
                    </a:stretch>
                  </pic:blipFill>
                  <pic:spPr>
                    <a:xfrm>
                      <a:off x="0" y="0"/>
                      <a:ext cx="5266690" cy="3658235"/>
                    </a:xfrm>
                    <a:prstGeom prst="rect">
                      <a:avLst/>
                    </a:prstGeom>
                  </pic:spPr>
                </pic:pic>
              </a:graphicData>
            </a:graphic>
          </wp:inline>
        </w:drawing>
      </w:r>
    </w:p>
    <w:p w14:paraId="33ABEEBB">
      <w:pPr>
        <w:rPr>
          <w:rFonts w:hint="default"/>
          <w:lang w:val="en-US" w:eastAsia="zh-CN"/>
        </w:rPr>
      </w:pPr>
    </w:p>
    <w:p w14:paraId="27A10166">
      <w:pPr>
        <w:pStyle w:val="2"/>
        <w:bidi w:val="0"/>
        <w:rPr>
          <w:rFonts w:hint="eastAsia"/>
          <w:lang w:val="en-US" w:eastAsia="zh-CN"/>
        </w:rPr>
      </w:pPr>
      <w:r>
        <w:rPr>
          <w:rFonts w:hint="eastAsia"/>
          <w:lang w:val="en-US" w:eastAsia="zh-CN"/>
        </w:rPr>
        <w:t>积极老龄化再反思</w:t>
      </w:r>
    </w:p>
    <w:p w14:paraId="0514E890">
      <w:pPr>
        <w:rPr>
          <w:rFonts w:hint="eastAsia"/>
          <w:lang w:val="en-US" w:eastAsia="zh-CN"/>
        </w:rPr>
      </w:pPr>
      <w:r>
        <w:rPr>
          <w:rFonts w:hint="eastAsia"/>
          <w:lang w:val="en-US" w:eastAsia="zh-CN"/>
        </w:rPr>
        <w:t>积极老龄化是积极应对人口老龄化挑战的主要战略思路之一，在全球范围内成为一种天然正确的政治话语，“健康”、“参与”与“保障”是三项基本内容。积极老龄化虽有诸多共性，但同样也存在理论建构的局限与不足，表现为缺少攻击视角、局限在应然层面、造成消极与积极的二元对立、忽略残病扩张理论对老年健康的冲击、忽视退休年龄太早下的老年人力资源可发，可将“责任”、“可持续”思想引入对积极老龄化的概念扩展。</w:t>
      </w:r>
    </w:p>
    <w:p w14:paraId="47245B89">
      <w:pPr>
        <w:rPr>
          <w:rFonts w:hint="default"/>
          <w:lang w:val="en-US" w:eastAsia="zh-CN"/>
        </w:rPr>
      </w:pPr>
    </w:p>
    <w:p w14:paraId="470CDDB4">
      <w:pPr>
        <w:rPr>
          <w:rFonts w:hint="eastAsia"/>
          <w:lang w:val="en-US" w:eastAsia="zh-CN"/>
        </w:rPr>
      </w:pPr>
      <w:r>
        <w:rPr>
          <w:rFonts w:hint="eastAsia"/>
          <w:lang w:val="en-US" w:eastAsia="zh-CN"/>
        </w:rPr>
        <w:t>积极老龄化的特点与贡献：①挑战了将老年人视作负担的消极老龄化理论，凸显了老龄化过程中的积极因素；②积极老龄化是一个多维概念，并不局限于狭隘经济视野与效率取向，而是涉及身心健康、环境因素、生活方式等各个方面；③坚持老年人本位立场，充分尊重与考虑老年人需求多维性与老年群体差异性，为不同性别、种族、社会经济阶层老年群体制定差异化老龄政策与实施策略；④积极老龄化强调老年人作为完全公民的社会参与，有助于老年人实现自我价值，避免被社会边缘化，维护身心健康等；⑤要求政府、社会、市场、家庭等各个方面给予老年人支持，保障其晚年生活平安度过。局限性：①忽视供给维度，没能考虑中青年人应不应承担、愿不愿意、有无能力面对养老财政转移支付；②局限于应然维度，政策质量低、问题重重；③可能造成消极与积极对立，对消极因素避而不谈；④病残扩张理论反驳，长寿不等于健康，健康预期寿命增长速度远落后于预期寿命，“胜利的失败”。</w:t>
      </w:r>
    </w:p>
    <w:p w14:paraId="21DEE973">
      <w:pPr>
        <w:rPr>
          <w:rFonts w:hint="eastAsia"/>
          <w:lang w:val="en-US" w:eastAsia="zh-CN"/>
        </w:rPr>
      </w:pPr>
    </w:p>
    <w:p w14:paraId="4A7208F7">
      <w:pPr>
        <w:pStyle w:val="2"/>
        <w:bidi w:val="0"/>
        <w:rPr>
          <w:rFonts w:hint="eastAsia"/>
          <w:lang w:val="en-US" w:eastAsia="zh-CN"/>
        </w:rPr>
      </w:pPr>
      <w:r>
        <w:rPr>
          <w:rFonts w:hint="eastAsia"/>
          <w:lang w:val="en-US" w:eastAsia="zh-CN"/>
        </w:rPr>
        <w:t>拉图尔联结学</w:t>
      </w:r>
    </w:p>
    <w:p w14:paraId="4AA93C46">
      <w:pPr>
        <w:rPr>
          <w:rFonts w:hint="eastAsia"/>
          <w:lang w:val="en-US" w:eastAsia="zh-CN"/>
        </w:rPr>
      </w:pPr>
    </w:p>
    <w:p w14:paraId="0A19117A">
      <w:pPr>
        <w:bidi w:val="0"/>
      </w:pPr>
      <w:r>
        <w:t>拉图尔的Reassembling the Social是介绍ANT的一本小册子。拉图尔在导言部分就社会与社会学内涵提供了自己的见解。拉氏批判“社会”一词的泛化与语义狭隘化，反对将社会视为一种区别于其他领域（经济、政治、自然）的独立实体，主张“社会”并非特定领域或物的类型，不是一群黑羊中一只可辨别的白羊，而是连接与装配的运动过程本身——社会学的目的便是对这些装配运动的追踪与勾勒（tracing）。拉图尔认为，只有在这层定义上，sociology这门学问才恰当符合了其拉丁词源socius（原意“在一起”，引申意为同伴、伙伴）的内涵，也就是说，社会学是一门研究事物之如何在一起、如何运动装配的认知活动，而不人为地造成社会领域的特殊化以及社会因素之间的割裂。以此为根基，拉图尔在传统“社会的社会学”之外，开辟了另一条研究路径，他将其称之为“装配的社会学”或“装配学（associology）”。ANT以广义对称性（generalized symmetry）为方法原则，对人与非人行动者一视同仁，其所强调的行动者、网络与转译等概念，正是这一装配学的核心思想工具。</w:t>
      </w:r>
    </w:p>
    <w:p w14:paraId="16BF5C62">
      <w:pPr>
        <w:bidi w:val="0"/>
      </w:pPr>
    </w:p>
    <w:p w14:paraId="1889E630">
      <w:pPr>
        <w:pStyle w:val="2"/>
        <w:bidi w:val="0"/>
        <w:rPr>
          <w:rFonts w:hint="default"/>
          <w:lang w:val="en-US" w:eastAsia="zh-CN"/>
        </w:rPr>
      </w:pPr>
      <w:r>
        <w:rPr>
          <w:rFonts w:hint="eastAsia"/>
          <w:lang w:val="en-US" w:eastAsia="zh-CN"/>
        </w:rPr>
        <w:t>克苏鲁人类学：爱手艺与差异性的科学</w:t>
      </w:r>
    </w:p>
    <w:p w14:paraId="1C06640E">
      <w:pPr>
        <w:bidi w:val="0"/>
        <w:rPr>
          <w:rFonts w:hint="eastAsia"/>
          <w:lang w:val="en-US" w:eastAsia="zh-CN"/>
        </w:rPr>
      </w:pPr>
    </w:p>
    <w:p w14:paraId="1963BBE5">
      <w:pPr>
        <w:bidi w:val="0"/>
      </w:pPr>
      <w:r>
        <w:t>难得找到一篇从人类学视域分析爱手艺克苏鲁文学的论文。哈拉维似乎也写过几篇关于克苏鲁的文章，但还是偏政治化，没能从纯正的人类学视角理解爱手艺文学思考的独特价值。在这篇论文中，作者以“异质性”和“差异”为核心，将爱手艺的个人传记、文学创作，与人类学思想串联起来。不像《与契科夫一起磨砺民族志技艺》那样，把契科夫的现实主义文学视作民族志写作的典范案例，本文作者所探讨的是爱手艺文学本身的人类学思考（抑或人类学原型），及其为人类学学科自反性所提供的价值。本文核心思想大致可以概括为如下几点，①爱手艺本人种族主义与人类学的关系，在纯粹政治批判以外的其余思索价值（比如重审种族主义之恐惧的问题）；②克苏鲁神话中宇宙主义、普遍主义与结构主义的类同；③爱手艺叙事套路、主人公形象、对人类学家的暗讽、对人类学经典著作的指代等与田野调查、摇椅人类学家形象、二十世纪初人类学历史发展的关联；④爱手艺文学创作中的人类学遐思，诸如家与其他地方、熟悉世界与异质世界、求知行为与事物之不可名状的隐喻，涉及着田野调查认知的悖论性与差异性的根本伦理；⑤旧神形象、魔鬼塑造、梦境、人类理智崩溃与反人类中心主义的思索等。</w:t>
      </w:r>
    </w:p>
    <w:p w14:paraId="41697042">
      <w:pPr>
        <w:bidi w:val="0"/>
      </w:pPr>
    </w:p>
    <w:p w14:paraId="5B6A7963">
      <w:pPr>
        <w:bidi w:val="0"/>
        <w:rPr>
          <w:rFonts w:hint="default"/>
          <w:lang w:val="en-US" w:eastAsia="zh-CN"/>
        </w:rPr>
      </w:pPr>
      <w:r>
        <w:rPr>
          <w:rFonts w:hint="default"/>
          <w:lang w:val="en-US" w:eastAsia="zh-CN"/>
        </w:rPr>
        <w:t>克苏鲁可以被视作人类学田野调查对象异质属性的极端化，是绝对的他者：有一个因求知欲而去认知的学者（人类学家、民族学家、人种学家云云），在求知过程中因绝对的异质性意识到认知本身的不可能性，最终因认知冲动而被毁灭，无论是精神抑或肉体。其中，田野调查对象（在此是克苏鲁之类的魔鬼、恶神与旧日支配者）充满了令人恐惧与不可名状的属性，任何描述的尝试都以失败与绝望告终（民族志写作正是不可名状的绝对反面），实际上，它们对田野调查者及对方的所处世界亦毫无兴趣可言。这是一场非对称的认知实践。在克苏鲁神话中，追求异质性、差异性的田野调查者的唯一收获，就是认知到自己在一个更为宏大的宇宙秩序中的微不足道、可有可无。出于保全自身性命的目的，他本质上完全不该去求知与追求什么。这些求知的人们在被应封禁却意外发现的地方性知识中，窥见了宇宙秩序的绝对的整体性，因此精神失常乃至崩溃，而这正是一个人类学家所能经历的最极端的田野悲剧。</w:t>
      </w:r>
    </w:p>
    <w:p w14:paraId="75ECC0A8">
      <w:pPr>
        <w:bidi w:val="0"/>
        <w:rPr>
          <w:rFonts w:hint="default"/>
          <w:lang w:val="en-US" w:eastAsia="zh-CN"/>
        </w:rPr>
      </w:pPr>
    </w:p>
    <w:p w14:paraId="00ED6CC9">
      <w:pPr>
        <w:pStyle w:val="2"/>
        <w:bidi w:val="0"/>
      </w:pPr>
      <w:r>
        <w:t>后极权与道德感</w:t>
      </w:r>
    </w:p>
    <w:p w14:paraId="636571F9"/>
    <w:p w14:paraId="6247B8FD">
      <w:pPr>
        <w:bidi w:val="0"/>
        <w:rPr>
          <w:rFonts w:hint="default"/>
          <w:lang w:val="en-US" w:eastAsia="zh-CN"/>
        </w:rPr>
      </w:pPr>
      <w:r>
        <w:t>在分析八十年代捷克斯洛伐克僵化社会时，哈维尔正确指出了后极权时代情感道德因素在民众自发组织运动、游行抗议、权力申诉等反对派实践的核心作用。后极权区别于单纯肉体消灭的极权暴力，而以人性驯化、组织原子化、道德麻木漠然等谋略自我存续，为实现社会生命的全面萎缩与权力的全面控制为鹄的。传统抗议形式诸如党派、刊物、大规模抗议等在后极权时代已不具备充分发动前提，因此，如何在社会纽带的根本萎缩中开展反对派实践，必然涉及组织运动的自发性、自组织问题。情感道德是最根本的不受控制的自发力量，无论是虐狗虐猫、饮食安全还是其他社会不公等议题引发的公共与社会情感，皆是执牛耳者所忌惮、试图遮掩之物，为确保社会生命的根本萎缩死亡，息事宁人的精神必然超越法律、道德等价值体系，破坏社会不公者常常与利益集团一并受到庇护，而任何辨析此不公并因道德感自主发声者却遭到沉重的打击。道德感并不特指某一对象，只指涉权力运作过程与伪善本身，既不关联某个人却又关联所有人，为此，任何一个坚守道德的人必然承受暴力机关最暴力的镇压。于兹，我们又一次看到了物质与精神性力量的辩证翻转。</w:t>
      </w:r>
    </w:p>
    <w:p w14:paraId="07CEA7DD">
      <w:pPr>
        <w:pStyle w:val="2"/>
        <w:bidi w:val="0"/>
        <w:rPr>
          <w:rFonts w:hint="eastAsia"/>
          <w:lang w:val="en-US" w:eastAsia="zh-CN"/>
        </w:rPr>
      </w:pPr>
      <w:r>
        <w:rPr>
          <w:rFonts w:hint="eastAsia"/>
          <w:lang w:val="en-US" w:eastAsia="zh-CN"/>
        </w:rPr>
        <w:t>福柯与戈夫曼研究</w:t>
      </w:r>
    </w:p>
    <w:p w14:paraId="76EB3B59">
      <w:pPr>
        <w:bidi w:val="0"/>
      </w:pPr>
      <w:r>
        <w:t>说来也奇，中文世界社会学教科书基本不提戈夫曼五十年代对精神病院的观察研究，其成果总结于《庇护所》一书。在社会学界，精神病院研究经常和福柯联系在一起，但是福柯实际并没有做过田野调查，《疯癫与文明》是以深刻的思想史分析与历史考古学才得以闻名。值得一提的是，戈夫曼的《庇护所》与福柯的《疯癫与文明》均于1961年正式出版，冥冥中两人似乎有所关联。戈夫曼的全控机构（total institution）——权力体现在日常秩序之中（制服、作息、检查、除名等），包含制度化的身份剥夺与角色重塑两大环节——很容易想到福柯借用边沁全景敞视监狱对权力规训肉体的分析，然而“次级调适”（secondary adjustment）——强调病人对制度的某种自主性回应——这一提法，在福柯那里并没有完全等价的对应概念。前期的福柯总给人全世界都是监狱的感觉，主体无论做什么都是规训的产物，也不存在真正的自由，“人死了”，只有到了后期福柯才有了自我技术这种说法，又复活了人，人又可以做自己了。戈夫曼的“次级适应”，首先承认制度存在着无法施展效力裂隙，强调病人可以在其中“偷回”一点生活自主性（藏根烟，私下物品交换，摸鱼云云），从源头便是归纳于经验观察的产物，区别于福柯那种哲学抽象的思路。</w:t>
      </w:r>
    </w:p>
    <w:p w14:paraId="67D0D487">
      <w:pPr>
        <w:pStyle w:val="2"/>
        <w:bidi w:val="0"/>
        <w:rPr>
          <w:rFonts w:hint="eastAsia"/>
          <w:lang w:val="en-US" w:eastAsia="zh-CN"/>
        </w:rPr>
      </w:pPr>
      <w:r>
        <w:rPr>
          <w:rFonts w:hint="eastAsia"/>
          <w:lang w:val="en-US" w:eastAsia="zh-CN"/>
        </w:rPr>
        <w:t>孔德实证理念</w:t>
      </w:r>
    </w:p>
    <w:p w14:paraId="3079AA0B">
      <w:pPr>
        <w:bidi w:val="0"/>
        <w:rPr>
          <w:rFonts w:hint="default"/>
          <w:lang w:val="en-US" w:eastAsia="zh-CN"/>
        </w:rPr>
      </w:pPr>
      <w:r>
        <w:t>以今天的计量实证原则（归功于涂尔干）与价值无涉观念（受惠于韦伯）去理解孔德的实证主义，无疑是成问题的；认为孔德实证主义思想和后期人道教理念存在着思想生涯的断裂，也是错误的。实际上，孔德实证主义从不排除人类情感、道德与价值的介入，人道教理念也不构成与孔德前期思想生涯的断裂，而恰恰是实证主义原则逻辑的发展产物。孔德的实证主义最好从社会政策追求社会正义的维度上加以把握：当孔德计算全欧洲要有49名个人道教主教与14万名牧师时，当孔德喊出“爱为原则，秩序为基础，进步为目的”时，孔德无不例外地均立足于社会改造的坚定立场上。“孔德既没有把价值立场排斥在外，更没有忽略价值因素在实证分析中的作用。与此恰恰相反，孔德认为实证本身就是一种价值所在，这种价值既是社会发展进入新阶段的价值取向，同时通过实证主义的推广亦是一种新型价值的推广过程。”（见董潇）社会改造必然与价值有涉有关，如同任何社会政策都以价值预设与意识形态分野为前提。对于将法国大革命未竟之事业视作自己社会学核心使命的孔德而言，如若实证主义阶段作为人类社会发展的最终时代，这不过是在说，实证的道德基础带来了福山意义上的“历史的终点”（注意：与福山强调民主政体作为政治制度的终点不同，孔德的实证理念是人类认识论的终点），亦即，除了实证理念以外，人类意识形态的发展再也不会更进一步。实证主义，作为法国大革命理念的翻版与后起之秀的完善，标志着社会自由、平等与博爱的终点。因此可以理解，在一定意义上，晚年孔德试图通过建立人道教，加速历史的终结。</w:t>
      </w:r>
    </w:p>
    <w:p w14:paraId="09E24277">
      <w:pPr>
        <w:pStyle w:val="2"/>
        <w:bidi w:val="0"/>
        <w:rPr>
          <w:rFonts w:hint="eastAsia"/>
          <w:lang w:val="en-US" w:eastAsia="zh-CN"/>
        </w:rPr>
      </w:pPr>
      <w:r>
        <w:rPr>
          <w:rFonts w:hint="eastAsia"/>
          <w:lang w:val="en-US" w:eastAsia="zh-CN"/>
        </w:rPr>
        <w:t>民俗之名与俗的新发展</w:t>
      </w:r>
    </w:p>
    <w:p w14:paraId="599B2991">
      <w:pPr>
        <w:rPr>
          <w:rFonts w:hint="eastAsia"/>
          <w:lang w:val="en-US" w:eastAsia="zh-CN"/>
        </w:rPr>
      </w:pPr>
      <w:r>
        <w:rPr>
          <w:rFonts w:hint="eastAsia"/>
          <w:lang w:val="en-US" w:eastAsia="zh-CN"/>
        </w:rPr>
        <w:t>在流动性与媒介化的新社会文化语境下，民俗之 “民” 已突破地缘共同体的稳定边界，演变为由本地居民、 外来移民、 游客、 网民、 数字游民等多元主体构成的流动性实践群体。这些主体积极参与多样的民俗活动， 塑造着民俗认同， 其文化认同既可能是短暂的情感联结， 亦可能引发文化的根本性变革。与之相应， 民俗之 “俗” 的形态亦发生改变， 从传统民俗、 当代民俗到流动民俗、 网络民俗乃至未来民俗， 其生成逻辑、 存续场域与功能价值均呈现出现代化转型。</w:t>
      </w:r>
    </w:p>
    <w:p w14:paraId="4657B130">
      <w:pPr>
        <w:rPr>
          <w:rFonts w:hint="eastAsia"/>
          <w:lang w:val="en-US" w:eastAsia="zh-CN"/>
        </w:rPr>
      </w:pPr>
    </w:p>
    <w:p w14:paraId="28F68D31">
      <w:pPr>
        <w:rPr>
          <w:rFonts w:hint="eastAsia"/>
          <w:lang w:val="en-US" w:eastAsia="zh-CN"/>
        </w:rPr>
      </w:pPr>
      <w:r>
        <w:rPr>
          <w:rFonts w:hint="eastAsia"/>
          <w:lang w:val="en-US" w:eastAsia="zh-CN"/>
        </w:rPr>
        <w:t>民俗社会变迁：传统认知→流动社会、媒介化社会</w:t>
      </w:r>
    </w:p>
    <w:p w14:paraId="4DD918B8">
      <w:pPr>
        <w:rPr>
          <w:rFonts w:hint="eastAsia"/>
          <w:lang w:val="en-US" w:eastAsia="zh-CN"/>
        </w:rPr>
      </w:pPr>
    </w:p>
    <w:p w14:paraId="44ABCD30">
      <w:pPr>
        <w:rPr>
          <w:rFonts w:hint="default"/>
          <w:lang w:val="en-US" w:eastAsia="zh-CN"/>
        </w:rPr>
      </w:pPr>
      <w:r>
        <w:rPr>
          <w:rFonts w:hint="eastAsia"/>
          <w:lang w:val="en-US" w:eastAsia="zh-CN"/>
        </w:rPr>
        <w:t>西</w:t>
      </w:r>
      <w:r>
        <w:rPr>
          <w:rFonts w:hint="default"/>
          <w:lang w:val="en-US" w:eastAsia="zh-CN"/>
        </w:rPr>
        <w:t>方民俗学始终将 “俗” 界定为具有历史纵深的古老或传统的文化现象。这种认知将 “俗” 抽离于 “当世之民” 的实践场域， 研究焦点更多集中于文化形态的历史存留性， 而非 “民这一实践主体及其对文化的动态建构。将 “民” 框定为 “乡民或野蛮人”“匿名群众” 或 “有共同传统的共同群体”， 相应地，“俗” 则被赋予文化稳态性、 社群归属性与历史积淀性等特征， 形成了相对静态的认知框架。</w:t>
      </w:r>
    </w:p>
    <w:p w14:paraId="2DF9911C">
      <w:pPr>
        <w:rPr>
          <w:rFonts w:hint="default"/>
          <w:lang w:val="en-US" w:eastAsia="zh-CN"/>
        </w:rPr>
      </w:pPr>
    </w:p>
    <w:p w14:paraId="7EB9C2B4">
      <w:pPr>
        <w:rPr>
          <w:rFonts w:hint="default"/>
          <w:lang w:val="en-US" w:eastAsia="zh-CN"/>
        </w:rPr>
      </w:pPr>
      <w:r>
        <w:rPr>
          <w:rFonts w:hint="eastAsia"/>
          <w:lang w:val="en-US" w:eastAsia="zh-CN"/>
        </w:rPr>
        <w:t>对应：</w:t>
      </w:r>
      <w:r>
        <w:rPr>
          <w:rFonts w:hint="default"/>
          <w:lang w:val="en-US" w:eastAsia="zh-CN"/>
        </w:rPr>
        <w:t>在俗之民” 概念， 推动民俗学范式实现了从 “面向过去” 到 “关注当下” 的转变， 将 “民” 从被动的文化承载者还原为实践主体。</w:t>
      </w:r>
    </w:p>
    <w:p w14:paraId="0DB89B42">
      <w:pPr>
        <w:rPr>
          <w:rFonts w:hint="default"/>
          <w:lang w:val="en-US" w:eastAsia="zh-CN"/>
        </w:rPr>
      </w:pPr>
    </w:p>
    <w:p w14:paraId="43813584">
      <w:pPr>
        <w:rPr>
          <w:rFonts w:hint="eastAsia"/>
          <w:lang w:val="en-US" w:eastAsia="zh-CN"/>
        </w:rPr>
      </w:pPr>
      <w:r>
        <w:rPr>
          <w:rFonts w:hint="eastAsia"/>
          <w:lang w:val="en-US" w:eastAsia="zh-CN"/>
        </w:rPr>
        <w:t>流动社会中“民”与“俗”的演变：①民的主体性特征与认同形态的深刻分化：原本均值化、集合意义上的“民”逐渐被具有差异化需求与表达能力的个体取代，民俗实践从集体无意识的惯习传承，转向基于个体选择的协商性互动。与此同时，文化认同的逻辑也发生转变，现代社会人们不再固守既有文化，而是通过选择、循环与重组文化要素，在活动中选择认同。②俗的泛主体化：受流动性社会文化脱域影响，民俗的共同体维系功能逐渐弱化，取而代之的是符号消费的新特征。民俗通过符号化和市场化的途径，巧妙融入现代生活，成为个体彰显身份、建构个人意义的新资源。</w:t>
      </w:r>
    </w:p>
    <w:p w14:paraId="1917E8B0">
      <w:pPr>
        <w:rPr>
          <w:rFonts w:hint="eastAsia"/>
          <w:lang w:val="en-US" w:eastAsia="zh-CN"/>
        </w:rPr>
      </w:pPr>
    </w:p>
    <w:p w14:paraId="06EBC426">
      <w:pPr>
        <w:rPr>
          <w:rFonts w:hint="eastAsia"/>
          <w:lang w:val="en-US" w:eastAsia="zh-CN"/>
        </w:rPr>
      </w:pPr>
      <w:r>
        <w:rPr>
          <w:rFonts w:hint="eastAsia"/>
          <w:lang w:val="en-US" w:eastAsia="zh-CN"/>
        </w:rPr>
        <w:t>媒介化社会中“民”与“俗”的嬗变：①媒介技术演进，重构人类感知世界的认知框架，进而深刻改变民俗之民的主体性特征与俗的功能形态。②媒介即人的延伸，数字拟真环境下，影像、交互装置等成为人类感官的数字化延伸，使民俗实践趋向“去具身化”与“去实体化”。③更广泛的实践主体参与民俗体验、改变民俗形式成为必然；④媒介化技术带来的人际交互模式变革，进一步加剧了民俗活动场域的重构；⑤人际互动从面对面的在地化交流转向脱域化连接，情感表达的符号化与身份认同的短暂性成为新的常态。</w:t>
      </w:r>
    </w:p>
    <w:p w14:paraId="02440CD1">
      <w:pPr>
        <w:rPr>
          <w:rFonts w:hint="eastAsia"/>
          <w:lang w:val="en-US" w:eastAsia="zh-CN"/>
        </w:rPr>
      </w:pPr>
    </w:p>
    <w:p w14:paraId="1B21AA37">
      <w:pPr>
        <w:rPr>
          <w:rFonts w:hint="eastAsia"/>
          <w:lang w:val="en-US" w:eastAsia="zh-CN"/>
        </w:rPr>
      </w:pPr>
      <w:r>
        <w:rPr>
          <w:rFonts w:hint="eastAsia"/>
          <w:lang w:val="en-US" w:eastAsia="zh-CN"/>
        </w:rPr>
        <w:t>新民的文化认同与新俗的存续逻辑：①从社群共享到主客共享的临时共同体→从原本稳定的地缘血缘共同体，转变为流动性强、情境多变的临时共同体；②从集体同质到个性新潮的形式变迁→民俗仪式的主体差异化与体验个性化特征的日益凸显，而不局限于传统的过渡性、身份转化功能；③式微习俗在传播叙事下的混杂存续→数字媒介借助其注意力聚合与叙述建构功能，为传统民俗提供活性存续与创新转化的新路径。</w:t>
      </w:r>
    </w:p>
    <w:p w14:paraId="44DB2BF2">
      <w:pPr>
        <w:rPr>
          <w:rFonts w:hint="eastAsia"/>
          <w:lang w:val="en-US" w:eastAsia="zh-CN"/>
        </w:rPr>
      </w:pPr>
    </w:p>
    <w:p w14:paraId="6A94C888">
      <w:pPr>
        <w:rPr>
          <w:rFonts w:hint="eastAsia"/>
          <w:lang w:val="en-US" w:eastAsia="zh-CN"/>
        </w:rPr>
      </w:pPr>
      <w:r>
        <w:rPr>
          <w:rFonts w:hint="eastAsia"/>
          <w:lang w:val="en-US" w:eastAsia="zh-CN"/>
        </w:rPr>
        <w:t>民俗学的当代挑战：①整体上，现代性的迅猛突进与科技的迅速扩张，民俗的存在形态变迁迅速，民的生存基础与俗的生成土壤被深刻改变；②在实践主体方面，传统社会的稳态结构正在被流动的、碎片化的现代生活取代，民俗赖以存续的稳定共同体逐渐消解；③在传承空间层面，传承存落因人口流失而空心化，致使仪式场所荒废， 保存完整的民间文化也趋于博物馆化保存。④在功能价值方面，学校教育体系的普及使知识传播突破地域限制，民俗的口传身授被标准化教材传授替代。⑤加速社会中，动荡多变的社会环境阻碍了民俗向稳定文化记忆的转化， 过度商业化导致的 “伪民俗” 泛滥、“文化衍生品”的机械复制，以及代际转换中传承群体认同感的降低等，共同强化了民俗学研究的现实困境。</w:t>
      </w:r>
    </w:p>
    <w:p w14:paraId="6510354F">
      <w:pPr>
        <w:rPr>
          <w:rFonts w:hint="eastAsia"/>
          <w:lang w:val="en-US" w:eastAsia="zh-CN"/>
        </w:rPr>
      </w:pPr>
    </w:p>
    <w:p w14:paraId="72B3D1B3">
      <w:pPr>
        <w:rPr>
          <w:rFonts w:hint="eastAsia"/>
          <w:lang w:val="en-US" w:eastAsia="zh-CN"/>
        </w:rPr>
      </w:pPr>
      <w:r>
        <w:rPr>
          <w:rFonts w:hint="eastAsia"/>
          <w:lang w:val="en-US" w:eastAsia="zh-CN"/>
        </w:rPr>
        <w:t>未来展望：①关注新文化语境下的“在俗之民”，新共同体实践等；②关注“俗”之传统的工具化，把握好技术伦理与文化多样性的平衡，警惕数字技术在促进文化传承的同时加剧民俗同质化危机；③关注“俗”的超越性：警惕将传统视为静态遗产， 而忽视其背后动态协商与历史演变过程， 同时深入挖掘当下和未来民俗的可能性， 理解民间新兴文化的内核。</w:t>
      </w:r>
    </w:p>
    <w:p w14:paraId="36F54CC0">
      <w:pPr>
        <w:rPr>
          <w:rFonts w:hint="eastAsia"/>
          <w:lang w:val="en-US" w:eastAsia="zh-CN"/>
        </w:rPr>
      </w:pPr>
    </w:p>
    <w:p w14:paraId="432AD8AF">
      <w:pPr>
        <w:pStyle w:val="2"/>
        <w:bidi w:val="0"/>
        <w:rPr>
          <w:rFonts w:hint="eastAsia"/>
          <w:lang w:val="en-US" w:eastAsia="zh-CN"/>
        </w:rPr>
      </w:pPr>
      <w:r>
        <w:rPr>
          <w:rFonts w:hint="eastAsia"/>
          <w:lang w:val="en-US" w:eastAsia="zh-CN"/>
        </w:rPr>
        <w:t>民俗学表演理论几大特点</w:t>
      </w:r>
    </w:p>
    <w:p w14:paraId="212E222A">
      <w:pPr>
        <w:rPr>
          <w:rFonts w:hint="eastAsia"/>
          <w:lang w:val="en-US" w:eastAsia="zh-CN"/>
        </w:rPr>
      </w:pPr>
      <w:r>
        <w:rPr>
          <w:rFonts w:hint="eastAsia"/>
          <w:lang w:val="en-US" w:eastAsia="zh-CN"/>
        </w:rPr>
        <w:t>①表演理论区别于以往以文本为中心、以抽象剥离语境关系的民俗事象为中心的视角，以民俗表演/展演为中心，关注文本在语境及情境中的动态形成过程及实际应用，强调民俗表演的情境化特征。②反对以“文化遗留物”看待民俗，表演视角看到的民俗处于不断被创新和重建的动态过程中，其形式、功能都根植于文化限定情景与生动的互动交流协商之中。③注重民俗表演者的个人层面，在传统力量以外关注人的因与创造性，使被忽略的民俗传承人及其实践受到重视，从而使民俗学研究重心从“俗”到“民”，从事象到事象背后的人。④总体而言，对特定情境发生的表演及意义的关注，使研究者不再迷恋追溯历史流变或与文本为主的功能分析，转而注重民俗的新生与重构、表演者与参与者之间的交流互动，以及各种社会权力关系在表演过程中的交织与协调。⑤表演理论使得民俗学从“向后回溯地看”的视角中解放出来，转而关注“向当下看”，从而更多地理解人类经验的整体性。</w:t>
      </w:r>
    </w:p>
    <w:p w14:paraId="4F65E6B5">
      <w:pPr>
        <w:rPr>
          <w:rFonts w:hint="default"/>
          <w:lang w:val="en-US" w:eastAsia="zh-CN"/>
        </w:rPr>
      </w:pPr>
    </w:p>
    <w:p w14:paraId="513642EA">
      <w:pPr>
        <w:pStyle w:val="2"/>
        <w:bidi w:val="0"/>
        <w:rPr>
          <w:rFonts w:hint="eastAsia"/>
          <w:lang w:val="en-US" w:eastAsia="zh-CN"/>
        </w:rPr>
      </w:pPr>
      <w:r>
        <w:rPr>
          <w:rFonts w:hint="eastAsia"/>
          <w:lang w:val="en-US" w:eastAsia="zh-CN"/>
        </w:rPr>
        <w:t>世界的祛魅与现代精神世界的重构</w:t>
      </w:r>
    </w:p>
    <w:p w14:paraId="22FCC633">
      <w:pPr>
        <w:rPr>
          <w:rFonts w:hint="eastAsia"/>
          <w:lang w:val="en-US" w:eastAsia="zh-CN"/>
        </w:rPr>
      </w:pPr>
      <w:r>
        <w:rPr>
          <w:rFonts w:hint="eastAsia"/>
          <w:lang w:val="en-US" w:eastAsia="zh-CN"/>
        </w:rPr>
        <w:t>①祛魅（Entzauberung der Welt，世界祛魅）是世界的世俗化与理性化发展过程，意味着人类认知和理解世界方式的重大转变，以理性化为本质特征的科学话语取代了以信仰为本质特征的宗教话语，成为最重要的世界叙事方式。②具体而言，祛魅摒弃迷信、拯救性质的巫术手段，以求真的科技理性来呈现世界的客观结构与存在样态。③资本主义的人格性，新教伦理作为现代资本主义文明形态的精神前驱：基督教的禁欲主义传统，经由新教各教派的持续努力，终于从一种宗教精英隐修拒世的思想，转变为从来世着眼、从今世着手的普通信徒的入世信仰，并被大规模地投入了改造尘世的过程（见卡注）；④物质财富的巨大创造、经济社会的迅速发展与思想领域的强烈波动和精神世界的不断重构相伴而生，造就了世界祛魅所带来的时代景观和社会风貌，一个“总在追求善却又在创造恶”的过程：一方面是社会解放和生存自由程度的提高，一方面是传统价值体系崩塌之后出现的社会隐忧。⑤世界祛魅引发了人类价值取向领域内的诸神之战，面对多元诸神出现了决断困难与生存困惑。⑥“诸神之争”，是一神论终结后，出现的价值多元现象：在政治、经济、思想、审美、性爱和知性这六个领域中的价值无法彼此调和，充斥分裂、对峙、冲突和争斗（见《中间考察》）。⑦关于“应该”不可能有什么真正的知识，社会科学所能做到的只是澄清此种冲突及其蕴含，冲突的解决只能留待每个个体自由的、非理性的决断（哪个是谁，哪个是魔鬼，并服侍之）。⑧新教伦理与现代资本主义精神具有内在亲和性，资本主义是禁欲主义的，作为一种为财富本身而追求财富的普通精神只存在于近代资本主义。⑨现代资本主义发展与新教禁欲主义初衷相背离，现代资产阶级通过紧密的理性计算和技术把一切都理性化，一切变成了盈利的工具，把为上帝工作当成天职的清教徒变成了没有精神的专家和没有心肝的纵欲者（专家没有灵魂，纵欲者没有心肝，而这具空壳却幻想自己已经抵达了人类文明的最高水平）。</w:t>
      </w:r>
    </w:p>
    <w:p w14:paraId="122F0F48">
      <w:pPr>
        <w:rPr>
          <w:rFonts w:hint="eastAsia"/>
          <w:lang w:val="en-US" w:eastAsia="zh-CN"/>
        </w:rPr>
      </w:pPr>
    </w:p>
    <w:p w14:paraId="0A1D0706">
      <w:pPr>
        <w:pStyle w:val="2"/>
        <w:bidi w:val="0"/>
        <w:rPr>
          <w:rFonts w:hint="eastAsia"/>
          <w:lang w:val="en-US" w:eastAsia="zh-CN"/>
        </w:rPr>
      </w:pPr>
      <w:r>
        <w:rPr>
          <w:rFonts w:hint="eastAsia"/>
          <w:lang w:val="en-US" w:eastAsia="zh-CN"/>
        </w:rPr>
        <w:t>伦理人格与生活之道</w:t>
      </w:r>
    </w:p>
    <w:p w14:paraId="0E774048">
      <w:pPr>
        <w:bidi w:val="0"/>
        <w:rPr>
          <w:rFonts w:hint="eastAsia"/>
          <w:lang w:val="en-US" w:eastAsia="zh-CN"/>
        </w:rPr>
      </w:pPr>
      <w:r>
        <w:rPr>
          <w:rFonts w:hint="eastAsia"/>
          <w:lang w:val="en-US" w:eastAsia="zh-CN"/>
        </w:rPr>
        <w:t>Momsen认为，①无论是韦伯的“理性化”还是“祛魅”概念，都隐含着线性进化论的解释逻辑。但韦伯在《经济与社会》的1920年定稿和《宗教社会学论文集》的序言中，都一再强调基于不同的世界观、向着不同的方向，可能发展出多样的“理性化”与“生活之道”（</w:t>
      </w:r>
      <w:r>
        <w:t>Lebensführung</w:t>
      </w:r>
      <w:r>
        <w:rPr>
          <w:rFonts w:hint="default"/>
        </w:rPr>
        <w:t> </w:t>
      </w:r>
      <w:r>
        <w:rPr>
          <w:rFonts w:hint="eastAsia"/>
          <w:lang w:eastAsia="zh-CN"/>
        </w:rPr>
        <w:t>，</w:t>
      </w:r>
      <w:r>
        <w:rPr>
          <w:rFonts w:hint="eastAsia"/>
          <w:lang w:val="en-US" w:eastAsia="zh-CN"/>
        </w:rPr>
        <w:t>德语原文由“生活”与“引领/管理”构成，英译life conduct，生活行为）。②韦伯的卡里斯玛（</w:t>
      </w:r>
      <w:r>
        <w:t>Charisma</w:t>
      </w:r>
      <w:r>
        <w:rPr>
          <w:rFonts w:hint="eastAsia"/>
          <w:lang w:val="en-US" w:eastAsia="zh-CN"/>
        </w:rPr>
        <w:t>）概念具有复杂多义性，不仅指代a.具有“超凡魅力”的政治领袖，也非单纯指代b.早期社会或宗教团体的组织模式，而是更多地将其作为结构范畴，c.灵活运用于描述历史现实中的社会组织及其变迁。③卡里斯玛与理性化也并非必然处于正反两极。韦伯恰恰是要思考：在现代语境下，能否从常规政治中产生出具有卡里斯玛品质的领袖，从而避免僵死官僚制与革命的二院困境。④韦伯有关“铁笼”的判断，与其说是预言不如说是警告，社会变迁始终包含着多样的可能，历史仍然是敞开的。</w:t>
      </w:r>
    </w:p>
    <w:p w14:paraId="47262219">
      <w:pPr>
        <w:bidi w:val="0"/>
        <w:rPr>
          <w:rFonts w:hint="eastAsia"/>
          <w:lang w:val="en-US" w:eastAsia="zh-CN"/>
        </w:rPr>
      </w:pPr>
    </w:p>
    <w:p w14:paraId="086B43ED">
      <w:pPr>
        <w:bidi w:val="0"/>
        <w:rPr>
          <w:rFonts w:hint="eastAsia"/>
          <w:lang w:val="en-US" w:eastAsia="zh-CN"/>
        </w:rPr>
      </w:pPr>
      <w:r>
        <w:rPr>
          <w:rFonts w:hint="eastAsia"/>
          <w:lang w:val="en-US" w:eastAsia="zh-CN"/>
        </w:rPr>
        <w:t>韦伯两经典文本对照：①《新教伦理与资本主义精神》中对新教徒“孤独”状态的描述，往往引人误解，令人觉得韦伯全然是个体主义者。但韦伯后来发表《新教教派与资本主义精神》的文章，正是要纠正这一误解。在这篇文章中，韦伯旨在阐明，只有依靠伦理共同体的相互砥砺、互助互爱，市民阶层的伦理品质（ethische Qualität）和精神气质才得以通行于社会，支撑起日常经营交往的相互信任。</w:t>
      </w:r>
    </w:p>
    <w:p w14:paraId="7D2358DC">
      <w:pPr>
        <w:bidi w:val="0"/>
        <w:rPr>
          <w:rFonts w:hint="eastAsia"/>
          <w:lang w:val="en-US" w:eastAsia="zh-CN"/>
        </w:rPr>
      </w:pPr>
    </w:p>
    <w:p w14:paraId="3C6F9DB3">
      <w:pPr>
        <w:bidi w:val="0"/>
        <w:rPr>
          <w:rFonts w:hint="default"/>
          <w:lang w:val="en-US" w:eastAsia="zh-CN"/>
        </w:rPr>
      </w:pPr>
      <w:r>
        <w:rPr>
          <w:rFonts w:hint="eastAsia"/>
          <w:lang w:val="en-US" w:eastAsia="zh-CN"/>
        </w:rPr>
        <w:t>《新教伦理与资本主义精神》:（一）</w:t>
      </w:r>
      <w:r>
        <w:rPr>
          <w:rFonts w:hint="eastAsia"/>
          <w:b/>
          <w:bCs w:val="0"/>
          <w:lang w:val="en-US" w:eastAsia="zh-CN"/>
        </w:rPr>
        <w:t>理性计算的精神基础</w:t>
      </w:r>
      <w:r>
        <w:rPr>
          <w:rFonts w:hint="eastAsia"/>
          <w:lang w:val="en-US" w:eastAsia="zh-CN"/>
        </w:rPr>
        <w:t>：①区别于马克思对资本属性的全然批判，韦伯认为，理性的资本主义经营追求不是无止境的营利，而是收益性（Rentabilität）：长久地营利，将其作为生活常态，而非急于追求利“最大的利益”或陷入非理性冲动。②唯如此，方能称得上“伦理取向的生活之道”，这样具有一贯性和整体性、拥有相应心态和品质的人，也才可以说拥有人格。（二）</w:t>
      </w:r>
      <w:r>
        <w:rPr>
          <w:rFonts w:hint="eastAsia"/>
          <w:b/>
          <w:bCs w:val="0"/>
          <w:lang w:val="en-US" w:eastAsia="zh-CN"/>
        </w:rPr>
        <w:t>禁欲伦理与现代人格</w:t>
      </w:r>
      <w:r>
        <w:rPr>
          <w:rFonts w:hint="eastAsia"/>
          <w:lang w:val="en-US" w:eastAsia="zh-CN"/>
        </w:rPr>
        <w:t>：①加尔文派预定论思想，斩断了人与神的恩典关系，将人彻底抛入丧失生存意义的深渊：“一切被造物与神之间，横亘这一条无可跨越的鸿沟”。②韦伯眼中现代人的初始状态，是“个人内在空前的孤独感”，是不知自己能否得救的焦虑不安（在这里我们似乎看到了韦伯新教研究与作为基督教最大负典的灵知主义【</w:t>
      </w:r>
      <w:r>
        <w:t>Gnosticism</w:t>
      </w:r>
      <w:r>
        <w:rPr>
          <w:rFonts w:hint="eastAsia"/>
          <w:lang w:val="en-US" w:eastAsia="zh-CN"/>
        </w:rPr>
        <w:t>】及“灵知复仇”的关联，世界的祛魅正充当着灵知体验的起点而非发展产物）。③救赎确证（certitudo salutis）问题：既然预定论令人无法确知是否得救，那么问题就转变为，我如何相信自己是预定的获救之人？④韦伯看来，“受拣选的主观确定”飘忽不定，必须“在日常生活的斗争中赢取”，“用其客观的作用加以证明”。⑤真正救赎之确认自然不可能，但重要的并非渴求遥远不可知的神，而是找到人在尘世中的生活之道、善功的实践。⑥此生活之道（例如，是实在在的工作和成绩，心无杂念践行信仰的日常实践）看得见、行得出来、想得明白，因此解脱了人的焦虑不安，从而获得了自我确信。⑦最终，心态之养正，伦理品质之培养，人格与生活之道的贯通一致，解决了救赎确证问题，化焦虑为人格修行。</w:t>
      </w:r>
    </w:p>
    <w:p w14:paraId="2C737FB8">
      <w:pPr>
        <w:bidi w:val="0"/>
        <w:rPr>
          <w:rFonts w:hint="eastAsia"/>
          <w:lang w:val="en-US" w:eastAsia="zh-CN"/>
        </w:rPr>
      </w:pPr>
    </w:p>
    <w:p w14:paraId="18BF4BB1">
      <w:pPr>
        <w:bidi w:val="0"/>
        <w:rPr>
          <w:rFonts w:hint="eastAsia"/>
          <w:lang w:val="en-US" w:eastAsia="zh-CN"/>
        </w:rPr>
      </w:pPr>
      <w:r>
        <w:rPr>
          <w:rFonts w:hint="eastAsia"/>
          <w:lang w:val="en-US" w:eastAsia="zh-CN"/>
        </w:rPr>
        <w:t>《新教教派与资本主义精神》：（一）</w:t>
      </w:r>
      <w:r>
        <w:rPr>
          <w:rFonts w:hint="eastAsia"/>
          <w:b/>
          <w:bCs w:val="0"/>
          <w:lang w:val="en-US" w:eastAsia="zh-CN"/>
        </w:rPr>
        <w:t>作为伦理共同体的新教教派</w:t>
      </w:r>
      <w:r>
        <w:rPr>
          <w:rFonts w:hint="eastAsia"/>
          <w:lang w:val="en-US" w:eastAsia="zh-CN"/>
        </w:rPr>
        <w:t>：①个人孤独的自我确证，远不足以在整个社会层面，支撑起伦理人格的普遍培育、只有依靠团体成员的相互激励与促进，从自我确证发展为集体的一致认同，“近代市民阶层的风格”才能形成。②开头，韦伯举例其亲眼见美国一州一年轻人为在当地开班银行、带来众多客户，加入洗礼派教派，将自己全身浸没于冰冷的湖水。韦伯指出，教派真正关注的，不是模糊暧昧的信仰，而是伦理品质本身，只有诚实可靠的伦理人格与品质，才能获得入会的许可：“成为教派的一员，意味着人格的一张伦理资格证明书”。③结合两文可发现，韦伯的新教研究，始终关注在理性资本主义经营活动背后，是否有可能存在真正的伦理人格来统摄理性的经营活动，令人在平凡的日常实践中，仍然有超出日常的精神性支撑，而不为技术或计算主宰。④基于伦理人格和生活之道的“近代市民阶层特有的精神气质”，才是现代资本主义业已丧失却真正需要的根本支柱。</w:t>
      </w:r>
    </w:p>
    <w:p w14:paraId="4C5221B3">
      <w:pPr>
        <w:bidi w:val="0"/>
        <w:rPr>
          <w:rFonts w:hint="eastAsia"/>
          <w:lang w:val="en-US" w:eastAsia="zh-CN"/>
        </w:rPr>
      </w:pPr>
    </w:p>
    <w:p w14:paraId="4600084E">
      <w:pPr>
        <w:bidi w:val="0"/>
        <w:rPr>
          <w:rFonts w:hint="eastAsia"/>
          <w:lang w:val="en-US" w:eastAsia="zh-CN"/>
        </w:rPr>
      </w:pPr>
      <w:r>
        <w:rPr>
          <w:rFonts w:hint="eastAsia"/>
          <w:lang w:val="en-US" w:eastAsia="zh-CN"/>
        </w:rPr>
        <w:t>支配社会学：①要全面理解现代资本主义以及德国面临的历史命运，思考伦理人格与生活之道的当下可能性，就有必要去把握构成资本主义和现代社会的其他要素，并从新教伦理扩展开来，去理解更深远的基督教传统。②在《经济与社会》中，韦伯极为重视从支配（Herrschaft）的视角出发来分析社会组织；③韦伯的支配/权威概念，并不意味着少数人对多数人简单施加专断权力，多数人仅处于被动服从地位。④与此相反，任何支配组织，都必须基于某种为其成员认可的“正当秩序（legitime Ordnung）”，对该秩序的信仰即“正当性的信念（Legitimitaetsglaube）”：只有当成员相信，或至少承认支配组织为绝大多数成员所普遍接受的事实时，其秩序才具有效力（Geltung），真正稳固。⑤虽然正当秩序基于组织成员信仰与承认，但并不意味着现实正当信仰必然来自人民或支配形式必然是民主式的。⑥民主制与少数支配并不矛盾，它是后者的某种特殊形式：支配的正当性不只根本奠基于所有成员的信念，支配者在形式上也要依赖被支配者的信任与授权。</w:t>
      </w:r>
    </w:p>
    <w:p w14:paraId="17844A83">
      <w:pPr>
        <w:bidi w:val="0"/>
        <w:rPr>
          <w:rFonts w:hint="eastAsia"/>
          <w:lang w:val="en-US" w:eastAsia="zh-CN"/>
        </w:rPr>
      </w:pPr>
    </w:p>
    <w:p w14:paraId="1283975F">
      <w:pPr>
        <w:bidi w:val="0"/>
        <w:rPr>
          <w:rFonts w:hint="eastAsia"/>
          <w:lang w:val="en-US" w:eastAsia="zh-CN"/>
        </w:rPr>
      </w:pPr>
      <w:r>
        <w:rPr>
          <w:rFonts w:hint="eastAsia"/>
          <w:lang w:val="en-US" w:eastAsia="zh-CN"/>
        </w:rPr>
        <w:t>卡里斯玛：①在韦伯思想中，卡里斯玛是最复杂、含义最多的概念之一。至少包含a.个人的非凡品质、b.纯粹的支配类型、c.曼那（mana）魔力的三层含义。可能为a.民选领袖、b.身份阶层、c.宗教达人等多种角色拥有，甚至通过职位、学院等方式传递。②即便卡里斯玛概念如此复杂，其基本定义与人格和伦理品质紧密关联。③韦伯原话：“卡里斯玛这个字眼，在此用来表示某种人格的品质（Qualitaet einer Persoenlichkeit）；某些人因具有这个品质而被认为是超凡的，禀赋这超自然以及超人的，或至少是特殊的力量或品质。这是普通人不能拥有的。它们具有神圣特性。”④卡里斯玛是将伦理品格提升为神圣品质得到的概念，此概念在《新教教派与资本主义精神》中已然出现：教派判断个人是否有资格参加圣餐礼，即是判断他是否拥有克里斯马，也就是可资佐证已获拯救身份的神圣品质。⑤要确立伦理人格，其背后必有更高的信仰与体验，才能构成伦理实践与人格形塑的根本动力源，由此，卡里斯玛概念构成了关联人的品质与超越的神圣性中介（帕森斯）。借助它，韦伯才能够将宗教和信仰的层面引入社会分析之中。⑥韦伯区分传统型、官僚型与克里斯玛型，正式试图将超越性成分（克里斯马）与日常性成分（剩余两种支配型）相分离，凸显伦理人格的意义。⑦卡里斯玛的日常化（Veralltaeglichung）：略。</w:t>
      </w:r>
    </w:p>
    <w:p w14:paraId="0AE0705A">
      <w:pPr>
        <w:bidi w:val="0"/>
        <w:rPr>
          <w:rFonts w:hint="eastAsia"/>
          <w:lang w:val="en-US" w:eastAsia="zh-CN"/>
        </w:rPr>
      </w:pPr>
    </w:p>
    <w:p w14:paraId="09F5A78E">
      <w:pPr>
        <w:bidi w:val="0"/>
        <w:rPr>
          <w:rFonts w:hint="default"/>
          <w:lang w:val="en-US" w:eastAsia="zh-CN"/>
        </w:rPr>
      </w:pPr>
      <w:r>
        <w:rPr>
          <w:rFonts w:hint="eastAsia"/>
          <w:lang w:val="en-US" w:eastAsia="zh-CN"/>
        </w:rPr>
        <w:t>作者对韦伯的评价：①韦伯在弥留之际的遗言 “真实即真理 （</w:t>
      </w:r>
      <w:r>
        <w:rPr>
          <w:rFonts w:hint="eastAsia"/>
          <w:b/>
          <w:bCs w:val="0"/>
          <w:lang w:val="en-US" w:eastAsia="zh-CN"/>
        </w:rPr>
        <w:t>Das Wahre ist die Wahrheit</w:t>
      </w:r>
      <w:r>
        <w:rPr>
          <w:rFonts w:hint="eastAsia"/>
          <w:lang w:val="en-US" w:eastAsia="zh-CN"/>
        </w:rPr>
        <w:t>）”堪称夫子自道。②其伟大之处，并不在于构建了一套社会学学说体系，或如先知一般揭示了现代世界的命运，而是勇于直视那矛盾着的真实人性与人间：人，一面追求着神圣与超越，一面又渴求凡俗的安定与满足。人的世界，就是夹在这两股力量之间的永恒轮回。③在他看来，敢于面对 “真相下的世界、日常现实生活中的世界”，也依然不忘自己的信念与理想，能在日常中守持与践行，去做“</w:t>
      </w:r>
      <w:r>
        <w:rPr>
          <w:rFonts w:hint="eastAsia"/>
          <w:b/>
          <w:bCs w:val="0"/>
          <w:lang w:val="en-US" w:eastAsia="zh-CN"/>
        </w:rPr>
        <w:t>出劲而缓慢地穿透硬木板的工作</w:t>
      </w:r>
      <w:r>
        <w:rPr>
          <w:rFonts w:hint="eastAsia"/>
          <w:lang w:val="en-US" w:eastAsia="zh-CN"/>
        </w:rPr>
        <w:t>”，才是真正的</w:t>
      </w:r>
      <w:r>
        <w:rPr>
          <w:rFonts w:hint="eastAsia"/>
          <w:b/>
          <w:bCs w:val="0"/>
          <w:lang w:val="en-US" w:eastAsia="zh-CN"/>
        </w:rPr>
        <w:t>卡理斯玛与伦理人格</w:t>
      </w:r>
      <w:r>
        <w:rPr>
          <w:rFonts w:hint="eastAsia"/>
          <w:lang w:val="en-US" w:eastAsia="zh-CN"/>
        </w:rPr>
        <w:t>。④自少年起就熟读历史的韦伯，清楚地知道，再伟大的功业与圣迹，也会随着时间的流逝，变成“既得利益”的幌子，变得庸俗卑劣。但正如令韦伯动容的太史公所言：“</w:t>
      </w:r>
      <w:r>
        <w:rPr>
          <w:rFonts w:hint="eastAsia"/>
          <w:b/>
          <w:bCs w:val="0"/>
          <w:lang w:val="en-US" w:eastAsia="zh-CN"/>
        </w:rPr>
        <w:t>古者富贵而名摩灭，不可胜纪，惟倜傥非常之人称焉。</w:t>
      </w:r>
      <w:r>
        <w:rPr>
          <w:rFonts w:hint="eastAsia"/>
          <w:lang w:val="en-US" w:eastAsia="zh-CN"/>
        </w:rPr>
        <w:t xml:space="preserve">” ⑤真正有着永恒价值的，是那在文明与历史的各个时代，在两股力量的夹击之下成就的各种伦理人格和生活之道。韦伯的社会学，正是这个意义上的 </w:t>
      </w:r>
      <w:r>
        <w:rPr>
          <w:rFonts w:hint="eastAsia"/>
          <w:b/>
          <w:bCs w:val="0"/>
          <w:lang w:val="en-US" w:eastAsia="zh-CN"/>
        </w:rPr>
        <w:t>“人的学问”</w:t>
      </w:r>
      <w:r>
        <w:rPr>
          <w:rFonts w:hint="eastAsia"/>
          <w:lang w:val="en-US" w:eastAsia="zh-CN"/>
        </w:rPr>
        <w:t>。</w:t>
      </w:r>
    </w:p>
    <w:p w14:paraId="23F85E4D">
      <w:pPr>
        <w:bidi w:val="0"/>
        <w:rPr>
          <w:rFonts w:hint="eastAsia"/>
          <w:lang w:val="en-US" w:eastAsia="zh-CN"/>
        </w:rPr>
      </w:pPr>
    </w:p>
    <w:p w14:paraId="7CBC2DD5">
      <w:pPr>
        <w:pStyle w:val="2"/>
        <w:bidi w:val="0"/>
        <w:rPr>
          <w:rFonts w:hint="eastAsia"/>
          <w:lang w:val="en-US" w:eastAsia="zh-CN"/>
        </w:rPr>
      </w:pPr>
      <w:r>
        <w:rPr>
          <w:rFonts w:hint="eastAsia"/>
          <w:lang w:val="en-US" w:eastAsia="zh-CN"/>
        </w:rPr>
        <w:t>网络民族志</w:t>
      </w:r>
    </w:p>
    <w:p w14:paraId="69971F5B">
      <w:pPr>
        <w:bidi w:val="0"/>
        <w:rPr>
          <w:rFonts w:hint="eastAsia"/>
          <w:lang w:val="en-US" w:eastAsia="zh-CN"/>
        </w:rPr>
      </w:pPr>
      <w:r>
        <w:rPr>
          <w:rFonts w:hint="eastAsia"/>
          <w:lang w:val="en-US" w:eastAsia="zh-CN"/>
        </w:rPr>
        <w:t>挑战：①互联网作为田野存在的“虚实二重性”；②行动者身份信息面临人设面具和符号包装的挑战；③行为信息可能面临符号表演误导；④态度和情感信息在同质化群体聚集网络社群中，呈现单向度特征，为研究者客观判断带来挑战；⑤网络社会环境中存在诸如技术、资本和权力等隐形力量。</w:t>
      </w:r>
    </w:p>
    <w:p w14:paraId="4D475235">
      <w:pPr>
        <w:bidi w:val="0"/>
        <w:rPr>
          <w:rFonts w:hint="eastAsia"/>
          <w:lang w:val="en-US" w:eastAsia="zh-CN"/>
        </w:rPr>
      </w:pPr>
    </w:p>
    <w:p w14:paraId="250B2050">
      <w:pPr>
        <w:bidi w:val="0"/>
        <w:rPr>
          <w:rFonts w:hint="eastAsia"/>
          <w:lang w:val="en-US" w:eastAsia="zh-CN"/>
        </w:rPr>
      </w:pPr>
      <w:r>
        <w:rPr>
          <w:rFonts w:hint="eastAsia"/>
          <w:lang w:val="en-US" w:eastAsia="zh-CN"/>
        </w:rPr>
        <w:t>对策：①整合线上和线下；②多场域研究；③多方法融合；④多视角求证；⑤浸润与超脱妥善处理。⑥网络资料互文性</w:t>
      </w:r>
    </w:p>
    <w:p w14:paraId="7E0B39C1">
      <w:pPr>
        <w:bidi w:val="0"/>
        <w:rPr>
          <w:rFonts w:hint="eastAsia"/>
          <w:lang w:val="en-US" w:eastAsia="zh-CN"/>
        </w:rPr>
      </w:pPr>
    </w:p>
    <w:p w14:paraId="7A32EDFC">
      <w:pPr>
        <w:pStyle w:val="2"/>
        <w:bidi w:val="0"/>
        <w:rPr>
          <w:rFonts w:hint="eastAsia"/>
          <w:lang w:val="en-US" w:eastAsia="zh-CN"/>
        </w:rPr>
      </w:pPr>
      <w:r>
        <w:rPr>
          <w:rFonts w:hint="eastAsia"/>
          <w:lang w:val="en-US" w:eastAsia="zh-CN"/>
        </w:rPr>
        <w:t>质性资料饱和</w:t>
      </w:r>
    </w:p>
    <w:p w14:paraId="18471010">
      <w:pPr>
        <w:rPr>
          <w:rFonts w:hint="eastAsia"/>
          <w:lang w:val="en-US" w:eastAsia="zh-CN"/>
        </w:rPr>
      </w:pPr>
      <w:r>
        <w:rPr>
          <w:rFonts w:hint="eastAsia"/>
          <w:lang w:val="en-US" w:eastAsia="zh-CN"/>
        </w:rPr>
        <w:t>①质性研究与量化研究一样，样本充足（不多不少）是研究效度的基本保证。②资料饱和时研究样本最适当的标志：研究过早终止数据搜集，达不到资料饱和，会导致研究结果缺乏洞见。③达到资料饱和意味着在当前所搜集和分析的资料基础上，进一步的数据搜集不会帮助研究者解释新属性、或对新生理论产生更深入理解。④质性研究中的资料搜集和资料分析并非截然划分的研究阶段，而是呈现循环往复的特点，对饱和度的判断也是过程性的。</w:t>
      </w:r>
    </w:p>
    <w:p w14:paraId="1B485079">
      <w:pPr>
        <w:rPr>
          <w:rFonts w:hint="eastAsia"/>
          <w:lang w:val="en-US" w:eastAsia="zh-CN"/>
        </w:rPr>
      </w:pPr>
    </w:p>
    <w:p w14:paraId="43684A89">
      <w:pPr>
        <w:rPr>
          <w:rFonts w:hint="default"/>
          <w:lang w:val="en-US" w:eastAsia="zh-CN"/>
        </w:rPr>
      </w:pPr>
      <w:r>
        <w:rPr>
          <w:rFonts w:hint="eastAsia"/>
          <w:lang w:val="en-US" w:eastAsia="zh-CN"/>
        </w:rPr>
        <w:t>注意：①质性研究达到资料饱和的样本量标准不应统一设定，其检验需嵌入具体研究过程；②质性研究的资料饱和存在逻辑上的不确定性，适当追加抽样有助于进一步确认；③资料饱和作为考察研究质量的一项重要指标，并不适用于所有质性研究。</w:t>
      </w:r>
    </w:p>
    <w:p w14:paraId="2C89C616">
      <w:pPr>
        <w:rPr>
          <w:rFonts w:hint="eastAsia"/>
          <w:lang w:val="en-US" w:eastAsia="zh-CN"/>
        </w:rPr>
      </w:pPr>
    </w:p>
    <w:p w14:paraId="53D5A5AB">
      <w:pPr>
        <w:pStyle w:val="2"/>
        <w:bidi w:val="0"/>
        <w:rPr>
          <w:rFonts w:hint="eastAsia"/>
          <w:lang w:val="en-US" w:eastAsia="zh-CN"/>
        </w:rPr>
      </w:pPr>
      <w:r>
        <w:rPr>
          <w:rFonts w:hint="eastAsia"/>
          <w:lang w:val="en-US" w:eastAsia="zh-CN"/>
        </w:rPr>
        <w:t>多物种民族志三个视角</w:t>
      </w:r>
    </w:p>
    <w:p w14:paraId="56E2950A">
      <w:pPr>
        <w:bidi w:val="0"/>
        <w:rPr>
          <w:rFonts w:hint="default"/>
          <w:lang w:val="en-US" w:eastAsia="zh-CN"/>
        </w:rPr>
      </w:pPr>
      <w:r>
        <w:rPr>
          <w:rFonts w:hint="eastAsia"/>
          <w:lang w:val="en-US" w:eastAsia="zh-CN"/>
        </w:rPr>
        <w:t>①反思人类中心主义；②互视与共存视角：在人-物的互相凝视中，人不再作为单一面向的观察或研究主体，从而颠覆了传统民族志“观看者-被观看者”、“研究者-研究对象”的二元对立；③多物种共同体。</w:t>
      </w:r>
    </w:p>
    <w:p w14:paraId="3785C36D">
      <w:pPr>
        <w:pStyle w:val="2"/>
        <w:bidi w:val="0"/>
        <w:rPr>
          <w:rFonts w:hint="eastAsia"/>
          <w:lang w:val="en-US" w:eastAsia="zh-CN"/>
        </w:rPr>
      </w:pPr>
      <w:r>
        <w:rPr>
          <w:rFonts w:hint="eastAsia"/>
          <w:lang w:val="en-US" w:eastAsia="zh-CN"/>
        </w:rPr>
        <w:t>自我民族志</w:t>
      </w:r>
    </w:p>
    <w:p w14:paraId="5CA4973C">
      <w:pPr>
        <w:rPr>
          <w:rFonts w:hint="eastAsia"/>
          <w:lang w:val="en-US" w:eastAsia="zh-CN"/>
        </w:rPr>
      </w:pPr>
      <w:r>
        <w:rPr>
          <w:rFonts w:hint="eastAsia"/>
          <w:lang w:val="en-US" w:eastAsia="zh-CN"/>
        </w:rPr>
        <w:t>①将个人与文化联系起来，以此展现意识的多层次性，质疑有关“沉默署名权”的同性看法，充分表达研究者的声音。②不仅是对自我亲身经历的描述与批判性审视，还是对自己文化经历的反思性说明。③将个人叙事与民族志相结合，模糊了社会科学与艺术之间的界限，表现出不同于传统质性研究的新特征。④本体论上主张将个别现实视为一种心理建构，突显了话语权和权力关系对个别现实的塑造作用。⑤认识论上关注相对语境下的意义、主体性与生活经验，将叙事分析视为个别真理；⑥价值论上持有自己价值观与个人关切，承认意识形态在写作中的作用。⑦表达方式如生活写作、回忆录、单一人称叙述、生活经历etc，对个人叙事、唤起式叙述（evocative narrative）尤为推崇。</w:t>
      </w:r>
    </w:p>
    <w:p w14:paraId="7DE71761">
      <w:pPr>
        <w:pStyle w:val="2"/>
        <w:bidi w:val="0"/>
        <w:rPr>
          <w:rFonts w:hint="eastAsia"/>
          <w:lang w:val="en-US" w:eastAsia="zh-CN"/>
        </w:rPr>
      </w:pPr>
      <w:r>
        <w:rPr>
          <w:rFonts w:hint="eastAsia"/>
          <w:lang w:val="en-US" w:eastAsia="zh-CN"/>
        </w:rPr>
        <w:t>鲍辛格《技术世界中的民间文化》</w:t>
      </w:r>
    </w:p>
    <w:p w14:paraId="4E0F78D0">
      <w:pPr>
        <w:rPr>
          <w:rFonts w:hint="default"/>
          <w:lang w:val="en-US" w:eastAsia="zh-CN"/>
        </w:rPr>
      </w:pPr>
      <w:r>
        <w:rPr>
          <w:rFonts w:hint="eastAsia"/>
          <w:lang w:val="en-US" w:eastAsia="zh-CN"/>
        </w:rPr>
        <w:t>四大精华：①核心命题：民间文化与技术世界并非互斥隔绝，民间文化始终是与技术、城市化、现代国家等力量的互动中形成与发展出来的；②核心方法：不抽象定义何为民间文化，而是去看它如何在具体的生活世界中呈现。追问“技术因素如何变得自然”，揭示这一自然化过程，从而解构了传统主义者关于本真性的种种神话。③双重运动：技术与现代性的</w:t>
      </w:r>
      <w:r>
        <w:rPr>
          <w:rFonts w:hint="eastAsia"/>
          <w:b/>
          <w:bCs w:val="0"/>
          <w:lang w:val="en-US" w:eastAsia="zh-CN"/>
        </w:rPr>
        <w:t>解域化</w:t>
      </w:r>
      <w:r>
        <w:rPr>
          <w:rFonts w:hint="eastAsia"/>
          <w:lang w:val="en-US" w:eastAsia="zh-CN"/>
        </w:rPr>
        <w:t>、家乡与乡愁运动的</w:t>
      </w:r>
      <w:r>
        <w:rPr>
          <w:rFonts w:hint="eastAsia"/>
          <w:b/>
          <w:bCs w:val="0"/>
          <w:lang w:val="en-US" w:eastAsia="zh-CN"/>
        </w:rPr>
        <w:t>再域化</w:t>
      </w:r>
      <w:r>
        <w:rPr>
          <w:rFonts w:hint="eastAsia"/>
          <w:lang w:val="en-US" w:eastAsia="zh-CN"/>
        </w:rPr>
        <w:t>。④强调文化的动态性、被实践性，不断被解释与重构的反本质主义。</w:t>
      </w:r>
    </w:p>
    <w:p w14:paraId="35A7A6DE">
      <w:pPr>
        <w:rPr>
          <w:rFonts w:hint="default"/>
          <w:lang w:val="en-US" w:eastAsia="zh-CN"/>
        </w:rPr>
      </w:pPr>
    </w:p>
    <w:p w14:paraId="1797D414">
      <w:pPr>
        <w:rPr>
          <w:rFonts w:hint="default"/>
          <w:lang w:val="en-US" w:eastAsia="zh-CN"/>
        </w:rPr>
      </w:pPr>
      <w:r>
        <w:rPr>
          <w:rFonts w:hint="eastAsia"/>
          <w:lang w:val="en-US" w:eastAsia="zh-CN"/>
        </w:rPr>
        <w:t>①书籍核心思想：民间文化并没有随着工业化与现代技术发展而消失，而是在技术世界中获得了新的存在方式；②技术打破了传统的地域视域（地域同一性），使文化财富变得“可支配”。今天的问题：算法同样打破了地域视域，以兴趣及注意力机制为导向，那么，算法推荐扩展了文化视野，还是制造了新的、更隐蔽的视域？③技术并未彻底消除巫术思维，反而激发其回归；技术越发达、越自然化（被发明物误本以认为自然现实），就越容易诱发非理性的解释，如算法推荐结果被视作一种天意、神秘力量指引。④技术越发达，现代人越清醒在快速变化中寻找稳定与身份认同，越怀念传统，由此，传统并非现代性的对立面，而是现代性的伴生物。⑤现代性发展，伴随着时间、空间与社会的扩展。⑥空间扩展既又文化交流的积极作用，也可能带来文化符号化与表面化；空间扩展核心是视域的突破，着导致了可支配化，同时也激发了反向的、感伤化的“家乡”建构运动。⑦时间扩展是一种矛盾运动：一方面是文化财富的加速流动与贬值，另一方面是强烈的、旨在寻求稳定性的历史化与保护冲动。但保护努力尝尝导致形式僵化，而历史展示则往往流于肤浅的审美化，两者都未能真正把握民间文化原有的动态、自发与贴近当下的生命力。⑧民俗保护的</w:t>
      </w:r>
      <w:r>
        <w:rPr>
          <w:rFonts w:hint="eastAsia"/>
          <w:b/>
          <w:bCs w:val="0"/>
          <w:lang w:val="en-US" w:eastAsia="zh-CN"/>
        </w:rPr>
        <w:t>皮格马利翁问题</w:t>
      </w:r>
      <w:r>
        <w:rPr>
          <w:rFonts w:hint="eastAsia"/>
          <w:lang w:val="en-US" w:eastAsia="zh-CN"/>
        </w:rPr>
        <w:t>：民间文化复兴与保护工作，犹如神话中皮格马利翁爱上自己雕刻的雕像。被复兴的民间舞，被保护的传统，很大程度上是人们自己创造或塑造出来的产物，而非原生态的发现。</w:t>
      </w:r>
    </w:p>
    <w:p w14:paraId="02455BC0">
      <w:pPr>
        <w:pStyle w:val="2"/>
        <w:bidi w:val="0"/>
        <w:rPr>
          <w:rFonts w:hint="eastAsia"/>
          <w:lang w:val="en-US" w:eastAsia="zh-CN"/>
        </w:rPr>
      </w:pPr>
      <w:r>
        <w:rPr>
          <w:rFonts w:hint="eastAsia"/>
          <w:lang w:val="en-US" w:eastAsia="zh-CN"/>
        </w:rPr>
        <w:t>民俗学的物转向</w:t>
      </w:r>
    </w:p>
    <w:p w14:paraId="531AAEB1">
      <w:pPr>
        <w:rPr>
          <w:rFonts w:hint="eastAsia"/>
          <w:lang w:val="en-US" w:eastAsia="zh-CN"/>
        </w:rPr>
      </w:pPr>
      <w:r>
        <w:rPr>
          <w:rFonts w:hint="eastAsia"/>
          <w:lang w:val="en-US" w:eastAsia="zh-CN"/>
        </w:rPr>
        <w:t>①本质是对人类生存哲学“人/物”伦理关系的深刻反省，它要求研究者重视物背后复杂的文化网络、自身的行为语法、道德伦理，尤其关注人与非人之间的情感流动。②打破传统意义上主/客、物/我二分认知，坚持物我互为主体性的关系立场，这一价值立场的重新树立将日常生活的俗常之物纳入研究视域。③物的主体性建立在被叙事的基础上，以物为中心的叙事串联个体与物，使两者不再是割裂的行动方，而是彼此交织、互相激活的意义整体。④揭示物的文化隐喻属性，物的文化隐喻一方面可以强化趣缘群体的自我身份认同（尤其是对新兴的“类民俗”图景而言，一方面也嵌入于更大的社会文化网络）。⑤物具有时间的可逆性（以物为中介）：通过精神上重返过往记忆的发生想爱你长，激活相应的情感体验，完成对自我的象征疗愈。</w:t>
      </w:r>
    </w:p>
    <w:p w14:paraId="20E18A2E">
      <w:pPr>
        <w:rPr>
          <w:rFonts w:hint="eastAsia"/>
          <w:lang w:val="en-US" w:eastAsia="zh-CN"/>
        </w:rPr>
      </w:pPr>
    </w:p>
    <w:p w14:paraId="58B989C8">
      <w:pPr>
        <w:pStyle w:val="2"/>
        <w:bidi w:val="0"/>
        <w:rPr>
          <w:rFonts w:hint="eastAsia"/>
          <w:lang w:val="en-US" w:eastAsia="zh-CN"/>
        </w:rPr>
      </w:pPr>
      <w:r>
        <w:rPr>
          <w:rFonts w:hint="eastAsia"/>
          <w:lang w:val="en-US" w:eastAsia="zh-CN"/>
        </w:rPr>
        <w:t>传统研究模版对比QCA替代模版</w:t>
      </w:r>
    </w:p>
    <w:p w14:paraId="2470BD1C">
      <w:pPr>
        <w:rPr>
          <w:rFonts w:hint="eastAsia"/>
          <w:lang w:val="en-US" w:eastAsia="zh-CN"/>
        </w:rPr>
      </w:pPr>
      <w:r>
        <w:rPr>
          <w:rFonts w:hint="eastAsia"/>
          <w:lang w:val="en-US" w:eastAsia="zh-CN"/>
        </w:rPr>
        <w:t>（拉金《比较方法；超越定性与定量之争》）</w:t>
      </w:r>
    </w:p>
    <w:p w14:paraId="26E6D6E2">
      <w:pPr>
        <w:rPr>
          <w:rFonts w:hint="eastAsia"/>
          <w:lang w:val="en-US" w:eastAsia="zh-CN"/>
        </w:rPr>
      </w:pPr>
    </w:p>
    <w:p w14:paraId="341BBA00">
      <w:pPr>
        <w:rPr>
          <w:rFonts w:hint="eastAsia"/>
          <w:lang w:val="en-US" w:eastAsia="zh-CN"/>
        </w:rPr>
      </w:pPr>
      <w:r>
        <w:rPr>
          <w:rFonts w:hint="eastAsia"/>
          <w:lang w:val="en-US" w:eastAsia="zh-CN"/>
        </w:rPr>
        <w:t>①从变量到集合：传统模版以变量为核心，探索变量排序、等级与相关；QCA则以分组集合为核心，包含成员准入标准、分类结果，更具案例导向性，模糊集概念使案例细化，具备连续性。②从测量到校准：传统研究的测量是基于对指标的应用，不进行校准，案例评估具备相对性；校准则包含相对于外部标准的测量解释。③从因变量到定性结果：传统研究目标旨在解释所选因变量的跨案例或纵向变化；QCA将被解释现象概念化为可观测变化或不连续性的定性结果，评估其在模糊集中的隶属程度，更具解释力。④从给定总体到建构总体：传统研究使用给定总体，存在这包含不相关案例、从而夸大相关性的问题；QCA则强调建构总体的过程，如对负面案例的甄选。⑤从相关性到集合关系：传统研究基本建立于相关分析基础上，以双变量相关矩阵及矩阵变量平均值、标准差为核心，且相关系数具有对称性，从而忽略集合论关系的不对称性，如子集关系。⑥从相关矩阵到真值表：传统相关性与净效应计算，是基于双变量关系直接操作，不能检验案例各方面如何组合在一起；QCA采用布尔代数，可以识别多重并发因果组合模型，真值表直接检验给定数据集中的各类案例，全面检验组合，比较矛盾条件组合与正反案例。⑦从净效应到因果配比：传统研究强调理论检验即变量间竞争，由此解释因变量变化，每个因果变量的净效应基于其对被解释变量的非重叠贡献；而QCA则关注因果条件如何结合产生结果，即因果配比的综合作用。</w:t>
      </w:r>
    </w:p>
    <w:p w14:paraId="5B8DB00A">
      <w:pPr>
        <w:rPr>
          <w:rFonts w:hint="eastAsia"/>
          <w:lang w:val="en-US" w:eastAsia="zh-CN"/>
        </w:rPr>
      </w:pPr>
    </w:p>
    <w:p w14:paraId="2B1071B1">
      <w:pPr>
        <w:pStyle w:val="2"/>
        <w:bidi w:val="0"/>
        <w:rPr>
          <w:rFonts w:hint="eastAsia"/>
          <w:lang w:val="en-US" w:eastAsia="zh-CN"/>
        </w:rPr>
      </w:pPr>
      <w:r>
        <w:rPr>
          <w:rFonts w:hint="eastAsia"/>
          <w:lang w:val="en-US" w:eastAsia="zh-CN"/>
        </w:rPr>
        <w:t>格尔茨与民族志诗学</w:t>
      </w:r>
    </w:p>
    <w:p w14:paraId="7258FA24">
      <w:pPr>
        <w:rPr>
          <w:rFonts w:hint="eastAsia"/>
          <w:lang w:val="en-US" w:eastAsia="zh-CN"/>
        </w:rPr>
      </w:pPr>
      <w:r>
        <w:rPr>
          <w:rFonts w:hint="eastAsia"/>
          <w:b/>
          <w:bCs w:val="0"/>
          <w:lang w:val="en-US" w:eastAsia="zh-CN"/>
        </w:rPr>
        <w:t>核心思想</w:t>
      </w:r>
      <w:r>
        <w:rPr>
          <w:rFonts w:hint="eastAsia"/>
          <w:lang w:val="en-US" w:eastAsia="zh-CN"/>
        </w:rPr>
        <w:t>：民族志诗学关注人类学研究中的诗性要素（人文、情感维度）。民族志研究的诗学倾向发轫于格尔茨，其文学性体验与民族志文本的书写体制之中。民族志诗学作为田野经验的文本化成才能，包含着在场和离场的杂糅，也关涉着观察与理解、表述与阐释之间的缝合。格尔茨认为，从事人类学文化研究，就是将文化视为文本，进行诗学/文学批判向度上的阅读、反思与分析；人类学在一定程度上回应了作为“人学”的“文学”。</w:t>
      </w:r>
    </w:p>
    <w:p w14:paraId="41354089">
      <w:pPr>
        <w:rPr>
          <w:rFonts w:hint="eastAsia"/>
          <w:lang w:val="en-US" w:eastAsia="zh-CN"/>
        </w:rPr>
      </w:pPr>
    </w:p>
    <w:p w14:paraId="74D0160B">
      <w:pPr>
        <w:rPr>
          <w:rFonts w:hint="eastAsia"/>
          <w:lang w:val="en-US" w:eastAsia="zh-CN"/>
        </w:rPr>
      </w:pPr>
      <w:r>
        <w:rPr>
          <w:rFonts w:hint="eastAsia"/>
          <w:b/>
          <w:bCs w:val="0"/>
          <w:lang w:val="en-US" w:eastAsia="zh-CN"/>
        </w:rPr>
        <w:t>诗性的田野与指向意义的文化阐释</w:t>
      </w:r>
      <w:r>
        <w:rPr>
          <w:rFonts w:hint="eastAsia"/>
          <w:lang w:val="en-US" w:eastAsia="zh-CN"/>
        </w:rPr>
        <w:t>：①田野工作是“对理解的理解”，田野工作者（去理解）异文化（固有的理解）。②研究方法涉及阐释学的深描：文化就是人们自身所编制而成的意义之网；对文化的分析不是一种寻求规律的实验科学，而是探寻意义的阐释科学。③不排斥主观情感向度影响，在正视特定感性经验、尊重个性化表达基础上，实现文化深描，揭示出潜在可能、流动生成的文化意义。④民族志文本成为掺杂情感、意图与意义的构造之物，将纯粹事实记录转向附着一定文学色彩的写作。⑤民族志写作是表述田野经验的小文本，田野点则是人类学整体观上的大文本。⑥田野工作在对符号化事件进行阐释过程中，也指向着充斥情感与想象的可能性世界：“诗性的田野”，是在活态观察基础上针对文化符号及其隐喻逻辑展开的文化阐释学事件。⑦诗性田野实践关涉着即时性、生成性对话，而理解本身即是一种对话，意在于开放协商中达到意义增殖。⑧人类学的阐释工作意在回答个体生命的经验行为如何在一个较大的族群文化圈层及其社会历史图景中被塑造、呈现和固化。⑨田野诗性的发生学逻辑：较为稳定的历史理性与活态化的阐释学情景交汇相融。⑩文化符号作为一种滑动的能指，与隐喻意义之间存在着一定裂隙，这一符号指涉与文化试试、主体阐释与客观呈现的裂隙，正是诗性所需铺设之地；民族志文本的诗性功能就在于一种“唤起”，允直觉、想象、跳跃性和建构行，而非简单地将事实进行并置——</w:t>
      </w:r>
      <w:r>
        <w:rPr>
          <w:rFonts w:hint="eastAsia"/>
          <w:b/>
          <w:bCs w:val="0"/>
          <w:lang w:val="en-US" w:eastAsia="zh-CN"/>
        </w:rPr>
        <w:t>事实逻辑分析+文化直觉体证</w:t>
      </w:r>
      <w:r>
        <w:rPr>
          <w:rFonts w:hint="eastAsia"/>
          <w:lang w:val="en-US" w:eastAsia="zh-CN"/>
        </w:rPr>
        <w:t>。</w:t>
      </w:r>
    </w:p>
    <w:p w14:paraId="59DBCCC4">
      <w:pPr>
        <w:rPr>
          <w:rFonts w:hint="eastAsia"/>
          <w:lang w:val="en-US" w:eastAsia="zh-CN"/>
        </w:rPr>
      </w:pPr>
    </w:p>
    <w:p w14:paraId="63AB497C">
      <w:pPr>
        <w:rPr>
          <w:rFonts w:hint="eastAsia"/>
          <w:b/>
          <w:bCs w:val="0"/>
          <w:lang w:val="en-US" w:eastAsia="zh-CN"/>
        </w:rPr>
      </w:pPr>
      <w:r>
        <w:rPr>
          <w:rFonts w:hint="eastAsia"/>
          <w:b/>
          <w:bCs w:val="0"/>
          <w:lang w:val="en-US" w:eastAsia="zh-CN"/>
        </w:rPr>
        <w:t>表述的张力与多声部对话的文本生产</w:t>
      </w:r>
      <w:r>
        <w:rPr>
          <w:rFonts w:hint="eastAsia"/>
          <w:lang w:val="en-US" w:eastAsia="zh-CN"/>
        </w:rPr>
        <w:t>：①从事民族志研究就是对异文化文本所进行的转换或文化翻译，作者既是民族志文本的生产者同时也是异文化本文的阅读者和翻译者。②多声部文本强调协商、对话，将不同发声者和叙述者寄寓同意文本中，保留边缘性声音，让多主体参与所造成的差异性经验得以呈现，进而为意义营构流出空间。③多声部民族志文本指涉一种多义性复调融合的诗学阐释观，包含三大层面：a.就民族志文本的叙事而言，民族志者与当地人一起进入特定文化场景中；b.民族志作为叙事者，编排着文本内部时间秩序、叙述时间和角度；c.民族志文本作为经验几何体，包含“进入田野前”、“在田野中”、“离开田野”三大阶段，既有客观文化记录与分析，也夹杂着语境、修辞、回忆、情感、想象诸多因素渗入。④人观：人类能力及行为的基础、自我的观念及情感的表达；人观即是将人及其所发生的话语行为视为文本，而进行解读的实践理据与方法范式，而人与人、人与文化、文化与文化之间的跨媒介“文本互释”便裹挟着意义生成的“泛文本”并置。⑤</w:t>
      </w:r>
      <w:r>
        <w:rPr>
          <w:rFonts w:hint="eastAsia"/>
          <w:b/>
          <w:bCs w:val="0"/>
          <w:lang w:val="en-US" w:eastAsia="zh-CN"/>
        </w:rPr>
        <w:t>文化即文本，人观即文观。</w:t>
      </w:r>
    </w:p>
    <w:p w14:paraId="1208F83E">
      <w:pPr>
        <w:rPr>
          <w:rFonts w:hint="eastAsia"/>
          <w:b/>
          <w:bCs w:val="0"/>
          <w:lang w:val="en-US" w:eastAsia="zh-CN"/>
        </w:rPr>
      </w:pPr>
    </w:p>
    <w:p w14:paraId="0C8CD05A">
      <w:pPr>
        <w:pStyle w:val="2"/>
        <w:bidi w:val="0"/>
        <w:rPr>
          <w:rFonts w:hint="eastAsia"/>
          <w:lang w:val="en-US" w:eastAsia="zh-CN"/>
        </w:rPr>
      </w:pPr>
      <w:r>
        <w:rPr>
          <w:rFonts w:hint="eastAsia"/>
          <w:lang w:val="en-US" w:eastAsia="zh-CN"/>
        </w:rPr>
        <w:t>扎根理论</w:t>
      </w:r>
    </w:p>
    <w:p w14:paraId="56D6126A">
      <w:pPr>
        <w:rPr>
          <w:rFonts w:hint="eastAsia"/>
          <w:lang w:val="en-US" w:eastAsia="zh-CN"/>
        </w:rPr>
      </w:pPr>
      <w:r>
        <w:rPr>
          <w:rFonts w:hint="eastAsia"/>
          <w:lang w:val="en-US" w:eastAsia="zh-CN"/>
        </w:rPr>
        <w:t>受实证主义、象征互动论与建构主义影响</w:t>
      </w:r>
    </w:p>
    <w:p w14:paraId="6DC04282">
      <w:pPr>
        <w:rPr>
          <w:rFonts w:hint="eastAsia"/>
          <w:lang w:val="en-US" w:eastAsia="zh-CN"/>
        </w:rPr>
      </w:pPr>
    </w:p>
    <w:p w14:paraId="72B186BF">
      <w:pPr>
        <w:rPr>
          <w:rFonts w:hint="eastAsia"/>
          <w:lang w:val="en-US" w:eastAsia="zh-CN"/>
        </w:rPr>
      </w:pPr>
      <w:r>
        <w:rPr>
          <w:rFonts w:hint="eastAsia"/>
          <w:lang w:val="en-US" w:eastAsia="zh-CN"/>
        </w:rPr>
        <w:t>实证主义原则：实证主义以经验描述可观察的事物，避免对无法观察的事物做出“为什么发生的解释”，旨在把握自然规律，并于社会现象中推测应用，遵循“观察-描述-推论-控制”的逻辑。实证主义对扎根理论的影响：①共享如下研究假设：客观外在的现实、发现资料且中的观察者、对研究问题的归纳演绎及资料的客观主义处理。②横亘于研究全过程的编码流程，回应了实证主义对信效度的要求。③扎根理论具有假设检验的内在逻辑，可以生成新理论，补充与修正旧理论。④研究主题与研究成果与日常生活挂钩，具有实用主义色彩。</w:t>
      </w:r>
    </w:p>
    <w:p w14:paraId="043F9A0D">
      <w:pPr>
        <w:rPr>
          <w:rFonts w:hint="eastAsia"/>
          <w:lang w:val="en-US" w:eastAsia="zh-CN"/>
        </w:rPr>
      </w:pPr>
    </w:p>
    <w:p w14:paraId="30EBE79F">
      <w:pPr>
        <w:rPr>
          <w:rFonts w:hint="eastAsia"/>
          <w:lang w:val="en-US" w:eastAsia="zh-CN"/>
        </w:rPr>
      </w:pPr>
      <w:r>
        <w:rPr>
          <w:rFonts w:hint="eastAsia"/>
          <w:lang w:val="en-US" w:eastAsia="zh-CN"/>
        </w:rPr>
        <w:t>象征互动论。基本假定：①人对事物采取的行动，以事物对人的意义为基础；②事物意义源于个体与同伴互动，而非事物本身。③个体以自我的解释去运用和修改这些意义。对扎根理论的影响：①体现在研究的过程性、机动性与灵活性；②视社会现象为多变量彼此相互影响的复杂状况，而非探究因果关系；③具有细分的复杂性：a.概念分析性与多样性；b.理论抽象性与翔实描述资料结合；c.情境性与当事人视角；d.不仅反映社会结构与行动之间的关联，更捕捉期间的阐释过程与重要特征。</w:t>
      </w:r>
    </w:p>
    <w:p w14:paraId="059E1BB1">
      <w:pPr>
        <w:rPr>
          <w:rFonts w:hint="eastAsia"/>
          <w:lang w:val="en-US" w:eastAsia="zh-CN"/>
        </w:rPr>
      </w:pPr>
    </w:p>
    <w:p w14:paraId="42D78A8E">
      <w:pPr>
        <w:rPr>
          <w:rFonts w:hint="default"/>
          <w:lang w:val="en-US" w:eastAsia="zh-CN"/>
        </w:rPr>
      </w:pPr>
      <w:r>
        <w:rPr>
          <w:rFonts w:hint="eastAsia"/>
          <w:lang w:val="en-US" w:eastAsia="zh-CN"/>
        </w:rPr>
        <w:t>建构主义：假定：强调只是并非对现实的准确表征，而是权宜性的假设，需针对具体情境进行再创造。影响：①研究方法不必事先预设；②强调对意义的理解与解释；③强调资料发现互动性情境性，研究者与研究主体共同塑造。</w:t>
      </w:r>
    </w:p>
    <w:p w14:paraId="0D43D170">
      <w:pPr>
        <w:rPr>
          <w:rFonts w:hint="default"/>
          <w:lang w:val="en-US" w:eastAsia="zh-CN"/>
        </w:rPr>
      </w:pPr>
    </w:p>
    <w:p w14:paraId="265E446F">
      <w:pPr>
        <w:bidi w:val="0"/>
        <w:rPr>
          <w:rFonts w:hint="eastAsia"/>
          <w:lang w:val="en-US" w:eastAsia="zh-CN"/>
        </w:rPr>
      </w:pPr>
      <w:r>
        <w:rPr>
          <w:rFonts w:hint="eastAsia"/>
          <w:lang w:val="en-US" w:eastAsia="zh-CN"/>
        </w:rPr>
        <w:t>扎根理论的原则；A.科学的逻辑：</w:t>
      </w:r>
      <w:r>
        <w:rPr>
          <w:rFonts w:hint="eastAsia"/>
          <w:lang w:val="en-US" w:eastAsia="zh-CN"/>
        </w:rPr>
        <w:t>①既严格遵循科学原则，如归纳演绎的推理过程、比较原则、理论建立与检验等，同时在原则与技术上保留一定弹性，使研究者成为整个研究的仲裁者；②不会放弃对理论假设而言的虚假资料，而是在理论触觉下思考资料虚假的原因，并服务于提出新的认知；③理论性抽样：</w:t>
      </w:r>
      <w:r>
        <w:t>研究者</w:t>
      </w:r>
      <w:r>
        <w:rPr>
          <w:rFonts w:hint="default"/>
        </w:rPr>
        <w:t>在数据分析的过程中，为了充分发展某个已经涌现出来的概念/范畴的属性和维度，而有意选择新的资料来源（人、地点或事件）的过程</w:t>
      </w:r>
      <w:r>
        <w:rPr>
          <w:rFonts w:hint="eastAsia"/>
          <w:lang w:eastAsia="zh-CN"/>
        </w:rPr>
        <w:t>，</w:t>
      </w:r>
      <w:r>
        <w:rPr>
          <w:rFonts w:hint="eastAsia"/>
          <w:lang w:val="en-US" w:eastAsia="zh-CN"/>
        </w:rPr>
        <w:t>具有四大操作特征；分析性的、迭代循环的、持续比较的、终点是理论饱和（</w:t>
      </w:r>
      <w:r>
        <w:t>增的访谈资料中，</w:t>
      </w:r>
      <w:r>
        <w:rPr>
          <w:rFonts w:hint="default"/>
        </w:rPr>
        <w:t>再也无法为</w:t>
      </w:r>
      <w:r>
        <w:rPr>
          <w:rFonts w:hint="eastAsia"/>
          <w:lang w:val="en-US" w:eastAsia="zh-CN"/>
        </w:rPr>
        <w:t>理论设计</w:t>
      </w:r>
      <w:r>
        <w:rPr>
          <w:rFonts w:hint="default"/>
        </w:rPr>
        <w:t>核心范畴增加新的属性、维度或关系时，就“饱和”了，抽样停止</w:t>
      </w:r>
      <w:r>
        <w:rPr>
          <w:rFonts w:hint="eastAsia"/>
          <w:lang w:val="en-US" w:eastAsia="zh-CN"/>
        </w:rPr>
        <w:t>）。</w:t>
      </w:r>
    </w:p>
    <w:p w14:paraId="20D9013E">
      <w:pPr>
        <w:bidi w:val="0"/>
        <w:rPr>
          <w:rFonts w:hint="eastAsia"/>
          <w:lang w:val="en-US" w:eastAsia="zh-CN"/>
        </w:rPr>
      </w:pPr>
    </w:p>
    <w:p w14:paraId="7BA3DCA6">
      <w:pPr>
        <w:bidi w:val="0"/>
        <w:rPr>
          <w:rFonts w:hint="default"/>
          <w:lang w:val="en-US" w:eastAsia="zh-CN"/>
        </w:rPr>
      </w:pPr>
      <w:r>
        <w:rPr>
          <w:rFonts w:hint="eastAsia"/>
          <w:lang w:val="en-US" w:eastAsia="zh-CN"/>
        </w:rPr>
        <w:t>B.编码典范：①研究者从事情之所以产生的情况、结果、处理措施与过程四个方面入手，用“想象的比较”方式来思考，帮助进行理论性抽样，搜集较为完备的子表并赋予其关系；②想象的比较：对研究现象的创意思考，建立现象特征与结构因素之间关系的假设，甚至在缺乏文献情况下，有效进行理论性抽样、和归类与资料分析等。③摇红旗方法：在观察笔记或深度访谈内容时，遇到一些符合常规的说法时，需要在心里竖起一面“红旗”，告诉自己不能轻易放过这些段落。</w:t>
      </w:r>
    </w:p>
    <w:p w14:paraId="03640547">
      <w:pPr>
        <w:rPr>
          <w:rFonts w:hint="default"/>
          <w:lang w:val="en-US" w:eastAsia="zh-CN"/>
        </w:rPr>
      </w:pPr>
    </w:p>
    <w:p w14:paraId="43758A5B">
      <w:pPr>
        <w:rPr>
          <w:rFonts w:hint="eastAsia"/>
          <w:lang w:val="en-US" w:eastAsia="zh-CN"/>
        </w:rPr>
      </w:pPr>
      <w:r>
        <w:rPr>
          <w:rFonts w:hint="eastAsia"/>
          <w:lang w:val="en-US" w:eastAsia="zh-CN"/>
        </w:rPr>
        <w:t>C.互动地思考与过程性思考：思考单位间的互动关系、微观与宏观社会结构上的关系、环境与分析单位之间相互作用的关系，及随着时间推移的社会现象变化过程</w:t>
      </w:r>
    </w:p>
    <w:p w14:paraId="35A0E83E">
      <w:pPr>
        <w:rPr>
          <w:rFonts w:hint="eastAsia"/>
          <w:lang w:val="en-US" w:eastAsia="zh-CN"/>
        </w:rPr>
      </w:pPr>
    </w:p>
    <w:p w14:paraId="52ACECF7">
      <w:pPr>
        <w:rPr>
          <w:rFonts w:hint="eastAsia"/>
          <w:lang w:val="en-US" w:eastAsia="zh-CN"/>
        </w:rPr>
      </w:pPr>
      <w:r>
        <w:rPr>
          <w:rFonts w:hint="eastAsia"/>
          <w:lang w:val="en-US" w:eastAsia="zh-CN"/>
        </w:rPr>
        <w:t>D.理论触觉，即理论敏感度。如何提升：文献、专业经验、个人经验、5W1H问问题法、摇红旗技术、持续比较法（逐字逐句分析观察笔记/深度访谈稿，在不同层次观察或不同受访者之间比较；特点：①以翔实资料为基础；②具有脉络与情境意味的实质理论，而非全由普遍性命题所形成的形式理论。）</w:t>
      </w:r>
    </w:p>
    <w:p w14:paraId="42F095C6">
      <w:pPr>
        <w:rPr>
          <w:rFonts w:hint="eastAsia"/>
          <w:lang w:val="en-US" w:eastAsia="zh-CN"/>
        </w:rPr>
      </w:pPr>
    </w:p>
    <w:p w14:paraId="77CFD7A7">
      <w:pPr>
        <w:rPr>
          <w:rFonts w:hint="eastAsia"/>
          <w:lang w:val="en-US" w:eastAsia="zh-CN"/>
        </w:rPr>
      </w:pPr>
      <w:r>
        <w:rPr>
          <w:rFonts w:hint="eastAsia"/>
          <w:lang w:val="en-US" w:eastAsia="zh-CN"/>
        </w:rPr>
        <w:t>E.具体技术：资料编码-抽样-概念提炼-撰写备忘录-整合归纳-绘制概念图-资料复盘</w:t>
      </w:r>
    </w:p>
    <w:p w14:paraId="7EFCCBD5">
      <w:pPr>
        <w:rPr>
          <w:rFonts w:hint="eastAsia"/>
          <w:lang w:val="en-US" w:eastAsia="zh-CN"/>
        </w:rPr>
      </w:pPr>
    </w:p>
    <w:p w14:paraId="20789CFB">
      <w:pPr>
        <w:rPr>
          <w:rFonts w:hint="eastAsia"/>
          <w:lang w:val="en-US" w:eastAsia="zh-CN"/>
        </w:rPr>
      </w:pPr>
      <w:r>
        <w:rPr>
          <w:rFonts w:hint="eastAsia"/>
          <w:lang w:val="en-US" w:eastAsia="zh-CN"/>
        </w:rPr>
        <w:t>资料编码：编码是将观察笔记、访问高、备忘录等资料逐字逐句、逐段进行分解并添加标签，即赋予个别事件或现象概念性的范畴，编码即形成理论的初始环节，扎根理论研究者在对数据资料的诠释过程中形成编码；扎根理论研究方法编码区别于其他分析技术，在于目的的差异：①在资料中概括主题或从分散概念中发展理论性架构；②建立理论而非仅验证理论；③协助研究者不断突破既有偏见与假设，行测好难过贴近现实、内容丰富、系统完整、解释力强的理论</w:t>
      </w:r>
    </w:p>
    <w:p w14:paraId="034A6239">
      <w:pPr>
        <w:rPr>
          <w:rFonts w:hint="eastAsia"/>
          <w:lang w:val="en-US" w:eastAsia="zh-CN"/>
        </w:rPr>
      </w:pPr>
    </w:p>
    <w:p w14:paraId="52AE3523">
      <w:pPr>
        <w:rPr>
          <w:rFonts w:hint="default"/>
          <w:lang w:val="en-US" w:eastAsia="zh-CN"/>
        </w:rPr>
      </w:pPr>
      <w:r>
        <w:rPr>
          <w:rFonts w:hint="eastAsia"/>
          <w:lang w:val="en-US" w:eastAsia="zh-CN"/>
        </w:rPr>
        <w:t>分类：开放式编码（不限制）、主轴编码（主要范畴）、选择性编码（范畴与范畴件的该你），对应的抽样：开放性抽样、理论性抽样、选择性/区别性抽样。</w:t>
      </w:r>
      <w:bookmarkStart w:id="0" w:name="_GoBack"/>
      <w:bookmarkEnd w:id="0"/>
    </w:p>
    <w:p w14:paraId="3E41289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3BB2"/>
    <w:rsid w:val="002D5520"/>
    <w:rsid w:val="00D53AD9"/>
    <w:rsid w:val="019714A1"/>
    <w:rsid w:val="019F1377"/>
    <w:rsid w:val="01B07D4B"/>
    <w:rsid w:val="01F01BD2"/>
    <w:rsid w:val="02480BDD"/>
    <w:rsid w:val="02567948"/>
    <w:rsid w:val="02F86186"/>
    <w:rsid w:val="03443858"/>
    <w:rsid w:val="03ED6B8D"/>
    <w:rsid w:val="04172F8C"/>
    <w:rsid w:val="04C37705"/>
    <w:rsid w:val="04C8309E"/>
    <w:rsid w:val="05D33801"/>
    <w:rsid w:val="060F49E8"/>
    <w:rsid w:val="064B4B8C"/>
    <w:rsid w:val="064C314F"/>
    <w:rsid w:val="067C2ABC"/>
    <w:rsid w:val="069A3B90"/>
    <w:rsid w:val="06C64923"/>
    <w:rsid w:val="06E317C9"/>
    <w:rsid w:val="07426476"/>
    <w:rsid w:val="0786017C"/>
    <w:rsid w:val="07D87C6E"/>
    <w:rsid w:val="084B1F95"/>
    <w:rsid w:val="089216AC"/>
    <w:rsid w:val="089E37BC"/>
    <w:rsid w:val="08B10572"/>
    <w:rsid w:val="08DE403F"/>
    <w:rsid w:val="08F942BF"/>
    <w:rsid w:val="09437B6E"/>
    <w:rsid w:val="095D32ED"/>
    <w:rsid w:val="09CB747E"/>
    <w:rsid w:val="0A6B1F9A"/>
    <w:rsid w:val="0A8C5F5E"/>
    <w:rsid w:val="0AA97A8C"/>
    <w:rsid w:val="0AAC0293"/>
    <w:rsid w:val="0B2777B0"/>
    <w:rsid w:val="0B2E7EC6"/>
    <w:rsid w:val="0B48110C"/>
    <w:rsid w:val="0B640F3B"/>
    <w:rsid w:val="0B691F51"/>
    <w:rsid w:val="0B785F36"/>
    <w:rsid w:val="0BA1250B"/>
    <w:rsid w:val="0BAB2759"/>
    <w:rsid w:val="0BD77886"/>
    <w:rsid w:val="0BF13140"/>
    <w:rsid w:val="0C2B0BDE"/>
    <w:rsid w:val="0C4C24D5"/>
    <w:rsid w:val="0D223546"/>
    <w:rsid w:val="0D2C64AA"/>
    <w:rsid w:val="0D6D2592"/>
    <w:rsid w:val="0D786730"/>
    <w:rsid w:val="0DE011D7"/>
    <w:rsid w:val="0E935DF8"/>
    <w:rsid w:val="0EAF40A4"/>
    <w:rsid w:val="0EB7226A"/>
    <w:rsid w:val="0EF13B8A"/>
    <w:rsid w:val="0F397FB8"/>
    <w:rsid w:val="0F8E103E"/>
    <w:rsid w:val="0FA631B1"/>
    <w:rsid w:val="0FD6142A"/>
    <w:rsid w:val="101842BB"/>
    <w:rsid w:val="10B2678A"/>
    <w:rsid w:val="10E5667A"/>
    <w:rsid w:val="112F741C"/>
    <w:rsid w:val="116779EF"/>
    <w:rsid w:val="119658F0"/>
    <w:rsid w:val="11D331AB"/>
    <w:rsid w:val="121B1B42"/>
    <w:rsid w:val="123E5B69"/>
    <w:rsid w:val="12BD6DCF"/>
    <w:rsid w:val="12FD3B1E"/>
    <w:rsid w:val="13734EAA"/>
    <w:rsid w:val="13B80669"/>
    <w:rsid w:val="13C74150"/>
    <w:rsid w:val="13E85CE0"/>
    <w:rsid w:val="14205415"/>
    <w:rsid w:val="146710E5"/>
    <w:rsid w:val="148E372C"/>
    <w:rsid w:val="149404FA"/>
    <w:rsid w:val="14A022C4"/>
    <w:rsid w:val="14E135CF"/>
    <w:rsid w:val="14E5792F"/>
    <w:rsid w:val="14E632DA"/>
    <w:rsid w:val="14EB7B14"/>
    <w:rsid w:val="151B4E4B"/>
    <w:rsid w:val="15336D6A"/>
    <w:rsid w:val="15423624"/>
    <w:rsid w:val="15F3690F"/>
    <w:rsid w:val="1631544A"/>
    <w:rsid w:val="168801D3"/>
    <w:rsid w:val="16960971"/>
    <w:rsid w:val="17421FDE"/>
    <w:rsid w:val="17EC02EE"/>
    <w:rsid w:val="17FC412E"/>
    <w:rsid w:val="18005495"/>
    <w:rsid w:val="180321EF"/>
    <w:rsid w:val="18093BA0"/>
    <w:rsid w:val="1824538D"/>
    <w:rsid w:val="187369BF"/>
    <w:rsid w:val="188430B9"/>
    <w:rsid w:val="18E15979"/>
    <w:rsid w:val="190A6EA1"/>
    <w:rsid w:val="19124F6A"/>
    <w:rsid w:val="196F5237"/>
    <w:rsid w:val="198F29B3"/>
    <w:rsid w:val="1A025241"/>
    <w:rsid w:val="1A847588"/>
    <w:rsid w:val="1C1567EA"/>
    <w:rsid w:val="1C16680D"/>
    <w:rsid w:val="1C4D6E1C"/>
    <w:rsid w:val="1C4F6895"/>
    <w:rsid w:val="1C771EE9"/>
    <w:rsid w:val="1D767D65"/>
    <w:rsid w:val="1D9A7E58"/>
    <w:rsid w:val="1DC5448D"/>
    <w:rsid w:val="1E9E76F9"/>
    <w:rsid w:val="1EBF3853"/>
    <w:rsid w:val="1EC12C20"/>
    <w:rsid w:val="1ED03707"/>
    <w:rsid w:val="1F0152EE"/>
    <w:rsid w:val="1F111026"/>
    <w:rsid w:val="1F796DD0"/>
    <w:rsid w:val="1F7C7B16"/>
    <w:rsid w:val="1F8B4B3B"/>
    <w:rsid w:val="1FA67FFA"/>
    <w:rsid w:val="1FD07C74"/>
    <w:rsid w:val="20081879"/>
    <w:rsid w:val="200A3A07"/>
    <w:rsid w:val="200B2360"/>
    <w:rsid w:val="20444F86"/>
    <w:rsid w:val="204C78C3"/>
    <w:rsid w:val="206D77B9"/>
    <w:rsid w:val="20727E4B"/>
    <w:rsid w:val="208A044D"/>
    <w:rsid w:val="20B511B1"/>
    <w:rsid w:val="20E919D3"/>
    <w:rsid w:val="21957B5A"/>
    <w:rsid w:val="21A250B6"/>
    <w:rsid w:val="21DE404F"/>
    <w:rsid w:val="223460AA"/>
    <w:rsid w:val="228B270A"/>
    <w:rsid w:val="228B4DC9"/>
    <w:rsid w:val="22BC4191"/>
    <w:rsid w:val="22CD0BB9"/>
    <w:rsid w:val="23215C0B"/>
    <w:rsid w:val="232D553E"/>
    <w:rsid w:val="236D1A45"/>
    <w:rsid w:val="23865DEB"/>
    <w:rsid w:val="23F67EC7"/>
    <w:rsid w:val="2425685A"/>
    <w:rsid w:val="2446383C"/>
    <w:rsid w:val="24EB151F"/>
    <w:rsid w:val="258A7AAF"/>
    <w:rsid w:val="25D62F83"/>
    <w:rsid w:val="25DF19BF"/>
    <w:rsid w:val="25F50B64"/>
    <w:rsid w:val="26613010"/>
    <w:rsid w:val="26DB55FB"/>
    <w:rsid w:val="2718770F"/>
    <w:rsid w:val="272E2055"/>
    <w:rsid w:val="27535714"/>
    <w:rsid w:val="27923B9C"/>
    <w:rsid w:val="27C804BE"/>
    <w:rsid w:val="27F41C21"/>
    <w:rsid w:val="28206B2C"/>
    <w:rsid w:val="2872318E"/>
    <w:rsid w:val="28AF33CD"/>
    <w:rsid w:val="28D600E2"/>
    <w:rsid w:val="29170B2D"/>
    <w:rsid w:val="29563E58"/>
    <w:rsid w:val="29985B75"/>
    <w:rsid w:val="29A83370"/>
    <w:rsid w:val="29C35511"/>
    <w:rsid w:val="2A1C4D60"/>
    <w:rsid w:val="2A1F6415"/>
    <w:rsid w:val="2A9D4063"/>
    <w:rsid w:val="2AD04C63"/>
    <w:rsid w:val="2AF46F08"/>
    <w:rsid w:val="2AF52005"/>
    <w:rsid w:val="2B2A7C57"/>
    <w:rsid w:val="2B6849A2"/>
    <w:rsid w:val="2B823F44"/>
    <w:rsid w:val="2C14671D"/>
    <w:rsid w:val="2C515DB9"/>
    <w:rsid w:val="2C5D267C"/>
    <w:rsid w:val="2C603BDB"/>
    <w:rsid w:val="2C8C1A24"/>
    <w:rsid w:val="2C93201C"/>
    <w:rsid w:val="2C960ABB"/>
    <w:rsid w:val="2CEA6A44"/>
    <w:rsid w:val="2D356278"/>
    <w:rsid w:val="2E2B5747"/>
    <w:rsid w:val="2E4A1C1D"/>
    <w:rsid w:val="2EBC3A3B"/>
    <w:rsid w:val="2EBF1E76"/>
    <w:rsid w:val="2EDC047E"/>
    <w:rsid w:val="2F6A3570"/>
    <w:rsid w:val="2F8F390E"/>
    <w:rsid w:val="2FBD58F6"/>
    <w:rsid w:val="30213C48"/>
    <w:rsid w:val="314B5142"/>
    <w:rsid w:val="31A46759"/>
    <w:rsid w:val="31A62A7D"/>
    <w:rsid w:val="31C36CF8"/>
    <w:rsid w:val="31FD5742"/>
    <w:rsid w:val="32461478"/>
    <w:rsid w:val="3295384E"/>
    <w:rsid w:val="32FD11AA"/>
    <w:rsid w:val="33183717"/>
    <w:rsid w:val="333A01E8"/>
    <w:rsid w:val="33550697"/>
    <w:rsid w:val="339D6CD1"/>
    <w:rsid w:val="340C6BB8"/>
    <w:rsid w:val="34A2391B"/>
    <w:rsid w:val="34C330C4"/>
    <w:rsid w:val="34DC0CE1"/>
    <w:rsid w:val="34F97323"/>
    <w:rsid w:val="356117B7"/>
    <w:rsid w:val="360A2629"/>
    <w:rsid w:val="361E7DB5"/>
    <w:rsid w:val="37763455"/>
    <w:rsid w:val="37D7665C"/>
    <w:rsid w:val="37D932E6"/>
    <w:rsid w:val="38133C7D"/>
    <w:rsid w:val="383E3E48"/>
    <w:rsid w:val="38526187"/>
    <w:rsid w:val="38FA10A5"/>
    <w:rsid w:val="391A2AB5"/>
    <w:rsid w:val="3949339B"/>
    <w:rsid w:val="399A3B03"/>
    <w:rsid w:val="39C71B7A"/>
    <w:rsid w:val="39CA1B5F"/>
    <w:rsid w:val="39ED2B63"/>
    <w:rsid w:val="3A013C4A"/>
    <w:rsid w:val="3A0B0AAE"/>
    <w:rsid w:val="3A141BDE"/>
    <w:rsid w:val="3A204245"/>
    <w:rsid w:val="3A417392"/>
    <w:rsid w:val="3A591F33"/>
    <w:rsid w:val="3AA16C0F"/>
    <w:rsid w:val="3C140936"/>
    <w:rsid w:val="3C2765AA"/>
    <w:rsid w:val="3D0E3C97"/>
    <w:rsid w:val="3D560734"/>
    <w:rsid w:val="3D566414"/>
    <w:rsid w:val="3D5F095D"/>
    <w:rsid w:val="3DAC2E75"/>
    <w:rsid w:val="3DBB7856"/>
    <w:rsid w:val="3E3A24F3"/>
    <w:rsid w:val="3E6E72FA"/>
    <w:rsid w:val="3EC828FC"/>
    <w:rsid w:val="3F124862"/>
    <w:rsid w:val="3F2772A4"/>
    <w:rsid w:val="3F4563B2"/>
    <w:rsid w:val="3F9F35BE"/>
    <w:rsid w:val="403364C3"/>
    <w:rsid w:val="40793ED7"/>
    <w:rsid w:val="412423BF"/>
    <w:rsid w:val="415747BE"/>
    <w:rsid w:val="4165621E"/>
    <w:rsid w:val="420B5567"/>
    <w:rsid w:val="42206F89"/>
    <w:rsid w:val="422E0A67"/>
    <w:rsid w:val="423F09E3"/>
    <w:rsid w:val="424C1853"/>
    <w:rsid w:val="424D1E99"/>
    <w:rsid w:val="428A20D4"/>
    <w:rsid w:val="42F82102"/>
    <w:rsid w:val="42FF1B4C"/>
    <w:rsid w:val="433F5238"/>
    <w:rsid w:val="435F0417"/>
    <w:rsid w:val="4437309F"/>
    <w:rsid w:val="444B3703"/>
    <w:rsid w:val="452A6789"/>
    <w:rsid w:val="457D043D"/>
    <w:rsid w:val="45CD14F8"/>
    <w:rsid w:val="46024F4B"/>
    <w:rsid w:val="466E4440"/>
    <w:rsid w:val="468F3AD1"/>
    <w:rsid w:val="46AC5AA6"/>
    <w:rsid w:val="478F6F7E"/>
    <w:rsid w:val="47B7375C"/>
    <w:rsid w:val="47CB44E8"/>
    <w:rsid w:val="480C0F07"/>
    <w:rsid w:val="480D7C89"/>
    <w:rsid w:val="48570D95"/>
    <w:rsid w:val="487B1097"/>
    <w:rsid w:val="49163506"/>
    <w:rsid w:val="492B35AD"/>
    <w:rsid w:val="49573C96"/>
    <w:rsid w:val="49642975"/>
    <w:rsid w:val="4A49386D"/>
    <w:rsid w:val="4A5D727D"/>
    <w:rsid w:val="4A94246B"/>
    <w:rsid w:val="4AE93A6A"/>
    <w:rsid w:val="4AEB13A3"/>
    <w:rsid w:val="4B291CD9"/>
    <w:rsid w:val="4B511371"/>
    <w:rsid w:val="4BE85091"/>
    <w:rsid w:val="4C5E47C7"/>
    <w:rsid w:val="4CB206B9"/>
    <w:rsid w:val="4CEB0465"/>
    <w:rsid w:val="4D1232B6"/>
    <w:rsid w:val="4D2D04DE"/>
    <w:rsid w:val="4D586DC9"/>
    <w:rsid w:val="4EC6244D"/>
    <w:rsid w:val="4ED55CA6"/>
    <w:rsid w:val="4F277310"/>
    <w:rsid w:val="4FEC1492"/>
    <w:rsid w:val="50292732"/>
    <w:rsid w:val="505604E5"/>
    <w:rsid w:val="50C30C0E"/>
    <w:rsid w:val="51116BD0"/>
    <w:rsid w:val="51A21442"/>
    <w:rsid w:val="523532BB"/>
    <w:rsid w:val="52440963"/>
    <w:rsid w:val="52466DEE"/>
    <w:rsid w:val="52673AFC"/>
    <w:rsid w:val="526D122D"/>
    <w:rsid w:val="529C027A"/>
    <w:rsid w:val="529D3D17"/>
    <w:rsid w:val="52B4448B"/>
    <w:rsid w:val="53333D83"/>
    <w:rsid w:val="53623A52"/>
    <w:rsid w:val="536D3E3E"/>
    <w:rsid w:val="53D61877"/>
    <w:rsid w:val="53DD49B3"/>
    <w:rsid w:val="53F228A6"/>
    <w:rsid w:val="53F320CA"/>
    <w:rsid w:val="54120142"/>
    <w:rsid w:val="54A10126"/>
    <w:rsid w:val="54BB1BE9"/>
    <w:rsid w:val="54BC3E58"/>
    <w:rsid w:val="54D67860"/>
    <w:rsid w:val="551A6815"/>
    <w:rsid w:val="5575116A"/>
    <w:rsid w:val="55752941"/>
    <w:rsid w:val="559262F3"/>
    <w:rsid w:val="55A94371"/>
    <w:rsid w:val="55E43C3B"/>
    <w:rsid w:val="567E7E3F"/>
    <w:rsid w:val="568D14EB"/>
    <w:rsid w:val="569C115D"/>
    <w:rsid w:val="56FC32B6"/>
    <w:rsid w:val="572777A0"/>
    <w:rsid w:val="57505B1A"/>
    <w:rsid w:val="576B2CE4"/>
    <w:rsid w:val="57C76B9B"/>
    <w:rsid w:val="57D75221"/>
    <w:rsid w:val="58364671"/>
    <w:rsid w:val="587902B5"/>
    <w:rsid w:val="58C3061C"/>
    <w:rsid w:val="58C7491B"/>
    <w:rsid w:val="58F477A4"/>
    <w:rsid w:val="59301287"/>
    <w:rsid w:val="59770F8B"/>
    <w:rsid w:val="59794DA4"/>
    <w:rsid w:val="5992547D"/>
    <w:rsid w:val="59B90C5A"/>
    <w:rsid w:val="5A245D72"/>
    <w:rsid w:val="5ABE5D79"/>
    <w:rsid w:val="5AE54F11"/>
    <w:rsid w:val="5B191B02"/>
    <w:rsid w:val="5B840BEE"/>
    <w:rsid w:val="5BC47C64"/>
    <w:rsid w:val="5BD11F3C"/>
    <w:rsid w:val="5C27423E"/>
    <w:rsid w:val="5CCB30D5"/>
    <w:rsid w:val="5D3E2967"/>
    <w:rsid w:val="5DDA4DCB"/>
    <w:rsid w:val="5E156FBB"/>
    <w:rsid w:val="5E192432"/>
    <w:rsid w:val="5E666CEB"/>
    <w:rsid w:val="5E743B33"/>
    <w:rsid w:val="5E8977A7"/>
    <w:rsid w:val="5EC07074"/>
    <w:rsid w:val="5ECF61FE"/>
    <w:rsid w:val="5F1514A5"/>
    <w:rsid w:val="5F282252"/>
    <w:rsid w:val="5F6663CF"/>
    <w:rsid w:val="5FAB110E"/>
    <w:rsid w:val="5FF83834"/>
    <w:rsid w:val="60663A3F"/>
    <w:rsid w:val="608C1C3B"/>
    <w:rsid w:val="60B552B6"/>
    <w:rsid w:val="615959AF"/>
    <w:rsid w:val="616324FA"/>
    <w:rsid w:val="616627A5"/>
    <w:rsid w:val="61857F0D"/>
    <w:rsid w:val="61FC23A6"/>
    <w:rsid w:val="62870A35"/>
    <w:rsid w:val="629C0E1E"/>
    <w:rsid w:val="62C76C78"/>
    <w:rsid w:val="633E546A"/>
    <w:rsid w:val="635C2835"/>
    <w:rsid w:val="63AB2D6C"/>
    <w:rsid w:val="63D2399F"/>
    <w:rsid w:val="64471332"/>
    <w:rsid w:val="64731FE5"/>
    <w:rsid w:val="647875E8"/>
    <w:rsid w:val="652819AC"/>
    <w:rsid w:val="65680CF7"/>
    <w:rsid w:val="66094074"/>
    <w:rsid w:val="664207B2"/>
    <w:rsid w:val="66E41C9A"/>
    <w:rsid w:val="67681220"/>
    <w:rsid w:val="67C2593D"/>
    <w:rsid w:val="687A3FAD"/>
    <w:rsid w:val="68981FA9"/>
    <w:rsid w:val="68A673B8"/>
    <w:rsid w:val="68C17BA1"/>
    <w:rsid w:val="69357556"/>
    <w:rsid w:val="694A2956"/>
    <w:rsid w:val="6AB558AA"/>
    <w:rsid w:val="6B46579D"/>
    <w:rsid w:val="6B901C87"/>
    <w:rsid w:val="6B965FDA"/>
    <w:rsid w:val="6BA82F71"/>
    <w:rsid w:val="6C45114D"/>
    <w:rsid w:val="6C8851EE"/>
    <w:rsid w:val="6C8B53A2"/>
    <w:rsid w:val="6D0D5485"/>
    <w:rsid w:val="6D18628B"/>
    <w:rsid w:val="6DA83F9C"/>
    <w:rsid w:val="6DCB4C29"/>
    <w:rsid w:val="6DE22ABD"/>
    <w:rsid w:val="6DFF5901"/>
    <w:rsid w:val="6E2A15CB"/>
    <w:rsid w:val="6E4362DB"/>
    <w:rsid w:val="6E747049"/>
    <w:rsid w:val="6EDF7E10"/>
    <w:rsid w:val="6F0646C6"/>
    <w:rsid w:val="6F9C3CF8"/>
    <w:rsid w:val="6FE75AD4"/>
    <w:rsid w:val="70061DD5"/>
    <w:rsid w:val="701663E5"/>
    <w:rsid w:val="701E116C"/>
    <w:rsid w:val="702950DC"/>
    <w:rsid w:val="702E0D9C"/>
    <w:rsid w:val="70822769"/>
    <w:rsid w:val="70E64A50"/>
    <w:rsid w:val="71124891"/>
    <w:rsid w:val="7138344C"/>
    <w:rsid w:val="714940BC"/>
    <w:rsid w:val="714F4CEB"/>
    <w:rsid w:val="71771863"/>
    <w:rsid w:val="72250D08"/>
    <w:rsid w:val="725531A4"/>
    <w:rsid w:val="725D1CAC"/>
    <w:rsid w:val="73730B78"/>
    <w:rsid w:val="73F51ED3"/>
    <w:rsid w:val="740427F5"/>
    <w:rsid w:val="741A5E39"/>
    <w:rsid w:val="744C2A5A"/>
    <w:rsid w:val="746C21E9"/>
    <w:rsid w:val="74C8280D"/>
    <w:rsid w:val="752365DE"/>
    <w:rsid w:val="752531C9"/>
    <w:rsid w:val="75525EB1"/>
    <w:rsid w:val="75B9703B"/>
    <w:rsid w:val="75FC7531"/>
    <w:rsid w:val="761541FF"/>
    <w:rsid w:val="761663F2"/>
    <w:rsid w:val="762B1DE5"/>
    <w:rsid w:val="76A72C52"/>
    <w:rsid w:val="76BB3651"/>
    <w:rsid w:val="771A78EB"/>
    <w:rsid w:val="774D5A73"/>
    <w:rsid w:val="77792F92"/>
    <w:rsid w:val="78474694"/>
    <w:rsid w:val="7851759A"/>
    <w:rsid w:val="785C5783"/>
    <w:rsid w:val="78AA6B87"/>
    <w:rsid w:val="78C42455"/>
    <w:rsid w:val="78CE2E6C"/>
    <w:rsid w:val="78D50CAA"/>
    <w:rsid w:val="78DD63E0"/>
    <w:rsid w:val="790B6292"/>
    <w:rsid w:val="79345298"/>
    <w:rsid w:val="79C36BBE"/>
    <w:rsid w:val="7A1260E4"/>
    <w:rsid w:val="7A2E4EAA"/>
    <w:rsid w:val="7A9B6298"/>
    <w:rsid w:val="7B8631E6"/>
    <w:rsid w:val="7B944111"/>
    <w:rsid w:val="7BD538DB"/>
    <w:rsid w:val="7C8509F8"/>
    <w:rsid w:val="7D2B21A0"/>
    <w:rsid w:val="7D335A3E"/>
    <w:rsid w:val="7D9F4AE2"/>
    <w:rsid w:val="7DCC207A"/>
    <w:rsid w:val="7E0D0982"/>
    <w:rsid w:val="7E3054AF"/>
    <w:rsid w:val="7E7D0509"/>
    <w:rsid w:val="7E847257"/>
    <w:rsid w:val="7EBE1A08"/>
    <w:rsid w:val="7F276415"/>
    <w:rsid w:val="7FC44FD4"/>
    <w:rsid w:val="7FE04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Arial" w:hAnsi="Arial" w:eastAsia="宋体" w:cstheme="minorBidi"/>
      <w:bCs/>
      <w:color w:val="auto"/>
      <w:kern w:val="2"/>
      <w:sz w:val="24"/>
      <w:szCs w:val="18"/>
      <w:lang w:val="en-US" w:eastAsia="zh-CN" w:bidi="ar-SA"/>
    </w:rPr>
  </w:style>
  <w:style w:type="paragraph" w:styleId="2">
    <w:name w:val="heading 1"/>
    <w:basedOn w:val="1"/>
    <w:next w:val="1"/>
    <w:link w:val="11"/>
    <w:qFormat/>
    <w:uiPriority w:val="0"/>
    <w:pPr>
      <w:keepNext/>
      <w:keepLines/>
      <w:spacing w:before="340" w:beforeLines="0" w:after="330" w:afterLines="0" w:line="576"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28"/>
    </w:rPr>
  </w:style>
  <w:style w:type="paragraph" w:styleId="4">
    <w:name w:val="heading 3"/>
    <w:basedOn w:val="1"/>
    <w:next w:val="1"/>
    <w:link w:val="10"/>
    <w:unhideWhenUsed/>
    <w:qFormat/>
    <w:uiPriority w:val="0"/>
    <w:pPr>
      <w:outlineLvl w:val="2"/>
    </w:pPr>
    <w:rPr>
      <w:rFonts w:asciiTheme="minorAscii" w:hAnsiTheme="minorAscii" w:eastAsiaTheme="minorEastAsia"/>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0">
    <w:name w:val="标题 3 Char"/>
    <w:link w:val="4"/>
    <w:qFormat/>
    <w:uiPriority w:val="0"/>
    <w:rPr>
      <w:rFonts w:asciiTheme="minorAscii" w:hAnsiTheme="minorAscii" w:eastAsiaTheme="minorEastAsia"/>
      <w:b/>
      <w:sz w:val="28"/>
    </w:rPr>
  </w:style>
  <w:style w:type="character" w:customStyle="1" w:styleId="11">
    <w:name w:val="标题 1 Char"/>
    <w:link w:val="2"/>
    <w:qFormat/>
    <w:uiPriority w:val="0"/>
    <w:rPr>
      <w:rFonts w:ascii="Arial" w:hAnsi="Arial"/>
      <w:b/>
      <w:kern w:val="44"/>
      <w:sz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28229</Words>
  <Characters>28864</Characters>
  <Lines>0</Lines>
  <Paragraphs>0</Paragraphs>
  <TotalTime>16</TotalTime>
  <ScaleCrop>false</ScaleCrop>
  <LinksUpToDate>false</LinksUpToDate>
  <CharactersWithSpaces>29006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2026-07-19T08:49:20Z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