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database Ghetto;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Clientes(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ID int auto_increment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nombres varchar(35),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apellidos varchar(45),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tipo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identificacion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sexo varchar(25),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fecha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telefono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direccion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departamento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ciudad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correo varchar(80),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primary key(ID)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Contra_clientes(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correo varchar(35),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contraseña varchar(15),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rol varchar(20),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Empleados(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ID int auto_increment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nombres varchar(35),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apellidos varchar(45),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tipo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identificacion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sexo varchar(25),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fecha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telefono varchar(50),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direccion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ocupacion varchar(80),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correo varchar(80),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primary key(ID)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Contra_empleados(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correo varchar(35),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contraseña varchar(15),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 varchar(20),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Inv_hombre(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item varchar(6),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categoria 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color varchar(10),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genero varchar(10),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descripcion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precio  varchar(10),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coleccion  varchar(10),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cantidad  varchar(5),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Pedidos(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Npedido varchar(35),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cliente varchar(35),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items varchar(30),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departamento varchar(50),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ciudad varchar(50),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direccion varchar(50),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Proveedores(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ID int auto_increment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nit varchar(60),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nombres varchar(35),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apellidos varchar(45),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tipo varchar(50),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identificacion varchar(50),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sexo varchar(25),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fecha 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telefono varchar(50),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direccion varchar(50),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departamento varchar(50),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ciudad varchar(50),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empresa varchar(60),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estado varchar(25),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primary key(ID)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Invmujer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ID int not null auto_increment,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Item varchar(5),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categoria varchar(15),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color varchar(15),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genero varchar(15),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descripcion varchar(100),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precio varchar(7),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coleccion varchar(10),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cantidad varchar(5),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contactos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nombres varchar(35),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apellidos varchar(45),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correo varchar(35),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telefono varchar(50),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departamento varchar(50),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ciudad varchar(50),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num_pedido varchar(15),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asunto varchar(30),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comentario varchar(100),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Ventas(</w:t>
        <w:br w:type="textWrapping"/>
        <w:t xml:space="preserve">    ID int auto_increment not null,</w:t>
        <w:br w:type="textWrapping"/>
        <w:t xml:space="preserve">    cventa varchar(80),</w:t>
        <w:br w:type="textWrapping"/>
        <w:t xml:space="preserve">    cproducto varchar(80),</w:t>
        <w:br w:type="textWrapping"/>
        <w:t xml:space="preserve">    fchventa date,</w:t>
        <w:br w:type="textWrapping"/>
        <w:t xml:space="preserve">    cantidad varchar(20),</w:t>
        <w:br w:type="textWrapping"/>
        <w:t xml:space="preserve">    nproducto varchar(80),</w:t>
        <w:br w:type="textWrapping"/>
        <w:t xml:space="preserve">    dcproducto varchar(80),</w:t>
        <w:br w:type="textWrapping"/>
        <w:t xml:space="preserve">    precio varchar(60),</w:t>
        <w:br w:type="textWrapping"/>
        <w:t xml:space="preserve">    primary key(ID)</w:t>
        <w:br w:type="textWrapping"/>
        <w:t xml:space="preserve">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