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FORTIFY DD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E7C86"/>
          <w:sz w:val="28"/>
          <w:szCs w:val="28"/>
        </w:rPr>
        <w:t xml:space="preserve">Bulletproof due diligence in seconds.</w:t>
      </w:r>
    </w:p>
    <w:p>
      <w:pPr>
        <w:pBdr>
          <w:bottom w:val="single" w:color="0E7C86" w:sz="12" w:space="1"/>
        </w:pBdr>
        <w:spacing w:after="300" w:before="0"/>
        <w:jc w:val="center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Bright Data × lablab.ai Hackathon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May 27, 2026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Fortify DD is an AI-powered autonomous due diligence agent that transforms hours of manual vendor research into a structured risk brief delivered in under 60 seconds. Built for procurement teams, compliance officers, and AI automation agencies, it continuously scours the open web — news, legal filings, job boards, social sentiment, sanctions lists — and synthesises live intelligence into a red / amber / green risk score with a one-page brief.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specifies the product requirements for the hackathon MVP, defines the technical architecture, and outlines the judging strategy aligned with the four scoring criteria: Model Integration, Presentation, Impact &amp; Practical Value, and Uniqueness &amp; Creativity.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Fortify DD</w:t>
            </w:r>
          </w:p>
        </w:tc>
      </w:tr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Slogan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Bulletproof due diligence in seconds.</w:t>
            </w:r>
          </w:p>
        </w:tc>
      </w:tr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Hackathon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Data UNLOCKED — Bright Data × lablab.ai (May 25–31, 2026)</w:t>
            </w:r>
          </w:p>
        </w:tc>
      </w:tr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Window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days (May 25–30, 2026)</w:t>
            </w:r>
          </w:p>
        </w:tc>
      </w:tr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Procurement teams, compliance officers, AI automation agencies</w:t>
            </w:r>
          </w:p>
        </w:tc>
      </w:tr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Stack</w:t>
            </w:r>
          </w:p>
        </w:tc>
        <w:tc>
          <w:tcPr>
            <w:tcW w:type="dxa" w:w="6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FastAPI · LangGraph · Claude Sonnet · Bright Data (SERP API, Web Unlocker, MCP Server)</w:t>
            </w:r>
          </w:p>
        </w:tc>
      </w:tr>
    </w:tbl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Problem Statement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2.1  The Real-World Pain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Nearly half of global enterprises have experienced supplier-related fraud in the past two years — up 19% from 2022 (PwC Global Economic Crime Survey, 2025). Yet the process for vetting a new vendor remains staggeringly manual: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compliance analyst opens a browser and Googles the company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They check LinkedIn, news archives, court records, Glassdoor, and sanctions portals — each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They copy findings into a spreadsheet or Word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risk score is assigned subjectively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whole process takes 3–6 hours per vendor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organisations with hundreds of active vendor relationships — or AI automation agencies constantly onboarding new subcontractors and API providers — this is not scalable. Regulated businesses under DORA, NIS-2, and emerging CS3D frameworks now face legal liability for failing to maintain continuous vendor oversight. The gap between the compliance expectation and what teams can actually execute is widening fast.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2.2  Why Existing Solutions Fall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Tools</w:t>
            </w:r>
          </w:p>
        </w:tc>
        <w:tc>
          <w:tcPr>
            <w:tcW w:type="dxa" w:w="312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GRC Platforms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Diligent, Archer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$50k+ contracts, 6-month onboarding, no real-time web data</w:t>
            </w:r>
          </w:p>
        </w:tc>
      </w:tr>
      <w:tr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Research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Google, LinkedIn, spreadsheets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3–6 hours per vendor, no synthesis, no scoring</w:t>
            </w:r>
          </w:p>
        </w:tc>
      </w:tr>
      <w:tr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Scrapers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scripts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 on bot detection, JS rendering, geo-blocks — Bright Data's core value prop</w:t>
            </w:r>
          </w:p>
        </w:tc>
      </w:tr>
      <w:tr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SMB-Focused Tools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Creditsafe, Dunn &amp; Bradstreet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data only — no web sentiment, hiring signals, or geopolitical risk</w:t>
            </w:r>
          </w:p>
        </w:tc>
      </w:tr>
    </w:tbl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Product Vision &amp; Goals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3.1  Vision Statement</w:t>
      </w:r>
    </w:p>
    <w:p>
      <w:pPr>
        <w:pBdr>
          <w:left w:val="single" w:color="0E7C86" w:sz="20" w:space="8"/>
        </w:pBdr>
        <w:shd w:fill="E8F4F5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Any business should be able to vet any vendor, anywhere in the world, in under 60 seconds — with the same rigour a dedicated compliance team would apply in a full working day.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3.2  Hackathon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Demonstrate a fully working agent pipeline: company name in → risk brief out, end-to-end, live during the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at least three Bright Data products as load-bearing infrastructure (SERP API, Web Unlocker, MCP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in the top tier of all four judging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Produce a submission that is directly portable to a post-hackathon B2B SaaS product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3.3  Post-Hackathon Opportunity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Fortify DD maps directly onto the white-label Python backend service model. AI automation agencies can embed Fortify DD into their client onboarding workflows as a branded due diligence module — with the builder retaining the backend infrastructure.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Target Users &amp; Personas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3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Mid-market company onboarding 20+ new vendors per quarter under DORA/NIS-2 pressure</w:t>
            </w:r>
          </w:p>
        </w:tc>
        <w:tc>
          <w:tcPr>
            <w:tcW w:type="dxa" w:w="3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Fast, auditable risk scores with source citations. Must integrate into existing workflow.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Regulated industry (fintech, healthcare, logistics) requiring continuous vendor monitoring</w:t>
            </w:r>
          </w:p>
        </w:tc>
        <w:tc>
          <w:tcPr>
            <w:tcW w:type="dxa" w:w="3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 alerts when a vendor's risk profile changes — not just point-in-time checks.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Automation Agency Owner</w:t>
            </w:r>
          </w:p>
        </w:tc>
        <w:tc>
          <w:tcPr>
            <w:tcW w:type="dxa" w:w="3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Onboards subcontractors and API providers regularly; needs white-label backend service</w:t>
            </w:r>
          </w:p>
        </w:tc>
        <w:tc>
          <w:tcPr>
            <w:tcW w:type="dxa" w:w="3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drop-in service they can resell to clients under their own brand.</w:t>
            </w:r>
          </w:p>
        </w:tc>
      </w:tr>
    </w:tbl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Features &amp; Requirements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5.1  Core Feature: The Due Diligence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central product loop — a company name goes in, a structured risk brief comes out in under 60 seconds.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3600"/>
        <w:gridCol w:w="3080"/>
      </w:tblGrid>
      <w:tr>
        <w:tc>
          <w:tcPr>
            <w:tcW w:type="dxa" w:w="48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8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Bright Data Tool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&amp; Kick-off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submits a company name and optional domain via API or UI. Agent initialises task.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SERP Intelligence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queries Google News, SERP results for the company name. Extracts top 20 results including news, reviews, and social mentions.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SERP API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Deep Page Extraction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the top 5–8 most relevant URLs, agent fetches full page content — bypassing JS rendering and bot detection.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Web Unlocker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Sanctions &amp; Regulatory Check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navigates OFAC, EU sanctions portals, and Companies House (UK) or SEC EDGAR (US) via MCP server.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MCP Server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Hiring Signal Scan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scrapes LinkedIn job listings and Glassdoor reviews to surface financial health and culture signals.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Web Unlocker + SERP API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Synthesis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receives structured extracted data. Synthesises a red/amber/green risk score with narrative summary across 5 risk dimensions.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Claude Sonnet API</w:t>
            </w:r>
          </w:p>
        </w:tc>
      </w:tr>
      <w:tr>
        <w:tc>
          <w:tcPr>
            <w:tcW w:type="dxa" w:w="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 Generation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formats output as structured JSON → rendered as a PDF or Slack message. Timestamped and source-cited.</w:t>
            </w:r>
          </w:p>
        </w:tc>
        <w:tc>
          <w:tcPr>
            <w:tcW w:type="dxa" w:w="30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5.2  Risk Dimensions Scored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LLM produces a score and narrative for each of the five risk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Reputational Risk — News sentiment, press coverage quality, public controversy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Financial Health Signals — Hiring trajectory, office presence, investor mentions, funding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Regulatory &amp; Legal Exposure — Sanctions list hits, court filings, regulatory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Operational Stability — Website uptime, domain age, Glassdoor rating, employee count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Supply Chain / Third-Party Risk — Key dependency mentions, known sub-vendor flags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5.3  Output Formats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Structured JSON response via REST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Human-readable one-page risk brief (rendered in the demo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Slack message integration (stretch goal for hackathon demo day)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5.4 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latency: &lt; 60 seconds per company assessed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Bright Data products used: minimum 3 (SERP API, Web Unlocker, MCP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code open-source under MIT licence (hackathon requirement)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written in Python 3.11+ using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framework: LangGraph (preferred) or CrewAI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Technical Architecture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6.1 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performance async, auto-docs, familiar to builder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Graph-based flow gives visibility into agent state — great for demos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4 (claude-sonnet-4-20250514)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structured output, long context for multi-source synthesis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Data Infrastructure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Bright Data: SERP API, Web Unlocker, MCP Server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hackathon requirement; also genuinely solves bot-detection problem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 Frontend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Tailwind (or Streamlit for speed)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input → loading state → risk brief render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Async Task Queue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 / background tasks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native, avoids Celery complexity in 5-day build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6.2  Agent 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LangGraph agent operates as a directed graph with the following node sequence: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start_node — Validate input, create task_id, initialise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serp_node — Fire SERP API queries: [company name], [company name site:linkedin.com], [company name news], [company name legal]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fetch_node — Web Unlocker fetches full content for top URLs returned by SERP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sanctions_node — MCP Server navigates OFAC SDN list, EU consolidated list, SEC EDGAR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hiring_node — Web Unlocker scrapes LinkedIn jobs + Glassdoor employer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synthesise_node — Claude Sonnet receives structured context dict, outputs JSON risk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output_node — Formats and returns structured brief; optionally posts to Slack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6.3  API Endpoints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/assess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 company name for assessment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task_id, status: 'running' }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/assess/{task_id}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for results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status, risk_brief } when complete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health check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status: 'ok'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6.4  Risk Brief JSON Schema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t xml:space="preserve">  "company": "Acme Corp",
</w:t>
      </w:r>
      <w:r>
        <w:rPr>
          <w:rFonts w:ascii="Courier New" w:cs="Courier New" w:eastAsia="Courier New" w:hAnsi="Courier New"/>
          <w:sz w:val="18"/>
          <w:szCs w:val="18"/>
        </w:rPr>
        <w:t xml:space="preserve">  "assessed_at": "2026-05-27T14:32:00Z",
</w:t>
      </w:r>
      <w:r>
        <w:rPr>
          <w:rFonts w:ascii="Courier New" w:cs="Courier New" w:eastAsia="Courier New" w:hAnsi="Courier New"/>
          <w:sz w:val="18"/>
          <w:szCs w:val="18"/>
        </w:rPr>
        <w:t xml:space="preserve">  "overall_rating": "AMBER",
</w:t>
      </w:r>
      <w:r>
        <w:rPr>
          <w:rFonts w:ascii="Courier New" w:cs="Courier New" w:eastAsia="Courier New" w:hAnsi="Courier New"/>
          <w:sz w:val="18"/>
          <w:szCs w:val="18"/>
        </w:rPr>
        <w:t xml:space="preserve">  "overall_score": 62,
</w:t>
      </w:r>
      <w:r>
        <w:rPr>
          <w:rFonts w:ascii="Courier New" w:cs="Courier New" w:eastAsia="Courier New" w:hAnsi="Courier New"/>
          <w:sz w:val="18"/>
          <w:szCs w:val="18"/>
        </w:rPr>
        <w:t xml:space="preserve">  "dimensions": {
</w:t>
      </w:r>
      <w:r>
        <w:rPr>
          <w:rFonts w:ascii="Courier New" w:cs="Courier New" w:eastAsia="Courier New" w:hAnsi="Courier New"/>
          <w:sz w:val="18"/>
          <w:szCs w:val="18"/>
        </w:rPr>
        <w:t xml:space="preserve">    "reputational": { "rating": "GREEN", "score": 78, "summary": "..." },
</w:t>
      </w:r>
      <w:r>
        <w:rPr>
          <w:rFonts w:ascii="Courier New" w:cs="Courier New" w:eastAsia="Courier New" w:hAnsi="Courier New"/>
          <w:sz w:val="18"/>
          <w:szCs w:val="18"/>
        </w:rPr>
        <w:t xml:space="preserve">    "financial_health": { "rating": "AMBER", "score": 55, "summary": "..." },
</w:t>
      </w:r>
      <w:r>
        <w:rPr>
          <w:rFonts w:ascii="Courier New" w:cs="Courier New" w:eastAsia="Courier New" w:hAnsi="Courier New"/>
          <w:sz w:val="18"/>
          <w:szCs w:val="18"/>
        </w:rPr>
        <w:t xml:space="preserve">    "regulatory_legal": { "rating": "GREEN", "score": 80, "summary": "..." },
</w:t>
      </w:r>
      <w:r>
        <w:rPr>
          <w:rFonts w:ascii="Courier New" w:cs="Courier New" w:eastAsia="Courier New" w:hAnsi="Courier New"/>
          <w:sz w:val="18"/>
          <w:szCs w:val="18"/>
        </w:rPr>
        <w:t xml:space="preserve">    "operational_stability": { "rating": "AMBER", "score": 50, "summary": "..." },
</w:t>
      </w:r>
      <w:r>
        <w:rPr>
          <w:rFonts w:ascii="Courier New" w:cs="Courier New" w:eastAsia="Courier New" w:hAnsi="Courier New"/>
          <w:sz w:val="18"/>
          <w:szCs w:val="18"/>
        </w:rPr>
        <w:t xml:space="preserve">    "supply_chain": { "rating": "RED", "score": 30, "summary": "..." }
</w:t>
      </w:r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  <w:r>
        <w:rPr>
          <w:rFonts w:ascii="Courier New" w:cs="Courier New" w:eastAsia="Courier New" w:hAnsi="Courier New"/>
          <w:sz w:val="18"/>
          <w:szCs w:val="18"/>
        </w:rPr>
        <w:t xml:space="preserve">  "sources": ["https://...", "https://..."],
</w:t>
      </w:r>
      <w:r>
        <w:rPr>
          <w:rFonts w:ascii="Courier New" w:cs="Courier New" w:eastAsia="Courier New" w:hAnsi="Courier New"/>
          <w:sz w:val="18"/>
          <w:szCs w:val="18"/>
        </w:rPr>
        <w:t xml:space="preserve">  "recommended_action": "Proceed with additional verification on supply chain"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5-Day Build Plan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80"/>
        <w:gridCol w:w="248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Notes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 May 25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$250 Bright Data credits · Scaffold FastAPI project · Configure SERP API + Web Unlocker · Test first live scrape</w:t>
            </w:r>
          </w:p>
        </w:tc>
        <w:tc>
          <w:tcPr>
            <w:tcW w:type="dxa" w:w="2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Credentials &amp; API key setup — do this first thing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Tue May 26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serp_node + fetch_node in LangGraph · Test on 3 real company names · Validate data quality from Web Unlocker</w:t>
            </w:r>
          </w:p>
        </w:tc>
        <w:tc>
          <w:tcPr>
            <w:tcW w:type="dxa" w:w="2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Bot-detection on some domains — have fallback URLs ready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Wed May 27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sanctions_node via MCP Server · Build synthesise_node (Claude prompt engineering) · Wire full pipeline end-to-end</w:t>
            </w:r>
          </w:p>
        </w:tc>
        <w:tc>
          <w:tcPr>
            <w:tcW w:type="dxa" w:w="2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Prompt tuning for structured JSON output is the key challenge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Thu May 28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hiring_node · Polish risk brief output · Build React/Streamlit demo UI · Record backup video demo</w:t>
            </w:r>
          </w:p>
        </w:tc>
        <w:tc>
          <w:tcPr>
            <w:tcW w:type="dxa" w:w="2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is not the priority — readable output matters more than beautiful UI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Fri May 29 – Sat May 30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testing on 5+ companies · Write README + submission docs · Rehearse 3-min demo script · Submit by deadline</w:t>
            </w:r>
          </w:p>
        </w:tc>
        <w:tc>
          <w:tcPr>
            <w:tcW w:type="dxa" w:w="2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 not add new features after Day 4 — polish and rehearse only</w:t>
            </w:r>
          </w:p>
        </w:tc>
      </w:tr>
    </w:tbl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Judging Strategy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four judging criteria are addressed by deliberate design decisions, not afterthoughts.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348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Fortify DD Scores</w:t>
            </w:r>
          </w:p>
        </w:tc>
        <w:tc>
          <w:tcPr>
            <w:tcW w:type="dxa" w:w="3480"/>
            <w:tcBorders>
              <w:top w:val="single" w:color="0E7C86" w:sz="1"/>
              <w:left w:val="single" w:color="0E7C86" w:sz="1"/>
              <w:bottom w:val="single" w:color="0E7C86" w:sz="1"/>
              <w:right w:val="single" w:color="0E7C86" w:sz="1"/>
            </w:tcBorders>
            <w:shd w:fill="0E7C8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Evidence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Integration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performs multi-source synthesis, structured JSON output, and risk narrative generation — not just summarisation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raw extracted data vs the synthesised brief side-by-side. The model's reasoning is visible.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with the problem in 20 seconds. Demo live, then explain the pipeline. Close with a clear business model.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demo of a real company assessment run in real-time. Backup video ready if live demo fails.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 &amp; Practical Value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DORA/NIS-2 compliance pressure, PwC fraud statistics, $50k enterprise tool alternative — cite concrete numbers.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slide: 3–6 hours manual → 60 seconds automated. Show what an analyst's week looks like before and after.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Uniqueness &amp; Creativity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other tool combines real-time open-web intelligence, agentic orchestration, and LLM synthesis into a 60-second due diligence brief at this price point.</w:t>
            </w:r>
          </w:p>
        </w:tc>
        <w:tc>
          <w:tcPr>
            <w:tcW w:type="dxa" w:w="34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Emphasise: Bright Data is what makes this possible. Without Web Unlocker + MCP, you hit bot-blocks on the most important sources.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8.1  Demo Script (3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0:00 – 0:20  Open with the problem: 'Your analyst just spent 4 hours vetting a vendor. We do it in 60 seconds.'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0:20 – 1:30  Live demo: type company name → watch the agent run → show the risk brief appearing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1:30 – 2:00  Show the pipeline: SERP → Web Unlocker → MCP → Claude →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2:00 – 2:30  Business case: who buys this, compliance context, white-label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2:30 – 3:00  Close: 'This is what Bright Data makes possible. Without it, this agent hits a wall.'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Post-Hackathon Product Roadmap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hackathon MVP is designed to be the foundation of a real product, not a throwaway demo. The post-hackathon roadmap is staged: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 1 — MVP Hardening (Weeks 1–4 post-hackathon)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Productionise the FastAPI backend with authentication and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persistent storage (PostgreSQL) for assessment history and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Improve LLM prompt reliability: structured output validation with Pydantic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webhook support for async delivery of completed briefs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 2 — Continuous Monitoring (Weeks 5–12)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Scheduled re-assessment: weekly or monthly sweeps per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 alerting: notify when a vendor's risk rating shifts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watchlist: track multiple vendors in a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Expanded data sources: Companies House, SEC EDGAR, OpenCorporates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 3 — White-Label &amp; Agency Tier (Months 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White-label API: agencies resell Fortify DD under their own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Client-facing portal with branded risk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Multi-tenant SaaS with usage-based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templates for n8n, Make, and Zapier (for AI automation agency clients)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Success Metrics</w:t>
      </w:r>
    </w:p>
    <w:p>
      <w:pPr>
        <w:pBdr>
          <w:bottom w:val="single" w:color="0E7C86" w:sz="8" w:space="1"/>
        </w:pBdr>
        <w:spacing w:after="120" w:before="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10.1  Hackathon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Submission accepted and live demo runs end-to-end without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four judging criteria scored 'above average'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least one judge references the Bright Data integration as a differentiator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eligible for the Bright Data AI Startup Program</w:t>
      </w:r>
    </w:p>
    <w:p>
      <w:pPr>
        <w:spacing w:after="0" w:before="80"/>
      </w:pPr>
      <w:r>
        <w:t xml:space="preserve"/>
      </w:r>
    </w:p>
    <w:p>
      <w:pPr>
        <w:pStyle w:val="Heading2"/>
        <w:spacing w:after="6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10.2  MVP Product Metrics (30 days post-hackathon)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latency consistently &lt; 60 seconds on 95% of assessments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Risk brief quality: assessed as 'actionable' by at least 3 beta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Bright Data API costs per assessment: &lt; $0.50 at target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paying white-label client or agency integration signed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8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Fortify DD — PRD v1.0  |  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2026-05-27T06:38:31.250Z</dcterms:created>
  <dcterms:modified xsi:type="dcterms:W3CDTF">2026-05-27T06:38:31.250Z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