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40" w:before="0"/>
        <w:jc w:val="center"/>
      </w:pPr>
      <w:r>
        <w:rPr>
          <w:rFonts w:ascii="Arial" w:cs="Arial" w:eastAsia="Arial" w:hAnsi="Arial"/>
          <w:b/>
          <w:bCs/>
          <w:color w:val="1B2A4A"/>
          <w:sz w:val="80"/>
          <w:szCs w:val="80"/>
        </w:rPr>
        <w:t xml:space="preserve">FORTIFY DD</w:t>
      </w:r>
    </w:p>
    <w:p>
      <w:pPr>
        <w:spacing w:after="60" w:before="0"/>
        <w:jc w:val="center"/>
      </w:pPr>
      <w:r>
        <w:rPr>
          <w:rFonts w:ascii="Arial" w:cs="Arial" w:eastAsia="Arial" w:hAnsi="Arial"/>
          <w:i/>
          <w:iCs/>
          <w:color w:val="0E7C86"/>
          <w:sz w:val="30"/>
          <w:szCs w:val="30"/>
        </w:rPr>
        <w:t xml:space="preserve">Bulletproof due diligence in seconds.</w:t>
      </w:r>
    </w:p>
    <w:p>
      <w:pPr>
        <w:pBdr>
          <w:bottom w:val="single" w:color="0E7C86" w:sz="14" w:space="1"/>
        </w:pBdr>
        <w:spacing w:after="320" w:before="0"/>
        <w:jc w:val="center"/>
      </w:pPr>
      <w:r>
        <w:t xml:space="preserve"/>
      </w:r>
    </w:p>
    <w:p>
      <w:pPr>
        <w:spacing w:after="0" w:before="120"/>
      </w:pPr>
      <w:r>
        <w:t xml:space="preserve"/>
      </w:r>
    </w:p>
    <w:p>
      <w:pPr>
        <w:spacing w:after="80" w:before="0"/>
        <w:jc w:val="center"/>
      </w:pPr>
      <w:r>
        <w:rPr>
          <w:rFonts w:ascii="Arial" w:cs="Arial" w:eastAsia="Arial" w:hAnsi="Arial"/>
          <w:b/>
          <w:bCs/>
          <w:color w:val="1B2A4A"/>
          <w:sz w:val="26"/>
          <w:szCs w:val="26"/>
        </w:rPr>
        <w:t xml:space="preserve">PRODUCT REQUIREMENTS DOCUMENT</w:t>
      </w:r>
    </w:p>
    <w:p>
      <w:pPr>
        <w:spacing w:after="60" w:before="0"/>
        <w:jc w:val="center"/>
      </w:pPr>
      <w:r>
        <w:rPr>
          <w:rFonts w:ascii="Arial" w:cs="Arial" w:eastAsia="Arial" w:hAnsi="Arial"/>
          <w:color w:val="555555"/>
          <w:sz w:val="22"/>
          <w:szCs w:val="22"/>
        </w:rPr>
        <w:t xml:space="preserve">Version 2.0  ·  May 27, 2026</w:t>
      </w:r>
    </w:p>
    <w:p>
      <w:pPr>
        <w:spacing w:after="60" w:before="0"/>
        <w:jc w:val="center"/>
      </w:pPr>
      <w:r>
        <w:rPr>
          <w:rFonts w:ascii="Arial" w:cs="Arial" w:eastAsia="Arial" w:hAnsi="Arial"/>
          <w:color w:val="777777"/>
          <w:sz w:val="20"/>
          <w:szCs w:val="20"/>
        </w:rPr>
        <w:t xml:space="preserve">Bright Data × lablab.ai  ·  Web Data UNLOCKED Hackathon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vAlign w:val="top"/>
          </w:tcPr>
          <w:p>
            <w:pPr>
              <w:jc w:val="center"/>
            </w:pPr>
            <w:r>
              <w:rPr>
                <w:rFonts w:ascii="Arial" w:cs="Arial" w:eastAsia="Arial" w:hAnsi="Arial"/>
                <w:b/>
                <w:bCs/>
                <w:i w:val="false"/>
                <w:iCs w:val="false"/>
                <w:color w:val="FFFFFF"/>
                <w:sz w:val="18"/>
                <w:szCs w:val="18"/>
              </w:rPr>
              <w:t xml:space="preserve">Bright Data</w:t>
            </w:r>
          </w:p>
        </w:tc>
        <w:tc>
          <w:tcPr>
            <w:tcW w:type="dxa" w:w="1560"/>
            <w:tcBorders>
              <w:top w:val="single" w:color="5C3D8F" w:sz="1"/>
              <w:left w:val="single" w:color="5C3D8F" w:sz="1"/>
              <w:bottom w:val="single" w:color="5C3D8F" w:sz="1"/>
              <w:right w:val="single" w:color="5C3D8F" w:sz="1"/>
            </w:tcBorders>
            <w:shd w:fill="5C3D8F" w:val="clear"/>
            <w:tcMar>
              <w:top w:type="dxa" w:w="100"/>
              <w:left w:type="dxa" w:w="150"/>
              <w:bottom w:type="dxa" w:w="100"/>
              <w:right w:type="dxa" w:w="150"/>
            </w:tcMar>
            <w:vAlign w:val="top"/>
          </w:tcPr>
          <w:p>
            <w:r>
              <w:t>Fortify memory store</w:t>
            </w:r>
          </w:p>
        </w:tc>
        <w:tc>
          <w:tcPr>
            <w:tcW w:type="dxa" w:w="1560"/>
            <w:tcBorders>
              <w:top w:val="single" w:color="2D7D46" w:sz="1"/>
              <w:left w:val="single" w:color="2D7D46" w:sz="1"/>
              <w:bottom w:val="single" w:color="2D7D46" w:sz="1"/>
              <w:right w:val="single" w:color="2D7D46" w:sz="1"/>
            </w:tcBorders>
            <w:shd w:fill="2D7D46" w:val="clear"/>
            <w:tcMar>
              <w:top w:type="dxa" w:w="100"/>
              <w:left w:type="dxa" w:w="150"/>
              <w:bottom w:type="dxa" w:w="100"/>
              <w:right w:type="dxa" w:w="150"/>
            </w:tcMar>
            <w:vAlign w:val="top"/>
          </w:tcPr>
          <w:p>
            <w:pPr>
              <w:jc w:val="center"/>
            </w:pPr>
            <w:r>
              <w:rPr>
                <w:rFonts w:ascii="Arial" w:cs="Arial" w:eastAsia="Arial" w:hAnsi="Arial"/>
                <w:b/>
                <w:bCs/>
                <w:i w:val="false"/>
                <w:iCs w:val="false"/>
                <w:color w:val="FFFFFF"/>
                <w:sz w:val="18"/>
                <w:szCs w:val="18"/>
              </w:rPr>
              <w:t xml:space="preserve">TriggerWare</w:t>
            </w:r>
          </w:p>
        </w:tc>
        <w:tc>
          <w:tcPr>
            <w:tcW w:type="dxa" w:w="1560"/>
            <w:tcBorders>
              <w:top w:val="single" w:color="C05A00" w:sz="1"/>
              <w:left w:val="single" w:color="C05A00" w:sz="1"/>
              <w:bottom w:val="single" w:color="C05A00" w:sz="1"/>
              <w:right w:val="single" w:color="C05A00" w:sz="1"/>
            </w:tcBorders>
            <w:shd w:fill="C05A00" w:val="clear"/>
            <w:tcMar>
              <w:top w:type="dxa" w:w="100"/>
              <w:left w:type="dxa" w:w="150"/>
              <w:bottom w:type="dxa" w:w="100"/>
              <w:right w:type="dxa" w:w="150"/>
            </w:tcMar>
            <w:vAlign w:val="top"/>
          </w:tcPr>
          <w:p>
            <w:pPr>
              <w:jc w:val="center"/>
            </w:pPr>
            <w:r>
              <w:rPr>
                <w:rFonts w:ascii="Arial" w:cs="Arial" w:eastAsia="Arial" w:hAnsi="Arial"/>
                <w:b/>
                <w:bCs/>
                <w:i w:val="false"/>
                <w:iCs w:val="false"/>
                <w:color w:val="FFFFFF"/>
                <w:sz w:val="18"/>
                <w:szCs w:val="18"/>
              </w:rPr>
              <w:t xml:space="preserve">AI/ML API</w:t>
            </w:r>
          </w:p>
        </w:tc>
        <w:tc>
          <w:tcPr>
            <w:tcW w:type="dxa" w:w="1560"/>
            <w:tcBorders>
              <w:top w:val="single" w:color="8B1A5C" w:sz="1"/>
              <w:left w:val="single" w:color="8B1A5C" w:sz="1"/>
              <w:bottom w:val="single" w:color="8B1A5C" w:sz="1"/>
              <w:right w:val="single" w:color="8B1A5C" w:sz="1"/>
            </w:tcBorders>
            <w:shd w:fill="8B1A5C" w:val="clear"/>
            <w:tcMar>
              <w:top w:type="dxa" w:w="100"/>
              <w:left w:type="dxa" w:w="150"/>
              <w:bottom w:type="dxa" w:w="100"/>
              <w:right w:type="dxa" w:w="150"/>
            </w:tcMar>
            <w:vAlign w:val="top"/>
          </w:tcPr>
          <w:p>
            <w:pPr>
              <w:jc w:val="center"/>
            </w:pPr>
            <w:r>
              <w:rPr>
                <w:rFonts w:ascii="Arial" w:cs="Arial" w:eastAsia="Arial" w:hAnsi="Arial"/>
                <w:b/>
                <w:bCs/>
                <w:i w:val="false"/>
                <w:iCs w:val="false"/>
                <w:color w:val="FFFFFF"/>
                <w:sz w:val="18"/>
                <w:szCs w:val="18"/>
              </w:rPr>
              <w:t xml:space="preserve">Speechmatics</w:t>
            </w:r>
          </w:p>
        </w:tc>
        <w:tc>
          <w:tcPr>
            <w:tcW w:type="dxa" w:w="1560"/>
            <w:tcBorders>
              <w:top w:val="single" w:color="1A5C5C" w:sz="1"/>
              <w:left w:val="single" w:color="1A5C5C" w:sz="1"/>
              <w:bottom w:val="single" w:color="1A5C5C" w:sz="1"/>
              <w:right w:val="single" w:color="1A5C5C" w:sz="1"/>
            </w:tcBorders>
            <w:shd w:fill="1A5C5C" w:val="clear"/>
            <w:tcMar>
              <w:top w:type="dxa" w:w="100"/>
              <w:left w:type="dxa" w:w="150"/>
              <w:bottom w:type="dxa" w:w="100"/>
              <w:right w:type="dxa" w:w="150"/>
            </w:tcMar>
            <w:vAlign w:val="top"/>
          </w:tcPr>
          <w:p>
            <w:pPr>
              <w:jc w:val="center"/>
            </w:pPr>
            <w:r>
              <w:rPr>
                <w:rFonts w:ascii="Arial" w:cs="Arial" w:eastAsia="Arial" w:hAnsi="Arial"/>
                <w:b/>
                <w:bCs/>
                <w:i w:val="false"/>
                <w:iCs w:val="false"/>
                <w:color w:val="FFFFFF"/>
                <w:sz w:val="18"/>
                <w:szCs w:val="18"/>
              </w:rPr>
              <w:t xml:space="preserve">X402</w:t>
            </w:r>
          </w:p>
        </w:tc>
      </w:tr>
    </w:tbl>
    <w:p>
      <w:pPr>
        <w:spacing w:after="0" w:before="80"/>
      </w:pPr>
      <w:r>
        <w:t xml:space="preserve"/>
      </w:r>
    </w:p>
    <w:p>
      <w:r>
        <w:br w:type="page"/>
      </w:r>
    </w:p>
    <w:p>
      <w:pPr>
        <w:pStyle w:val="Heading1"/>
        <w:spacing w:after="80" w:before="360"/>
      </w:pPr>
      <w:r>
        <w:rPr>
          <w:rFonts w:ascii="Arial" w:cs="Arial" w:eastAsia="Arial" w:hAnsi="Arial"/>
          <w:b/>
          <w:bCs/>
          <w:color w:val="1B2A4A"/>
          <w:sz w:val="36"/>
          <w:szCs w:val="36"/>
        </w:rPr>
        <w:t xml:space="preserve">1. Executive Summary</w:t>
      </w:r>
    </w:p>
    <w:p>
      <w:pPr>
        <w:pBdr>
          <w:bottom w:val="single" w:color="0E7C86" w:sz="8" w:space="1"/>
        </w:pBdr>
        <w:spacing w:after="120" w:before="0"/>
      </w:pPr>
      <w:r>
        <w:t xml:space="preserve"/>
      </w:r>
    </w:p>
    <w:p>
      <w:pPr>
        <w:spacing w:after="60" w:before="60"/>
      </w:pPr>
      <w:r>
        <w:t>Fortify DD is an AI-powered autonomous due diligence agent that transforms hours of manual vendor research into a structured, verifiable risk brief delivered in under 60 seconds. Version 2.0 of this PRD incorporates TriggerWare.ai, AI/ML API, Speechmatics, and Google Gemini alongside the core Bright Data infrastructure, upgrading the product from a one-shot assessment tool into a continuous, event-driven compliance monitoring system.</w:t>
      </w:r>
    </w:p>
    <w:p>
      <w:pPr/>
      <w:r>
        <w:t>Implementation note: Cognee and Kiro are excluded from the MVP dependency stack because free trial or hackathon credits are not available. Fortify DD will instead use an application-owned vendor history layer for memory and Google Gemini as the primary LLM for synthesis and delta narratives.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Product Name</w:t>
            </w:r>
          </w:p>
        </w:tc>
        <w:tc>
          <w:tcPr>
            <w:tcW w:type="dxa" w:w="68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Fortify DD</w:t>
            </w:r>
          </w:p>
        </w:tc>
      </w:tr>
      <w:tr>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Slogan</w:t>
            </w:r>
          </w:p>
        </w:tc>
        <w:tc>
          <w:tcPr>
            <w:tcW w:type="dxa" w:w="68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Bulletproof due diligence in seconds.</w:t>
            </w:r>
          </w:p>
        </w:tc>
      </w:tr>
      <w:tr>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PRD Version</w:t>
            </w:r>
          </w:p>
        </w:tc>
        <w:tc>
          <w:tcPr>
            <w:tcW w:type="dxa" w:w="68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v2.0 — Multi-Sponsor Edition (supersedes v1.0)</w:t>
            </w:r>
          </w:p>
        </w:tc>
      </w:tr>
      <w:tr>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Hackathon</w:t>
            </w:r>
          </w:p>
        </w:tc>
        <w:tc>
          <w:tcPr>
            <w:tcW w:type="dxa" w:w="68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Web Data UNLOCKED — Bright Data × lablab.ai (May 25–31, 2026)</w:t>
            </w:r>
          </w:p>
        </w:tc>
      </w:tr>
      <w:tr>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Eligible Tracks</w:t>
            </w:r>
          </w:p>
        </w:tc>
        <w:tc>
          <w:tcPr>
            <w:tcW w:type="dxa" w:w="68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GTM Intelligence · Finance &amp; Market Intelligence · Security &amp; Compliance</w:t>
            </w:r>
          </w:p>
        </w:tc>
      </w:tr>
      <w:tr>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r>
              <w:t>Target Integrations</w:t>
            </w:r>
          </w:p>
        </w:tc>
        <w:tc>
          <w:tcPr>
            <w:tcW w:type="dxa" w:w="68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r>
              <w:t>TriggerWare / AI/ML API / Speechmatics / Google Gemini</w:t>
            </w:r>
          </w:p>
        </w:tc>
      </w:tr>
      <w:tr>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Core Stack</w:t>
            </w:r>
          </w:p>
        </w:tc>
        <w:tc>
          <w:tcPr>
            <w:tcW w:type="dxa" w:w="68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r>
              <w:t>Python/FastAPI / LangGraph / Google Gemini / Bright Data / Fortify memory store / TriggerWare / AI/ML API</w:t>
            </w:r>
          </w:p>
        </w:tc>
      </w:tr>
      <w:tr>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Key Upgrade v2.0</w:t>
            </w:r>
          </w:p>
        </w:tc>
        <w:tc>
          <w:tcPr>
            <w:tcW w:type="dxa" w:w="68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Application-owned vendor memory, event-driven risk alerts, multi-model routing, voice readout</w:t>
            </w:r>
          </w:p>
        </w:tc>
      </w:tr>
    </w:tbl>
    <w:p>
      <w:pPr>
        <w:spacing w:after="0" w:before="100"/>
      </w:pPr>
      <w:r>
        <w:t xml:space="preserve"/>
      </w:r>
    </w:p>
    <w:p>
      <w:pPr>
        <w:pBdr>
          <w:left w:val="single" w:color="0E7C86" w:sz="20" w:space="8"/>
        </w:pBdr>
        <w:shd w:fill="E8F4F5" w:val="clear"/>
        <w:spacing w:after="80" w:before="80"/>
        <w:ind w:left="280" w:right="280"/>
      </w:pPr>
      <w:r>
        <w:rPr>
          <w:rFonts w:ascii="Arial" w:cs="Arial" w:eastAsia="Arial" w:hAnsi="Arial"/>
          <w:i/>
          <w:iCs/>
          <w:color w:val="1B2A4A"/>
          <w:sz w:val="22"/>
          <w:szCs w:val="22"/>
        </w:rPr>
        <w:t xml:space="preserve">The core upgrade in v2.0: Fortify DD no longer just answers when asked. It watches vendors continuously, remembers everything it has ever learned about them, fires alerts the moment risk changes, and does all of this across five simultaneous prize tracks.</w:t>
      </w:r>
    </w:p>
    <w:p>
      <w:pPr>
        <w:pStyle w:val="Heading1"/>
        <w:spacing w:after="80" w:before="360"/>
      </w:pPr>
      <w:r>
        <w:rPr>
          <w:rFonts w:ascii="Arial" w:cs="Arial" w:eastAsia="Arial" w:hAnsi="Arial"/>
          <w:b/>
          <w:bCs/>
          <w:color w:val="1B2A4A"/>
          <w:sz w:val="36"/>
          <w:szCs w:val="36"/>
        </w:rPr>
        <w:t xml:space="preserve">2. What Changed from PRD v1.0</w:t>
      </w:r>
    </w:p>
    <w:p>
      <w:pPr>
        <w:pBdr>
          <w:bottom w:val="single" w:color="0E7C86" w:sz="8" w:space="1"/>
        </w:pBdr>
        <w:spacing w:after="120" w:before="0"/>
      </w:pPr>
      <w:r>
        <w:t xml:space="preserve"/>
      </w:r>
    </w:p>
    <w:p>
      <w:pPr>
        <w:spacing w:after="60" w:before="60"/>
      </w:pPr>
      <w:r>
        <w:rPr>
          <w:rFonts w:ascii="Arial" w:cs="Arial" w:eastAsia="Arial" w:hAnsi="Arial"/>
          <w:sz w:val="20"/>
          <w:szCs w:val="20"/>
        </w:rPr>
        <w:t xml:space="preserve">v1.0 defined a solid on-demand agent pipeline. v2.0 upgrades it in four dimensions driven by the new technology partner sponsors. Every change is additive — nothing from v1.0 is removed.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Dimension</w:t>
            </w:r>
          </w:p>
        </w:tc>
        <w:tc>
          <w:tcPr>
            <w:tcW w:type="dxa" w:w="348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v1.0</w:t>
            </w:r>
          </w:p>
        </w:tc>
        <w:tc>
          <w:tcPr>
            <w:tcW w:type="dxa" w:w="388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v2.0 Upgrade</w:t>
            </w:r>
          </w:p>
        </w:tc>
      </w:tr>
      <w:tr>
        <w:tc>
          <w:tcPr>
            <w:tcW w:type="dxa" w:w="2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Memory</w:t>
            </w:r>
          </w:p>
        </w:tc>
        <w:tc>
          <w:tcPr>
            <w:tcW w:type="dxa" w:w="34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Stateless — every assessment starts from zero</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Fortify owns persistent vendor memory. Past briefs, risk drift, and entity relationships are stored and retrieved across runs without depending on Cognee or Kiro.</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Automation</w:t>
            </w:r>
          </w:p>
        </w:tc>
        <w:tc>
          <w:tcPr>
            <w:tcW w:type="dxa" w:w="34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On-demand only — human triggers every assessment</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TriggerWare.ai fires event-driven workflows. Risk rating changes auto-trigger Slack alerts, emails, or downstream actions.</w:t>
            </w:r>
          </w:p>
        </w:tc>
      </w:tr>
      <w:tr>
        <w:tc>
          <w:tcPr>
            <w:tcW w:type="dxa" w:w="2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Model Layer</w:t>
            </w:r>
          </w:p>
        </w:tc>
        <w:tc>
          <w:tcPr>
            <w:tcW w:type="dxa" w:w="34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Single model for all stages</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AI/ML API adds a fast triage model for SERP scoring. Gemini handles final synthesis. Right model at each stage.</w:t>
            </w:r>
          </w:p>
        </w:tc>
      </w:tr>
      <w:tr>
        <w:tc>
          <w:tcPr>
            <w:tcW w:type="dxa" w:w="2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Output</w:t>
            </w:r>
          </w:p>
        </w:tc>
        <w:tc>
          <w:tcPr>
            <w:tcW w:type="dxa" w:w="34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Written risk brief only</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Speechmatics adds voice readout of alerts. Compliance officer hears the brief without looking at a screen.</w:t>
            </w:r>
          </w:p>
        </w:tc>
      </w:tr>
      <w:tr>
        <w:tc>
          <w:tcPr>
            <w:tcW w:type="dxa" w:w="2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Prize Tracks</w:t>
            </w:r>
          </w:p>
        </w:tc>
        <w:tc>
          <w:tcPr>
            <w:tcW w:type="dxa" w:w="34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Main hackathon tracks only</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Four additional partner prize categories now in scope simultaneously.</w:t>
            </w:r>
          </w:p>
        </w:tc>
      </w:tr>
    </w:tbl>
    <w:p>
      <w:pPr>
        <w:pStyle w:val="Heading1"/>
        <w:spacing w:after="80" w:before="360"/>
      </w:pPr>
      <w:r>
        <w:rPr>
          <w:rFonts w:ascii="Arial" w:cs="Arial" w:eastAsia="Arial" w:hAnsi="Arial"/>
          <w:b/>
          <w:bCs/>
          <w:color w:val="1B2A4A"/>
          <w:sz w:val="36"/>
          <w:szCs w:val="36"/>
        </w:rPr>
        <w:t xml:space="preserve">3. Technology Partner Integration Strategy</w:t>
      </w:r>
    </w:p>
    <w:p>
      <w:pPr>
        <w:pBdr>
          <w:bottom w:val="single" w:color="0E7C86" w:sz="8" w:space="1"/>
        </w:pBdr>
        <w:spacing w:after="120" w:before="0"/>
      </w:pPr>
      <w:r>
        <w:t xml:space="preserve"/>
      </w:r>
    </w:p>
    <w:p>
      <w:pPr>
        <w:spacing w:after="60" w:before="60"/>
      </w:pPr>
      <w:r>
        <w:rPr>
          <w:rFonts w:ascii="Arial" w:cs="Arial" w:eastAsia="Arial" w:hAnsi="Arial"/>
          <w:sz w:val="20"/>
          <w:szCs w:val="20"/>
        </w:rPr>
        <w:t xml:space="preserve">Each partner is assessed for fit with Fortify DD's Security &amp; Compliance track positioning, integration effort within the 5-day build window, and prize eligibility. Integrations are ranked by strategic priority.</w:t>
      </w:r>
    </w:p>
    <w:p>
      <w:pPr>
        <w:spacing w:after="0" w:before="80"/>
      </w:pPr>
      <w:r>
        <w:t xml:space="preserve"/>
      </w:r>
    </w:p>
    <w:p>
      <w:pPr>
        <w:pStyle w:val="Heading2"/>
        <w:spacing w:after="60" w:before="260"/>
      </w:pPr>
      <w:r>
        <w:t>3.1  Application-Owned Vendor Memory  Priority: MUST</w:t>
      </w:r>
    </w:p>
    <w:p>
      <w:pPr>
        <w:pBdr>
          <w:left w:val="single" w:color="5C3D8F" w:sz="20" w:space="8"/>
        </w:pBdr>
        <w:shd w:fill="F4F0FA" w:val="clear"/>
        <w:spacing w:after="80" w:before="80"/>
        <w:ind w:left="280" w:right="280"/>
      </w:pPr>
      <w:r>
        <w:t>Without memory, Fortify DD is a calculator. With an application-owned vendor history layer, it becomes a compliance officer who never forgets.</w:t>
      </w:r>
    </w:p>
    <w:p>
      <w:pPr>
        <w:spacing w:after="0" w:before="60"/>
      </w:pPr>
      <w:r>
        <w:t xml:space="preserve"/>
      </w:r>
    </w:p>
    <w:p>
      <w:pPr>
        <w:spacing w:after="60" w:before="60"/>
      </w:pPr>
      <w:r>
        <w:t>Fortify DD will own its vendor memory layer directly for the MVP. Every completed assessment is stored as structured application data keyed by vendor. On subsequent runs, the agent retrieves prior briefs, compares them against fresh web data, and produces a delta report. For the hackathon demo this can be in-memory or SQLite-backed; the product path should remain Postgres-ready.</w:t>
      </w:r>
    </w:p>
    <w:p>
      <w:pPr>
        <w:spacing w:after="0" w:before="60"/>
      </w:pPr>
      <w:r>
        <w:t xml:space="preserve"/>
      </w:r>
    </w:p>
    <w:p>
      <w:pPr>
        <w:spacing w:after="60" w:before="200"/>
      </w:pPr>
      <w:r>
        <w:rPr>
          <w:rFonts w:ascii="Arial" w:cs="Arial" w:eastAsia="Arial" w:hAnsi="Arial"/>
          <w:b/>
          <w:bCs/>
          <w:color w:val="1B2A4A"/>
          <w:sz w:val="22"/>
          <w:szCs w:val="22"/>
        </w:rPr>
        <w:t xml:space="preserve">What This Enables:</w:t>
      </w:r>
    </w:p>
    <w:p>
      <w:pPr>
        <w:pStyle w:val="ListParagraph"/>
        <w:numPr>
          <w:ilvl w:val="0"/>
          <w:numId w:val="2"/>
        </w:numPr>
        <w:spacing w:after="40" w:before="40"/>
      </w:pPr>
      <w:r>
        <w:rPr>
          <w:rFonts w:ascii="Arial" w:cs="Arial" w:eastAsia="Arial" w:hAnsi="Arial"/>
          <w:sz w:val="20"/>
          <w:szCs w:val="20"/>
        </w:rPr>
        <w:t xml:space="preserve">Risk drift detection: 'This vendor was GREEN three weeks ago. They have since posted 12 redundancies and appeared in two regulatory news items. Downgraded to AMBER.'</w:t>
      </w:r>
    </w:p>
    <w:p>
      <w:pPr>
        <w:pStyle w:val="ListParagraph"/>
        <w:numPr>
          <w:ilvl w:val="0"/>
          <w:numId w:val="2"/>
        </w:numPr>
        <w:spacing w:after="40" w:before="40"/>
      </w:pPr>
      <w:r>
        <w:t>Entity relationship memory: if Vendor X is linked to Vendor Y (shared director, subsidiary), and Vendor Y is flagged, Fortify DD should preserve a product path to surface the connection automatically</w:t>
      </w:r>
    </w:p>
    <w:p>
      <w:pPr>
        <w:pStyle w:val="ListParagraph"/>
        <w:numPr>
          <w:ilvl w:val="0"/>
          <w:numId w:val="2"/>
        </w:numPr>
        <w:spacing w:after="40" w:before="40"/>
      </w:pPr>
      <w:r>
        <w:rPr>
          <w:rFonts w:ascii="Arial" w:cs="Arial" w:eastAsia="Arial" w:hAnsi="Arial"/>
          <w:sz w:val="20"/>
          <w:szCs w:val="20"/>
        </w:rPr>
        <w:t xml:space="preserve">Audit trail: Every historical assessment is retrievable as a compliance-grade artefact with timestamps and source citations</w:t>
      </w:r>
    </w:p>
    <w:p>
      <w:pPr>
        <w:pStyle w:val="ListParagraph"/>
        <w:numPr>
          <w:ilvl w:val="0"/>
          <w:numId w:val="2"/>
        </w:numPr>
        <w:spacing w:after="40" w:before="40"/>
      </w:pPr>
      <w:r>
        <w:rPr>
          <w:rFonts w:ascii="Arial" w:cs="Arial" w:eastAsia="Arial" w:hAnsi="Arial"/>
          <w:sz w:val="20"/>
          <w:szCs w:val="20"/>
        </w:rPr>
        <w:t xml:space="preserve">Reduced API costs on repeat assessments: agent skips known-good sources and focuses on changed signals</w:t>
      </w:r>
    </w:p>
    <w:p>
      <w:pPr>
        <w:spacing w:after="0" w:before="60"/>
      </w:pPr>
      <w:r>
        <w:t xml:space="preserve"/>
      </w:r>
    </w:p>
    <w:p>
      <w:pPr>
        <w:spacing w:after="60" w:before="200"/>
      </w:pPr>
      <w:r>
        <w:rPr>
          <w:rFonts w:ascii="Arial" w:cs="Arial" w:eastAsia="Arial" w:hAnsi="Arial"/>
          <w:b/>
          <w:bCs/>
          <w:color w:val="1B2A4A"/>
          <w:sz w:val="22"/>
          <w:szCs w:val="22"/>
        </w:rPr>
        <w:t xml:space="preserve">Integration Points:</w:t>
      </w:r>
    </w:p>
    <w:p>
      <w:pPr>
        <w:pStyle w:val="ListParagraph"/>
        <w:numPr>
          <w:ilvl w:val="0"/>
          <w:numId w:val="2"/>
        </w:numPr>
        <w:spacing w:after="40" w:before="40"/>
      </w:pPr>
      <w:r>
        <w:t>After synthesise_node completes, store the full risk brief JSON in the application-owned vendor history store under a normalized vendor key</w:t>
      </w:r>
    </w:p>
    <w:p>
      <w:pPr>
        <w:pStyle w:val="ListParagraph"/>
        <w:numPr>
          <w:ilvl w:val="0"/>
          <w:numId w:val="2"/>
        </w:numPr>
        <w:spacing w:after="40" w:before="40"/>
      </w:pPr>
      <w:r>
        <w:t>At the start of every assessment, query the vendor history store for existing knowledge about the vendor before firing SERP calls</w:t>
      </w:r>
    </w:p>
    <w:p>
      <w:pPr>
        <w:pStyle w:val="ListParagraph"/>
        <w:numPr>
          <w:ilvl w:val="0"/>
          <w:numId w:val="2"/>
        </w:numPr>
        <w:spacing w:after="40" w:before="40"/>
      </w:pPr>
      <w:r>
        <w:rPr>
          <w:rFonts w:ascii="Arial" w:cs="Arial" w:eastAsia="Arial" w:hAnsi="Arial"/>
          <w:sz w:val="20"/>
          <w:szCs w:val="20"/>
        </w:rPr>
        <w:t xml:space="preserve">Add a compare_node to LangGraph: receives (previous_brief, current_data) → outputs delta summary</w:t>
      </w:r>
    </w:p>
    <w:p>
      <w:pPr>
        <w:spacing w:after="0" w:before="60"/>
      </w:pPr>
      <w:r>
        <w:t xml:space="preserve"/>
      </w:r>
    </w:p>
    <w:p>
      <w:pPr>
        <w:spacing w:after="60" w:before="200"/>
      </w:pPr>
      <w:r>
        <w:rPr>
          <w:rFonts w:ascii="Arial" w:cs="Arial" w:eastAsia="Arial" w:hAnsi="Arial"/>
          <w:b/>
          <w:bCs/>
          <w:color w:val="1B2A4A"/>
          <w:sz w:val="22"/>
          <w:szCs w:val="22"/>
        </w:rPr>
        <w:t xml:space="preserve">Partner Prize Challenge:</w:t>
      </w:r>
    </w:p>
    <w:p>
      <w:pPr>
        <w:spacing w:after="60" w:before="60"/>
      </w:pPr>
      <w:r>
        <w:t>Agent memory objective: Fortify DD should remember context, organise vendor knowledge, and reason across repeated tasks and data sources using an application-owned memory layer.</w:t>
      </w:r>
    </w:p>
    <w:p>
      <w:pPr>
        <w:spacing w:after="0" w:before="100"/>
      </w:pPr>
      <w:r>
        <w:t xml:space="preserve"/>
      </w:r>
    </w:p>
    <w:p>
      <w:pPr>
        <w:pStyle w:val="Heading2"/>
        <w:spacing w:after="60" w:before="260"/>
      </w:pPr>
      <w:r>
        <w:rPr>
          <w:rFonts w:ascii="Arial" w:cs="Arial" w:eastAsia="Arial" w:hAnsi="Arial"/>
          <w:b/>
          <w:bCs/>
          <w:color w:val="0E7C86"/>
          <w:sz w:val="26"/>
          <w:szCs w:val="26"/>
        </w:rPr>
        <w:t xml:space="preserve">3.2  TriggerWare.ai — Event-Driven Workflows  ⚡  Priority: MUST</w:t>
      </w:r>
    </w:p>
    <w:p>
      <w:pPr>
        <w:pBdr>
          <w:left w:val="single" w:color="2D7D46" w:sz="20" w:space="8"/>
        </w:pBdr>
        <w:shd w:fill="EEF8F1" w:val="clear"/>
        <w:spacing w:after="80" w:before="80"/>
        <w:ind w:left="280" w:right="280"/>
      </w:pPr>
      <w:r>
        <w:rPr>
          <w:rFonts w:ascii="Arial" w:cs="Arial" w:eastAsia="Arial" w:hAnsi="Arial"/>
          <w:i/>
          <w:iCs/>
          <w:color w:val="1B2A4A"/>
          <w:sz w:val="22"/>
          <w:szCs w:val="22"/>
        </w:rPr>
        <w:t xml:space="preserve">TriggerWare closes the loop. Fortify DD stops waiting to be asked and starts telling you when something changes.</w:t>
      </w:r>
    </w:p>
    <w:p>
      <w:pPr>
        <w:spacing w:after="0" w:before="60"/>
      </w:pPr>
      <w:r>
        <w:t xml:space="preserve"/>
      </w:r>
    </w:p>
    <w:p>
      <w:pPr>
        <w:spacing w:after="60" w:before="60"/>
      </w:pPr>
      <w:r>
        <w:rPr>
          <w:rFonts w:ascii="Arial" w:cs="Arial" w:eastAsia="Arial" w:hAnsi="Arial"/>
          <w:sz w:val="20"/>
          <w:szCs w:val="20"/>
        </w:rPr>
        <w:t xml:space="preserve">TriggerWare.ai connects agent decisions to real-world actions through event-driven workflow automation. When Fortify DD detects a risk rating change, TriggerWare fires the appropriate downstream action without human intervention.</w:t>
      </w:r>
    </w:p>
    <w:p>
      <w:pPr>
        <w:spacing w:after="0" w:before="60"/>
      </w:pPr>
      <w:r>
        <w:t xml:space="preserve"/>
      </w:r>
    </w:p>
    <w:p>
      <w:pPr>
        <w:spacing w:after="60" w:before="200"/>
      </w:pPr>
      <w:r>
        <w:rPr>
          <w:rFonts w:ascii="Arial" w:cs="Arial" w:eastAsia="Arial" w:hAnsi="Arial"/>
          <w:b/>
          <w:bCs/>
          <w:color w:val="1B2A4A"/>
          <w:sz w:val="22"/>
          <w:szCs w:val="22"/>
        </w:rPr>
        <w:t xml:space="preserve">What This Enables:</w:t>
      </w:r>
    </w:p>
    <w:p>
      <w:pPr>
        <w:pStyle w:val="ListParagraph"/>
        <w:numPr>
          <w:ilvl w:val="0"/>
          <w:numId w:val="2"/>
        </w:numPr>
        <w:spacing w:after="40" w:before="40"/>
      </w:pPr>
      <w:r>
        <w:rPr>
          <w:rFonts w:ascii="Arial" w:cs="Arial" w:eastAsia="Arial" w:hAnsi="Arial"/>
          <w:sz w:val="20"/>
          <w:szCs w:val="20"/>
        </w:rPr>
        <w:t xml:space="preserve">Vendor watchlists: users subscribe a set of vendors for continuous monitoring. TriggerWare polls Fortify DD on a schedule (daily/weekly) and fires on any rating change</w:t>
      </w:r>
    </w:p>
    <w:p>
      <w:pPr>
        <w:pStyle w:val="ListParagraph"/>
        <w:numPr>
          <w:ilvl w:val="0"/>
          <w:numId w:val="2"/>
        </w:numPr>
        <w:spacing w:after="40" w:before="40"/>
      </w:pPr>
      <w:r>
        <w:rPr>
          <w:rFonts w:ascii="Arial" w:cs="Arial" w:eastAsia="Arial" w:hAnsi="Arial"/>
          <w:sz w:val="20"/>
          <w:szCs w:val="20"/>
        </w:rPr>
        <w:t xml:space="preserve">Graduated alert routing: GREEN→AMBER triggers a Slack notification; AMBER→RED triggers an email to the compliance lead and auto-creates a Jira ticket</w:t>
      </w:r>
    </w:p>
    <w:p>
      <w:pPr>
        <w:pStyle w:val="ListParagraph"/>
        <w:numPr>
          <w:ilvl w:val="0"/>
          <w:numId w:val="2"/>
        </w:numPr>
        <w:spacing w:after="40" w:before="40"/>
      </w:pPr>
      <w:r>
        <w:rPr>
          <w:rFonts w:ascii="Arial" w:cs="Arial" w:eastAsia="Arial" w:hAnsi="Arial"/>
          <w:sz w:val="20"/>
          <w:szCs w:val="20"/>
        </w:rPr>
        <w:t xml:space="preserve">Webhook integration: TriggerWare delivers the risk brief payload to any downstream system — CRM, ERP, or a client portal</w:t>
      </w:r>
    </w:p>
    <w:p>
      <w:pPr>
        <w:pStyle w:val="ListParagraph"/>
        <w:numPr>
          <w:ilvl w:val="0"/>
          <w:numId w:val="2"/>
        </w:numPr>
        <w:spacing w:after="40" w:before="40"/>
      </w:pPr>
      <w:r>
        <w:rPr>
          <w:rFonts w:ascii="Arial" w:cs="Arial" w:eastAsia="Arial" w:hAnsi="Arial"/>
          <w:sz w:val="20"/>
          <w:szCs w:val="20"/>
        </w:rPr>
        <w:t xml:space="preserve">Demo power: during the live hackathon demo, simulate a vendor risk event in real time and show TriggerWare firing the alert with zero human input — the most compelling 30-second moment in the presentation</w:t>
      </w:r>
    </w:p>
    <w:p>
      <w:pPr>
        <w:spacing w:after="0" w:before="60"/>
      </w:pPr>
      <w:r>
        <w:t xml:space="preserve"/>
      </w:r>
    </w:p>
    <w:p>
      <w:pPr>
        <w:spacing w:after="60" w:before="200"/>
      </w:pPr>
      <w:r>
        <w:rPr>
          <w:rFonts w:ascii="Arial" w:cs="Arial" w:eastAsia="Arial" w:hAnsi="Arial"/>
          <w:b/>
          <w:bCs/>
          <w:color w:val="1B2A4A"/>
          <w:sz w:val="22"/>
          <w:szCs w:val="22"/>
        </w:rPr>
        <w:t xml:space="preserve">Integration Points:</w:t>
      </w:r>
    </w:p>
    <w:p>
      <w:pPr>
        <w:pStyle w:val="ListParagraph"/>
        <w:numPr>
          <w:ilvl w:val="0"/>
          <w:numId w:val="2"/>
        </w:numPr>
        <w:spacing w:after="40" w:before="40"/>
      </w:pPr>
      <w:r>
        <w:rPr>
          <w:rFonts w:ascii="Arial" w:cs="Arial" w:eastAsia="Arial" w:hAnsi="Arial"/>
          <w:sz w:val="20"/>
          <w:szCs w:val="20"/>
        </w:rPr>
        <w:t xml:space="preserve">Expose a /webhook endpoint in FastAPI that TriggerWare calls on schedule</w:t>
      </w:r>
    </w:p>
    <w:p>
      <w:pPr>
        <w:pStyle w:val="ListParagraph"/>
        <w:numPr>
          <w:ilvl w:val="0"/>
          <w:numId w:val="2"/>
        </w:numPr>
        <w:spacing w:after="40" w:before="40"/>
      </w:pPr>
      <w:r>
        <w:rPr>
          <w:rFonts w:ascii="Arial" w:cs="Arial" w:eastAsia="Arial" w:hAnsi="Arial"/>
          <w:sz w:val="20"/>
          <w:szCs w:val="20"/>
        </w:rPr>
        <w:t xml:space="preserve">Fortify DD returns a diff payload: { vendor, previous_rating, current_rating, changed_dimensions, summary }</w:t>
      </w:r>
    </w:p>
    <w:p>
      <w:pPr>
        <w:pStyle w:val="ListParagraph"/>
        <w:numPr>
          <w:ilvl w:val="0"/>
          <w:numId w:val="2"/>
        </w:numPr>
        <w:spacing w:after="40" w:before="40"/>
      </w:pPr>
      <w:r>
        <w:rPr>
          <w:rFonts w:ascii="Arial" w:cs="Arial" w:eastAsia="Arial" w:hAnsi="Arial"/>
          <w:sz w:val="20"/>
          <w:szCs w:val="20"/>
        </w:rPr>
        <w:t xml:space="preserve">TriggerWare workflow: IF current_rating != previous_rating → route to appropriate action based on severity</w:t>
      </w:r>
    </w:p>
    <w:p>
      <w:pPr>
        <w:spacing w:after="0" w:before="60"/>
      </w:pPr>
      <w:r>
        <w:t xml:space="preserve"/>
      </w:r>
    </w:p>
    <w:p>
      <w:pPr>
        <w:spacing w:after="60" w:before="200"/>
      </w:pPr>
      <w:r>
        <w:rPr>
          <w:rFonts w:ascii="Arial" w:cs="Arial" w:eastAsia="Arial" w:hAnsi="Arial"/>
          <w:b/>
          <w:bCs/>
          <w:color w:val="1B2A4A"/>
          <w:sz w:val="22"/>
          <w:szCs w:val="22"/>
        </w:rPr>
        <w:t xml:space="preserve">Partner Prize Challenge:</w:t>
      </w:r>
    </w:p>
    <w:p>
      <w:pPr>
        <w:spacing w:after="60" w:before="60"/>
      </w:pPr>
      <w:r>
        <w:rPr>
          <w:rFonts w:ascii="Arial" w:cs="Arial" w:eastAsia="Arial" w:hAnsi="Arial"/>
          <w:sz w:val="20"/>
          <w:szCs w:val="20"/>
        </w:rPr>
        <w:t xml:space="preserve">Best Use of Automated Workflows with TriggerWare.ai — 'connect agents, live web data, tools, and actions into a useful end-to-end workflow.' The watchlist-to-alert pipeline is a textbook demonstration of this.</w:t>
      </w:r>
    </w:p>
    <w:p>
      <w:pPr>
        <w:spacing w:after="0" w:before="100"/>
      </w:pPr>
      <w:r>
        <w:t xml:space="preserve"/>
      </w:r>
    </w:p>
    <w:p>
      <w:pPr>
        <w:pStyle w:val="Heading2"/>
        <w:spacing w:after="60" w:before="260"/>
      </w:pPr>
      <w:r>
        <w:rPr>
          <w:rFonts w:ascii="Arial" w:cs="Arial" w:eastAsia="Arial" w:hAnsi="Arial"/>
          <w:b/>
          <w:bCs/>
          <w:color w:val="0E7C86"/>
          <w:sz w:val="26"/>
          <w:szCs w:val="26"/>
        </w:rPr>
        <w:t xml:space="preserve">3.3  AI/ML API — Multi-Model Intelligence Layer  🤖  Priority: SHOULD</w:t>
      </w:r>
    </w:p>
    <w:p>
      <w:pPr>
        <w:pBdr>
          <w:left w:val="single" w:color="C05A00" w:sz="20" w:space="8"/>
        </w:pBdr>
        <w:shd w:fill="FDF3EA" w:val="clear"/>
        <w:spacing w:after="80" w:before="80"/>
        <w:ind w:left="280" w:right="280"/>
      </w:pPr>
      <w:r>
        <w:t>Not every stage needs the same model. Smart model routing makes the pipeline faster, cheaper, and more architecturally impressive to judges, with Google Gemini as the primary synthesis LLM.</w:t>
      </w:r>
    </w:p>
    <w:p>
      <w:pPr>
        <w:spacing w:after="0" w:before="60"/>
      </w:pPr>
      <w:r>
        <w:t xml:space="preserve"/>
      </w:r>
    </w:p>
    <w:p>
      <w:pPr>
        <w:spacing w:after="60" w:before="60"/>
      </w:pPr>
      <w:r>
        <w:t>AI/ML API provides unified access to 100+ AI models — from fast lightweight models to frontier reasoning models — through a single API. The strategic move is to use the right model at each stage of the pipeline rather than routing everything through Gemini.</w:t>
      </w:r>
    </w:p>
    <w:p>
      <w:pPr>
        <w:spacing w:after="0" w:before="60"/>
      </w:pPr>
      <w:r>
        <w:t xml:space="preserve"/>
      </w:r>
    </w:p>
    <w:p>
      <w:pPr>
        <w:spacing w:after="60" w:before="200"/>
      </w:pPr>
      <w:r>
        <w:rPr>
          <w:rFonts w:ascii="Arial" w:cs="Arial" w:eastAsia="Arial" w:hAnsi="Arial"/>
          <w:b/>
          <w:bCs/>
          <w:color w:val="1B2A4A"/>
          <w:sz w:val="22"/>
          <w:szCs w:val="22"/>
        </w:rPr>
        <w:t xml:space="preserve">Proposed 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Pipeline Stage</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Model</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Via</w:t>
            </w:r>
          </w:p>
        </w:tc>
        <w:tc>
          <w:tcPr>
            <w:tcW w:type="dxa" w:w="236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Rationale</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SERP triage — rank 20 results by relevance</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Llama 3.1 8B (fast)</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AI/ML API</w:t>
            </w:r>
          </w:p>
        </w:tc>
        <w:tc>
          <w:tcPr>
            <w:tcW w:type="dxa" w:w="2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Speed-optimised; no deep reasoning needed</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Deep synthesis — final risk brief</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Google Gemini</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Google</w:t>
            </w:r>
          </w:p>
        </w:tc>
        <w:tc>
          <w:tcPr>
            <w:tcW w:type="dxa" w:w="2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Best structured output quality for compliance context</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Delta comparison — risk drift summary</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Mistral 7B Instruct</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AI/ML API</w:t>
            </w:r>
          </w:p>
        </w:tc>
        <w:tc>
          <w:tcPr>
            <w:tcW w:type="dxa" w:w="2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Low-latency diff task; cost-efficient at scale</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Voice summary — brief-to-speech script</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Google Gemini</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Google</w:t>
            </w:r>
          </w:p>
        </w:tc>
        <w:tc>
          <w:tcPr>
            <w:tcW w:type="dxa" w:w="2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Needs nuanced, natural-sounding summary phrasing</w:t>
            </w:r>
          </w:p>
        </w:tc>
      </w:tr>
    </w:tbl>
    <w:p>
      <w:pPr>
        <w:spacing w:after="0" w:before="60"/>
      </w:pPr>
      <w:r>
        <w:t xml:space="preserve"/>
      </w:r>
    </w:p>
    <w:p>
      <w:pPr>
        <w:spacing w:after="60" w:before="200"/>
      </w:pPr>
      <w:r>
        <w:rPr>
          <w:rFonts w:ascii="Arial" w:cs="Arial" w:eastAsia="Arial" w:hAnsi="Arial"/>
          <w:b/>
          <w:bCs/>
          <w:color w:val="1B2A4A"/>
          <w:sz w:val="22"/>
          <w:szCs w:val="22"/>
        </w:rPr>
        <w:t xml:space="preserve">Partner Prize Challenge:</w:t>
      </w:r>
    </w:p>
    <w:p>
      <w:pPr>
        <w:spacing w:after="60" w:before="60"/>
      </w:pPr>
      <w:r>
        <w:rPr>
          <w:rFonts w:ascii="Arial" w:cs="Arial" w:eastAsia="Arial" w:hAnsi="Arial"/>
          <w:sz w:val="20"/>
          <w:szCs w:val="20"/>
        </w:rPr>
        <w:t xml:space="preserve">Best Use of AI/ML API for powering the intelligence layer — 'reasoning, automation, extraction, or multimodal AI workflows.' Multi-model orchestration across a full compliance pipeline is a strong submission. Credits: $10/person, up to 500 participants — claim immediately.</w:t>
      </w:r>
    </w:p>
    <w:p>
      <w:pPr>
        <w:spacing w:after="0" w:before="100"/>
      </w:pPr>
      <w:r>
        <w:t xml:space="preserve"/>
      </w:r>
    </w:p>
    <w:p>
      <w:pPr>
        <w:pStyle w:val="Heading2"/>
        <w:spacing w:after="60" w:before="260"/>
      </w:pPr>
      <w:r>
        <w:rPr>
          <w:rFonts w:ascii="Arial" w:cs="Arial" w:eastAsia="Arial" w:hAnsi="Arial"/>
          <w:b/>
          <w:bCs/>
          <w:color w:val="0E7C86"/>
          <w:sz w:val="26"/>
          <w:szCs w:val="26"/>
        </w:rPr>
        <w:t xml:space="preserve">3.4  Speechmatics — Voice Layer  🎙️  Priority: STRETCH GOAL</w:t>
      </w:r>
    </w:p>
    <w:p>
      <w:pPr>
        <w:pBdr>
          <w:left w:val="single" w:color="8B1A5C" w:sz="20" w:space="8"/>
        </w:pBdr>
        <w:shd w:fill="F9F0F6" w:val="clear"/>
        <w:spacing w:after="80" w:before="80"/>
        <w:ind w:left="280" w:right="280"/>
      </w:pPr>
      <w:r>
        <w:rPr>
          <w:rFonts w:ascii="Arial" w:cs="Arial" w:eastAsia="Arial" w:hAnsi="Arial"/>
          <w:i/>
          <w:iCs/>
          <w:color w:val="1B2A4A"/>
          <w:sz w:val="22"/>
          <w:szCs w:val="22"/>
        </w:rPr>
        <w:t xml:space="preserve">Claim the $200 credits today regardless. Build it on Day 5 if the pipeline is solid. It turns a good demo into an unforgettable one.</w:t>
      </w:r>
    </w:p>
    <w:p>
      <w:pPr>
        <w:spacing w:after="0" w:before="60"/>
      </w:pPr>
      <w:r>
        <w:t xml:space="preserve"/>
      </w:r>
    </w:p>
    <w:p>
      <w:pPr>
        <w:spacing w:after="60" w:before="60"/>
      </w:pPr>
      <w:r>
        <w:rPr>
          <w:rFonts w:ascii="Arial" w:cs="Arial" w:eastAsia="Arial" w:hAnsi="Arial"/>
          <w:sz w:val="20"/>
          <w:szCs w:val="20"/>
        </w:rPr>
        <w:t xml:space="preserve">Speechmatics provides speech-to-text and text-to-speech capabilities. For Fortify DD, the primary use case is the voice alert layer: when TriggerWare fires a risk event, Speechmatics reads the risk brief aloud as a spoken bulletin.</w:t>
      </w:r>
    </w:p>
    <w:p>
      <w:pPr>
        <w:spacing w:after="0" w:before="60"/>
      </w:pPr>
      <w:r>
        <w:t xml:space="preserve"/>
      </w:r>
    </w:p>
    <w:p>
      <w:pPr>
        <w:spacing w:after="60" w:before="200"/>
      </w:pPr>
      <w:r>
        <w:rPr>
          <w:rFonts w:ascii="Arial" w:cs="Arial" w:eastAsia="Arial" w:hAnsi="Arial"/>
          <w:b/>
          <w:bCs/>
          <w:color w:val="1B2A4A"/>
          <w:sz w:val="22"/>
          <w:szCs w:val="22"/>
        </w:rPr>
        <w:t xml:space="preserve">What This Enables:</w:t>
      </w:r>
    </w:p>
    <w:p>
      <w:pPr>
        <w:pStyle w:val="ListParagraph"/>
        <w:numPr>
          <w:ilvl w:val="0"/>
          <w:numId w:val="2"/>
        </w:numPr>
        <w:spacing w:after="40" w:before="40"/>
      </w:pPr>
      <w:r>
        <w:rPr>
          <w:rFonts w:ascii="Arial" w:cs="Arial" w:eastAsia="Arial" w:hAnsi="Arial"/>
          <w:sz w:val="20"/>
          <w:szCs w:val="20"/>
        </w:rPr>
        <w:t xml:space="preserve">Compliance officer receives a spoken alert: 'Vendor Acme Corp has been downgraded to RED. Reason: two regulatory enforcement actions detected this week. Recommended action: pause onboarding pending review.'</w:t>
      </w:r>
    </w:p>
    <w:p>
      <w:pPr>
        <w:pStyle w:val="ListParagraph"/>
        <w:numPr>
          <w:ilvl w:val="0"/>
          <w:numId w:val="2"/>
        </w:numPr>
        <w:spacing w:after="40" w:before="40"/>
      </w:pPr>
      <w:r>
        <w:rPr>
          <w:rFonts w:ascii="Arial" w:cs="Arial" w:eastAsia="Arial" w:hAnsi="Arial"/>
          <w:sz w:val="20"/>
          <w:szCs w:val="20"/>
        </w:rPr>
        <w:t xml:space="preserve">Hands-free monitoring: a risk brief delivered as audio while the user is in another application</w:t>
      </w:r>
    </w:p>
    <w:p>
      <w:pPr>
        <w:pStyle w:val="ListParagraph"/>
        <w:numPr>
          <w:ilvl w:val="0"/>
          <w:numId w:val="2"/>
        </w:numPr>
        <w:spacing w:after="40" w:before="40"/>
      </w:pPr>
      <w:r>
        <w:rPr>
          <w:rFonts w:ascii="Arial" w:cs="Arial" w:eastAsia="Arial" w:hAnsi="Arial"/>
          <w:sz w:val="20"/>
          <w:szCs w:val="20"/>
        </w:rPr>
        <w:t xml:space="preserve">Demo moment: after TriggerWare fires the alert, Speechmatics reads it aloud live on screen — the audience hears the intelligence, not just reads it</w:t>
      </w:r>
    </w:p>
    <w:p>
      <w:pPr>
        <w:spacing w:after="0" w:before="60"/>
      </w:pPr>
      <w:r>
        <w:t xml:space="preserve"/>
      </w:r>
    </w:p>
    <w:p>
      <w:pPr>
        <w:spacing w:after="60" w:before="200"/>
      </w:pPr>
      <w:r>
        <w:rPr>
          <w:rFonts w:ascii="Arial" w:cs="Arial" w:eastAsia="Arial" w:hAnsi="Arial"/>
          <w:b/>
          <w:bCs/>
          <w:color w:val="1B2A4A"/>
          <w:sz w:val="22"/>
          <w:szCs w:val="22"/>
        </w:rPr>
        <w:t xml:space="preserve">Integration Points:</w:t>
      </w:r>
    </w:p>
    <w:p>
      <w:pPr>
        <w:pStyle w:val="ListParagraph"/>
        <w:numPr>
          <w:ilvl w:val="0"/>
          <w:numId w:val="2"/>
        </w:numPr>
        <w:spacing w:after="40" w:before="40"/>
      </w:pPr>
      <w:r>
        <w:rPr>
          <w:rFonts w:ascii="Arial" w:cs="Arial" w:eastAsia="Arial" w:hAnsi="Arial"/>
          <w:sz w:val="20"/>
          <w:szCs w:val="20"/>
        </w:rPr>
        <w:t xml:space="preserve">After TriggerWare fires a RED alert, pass the brief summary to Speechmatics TTS API</w:t>
      </w:r>
    </w:p>
    <w:p>
      <w:pPr>
        <w:pStyle w:val="ListParagraph"/>
        <w:numPr>
          <w:ilvl w:val="0"/>
          <w:numId w:val="2"/>
        </w:numPr>
        <w:spacing w:after="40" w:before="40"/>
      </w:pPr>
      <w:r>
        <w:rPr>
          <w:rFonts w:ascii="Arial" w:cs="Arial" w:eastAsia="Arial" w:hAnsi="Arial"/>
          <w:sz w:val="20"/>
          <w:szCs w:val="20"/>
        </w:rPr>
        <w:t xml:space="preserve">Return the audio file URL alongside the JSON brief in the API response</w:t>
      </w:r>
    </w:p>
    <w:p>
      <w:pPr>
        <w:pStyle w:val="ListParagraph"/>
        <w:numPr>
          <w:ilvl w:val="0"/>
          <w:numId w:val="2"/>
        </w:numPr>
        <w:spacing w:after="40" w:before="40"/>
      </w:pPr>
      <w:r>
        <w:rPr>
          <w:rFonts w:ascii="Arial" w:cs="Arial" w:eastAsia="Arial" w:hAnsi="Arial"/>
          <w:sz w:val="20"/>
          <w:szCs w:val="20"/>
        </w:rPr>
        <w:t xml:space="preserve">In the demo UI, auto-play the audio when a risk alert fires</w:t>
      </w:r>
    </w:p>
    <w:p>
      <w:pPr>
        <w:spacing w:after="0" w:before="60"/>
      </w:pPr>
      <w:r>
        <w:t xml:space="preserve"/>
      </w:r>
    </w:p>
    <w:p>
      <w:pPr>
        <w:spacing w:after="60" w:before="200"/>
      </w:pPr>
      <w:r>
        <w:rPr>
          <w:rFonts w:ascii="Arial" w:cs="Arial" w:eastAsia="Arial" w:hAnsi="Arial"/>
          <w:b/>
          <w:bCs/>
          <w:color w:val="1B2A4A"/>
          <w:sz w:val="22"/>
          <w:szCs w:val="22"/>
        </w:rPr>
        <w:t xml:space="preserve">Access Details:</w:t>
      </w:r>
    </w:p>
    <w:p>
      <w:pPr>
        <w:pStyle w:val="ListParagraph"/>
        <w:numPr>
          <w:ilvl w:val="0"/>
          <w:numId w:val="2"/>
        </w:numPr>
        <w:spacing w:after="40" w:before="40"/>
      </w:pPr>
      <w:r>
        <w:rPr>
          <w:rFonts w:ascii="Arial" w:cs="Arial" w:eastAsia="Arial" w:hAnsi="Arial"/>
          <w:sz w:val="20"/>
          <w:szCs w:val="20"/>
        </w:rPr>
        <w:t xml:space="preserve">$200 API credits — first 100 participants only. Claim immediately via promo code WEBDATAHACK200</w:t>
      </w:r>
    </w:p>
    <w:p>
      <w:pPr>
        <w:pStyle w:val="ListParagraph"/>
        <w:numPr>
          <w:ilvl w:val="0"/>
          <w:numId w:val="2"/>
        </w:numPr>
        <w:spacing w:after="40" w:before="40"/>
      </w:pPr>
      <w:r>
        <w:rPr>
          <w:rFonts w:ascii="Arial" w:cs="Arial" w:eastAsia="Arial" w:hAnsi="Arial"/>
          <w:sz w:val="20"/>
          <w:szCs w:val="20"/>
        </w:rPr>
        <w:t xml:space="preserve">Validity: 1 month. Setup guide available in the hackathon Workshops section</w:t>
      </w:r>
    </w:p>
    <w:p>
      <w:pPr>
        <w:pStyle w:val="Heading1"/>
        <w:spacing w:after="80" w:before="360"/>
      </w:pPr>
      <w:r>
        <w:rPr>
          <w:rFonts w:ascii="Arial" w:cs="Arial" w:eastAsia="Arial" w:hAnsi="Arial"/>
          <w:b/>
          <w:bCs/>
          <w:color w:val="1B2A4A"/>
          <w:sz w:val="36"/>
          <w:szCs w:val="36"/>
        </w:rPr>
        <w:t xml:space="preserve">4. Updated Technical Architecture</w:t>
      </w:r>
    </w:p>
    <w:p>
      <w:pPr>
        <w:pBdr>
          <w:bottom w:val="single" w:color="0E7C86" w:sz="8" w:space="1"/>
        </w:pBdr>
        <w:spacing w:after="120" w:before="0"/>
      </w:pPr>
      <w:r>
        <w:t xml:space="preserve"/>
      </w:r>
    </w:p>
    <w:p>
      <w:pPr>
        <w:pStyle w:val="Heading2"/>
        <w:spacing w:after="60" w:before="260"/>
      </w:pPr>
      <w:r>
        <w:rPr>
          <w:rFonts w:ascii="Arial" w:cs="Arial" w:eastAsia="Arial" w:hAnsi="Arial"/>
          <w:b/>
          <w:bCs/>
          <w:color w:val="0E7C86"/>
          <w:sz w:val="26"/>
          <w:szCs w:val="26"/>
        </w:rPr>
        <w:t xml:space="preserve">4.1  Full Stack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Layer</w:t>
            </w:r>
          </w:p>
        </w:tc>
        <w:tc>
          <w:tcPr>
            <w:tcW w:type="dxa" w:w="328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Technology</w:t>
            </w:r>
          </w:p>
        </w:tc>
        <w:tc>
          <w:tcPr>
            <w:tcW w:type="dxa" w:w="388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Role</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API Framework</w:t>
            </w:r>
          </w:p>
        </w:tc>
        <w:tc>
          <w:tcPr>
            <w:tcW w:type="dxa" w:w="3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FastAPI (Python 3.11+)</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Async REST API, background tasks, webhook endpoints</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Agent Orchestration</w:t>
            </w:r>
          </w:p>
        </w:tc>
        <w:tc>
          <w:tcPr>
            <w:tcW w:type="dxa" w:w="32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LangGraph</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Directed graph of agent nodes with visible state — ideal for demo</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Memory</w:t>
            </w:r>
          </w:p>
        </w:tc>
        <w:tc>
          <w:tcPr>
            <w:tcW w:type="dxa" w:w="3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r>
              <w:t>Fortify memory store</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Persistent vendor knowledge graph, risk drift detection</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Event Automation</w:t>
            </w:r>
          </w:p>
        </w:tc>
        <w:tc>
          <w:tcPr>
            <w:tcW w:type="dxa" w:w="32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TriggerWare.ai</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Scheduled polling, risk-change event routing, downstream actions</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LLM — Synthesis</w:t>
            </w:r>
          </w:p>
        </w:tc>
        <w:tc>
          <w:tcPr>
            <w:tcW w:type="dxa" w:w="3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Google Gemini (Google)</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Final risk brief generation, delta summaries, voice scripts</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LLM — Triage</w:t>
            </w:r>
          </w:p>
        </w:tc>
        <w:tc>
          <w:tcPr>
            <w:tcW w:type="dxa" w:w="32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Llama 3.1 8B via AI/ML API</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SERP result scoring, fast relevance ranking</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Web Data — Search</w:t>
            </w:r>
          </w:p>
        </w:tc>
        <w:tc>
          <w:tcPr>
            <w:tcW w:type="dxa" w:w="3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 SERP API</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Google/Bing/Yandex live search results</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Web Data — Fetch</w:t>
            </w:r>
          </w:p>
        </w:tc>
        <w:tc>
          <w:tcPr>
            <w:tcW w:type="dxa" w:w="32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 Web Unlocker</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Full page content bypassing bot detection &amp; JS rendering</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Web Data — Navigate</w:t>
            </w:r>
          </w:p>
        </w:tc>
        <w:tc>
          <w:tcPr>
            <w:tcW w:type="dxa" w:w="3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 MCP Server</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Sanctions portals, EDGAR, Companies House navigation</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Voice Layer</w:t>
            </w:r>
          </w:p>
        </w:tc>
        <w:tc>
          <w:tcPr>
            <w:tcW w:type="dxa" w:w="32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Speechmatics TTS</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Spoken alert readout on risk rating change events</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Demo Frontend</w:t>
            </w:r>
          </w:p>
        </w:tc>
        <w:tc>
          <w:tcPr>
            <w:tcW w:type="dxa" w:w="3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React + Tailwind</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Vendor input → live pipeline progress → risk brief + audio</w:t>
            </w:r>
          </w:p>
        </w:tc>
      </w:tr>
    </w:tbl>
    <w:p>
      <w:pPr>
        <w:spacing w:after="0" w:before="120"/>
      </w:pPr>
      <w:r>
        <w:t xml:space="preserve"/>
      </w:r>
    </w:p>
    <w:p>
      <w:pPr>
        <w:pStyle w:val="Heading2"/>
        <w:spacing w:after="60" w:before="260"/>
      </w:pPr>
      <w:r>
        <w:rPr>
          <w:rFonts w:ascii="Arial" w:cs="Arial" w:eastAsia="Arial" w:hAnsi="Arial"/>
          <w:b/>
          <w:bCs/>
          <w:color w:val="0E7C86"/>
          <w:sz w:val="26"/>
          <w:szCs w:val="26"/>
        </w:rPr>
        <w:t xml:space="preserve">4.2  Upgraded Agent Pipeline (LangGraph Nodes)</w:t>
      </w:r>
    </w:p>
    <w:p>
      <w:pPr>
        <w:spacing w:after="60" w:before="60"/>
      </w:pPr>
      <w:r>
        <w:t>The v2.0 pipeline adds three new nodes to the v1.0 graph: a memory_query_node at the start, a compare_node after synthesis, and a store_memory_node at the end. TriggerWare sits outside the graph as the scheduled trigger and delta source.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3600"/>
        <w:gridCol w:w="3200"/>
      </w:tblGrid>
      <w:tr>
        <w:tc>
          <w:tcPr>
            <w:tcW w:type="dxa" w:w="36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w:t>
            </w:r>
          </w:p>
        </w:tc>
        <w:tc>
          <w:tcPr>
            <w:tcW w:type="dxa" w:w="220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Node</w:t>
            </w:r>
          </w:p>
        </w:tc>
        <w:tc>
          <w:tcPr>
            <w:tcW w:type="dxa" w:w="360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What Happens</w:t>
            </w:r>
          </w:p>
        </w:tc>
        <w:tc>
          <w:tcPr>
            <w:tcW w:type="dxa" w:w="320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Sponsor / Tool</w:t>
            </w:r>
          </w:p>
        </w:tc>
      </w:tr>
      <w:tr>
        <w:tc>
          <w:tcPr>
            <w:tcW w:type="dxa" w:w="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1</w:t>
            </w:r>
          </w:p>
        </w:tc>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memory_query_node</w:t>
            </w:r>
          </w:p>
        </w:tc>
        <w:tc>
          <w:tcPr>
            <w:tcW w:type="dxa" w:w="3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Query the Fortify memory store for existing knowledge on this vendor. Returns previous brief, risk history, and known entity relationships. New vendors return empty.</w:t>
            </w:r>
          </w:p>
        </w:tc>
        <w:tc>
          <w:tcPr>
            <w:tcW w:type="dxa" w:w="3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r>
              <w:t>Fortify memory store</w:t>
            </w:r>
          </w:p>
        </w:tc>
      </w:tr>
      <w:tr>
        <w:tc>
          <w:tcPr>
            <w:tcW w:type="dxa" w:w="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2</w:t>
            </w:r>
          </w:p>
        </w:tc>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start_node</w:t>
            </w:r>
          </w:p>
        </w:tc>
        <w:tc>
          <w:tcPr>
            <w:tcW w:type="dxa" w:w="3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Validate input. Create task_id. Initialise state including memory context from node 1.</w:t>
            </w:r>
          </w:p>
        </w:tc>
        <w:tc>
          <w:tcPr>
            <w:tcW w:type="dxa" w:w="3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w:t>
            </w:r>
          </w:p>
        </w:tc>
      </w:tr>
      <w:tr>
        <w:tc>
          <w:tcPr>
            <w:tcW w:type="dxa" w:w="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3</w:t>
            </w:r>
          </w:p>
        </w:tc>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triage_node</w:t>
            </w:r>
          </w:p>
        </w:tc>
        <w:tc>
          <w:tcPr>
            <w:tcW w:type="dxa" w:w="3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AI/ML API (Llama 8B) scores 20 SERP results for relevance. Returns ranked list. Fast — under 3 seconds.</w:t>
            </w:r>
          </w:p>
        </w:tc>
        <w:tc>
          <w:tcPr>
            <w:tcW w:type="dxa" w:w="3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AI/ML API 🤖</w:t>
            </w:r>
          </w:p>
        </w:tc>
      </w:tr>
      <w:tr>
        <w:tc>
          <w:tcPr>
            <w:tcW w:type="dxa" w:w="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4</w:t>
            </w:r>
          </w:p>
        </w:tc>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serp_node</w:t>
            </w:r>
          </w:p>
        </w:tc>
        <w:tc>
          <w:tcPr>
            <w:tcW w:type="dxa" w:w="3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Bright Data SERP API queries: company name, news, LinkedIn, legal. Returns top results.</w:t>
            </w:r>
          </w:p>
        </w:tc>
        <w:tc>
          <w:tcPr>
            <w:tcW w:type="dxa" w:w="3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w:t>
            </w:r>
          </w:p>
        </w:tc>
      </w:tr>
      <w:tr>
        <w:tc>
          <w:tcPr>
            <w:tcW w:type="dxa" w:w="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5</w:t>
            </w:r>
          </w:p>
        </w:tc>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fetch_node</w:t>
            </w:r>
          </w:p>
        </w:tc>
        <w:tc>
          <w:tcPr>
            <w:tcW w:type="dxa" w:w="3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Web Unlocker fetches full content for top 6–8 ranked URLs. Handles JS, CAPTCHAs, geo-blocks.</w:t>
            </w:r>
          </w:p>
        </w:tc>
        <w:tc>
          <w:tcPr>
            <w:tcW w:type="dxa" w:w="3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w:t>
            </w:r>
          </w:p>
        </w:tc>
      </w:tr>
      <w:tr>
        <w:tc>
          <w:tcPr>
            <w:tcW w:type="dxa" w:w="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6</w:t>
            </w:r>
          </w:p>
        </w:tc>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sanctions_node</w:t>
            </w:r>
          </w:p>
        </w:tc>
        <w:tc>
          <w:tcPr>
            <w:tcW w:type="dxa" w:w="3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MCP Server navigates OFAC SDN list, EU consolidated sanctions, SEC EDGAR, Companies House.</w:t>
            </w:r>
          </w:p>
        </w:tc>
        <w:tc>
          <w:tcPr>
            <w:tcW w:type="dxa" w:w="3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 MCP</w:t>
            </w:r>
          </w:p>
        </w:tc>
      </w:tr>
      <w:tr>
        <w:tc>
          <w:tcPr>
            <w:tcW w:type="dxa" w:w="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7</w:t>
            </w:r>
          </w:p>
        </w:tc>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hiring_node</w:t>
            </w:r>
          </w:p>
        </w:tc>
        <w:tc>
          <w:tcPr>
            <w:tcW w:type="dxa" w:w="3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Web Unlocker scrapes LinkedIn jobs + Glassdoor. Signals: headcount trend, financial health.</w:t>
            </w:r>
          </w:p>
        </w:tc>
        <w:tc>
          <w:tcPr>
            <w:tcW w:type="dxa" w:w="3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w:t>
            </w:r>
          </w:p>
        </w:tc>
      </w:tr>
      <w:tr>
        <w:tc>
          <w:tcPr>
            <w:tcW w:type="dxa" w:w="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8</w:t>
            </w:r>
          </w:p>
        </w:tc>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synthesise_node</w:t>
            </w:r>
          </w:p>
        </w:tc>
        <w:tc>
          <w:tcPr>
            <w:tcW w:type="dxa" w:w="3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Google Gemini receives structured context dict (raw data + prior vendor knowledge). Outputs JSON risk report with 5-dimension scoring.</w:t>
            </w:r>
          </w:p>
        </w:tc>
        <w:tc>
          <w:tcPr>
            <w:tcW w:type="dxa" w:w="3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Google Gemini</w:t>
            </w:r>
          </w:p>
        </w:tc>
      </w:tr>
      <w:tr>
        <w:tc>
          <w:tcPr>
            <w:tcW w:type="dxa" w:w="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9</w:t>
            </w:r>
          </w:p>
        </w:tc>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compare_node</w:t>
            </w:r>
          </w:p>
        </w:tc>
        <w:tc>
          <w:tcPr>
            <w:tcW w:type="dxa" w:w="3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If Fortify memory has a previous brief: Gemini compares old vs new. Outputs delta: changed dimensions, rating change, narrative.</w:t>
            </w:r>
          </w:p>
        </w:tc>
        <w:tc>
          <w:tcPr>
            <w:tcW w:type="dxa" w:w="3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Google Gemini + Fortify memory store</w:t>
            </w:r>
          </w:p>
        </w:tc>
      </w:tr>
      <w:tr>
        <w:tc>
          <w:tcPr>
            <w:tcW w:type="dxa" w:w="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10</w:t>
            </w:r>
          </w:p>
        </w:tc>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store_memory_node</w:t>
            </w:r>
          </w:p>
        </w:tc>
        <w:tc>
          <w:tcPr>
            <w:tcW w:type="dxa" w:w="3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Store full risk brief to Fortify memory under vendor entity key. Timestamp, source-cite, link to prior briefs.</w:t>
            </w:r>
          </w:p>
        </w:tc>
        <w:tc>
          <w:tcPr>
            <w:tcW w:type="dxa" w:w="3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r>
              <w:t>Fortify memory store</w:t>
            </w:r>
          </w:p>
        </w:tc>
      </w:tr>
      <w:tr>
        <w:tc>
          <w:tcPr>
            <w:tcW w:type="dxa" w:w="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11</w:t>
            </w:r>
          </w:p>
        </w:tc>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output_node</w:t>
            </w:r>
          </w:p>
        </w:tc>
        <w:tc>
          <w:tcPr>
            <w:tcW w:type="dxa" w:w="3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Format and return structured JSON + human brief. If rating changed: fire TriggerWare webhook. If RED: generate Speechmatics audio.</w:t>
            </w:r>
          </w:p>
        </w:tc>
        <w:tc>
          <w:tcPr>
            <w:tcW w:type="dxa" w:w="3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TriggerWare + Speechmatics</w:t>
            </w:r>
          </w:p>
        </w:tc>
      </w:tr>
    </w:tbl>
    <w:p>
      <w:pPr>
        <w:spacing w:after="0" w:before="120"/>
      </w:pPr>
      <w:r>
        <w:t xml:space="preserve"/>
      </w:r>
    </w:p>
    <w:p>
      <w:pPr>
        <w:pStyle w:val="Heading2"/>
        <w:spacing w:after="60" w:before="260"/>
      </w:pPr>
      <w:r>
        <w:rPr>
          <w:rFonts w:ascii="Arial" w:cs="Arial" w:eastAsia="Arial" w:hAnsi="Arial"/>
          <w:b/>
          <w:bCs/>
          <w:color w:val="0E7C86"/>
          <w:sz w:val="26"/>
          <w:szCs w:val="26"/>
        </w:rPr>
        <w:t xml:space="preserve">4.3  API Endpoints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000"/>
        <w:gridCol w:w="2960"/>
      </w:tblGrid>
      <w:tr>
        <w:tc>
          <w:tcPr>
            <w:tcW w:type="dxa" w:w="10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Method</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Endpoint</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Description</w:t>
            </w:r>
          </w:p>
        </w:tc>
        <w:tc>
          <w:tcPr>
            <w:tcW w:type="dxa" w:w="296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Response</w:t>
            </w:r>
          </w:p>
        </w:tc>
      </w:tr>
      <w:tr>
        <w:tc>
          <w:tcPr>
            <w:tcW w:type="dxa" w:w="1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POST</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/assess</w:t>
            </w:r>
          </w:p>
        </w:tc>
        <w:tc>
          <w:tcPr>
            <w:tcW w:type="dxa" w:w="3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Submit vendor for assessment. Triggers full pipeline.</w:t>
            </w:r>
          </w:p>
        </w:tc>
        <w:tc>
          <w:tcPr>
            <w:tcW w:type="dxa" w:w="29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task_id, status: 'running' }</w:t>
            </w:r>
          </w:p>
        </w:tc>
      </w:tr>
      <w:tr>
        <w:tc>
          <w:tcPr>
            <w:tcW w:type="dxa" w:w="1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GET</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/assess/{task_id}</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Poll for results. Returns brief when complete.</w:t>
            </w:r>
          </w:p>
        </w:tc>
        <w:tc>
          <w:tcPr>
            <w:tcW w:type="dxa" w:w="29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status, risk_brief, delta? }</w:t>
            </w:r>
          </w:p>
        </w:tc>
      </w:tr>
      <w:tr>
        <w:tc>
          <w:tcPr>
            <w:tcW w:type="dxa" w:w="1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GET</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/vendor/{name}/history</w:t>
            </w:r>
          </w:p>
        </w:tc>
        <w:tc>
          <w:tcPr>
            <w:tcW w:type="dxa" w:w="3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Retrieve all historical briefs from Fortify memory.</w:t>
            </w:r>
          </w:p>
        </w:tc>
        <w:tc>
          <w:tcPr>
            <w:tcW w:type="dxa" w:w="29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vendor, assessments: [...] }</w:t>
            </w:r>
          </w:p>
        </w:tc>
      </w:tr>
      <w:tr>
        <w:tc>
          <w:tcPr>
            <w:tcW w:type="dxa" w:w="1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POST</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/watchlist</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Subscribe a vendor for scheduled monitoring.</w:t>
            </w:r>
          </w:p>
        </w:tc>
        <w:tc>
          <w:tcPr>
            <w:tcW w:type="dxa" w:w="29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vendor, schedule, webhooks }</w:t>
            </w:r>
          </w:p>
        </w:tc>
      </w:tr>
      <w:tr>
        <w:tc>
          <w:tcPr>
            <w:tcW w:type="dxa" w:w="1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POST</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/webhook/trigger</w:t>
            </w:r>
          </w:p>
        </w:tc>
        <w:tc>
          <w:tcPr>
            <w:tcW w:type="dxa" w:w="3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TriggerWare polling endpoint. Returns diff payload.</w:t>
            </w:r>
          </w:p>
        </w:tc>
        <w:tc>
          <w:tcPr>
            <w:tcW w:type="dxa" w:w="29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vendor, rating_changed, diff }</w:t>
            </w:r>
          </w:p>
        </w:tc>
      </w:tr>
      <w:tr>
        <w:tc>
          <w:tcPr>
            <w:tcW w:type="dxa" w:w="1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GET</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/health</w:t>
            </w:r>
          </w:p>
        </w:tc>
        <w:tc>
          <w:tcPr>
            <w:tcW w:type="dxa" w:w="3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Service health check.</w:t>
            </w:r>
          </w:p>
        </w:tc>
        <w:tc>
          <w:tcPr>
            <w:tcW w:type="dxa" w:w="29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status: 'ok' }</w:t>
            </w:r>
          </w:p>
        </w:tc>
      </w:tr>
    </w:tbl>
    <w:p>
      <w:pPr>
        <w:pStyle w:val="Heading1"/>
        <w:spacing w:after="80" w:before="360"/>
      </w:pPr>
      <w:r>
        <w:rPr>
          <w:rFonts w:ascii="Arial" w:cs="Arial" w:eastAsia="Arial" w:hAnsi="Arial"/>
          <w:b/>
          <w:bCs/>
          <w:color w:val="1B2A4A"/>
          <w:sz w:val="36"/>
          <w:szCs w:val="36"/>
        </w:rPr>
        <w:t xml:space="preserve">5. Full Feature Set</w:t>
      </w:r>
    </w:p>
    <w:p>
      <w:pPr>
        <w:pBdr>
          <w:bottom w:val="single" w:color="0E7C86" w:sz="8" w:space="1"/>
        </w:pBdr>
        <w:spacing w:after="120" w:before="0"/>
      </w:pPr>
      <w:r>
        <w:t xml:space="preserve"/>
      </w:r>
    </w:p>
    <w:p>
      <w:pPr>
        <w:pStyle w:val="Heading2"/>
        <w:spacing w:after="60" w:before="260"/>
      </w:pPr>
      <w:r>
        <w:rPr>
          <w:rFonts w:ascii="Arial" w:cs="Arial" w:eastAsia="Arial" w:hAnsi="Arial"/>
          <w:b/>
          <w:bCs/>
          <w:color w:val="0E7C86"/>
          <w:sz w:val="26"/>
          <w:szCs w:val="26"/>
        </w:rPr>
        <w:t xml:space="preserve">5.1  Core: Due Diligence Assessment Pipeline</w:t>
      </w:r>
    </w:p>
    <w:p>
      <w:pPr>
        <w:spacing w:after="60" w:before="60"/>
      </w:pPr>
      <w:r>
        <w:rPr>
          <w:rFonts w:ascii="Arial" w:cs="Arial" w:eastAsia="Arial" w:hAnsi="Arial"/>
          <w:sz w:val="20"/>
          <w:szCs w:val="20"/>
        </w:rPr>
        <w:t xml:space="preserve">Unchanged from v1.0. Company name in → 5-dimension risk brief out in under 60 seconds. See Section 4.2 for the upgraded node graph.</w:t>
      </w:r>
    </w:p>
    <w:p>
      <w:pPr>
        <w:spacing w:after="0" w:before="60"/>
      </w:pPr>
      <w:r>
        <w:t xml:space="preserve"/>
      </w:r>
    </w:p>
    <w:p>
      <w:pPr>
        <w:pStyle w:val="Heading2"/>
        <w:spacing w:after="60" w:before="260"/>
      </w:pPr>
      <w:r>
        <w:t>5.2  NEW: Continuous Vendor Monitoring (Application Memory + TriggerWare)</w:t>
      </w:r>
    </w:p>
    <w:p>
      <w:pPr>
        <w:spacing w:after="60" w:before="60"/>
      </w:pPr>
      <w:r>
        <w:rPr>
          <w:rFonts w:ascii="Arial" w:cs="Arial" w:eastAsia="Arial" w:hAnsi="Arial"/>
          <w:sz w:val="20"/>
          <w:szCs w:val="20"/>
        </w:rPr>
        <w:t xml:space="preserve">The most significant product upgrade in v2.0. Transforms Fortify DD from a point-in-time tool into a living compliance system.</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Vendor watchlists: any assessed vendor can be subscribed for automated re-assessment on a user-defined schedule</w:t>
      </w:r>
    </w:p>
    <w:p>
      <w:pPr>
        <w:pStyle w:val="ListParagraph"/>
        <w:numPr>
          <w:ilvl w:val="0"/>
          <w:numId w:val="2"/>
        </w:numPr>
        <w:spacing w:after="40" w:before="40"/>
      </w:pPr>
      <w:r>
        <w:t>Risk drift detection: Fortify compares the new brief against the stored prior brief; Gemini generates a natural-language delta summary</w:t>
      </w:r>
    </w:p>
    <w:p>
      <w:pPr>
        <w:pStyle w:val="ListParagraph"/>
        <w:numPr>
          <w:ilvl w:val="0"/>
          <w:numId w:val="2"/>
        </w:numPr>
        <w:spacing w:after="40" w:before="40"/>
      </w:pPr>
      <w:r>
        <w:rPr>
          <w:rFonts w:ascii="Arial" w:cs="Arial" w:eastAsia="Arial" w:hAnsi="Arial"/>
          <w:sz w:val="20"/>
          <w:szCs w:val="20"/>
        </w:rPr>
        <w:t xml:space="preserve">Alert routing: TriggerWare fires on any rating change. GREEN→AMBER = Slack. AMBER→RED = email + Jira ticket. Rating unchanged = no noise.</w:t>
      </w:r>
    </w:p>
    <w:p>
      <w:pPr>
        <w:pStyle w:val="ListParagraph"/>
        <w:numPr>
          <w:ilvl w:val="0"/>
          <w:numId w:val="2"/>
        </w:numPr>
        <w:spacing w:after="40" w:before="40"/>
      </w:pPr>
      <w:r>
        <w:t>Audit trail: every assessment, every rating change, every source is stored with a timestamp in the Fortify memory store - ready for a DORA/NIS-2 compliance review</w:t>
      </w:r>
    </w:p>
    <w:p>
      <w:pPr>
        <w:spacing w:after="0" w:before="60"/>
      </w:pPr>
      <w:r>
        <w:t xml:space="preserve"/>
      </w:r>
    </w:p>
    <w:p>
      <w:pPr>
        <w:pStyle w:val="Heading2"/>
        <w:spacing w:after="60" w:before="260"/>
      </w:pPr>
      <w:r>
        <w:rPr>
          <w:rFonts w:ascii="Arial" w:cs="Arial" w:eastAsia="Arial" w:hAnsi="Arial"/>
          <w:b/>
          <w:bCs/>
          <w:color w:val="0E7C86"/>
          <w:sz w:val="26"/>
          <w:szCs w:val="26"/>
        </w:rPr>
        <w:t xml:space="preserve">5.3  NEW: Multi-Model Intelligence Routing (AI/ML API)</w:t>
      </w:r>
    </w:p>
    <w:p>
      <w:pPr>
        <w:pStyle w:val="ListParagraph"/>
        <w:numPr>
          <w:ilvl w:val="0"/>
          <w:numId w:val="2"/>
        </w:numPr>
        <w:spacing w:after="40" w:before="40"/>
      </w:pPr>
      <w:r>
        <w:rPr>
          <w:rFonts w:ascii="Arial" w:cs="Arial" w:eastAsia="Arial" w:hAnsi="Arial"/>
          <w:sz w:val="20"/>
          <w:szCs w:val="20"/>
        </w:rPr>
        <w:t xml:space="preserve">Fast triage model (Llama 8B via AI/ML API) handles SERP scoring and delta comparison — under 3 seconds per call</w:t>
      </w:r>
    </w:p>
    <w:p>
      <w:pPr>
        <w:pStyle w:val="ListParagraph"/>
        <w:numPr>
          <w:ilvl w:val="0"/>
          <w:numId w:val="2"/>
        </w:numPr>
        <w:spacing w:after="40" w:before="40"/>
      </w:pPr>
      <w:r>
        <w:t>Google Gemini handles final synthesis, delta narrative, and voice script generation</w:t>
      </w:r>
    </w:p>
    <w:p>
      <w:pPr>
        <w:pStyle w:val="ListParagraph"/>
        <w:numPr>
          <w:ilvl w:val="0"/>
          <w:numId w:val="2"/>
        </w:numPr>
        <w:spacing w:after="40" w:before="40"/>
      </w:pPr>
      <w:r>
        <w:rPr>
          <w:rFonts w:ascii="Arial" w:cs="Arial" w:eastAsia="Arial" w:hAnsi="Arial"/>
          <w:sz w:val="20"/>
          <w:szCs w:val="20"/>
        </w:rPr>
        <w:t xml:space="preserve">Model routing is explicit in the LangGraph node graph — visible to judges during the demo</w:t>
      </w:r>
    </w:p>
    <w:p>
      <w:pPr>
        <w:spacing w:after="0" w:before="60"/>
      </w:pPr>
      <w:r>
        <w:t xml:space="preserve"/>
      </w:r>
    </w:p>
    <w:p>
      <w:pPr>
        <w:pStyle w:val="Heading2"/>
        <w:spacing w:after="60" w:before="260"/>
      </w:pPr>
      <w:r>
        <w:rPr>
          <w:rFonts w:ascii="Arial" w:cs="Arial" w:eastAsia="Arial" w:hAnsi="Arial"/>
          <w:b/>
          <w:bCs/>
          <w:color w:val="0E7C86"/>
          <w:sz w:val="26"/>
          <w:szCs w:val="26"/>
        </w:rPr>
        <w:t xml:space="preserve">5.4  NEW: Voice Risk Alerts (Speechmatics)</w:t>
      </w:r>
    </w:p>
    <w:p>
      <w:pPr>
        <w:pStyle w:val="ListParagraph"/>
        <w:numPr>
          <w:ilvl w:val="0"/>
          <w:numId w:val="2"/>
        </w:numPr>
        <w:spacing w:after="40" w:before="40"/>
      </w:pPr>
      <w:r>
        <w:rPr>
          <w:rFonts w:ascii="Arial" w:cs="Arial" w:eastAsia="Arial" w:hAnsi="Arial"/>
          <w:sz w:val="20"/>
          <w:szCs w:val="20"/>
        </w:rPr>
        <w:t xml:space="preserve">On RED-level alerts, Speechmatics generates a spoken brief: vendor name, rating, key risk factors, recommended action</w:t>
      </w:r>
    </w:p>
    <w:p>
      <w:pPr>
        <w:pStyle w:val="ListParagraph"/>
        <w:numPr>
          <w:ilvl w:val="0"/>
          <w:numId w:val="2"/>
        </w:numPr>
        <w:spacing w:after="40" w:before="40"/>
      </w:pPr>
      <w:r>
        <w:rPr>
          <w:rFonts w:ascii="Arial" w:cs="Arial" w:eastAsia="Arial" w:hAnsi="Arial"/>
          <w:sz w:val="20"/>
          <w:szCs w:val="20"/>
        </w:rPr>
        <w:t xml:space="preserve">Audio file returned alongside the JSON brief in the API response</w:t>
      </w:r>
    </w:p>
    <w:p>
      <w:pPr>
        <w:pStyle w:val="ListParagraph"/>
        <w:numPr>
          <w:ilvl w:val="0"/>
          <w:numId w:val="2"/>
        </w:numPr>
        <w:spacing w:after="40" w:before="40"/>
      </w:pPr>
      <w:r>
        <w:rPr>
          <w:rFonts w:ascii="Arial" w:cs="Arial" w:eastAsia="Arial" w:hAnsi="Arial"/>
          <w:sz w:val="20"/>
          <w:szCs w:val="20"/>
        </w:rPr>
        <w:t xml:space="preserve">Demo UI auto-plays audio when a live risk alert fires — the audience hears the intelligence</w:t>
      </w:r>
    </w:p>
    <w:p>
      <w:pPr>
        <w:spacing w:after="0" w:before="60"/>
      </w:pPr>
      <w:r>
        <w:t xml:space="preserve"/>
      </w:r>
    </w:p>
    <w:p>
      <w:pPr>
        <w:pStyle w:val="Heading2"/>
        <w:spacing w:after="60" w:before="260"/>
      </w:pPr>
      <w:r>
        <w:rPr>
          <w:rFonts w:ascii="Arial" w:cs="Arial" w:eastAsia="Arial" w:hAnsi="Arial"/>
          <w:b/>
          <w:bCs/>
          <w:color w:val="0E7C86"/>
          <w:sz w:val="26"/>
          <w:szCs w:val="26"/>
        </w:rPr>
        <w:t xml:space="preserve">5.5  Risk Dimensions (unchanged from v1.0)</w:t>
      </w:r>
    </w:p>
    <w:p>
      <w:pPr>
        <w:pStyle w:val="ListParagraph"/>
        <w:numPr>
          <w:ilvl w:val="0"/>
          <w:numId w:val="2"/>
        </w:numPr>
        <w:spacing w:after="40" w:before="40"/>
      </w:pPr>
      <w:r>
        <w:rPr>
          <w:rFonts w:ascii="Arial" w:cs="Arial" w:eastAsia="Arial" w:hAnsi="Arial"/>
          <w:sz w:val="20"/>
          <w:szCs w:val="20"/>
        </w:rPr>
        <w:t xml:space="preserve">Reputational Risk — news sentiment, press coverage quality, public controversy</w:t>
      </w:r>
    </w:p>
    <w:p>
      <w:pPr>
        <w:pStyle w:val="ListParagraph"/>
        <w:numPr>
          <w:ilvl w:val="0"/>
          <w:numId w:val="2"/>
        </w:numPr>
        <w:spacing w:after="40" w:before="40"/>
      </w:pPr>
      <w:r>
        <w:rPr>
          <w:rFonts w:ascii="Arial" w:cs="Arial" w:eastAsia="Arial" w:hAnsi="Arial"/>
          <w:sz w:val="20"/>
          <w:szCs w:val="20"/>
        </w:rPr>
        <w:t xml:space="preserve">Financial Health Signals — hiring trajectory, funding signals, office presence, investor mentions</w:t>
      </w:r>
    </w:p>
    <w:p>
      <w:pPr>
        <w:pStyle w:val="ListParagraph"/>
        <w:numPr>
          <w:ilvl w:val="0"/>
          <w:numId w:val="2"/>
        </w:numPr>
        <w:spacing w:after="40" w:before="40"/>
      </w:pPr>
      <w:r>
        <w:rPr>
          <w:rFonts w:ascii="Arial" w:cs="Arial" w:eastAsia="Arial" w:hAnsi="Arial"/>
          <w:sz w:val="20"/>
          <w:szCs w:val="20"/>
        </w:rPr>
        <w:t xml:space="preserve">Regulatory &amp; Legal Exposure — sanctions hits, court filings, regulatory enforcement actions</w:t>
      </w:r>
    </w:p>
    <w:p>
      <w:pPr>
        <w:pStyle w:val="ListParagraph"/>
        <w:numPr>
          <w:ilvl w:val="0"/>
          <w:numId w:val="2"/>
        </w:numPr>
        <w:spacing w:after="40" w:before="40"/>
      </w:pPr>
      <w:r>
        <w:rPr>
          <w:rFonts w:ascii="Arial" w:cs="Arial" w:eastAsia="Arial" w:hAnsi="Arial"/>
          <w:sz w:val="20"/>
          <w:szCs w:val="20"/>
        </w:rPr>
        <w:t xml:space="preserve">Operational Stability — website uptime, domain age, Glassdoor rating, employee count trends</w:t>
      </w:r>
    </w:p>
    <w:p>
      <w:pPr>
        <w:pStyle w:val="ListParagraph"/>
        <w:numPr>
          <w:ilvl w:val="0"/>
          <w:numId w:val="2"/>
        </w:numPr>
        <w:spacing w:after="40" w:before="40"/>
      </w:pPr>
      <w:r>
        <w:rPr>
          <w:rFonts w:ascii="Arial" w:cs="Arial" w:eastAsia="Arial" w:hAnsi="Arial"/>
          <w:sz w:val="20"/>
          <w:szCs w:val="20"/>
        </w:rPr>
        <w:t xml:space="preserve">Supply Chain / Third-Party Risk — key dependency mentions, known sub-vendor flags</w:t>
      </w:r>
    </w:p>
    <w:p>
      <w:pPr>
        <w:spacing w:after="0" w:before="60"/>
      </w:pPr>
      <w:r>
        <w:t xml:space="preserve"/>
      </w:r>
    </w:p>
    <w:p>
      <w:pPr>
        <w:pStyle w:val="Heading2"/>
        <w:spacing w:after="60" w:before="260"/>
      </w:pPr>
      <w:r>
        <w:rPr>
          <w:rFonts w:ascii="Arial" w:cs="Arial" w:eastAsia="Arial" w:hAnsi="Arial"/>
          <w:b/>
          <w:bCs/>
          <w:color w:val="0E7C86"/>
          <w:sz w:val="26"/>
          <w:szCs w:val="26"/>
        </w:rPr>
        <w:t xml:space="preserve">5.6  Output Formats</w:t>
      </w:r>
    </w:p>
    <w:p>
      <w:pPr>
        <w:pStyle w:val="ListParagraph"/>
        <w:numPr>
          <w:ilvl w:val="0"/>
          <w:numId w:val="2"/>
        </w:numPr>
        <w:spacing w:after="40" w:before="40"/>
      </w:pPr>
      <w:r>
        <w:rPr>
          <w:rFonts w:ascii="Arial" w:cs="Arial" w:eastAsia="Arial" w:hAnsi="Arial"/>
          <w:sz w:val="20"/>
          <w:szCs w:val="20"/>
        </w:rPr>
        <w:t xml:space="preserve">Structured JSON risk brief with 5-dimension scores, narrative, sources, and recommended action</w:t>
      </w:r>
    </w:p>
    <w:p>
      <w:pPr>
        <w:pStyle w:val="ListParagraph"/>
        <w:numPr>
          <w:ilvl w:val="0"/>
          <w:numId w:val="2"/>
        </w:numPr>
        <w:spacing w:after="40" w:before="40"/>
      </w:pPr>
      <w:r>
        <w:t>Delta report: previous vs current rating, changed dimensions, drift narrative (Fortify memory-powered)</w:t>
      </w:r>
    </w:p>
    <w:p>
      <w:pPr>
        <w:pStyle w:val="ListParagraph"/>
        <w:numPr>
          <w:ilvl w:val="0"/>
          <w:numId w:val="2"/>
        </w:numPr>
        <w:spacing w:after="40" w:before="40"/>
      </w:pPr>
      <w:r>
        <w:rPr>
          <w:rFonts w:ascii="Arial" w:cs="Arial" w:eastAsia="Arial" w:hAnsi="Arial"/>
          <w:sz w:val="20"/>
          <w:szCs w:val="20"/>
        </w:rPr>
        <w:t xml:space="preserve">Voice summary audio (Speechmatics, RED alerts only in MVP)</w:t>
      </w:r>
    </w:p>
    <w:p>
      <w:pPr>
        <w:pStyle w:val="ListParagraph"/>
        <w:numPr>
          <w:ilvl w:val="0"/>
          <w:numId w:val="2"/>
        </w:numPr>
        <w:spacing w:after="40" w:before="40"/>
      </w:pPr>
      <w:r>
        <w:rPr>
          <w:rFonts w:ascii="Arial" w:cs="Arial" w:eastAsia="Arial" w:hAnsi="Arial"/>
          <w:sz w:val="20"/>
          <w:szCs w:val="20"/>
        </w:rPr>
        <w:t xml:space="preserve">TriggerWare webhook payload: { vendor, prev_rating, new_rating, dimensions_changed, summary }</w:t>
      </w:r>
    </w:p>
    <w:p>
      <w:pPr>
        <w:pStyle w:val="Heading1"/>
        <w:spacing w:after="80" w:before="360"/>
      </w:pPr>
      <w:r>
        <w:rPr>
          <w:rFonts w:ascii="Arial" w:cs="Arial" w:eastAsia="Arial" w:hAnsi="Arial"/>
          <w:b/>
          <w:bCs/>
          <w:color w:val="1B2A4A"/>
          <w:sz w:val="36"/>
          <w:szCs w:val="36"/>
        </w:rPr>
        <w:t xml:space="preserve">6. Revised 5-Day Build Plan</w:t>
      </w:r>
    </w:p>
    <w:p>
      <w:pPr>
        <w:pBdr>
          <w:bottom w:val="single" w:color="0E7C86" w:sz="8" w:space="1"/>
        </w:pBdr>
        <w:spacing w:after="120" w:before="0"/>
      </w:pPr>
      <w:r>
        <w:t xml:space="preserve"/>
      </w:r>
    </w:p>
    <w:p>
      <w:pPr>
        <w:spacing w:after="60" w:before="60"/>
      </w:pPr>
      <w:r>
        <w:t>v2.0 adds application-owned memory, TriggerWare, and AI/ML API to Days 3?4. Speechmatics is a Day 5 stretch target. The core pipeline from v1.0 is still the priority for Days 1?2.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360"/>
        <w:gridCol w:w="2400"/>
      </w:tblGrid>
      <w:tr>
        <w:tc>
          <w:tcPr>
            <w:tcW w:type="dxa" w:w="10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Day</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Date</w:t>
            </w:r>
          </w:p>
        </w:tc>
        <w:tc>
          <w:tcPr>
            <w:tcW w:type="dxa" w:w="436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Deliverables</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Notes</w:t>
            </w:r>
          </w:p>
        </w:tc>
      </w:tr>
      <w:tr>
        <w:tc>
          <w:tcPr>
            <w:tcW w:type="dxa" w:w="1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1</w:t>
            </w:r>
          </w:p>
        </w:tc>
        <w:tc>
          <w:tcPr>
            <w:tcW w:type="dxa" w:w="1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Mon 25</w:t>
            </w:r>
          </w:p>
        </w:tc>
        <w:tc>
          <w:tcPr>
            <w:tcW w:type="dxa" w:w="4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Claim $250 Bright Data credits + $200 Speechmatics credits (WEBDATAHACK200 — first 100 only!)
• Scaffold FastAPI project + LangGraph graph skeleton
• Configure Bright Data SERP API + Web Unlocker
• Test first live vendor scrape end-to-end</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555555"/>
                <w:sz w:val="20"/>
                <w:szCs w:val="20"/>
              </w:rPr>
              <w:t xml:space="preserve">Credential setup is Day 1 priority. Claim Speechmatics credits immediately even if not built until Day 5.</w:t>
            </w:r>
          </w:p>
        </w:tc>
      </w:tr>
      <w:tr>
        <w:tc>
          <w:tcPr>
            <w:tcW w:type="dxa" w:w="1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2</w:t>
            </w:r>
          </w:p>
        </w:tc>
        <w:tc>
          <w:tcPr>
            <w:tcW w:type="dxa" w:w="1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Tue 26</w:t>
            </w:r>
          </w:p>
        </w:tc>
        <w:tc>
          <w:tcPr>
            <w:tcW w:type="dxa" w:w="4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Build serp_node + triage_node (AI/ML API Llama) + fetch_node + sanctions_node
• Test full data collection pipeline on 3 real vendors
• Validate data quality and latency</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555555"/>
                <w:sz w:val="20"/>
                <w:szCs w:val="20"/>
              </w:rPr>
              <w:t xml:space="preserve">Core pipeline must be green by end of Day 2. No new features until this is solid.</w:t>
            </w:r>
          </w:p>
        </w:tc>
      </w:tr>
      <w:tr>
        <w:tc>
          <w:tcPr>
            <w:tcW w:type="dxa" w:w="1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3</w:t>
            </w:r>
          </w:p>
        </w:tc>
        <w:tc>
          <w:tcPr>
            <w:tcW w:type="dxa" w:w="1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Wed 27</w:t>
            </w:r>
          </w:p>
        </w:tc>
        <w:tc>
          <w:tcPr>
            <w:tcW w:type="dxa" w:w="4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r>
              <w:t>- Integrate Fortify memory store: memory_query_node + store_memory_node</w:t>
              <w:br/>
              <w:t>- Build compare_node (delta detection)</w:t>
              <w:br/>
              <w:t>- Build synthesise_node (Google Gemini structured output)</w:t>
              <w:br/>
              <w:t>- Wire full pipeline end-to-end including memory</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555555"/>
                <w:sz w:val="20"/>
                <w:szCs w:val="20"/>
              </w:rPr>
              <w:t xml:space="preserve">Prompt engineering for structured JSON output is the key risk. Budget 2–3 hours.</w:t>
            </w:r>
          </w:p>
        </w:tc>
      </w:tr>
      <w:tr>
        <w:tc>
          <w:tcPr>
            <w:tcW w:type="dxa" w:w="10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4</w:t>
            </w:r>
          </w:p>
        </w:tc>
        <w:tc>
          <w:tcPr>
            <w:tcW w:type="dxa" w:w="1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Thu 28</w:t>
            </w:r>
          </w:p>
        </w:tc>
        <w:tc>
          <w:tcPr>
            <w:tcW w:type="dxa" w:w="43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Integrate TriggerWare: /webhook/trigger endpoint + watchlist logic
• Build demo UI (React or Streamlit): input → pipeline progress → brief + delta
• Test continuous monitoring flow: assess same vendor twice, verify delta fires
• Record backup video demo</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555555"/>
                <w:sz w:val="20"/>
                <w:szCs w:val="20"/>
              </w:rPr>
              <w:t xml:space="preserve">TriggerWare live demo moment is the jewel of the presentation. Test it repeatedly.</w:t>
            </w:r>
          </w:p>
        </w:tc>
      </w:tr>
      <w:tr>
        <w:tc>
          <w:tcPr>
            <w:tcW w:type="dxa" w:w="10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bCs/>
                <w:i w:val="false"/>
                <w:iCs w:val="false"/>
                <w:color w:val="0E7C86"/>
                <w:sz w:val="20"/>
                <w:szCs w:val="20"/>
              </w:rPr>
              <w:t xml:space="preserve">5</w:t>
            </w:r>
          </w:p>
        </w:tc>
        <w:tc>
          <w:tcPr>
            <w:tcW w:type="dxa" w:w="1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11111"/>
                <w:sz w:val="20"/>
                <w:szCs w:val="20"/>
              </w:rPr>
              <w:t xml:space="preserve">Fri 29 – Sat 30</w:t>
            </w:r>
          </w:p>
        </w:tc>
        <w:tc>
          <w:tcPr>
            <w:tcW w:type="dxa" w:w="43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 Add Speechmatics voice readout if pipeline is solid
• End-to-end test on 5+ real vendors
• Write README, architecture diagram, submission docs
• Rehearse 4-min demo script 3+ times
• Submit before deadline</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555555"/>
                <w:sz w:val="20"/>
                <w:szCs w:val="20"/>
              </w:rPr>
              <w:t xml:space="preserve">No new features after noon Day 5. Polish and rehearse only.</w:t>
            </w:r>
          </w:p>
        </w:tc>
      </w:tr>
    </w:tbl>
    <w:p>
      <w:pPr>
        <w:pStyle w:val="Heading1"/>
        <w:spacing w:after="80" w:before="360"/>
      </w:pPr>
      <w:r>
        <w:rPr>
          <w:rFonts w:ascii="Arial" w:cs="Arial" w:eastAsia="Arial" w:hAnsi="Arial"/>
          <w:b/>
          <w:bCs/>
          <w:color w:val="1B2A4A"/>
          <w:sz w:val="36"/>
          <w:szCs w:val="36"/>
        </w:rPr>
        <w:t xml:space="preserve">7. Prize Track Strategy</w:t>
      </w:r>
    </w:p>
    <w:p>
      <w:pPr>
        <w:pBdr>
          <w:bottom w:val="single" w:color="0E7C86" w:sz="8" w:space="1"/>
        </w:pBdr>
        <w:spacing w:after="120" w:before="0"/>
      </w:pPr>
      <w:r>
        <w:t xml:space="preserve"/>
      </w:r>
    </w:p>
    <w:p>
      <w:pPr>
        <w:spacing w:after="60" w:before="60"/>
      </w:pPr>
      <w:r>
        <w:rPr>
          <w:rFonts w:ascii="Arial" w:cs="Arial" w:eastAsia="Arial" w:hAnsi="Arial"/>
          <w:sz w:val="20"/>
          <w:szCs w:val="20"/>
        </w:rPr>
        <w:t xml:space="preserve">Fortify DD is now eligible for up to seven distinct prize categories. The table below maps each track to the specific Fortify DD feature that earns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400"/>
        <w:gridCol w:w="2800"/>
        <w:gridCol w:w="3880"/>
      </w:tblGrid>
      <w:tr>
        <w:tc>
          <w:tcPr>
            <w:tcW w:type="dxa" w:w="28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
            </w:r>
          </w:p>
        </w:tc>
        <w:tc>
          <w:tcPr>
            <w:tcW w:type="dxa" w:w="24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Track</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Sponsor</w:t>
            </w:r>
          </w:p>
        </w:tc>
        <w:tc>
          <w:tcPr>
            <w:tcW w:type="dxa" w:w="388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How Fortify DD Qualifies</w:t>
            </w:r>
          </w:p>
        </w:tc>
      </w:tr>
      <w:tr>
        <w:tc>
          <w:tcPr>
            <w:tcW w:type="dxa" w:w="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111111"/>
                <w:sz w:val="20"/>
                <w:szCs w:val="20"/>
              </w:rPr>
              <w:t xml:space="preserve">🥇</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Security &amp; Compliance (Main)</w:t>
            </w:r>
          </w:p>
        </w:tc>
        <w:tc>
          <w:tcPr>
            <w:tcW w:type="dxa" w:w="28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Vendor due diligence agent addressing DORA/NIS-2 compliance. Uses Web Unlocker, SERP API, MCP Server as load-bearing infrastructure.</w:t>
            </w:r>
          </w:p>
        </w:tc>
      </w:tr>
      <w:tr>
        <w:tc>
          <w:tcPr>
            <w:tcW w:type="dxa" w:w="2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111111"/>
                <w:sz w:val="20"/>
                <w:szCs w:val="20"/>
              </w:rPr>
              <w:t xml:space="preserve">🥇</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GTM Intelligence (Main)</w:t>
            </w:r>
          </w:p>
        </w:tc>
        <w:tc>
          <w:tcPr>
            <w:tcW w:type="dxa" w:w="28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Live web intelligence on vendor financial health, hiring signals, news sentiment — classic GTM use case.</w:t>
            </w:r>
          </w:p>
        </w:tc>
      </w:tr>
      <w:tr>
        <w:tc>
          <w:tcPr>
            <w:tcW w:type="dxa" w:w="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111111"/>
                <w:sz w:val="20"/>
                <w:szCs w:val="20"/>
              </w:rPr>
              <w:t xml:space="preserve">🥇</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Finance &amp; Market Intelligence (Main)</w:t>
            </w:r>
          </w:p>
        </w:tc>
        <w:tc>
          <w:tcPr>
            <w:tcW w:type="dxa" w:w="28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Bright Data</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Sanctions screening, regulatory filings, financial health signals from live web data.</w:t>
            </w:r>
          </w:p>
        </w:tc>
      </w:tr>
      <w:tr>
        <w:tc>
          <w:tcPr>
            <w:tcW w:type="dxa" w:w="2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111111"/>
                <w:sz w:val="20"/>
                <w:szCs w:val="20"/>
              </w:rPr>
              <w:t xml:space="preserve">🏅</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r>
              <w:t>Memory Differentiator</w:t>
            </w:r>
          </w:p>
        </w:tc>
        <w:tc>
          <w:tcPr>
            <w:tcW w:type="dxa" w:w="28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r>
              <w:t>Fortify memory store</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Persistent vendor knowledge graph, risk drift detection, full assessment history with delta reports.</w:t>
            </w:r>
          </w:p>
        </w:tc>
      </w:tr>
      <w:tr>
        <w:tc>
          <w:tcPr>
            <w:tcW w:type="dxa" w:w="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111111"/>
                <w:sz w:val="20"/>
                <w:szCs w:val="20"/>
              </w:rPr>
              <w:t xml:space="preserve">🏅</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Best Automated Workflow</w:t>
            </w:r>
          </w:p>
        </w:tc>
        <w:tc>
          <w:tcPr>
            <w:tcW w:type="dxa" w:w="28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TriggerWare.ai</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Watchlist-to-alert pipeline: rating change → graduated action routing with zero human input.</w:t>
            </w:r>
          </w:p>
        </w:tc>
      </w:tr>
      <w:tr>
        <w:tc>
          <w:tcPr>
            <w:tcW w:type="dxa" w:w="2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111111"/>
                <w:sz w:val="20"/>
                <w:szCs w:val="20"/>
              </w:rPr>
              <w:t xml:space="preserve">🏅</w:t>
            </w:r>
          </w:p>
        </w:tc>
        <w:tc>
          <w:tcPr>
            <w:tcW w:type="dxa" w:w="24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Best AI/ML API Integration</w:t>
            </w:r>
          </w:p>
        </w:tc>
        <w:tc>
          <w:tcPr>
            <w:tcW w:type="dxa" w:w="28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AI/ML API</w:t>
            </w:r>
          </w:p>
        </w:tc>
        <w:tc>
          <w:tcPr>
            <w:tcW w:type="dxa" w:w="388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Multi-model routing: Llama 8B for triage, Gemini for synthesis. Explicit model selection at each pipeline stage.</w:t>
            </w:r>
          </w:p>
        </w:tc>
      </w:tr>
      <w:tr>
        <w:tc>
          <w:tcPr>
            <w:tcW w:type="dxa" w:w="2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111111"/>
                <w:sz w:val="20"/>
                <w:szCs w:val="20"/>
              </w:rPr>
              <w:t xml:space="preserve">🏅</w:t>
            </w:r>
          </w:p>
        </w:tc>
        <w:tc>
          <w:tcPr>
            <w:tcW w:type="dxa" w:w="24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Best Speechmatics Use</w:t>
            </w:r>
          </w:p>
        </w:tc>
        <w:tc>
          <w:tcPr>
            <w:tcW w:type="dxa" w:w="28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0E7C86"/>
                <w:sz w:val="20"/>
                <w:szCs w:val="20"/>
              </w:rPr>
              <w:t xml:space="preserve">Speechmatics</w:t>
            </w:r>
          </w:p>
        </w:tc>
        <w:tc>
          <w:tcPr>
            <w:tcW w:type="dxa" w:w="388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Voice-read risk alerts on RED-level vendor downgrades. Audio brief delivered alongside JSON.</w:t>
            </w:r>
          </w:p>
        </w:tc>
      </w:tr>
    </w:tbl>
    <w:p>
      <w:pPr>
        <w:spacing w:after="0" w:before="100"/>
      </w:pPr>
      <w:r>
        <w:t xml:space="preserve"/>
      </w:r>
    </w:p>
    <w:p>
      <w:pPr>
        <w:pStyle w:val="Heading2"/>
        <w:spacing w:after="60" w:before="260"/>
      </w:pPr>
      <w:r>
        <w:rPr>
          <w:rFonts w:ascii="Arial" w:cs="Arial" w:eastAsia="Arial" w:hAnsi="Arial"/>
          <w:b/>
          <w:bCs/>
          <w:color w:val="0E7C86"/>
          <w:sz w:val="26"/>
          <w:szCs w:val="26"/>
        </w:rPr>
        <w:t xml:space="preserve">7.1  Judging Criteria Scoring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Criterion</w:t>
            </w:r>
          </w:p>
        </w:tc>
        <w:tc>
          <w:tcPr>
            <w:tcW w:type="dxa" w:w="360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v2.0 Score Rationale</w:t>
            </w:r>
          </w:p>
        </w:tc>
        <w:tc>
          <w:tcPr>
            <w:tcW w:type="dxa" w:w="3560"/>
            <w:tcBorders>
              <w:top w:val="single" w:color="0E7C86" w:sz="1"/>
              <w:left w:val="single" w:color="0E7C86" w:sz="1"/>
              <w:bottom w:val="single" w:color="0E7C86" w:sz="1"/>
              <w:right w:val="single" w:color="0E7C86" w:sz="1"/>
            </w:tcBorders>
            <w:shd w:fill="0E7C86" w:val="clear"/>
            <w:tcMar>
              <w:top w:type="dxa" w:w="100"/>
              <w:left w:type="dxa" w:w="150"/>
              <w:bottom w:type="dxa" w:w="100"/>
              <w:right w:type="dxa" w:w="150"/>
            </w:tcMar>
            <w:vAlign w:val="top"/>
          </w:tcPr>
          <w:p>
            <w:pPr>
              <w:jc w:val="left"/>
            </w:pPr>
            <w:r>
              <w:rPr>
                <w:rFonts w:ascii="Arial" w:cs="Arial" w:eastAsia="Arial" w:hAnsi="Arial"/>
                <w:b/>
                <w:bCs/>
                <w:i w:val="false"/>
                <w:iCs w:val="false"/>
                <w:color w:val="FFFFFF"/>
                <w:sz w:val="20"/>
                <w:szCs w:val="20"/>
              </w:rPr>
              <w:t xml:space="preserve">Demo Evidence</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Model Integration</w:t>
            </w:r>
          </w:p>
        </w:tc>
        <w:tc>
          <w:tcPr>
            <w:tcW w:type="dxa" w:w="3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t>Multi-model orchestration (Llama triage → Gemini synthesis → Gemini delta) is architecturally sophisticated. AI/ML API demonstrates deliberate model selection, not default usage.</w:t>
            </w:r>
          </w:p>
        </w:tc>
        <w:tc>
          <w:tcPr>
            <w:tcW w:type="dxa" w:w="35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Show the LangGraph node graph live. Each node labels which model it calls. Judges see intentional routing.</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Presentation</w:t>
            </w:r>
          </w:p>
        </w:tc>
        <w:tc>
          <w:tcPr>
            <w:tcW w:type="dxa" w:w="3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Open with problem. Demo live vendor assessment + watchlist alert in real time. TriggerWare fires, Speechmatics reads the alert aloud. Close with compliance market size.</w:t>
            </w:r>
          </w:p>
        </w:tc>
        <w:tc>
          <w:tcPr>
            <w:tcW w:type="dxa" w:w="35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Run the full continuous monitoring demo: same vendor assessed twice, delta fires, audio plays. 4 minutes.</w:t>
            </w:r>
          </w:p>
        </w:tc>
      </w:tr>
      <w:tr>
        <w:tc>
          <w:tcPr>
            <w:tcW w:type="dxa" w:w="22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Impact &amp; Practical Value</w:t>
            </w:r>
          </w:p>
        </w:tc>
        <w:tc>
          <w:tcPr>
            <w:tcW w:type="dxa" w:w="360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DORA/NIS-2 compliance pressure. 3–6 hours manual → 60 seconds automated. Continuous monitoring replaces quarterly spot-checks. White-label opportunity for AI automation agencies.</w:t>
            </w:r>
          </w:p>
        </w:tc>
        <w:tc>
          <w:tcPr>
            <w:tcW w:type="dxa" w:w="3560"/>
            <w:tcBorders>
              <w:top w:val="single" w:color="D0D7E2" w:sz="1"/>
              <w:left w:val="single" w:color="D0D7E2" w:sz="1"/>
              <w:bottom w:val="single" w:color="D0D7E2" w:sz="1"/>
              <w:right w:val="single" w:color="D0D7E2" w:sz="1"/>
            </w:tcBorders>
            <w:shd w:fill="F4F6F9"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One slide: 'Before Fortify DD' vs 'After Fortify DD' for a compliance team's weekly workflow.</w:t>
            </w:r>
          </w:p>
        </w:tc>
      </w:tr>
      <w:tr>
        <w:tc>
          <w:tcPr>
            <w:tcW w:type="dxa" w:w="22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1B2A4A"/>
                <w:sz w:val="20"/>
                <w:szCs w:val="20"/>
              </w:rPr>
              <w:t xml:space="preserve">Uniqueness &amp; Creativity</w:t>
            </w:r>
          </w:p>
        </w:tc>
        <w:tc>
          <w:tcPr>
            <w:tcW w:type="dxa" w:w="360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t>First due diligence tool combining: real-time open web access (Bright Data) + application-owned vendor memory + event-driven alerting (TriggerWare) + Gemini synthesis + voice output (Speechmatics) in one compliance agent.</w:t>
            </w:r>
          </w:p>
        </w:tc>
        <w:tc>
          <w:tcPr>
            <w:tcW w:type="dxa" w:w="3560"/>
            <w:tcBorders>
              <w:top w:val="single" w:color="D0D7E2" w:sz="1"/>
              <w:left w:val="single" w:color="D0D7E2" w:sz="1"/>
              <w:bottom w:val="single" w:color="D0D7E2" w:sz="1"/>
              <w:right w:val="single" w:color="D0D7E2"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11111"/>
                <w:sz w:val="20"/>
                <w:szCs w:val="20"/>
              </w:rPr>
              <w:t xml:space="preserve">Emphasise: remove any one of these layers and the product breaks. They are all load-bearing.</w:t>
            </w:r>
          </w:p>
        </w:tc>
      </w:tr>
    </w:tbl>
    <w:p>
      <w:pPr>
        <w:spacing w:after="0" w:before="100"/>
      </w:pPr>
      <w:r>
        <w:t xml:space="preserve"/>
      </w:r>
    </w:p>
    <w:p>
      <w:pPr>
        <w:pStyle w:val="Heading2"/>
        <w:spacing w:after="60" w:before="260"/>
      </w:pPr>
      <w:r>
        <w:rPr>
          <w:rFonts w:ascii="Arial" w:cs="Arial" w:eastAsia="Arial" w:hAnsi="Arial"/>
          <w:b/>
          <w:bCs/>
          <w:color w:val="0E7C86"/>
          <w:sz w:val="26"/>
          <w:szCs w:val="26"/>
        </w:rPr>
        <w:t xml:space="preserve">7.2  Demo Script (4 Minutes)</w:t>
      </w:r>
    </w:p>
    <w:p>
      <w:pPr>
        <w:pStyle w:val="ListParagraph"/>
        <w:numPr>
          <w:ilvl w:val="0"/>
          <w:numId w:val="2"/>
        </w:numPr>
        <w:spacing w:after="40" w:before="40"/>
      </w:pPr>
      <w:r>
        <w:rPr>
          <w:rFonts w:ascii="Arial" w:cs="Arial" w:eastAsia="Arial" w:hAnsi="Arial"/>
          <w:sz w:val="20"/>
          <w:szCs w:val="20"/>
        </w:rPr>
        <w:t xml:space="preserve">0:00–0:20  Open: 'Your compliance analyst spends 4 hours vetting a vendor. Our agent does it in 60 seconds — and never stops watching.'</w:t>
      </w:r>
    </w:p>
    <w:p>
      <w:pPr>
        <w:pStyle w:val="ListParagraph"/>
        <w:numPr>
          <w:ilvl w:val="0"/>
          <w:numId w:val="2"/>
        </w:numPr>
        <w:spacing w:after="40" w:before="40"/>
      </w:pPr>
      <w:r>
        <w:rPr>
          <w:rFonts w:ascii="Arial" w:cs="Arial" w:eastAsia="Arial" w:hAnsi="Arial"/>
          <w:sz w:val="20"/>
          <w:szCs w:val="20"/>
        </w:rPr>
        <w:t xml:space="preserve">0:20–1:30  Live demo Act 1: type vendor name → watch pipeline run node-by-node → show the risk brief appear with 5-dimension scoring</w:t>
      </w:r>
    </w:p>
    <w:p>
      <w:pPr>
        <w:pStyle w:val="ListParagraph"/>
        <w:numPr>
          <w:ilvl w:val="0"/>
          <w:numId w:val="2"/>
        </w:numPr>
        <w:spacing w:after="40" w:before="40"/>
      </w:pPr>
      <w:r>
        <w:t>1:30-2:15  Live demo Act 2: run the same vendor again (simulating a week later with a changed risk event) -&gt; Fortify memory detects drift -&gt; TriggerWare supplies/consumes the trigger event -&gt; Speechmatics reads it aloud</w:t>
      </w:r>
    </w:p>
    <w:p>
      <w:pPr>
        <w:pStyle w:val="ListParagraph"/>
        <w:numPr>
          <w:ilvl w:val="0"/>
          <w:numId w:val="2"/>
        </w:numPr>
        <w:spacing w:after="40" w:before="40"/>
      </w:pPr>
      <w:r>
        <w:t>2:15-2:45  Show the architecture: 'Bright Data accesses the web. Fortify remembers what we found. TriggerWare detects change. Gemini connects the dots.'</w:t>
      </w:r>
    </w:p>
    <w:p>
      <w:pPr>
        <w:pStyle w:val="ListParagraph"/>
        <w:numPr>
          <w:ilvl w:val="0"/>
          <w:numId w:val="2"/>
        </w:numPr>
        <w:spacing w:after="40" w:before="40"/>
      </w:pPr>
      <w:r>
        <w:rPr>
          <w:rFonts w:ascii="Arial" w:cs="Arial" w:eastAsia="Arial" w:hAnsi="Arial"/>
          <w:sz w:val="20"/>
          <w:szCs w:val="20"/>
        </w:rPr>
        <w:t xml:space="preserve">2:45–3:15  Business case: DORA/NIS-2 compliance market, white-label opportunity for AI automation agencies, per-assessment pricing model</w:t>
      </w:r>
    </w:p>
    <w:p>
      <w:pPr>
        <w:pStyle w:val="ListParagraph"/>
        <w:numPr>
          <w:ilvl w:val="0"/>
          <w:numId w:val="2"/>
        </w:numPr>
        <w:spacing w:after="40" w:before="40"/>
      </w:pPr>
      <w:r>
        <w:rPr>
          <w:rFonts w:ascii="Arial" w:cs="Arial" w:eastAsia="Arial" w:hAnsi="Arial"/>
          <w:sz w:val="20"/>
          <w:szCs w:val="20"/>
        </w:rPr>
        <w:t xml:space="preserve">3:15–4:00  Close: 'Five sponsors. Seven prize tracks. One agent that never stops watching your vendors.' Open for questions.</w:t>
      </w:r>
    </w:p>
    <w:p>
      <w:pPr>
        <w:pStyle w:val="Heading1"/>
        <w:spacing w:after="80" w:before="360"/>
      </w:pPr>
      <w:r>
        <w:rPr>
          <w:rFonts w:ascii="Arial" w:cs="Arial" w:eastAsia="Arial" w:hAnsi="Arial"/>
          <w:b/>
          <w:bCs/>
          <w:color w:val="1B2A4A"/>
          <w:sz w:val="36"/>
          <w:szCs w:val="36"/>
        </w:rPr>
        <w:t xml:space="preserve">8. Post-Hackathon Product Roadmap</w:t>
      </w:r>
    </w:p>
    <w:p>
      <w:pPr>
        <w:pBdr>
          <w:bottom w:val="single" w:color="0E7C86" w:sz="8" w:space="1"/>
        </w:pBdr>
        <w:spacing w:after="120" w:before="0"/>
      </w:pPr>
      <w:r>
        <w:t xml:space="preserve"/>
      </w:r>
    </w:p>
    <w:p>
      <w:pPr>
        <w:spacing w:after="60" w:before="200"/>
      </w:pPr>
      <w:r>
        <w:rPr>
          <w:rFonts w:ascii="Arial" w:cs="Arial" w:eastAsia="Arial" w:hAnsi="Arial"/>
          <w:b/>
          <w:bCs/>
          <w:color w:val="1B2A4A"/>
          <w:sz w:val="22"/>
          <w:szCs w:val="22"/>
        </w:rPr>
        <w:t xml:space="preserve">Phase 1 — MVP Hardening (Weeks 1–4)</w:t>
      </w:r>
    </w:p>
    <w:p>
      <w:pPr>
        <w:pStyle w:val="ListParagraph"/>
        <w:numPr>
          <w:ilvl w:val="0"/>
          <w:numId w:val="2"/>
        </w:numPr>
        <w:spacing w:after="40" w:before="40"/>
      </w:pPr>
      <w:r>
        <w:rPr>
          <w:rFonts w:ascii="Arial" w:cs="Arial" w:eastAsia="Arial" w:hAnsi="Arial"/>
          <w:sz w:val="20"/>
          <w:szCs w:val="20"/>
        </w:rPr>
        <w:t xml:space="preserve">Productionise FastAPI with auth, rate limiting, and Pydantic output validation</w:t>
      </w:r>
    </w:p>
    <w:p>
      <w:pPr>
        <w:pStyle w:val="ListParagraph"/>
        <w:numPr>
          <w:ilvl w:val="0"/>
          <w:numId w:val="2"/>
        </w:numPr>
        <w:spacing w:after="40" w:before="40"/>
      </w:pPr>
      <w:r>
        <w:rPr>
          <w:rFonts w:ascii="Arial" w:cs="Arial" w:eastAsia="Arial" w:hAnsi="Arial"/>
          <w:sz w:val="20"/>
          <w:szCs w:val="20"/>
        </w:rPr>
        <w:t xml:space="preserve">PostgreSQL for task history and watchlist management</w:t>
      </w:r>
    </w:p>
    <w:p>
      <w:pPr>
        <w:pStyle w:val="ListParagraph"/>
        <w:numPr>
          <w:ilvl w:val="0"/>
          <w:numId w:val="2"/>
        </w:numPr>
        <w:spacing w:after="40" w:before="40"/>
      </w:pPr>
      <w:r>
        <w:t>Vendor relationship graph: expand entity relationships (subsidiary detection, shared director flags)</w:t>
      </w:r>
    </w:p>
    <w:p>
      <w:pPr>
        <w:pStyle w:val="ListParagraph"/>
        <w:numPr>
          <w:ilvl w:val="0"/>
          <w:numId w:val="2"/>
        </w:numPr>
        <w:spacing w:after="40" w:before="40"/>
      </w:pPr>
      <w:r>
        <w:rPr>
          <w:rFonts w:ascii="Arial" w:cs="Arial" w:eastAsia="Arial" w:hAnsi="Arial"/>
          <w:sz w:val="20"/>
          <w:szCs w:val="20"/>
        </w:rPr>
        <w:t xml:space="preserve">TriggerWare: add more alert destinations — email, Jira, Notion, Slack</w:t>
      </w:r>
    </w:p>
    <w:p>
      <w:pPr>
        <w:spacing w:after="0" w:before="60"/>
      </w:pPr>
      <w:r>
        <w:t xml:space="preserve"/>
      </w:r>
    </w:p>
    <w:p>
      <w:pPr>
        <w:spacing w:after="60" w:before="200"/>
      </w:pPr>
      <w:r>
        <w:rPr>
          <w:rFonts w:ascii="Arial" w:cs="Arial" w:eastAsia="Arial" w:hAnsi="Arial"/>
          <w:b/>
          <w:bCs/>
          <w:color w:val="1B2A4A"/>
          <w:sz w:val="22"/>
          <w:szCs w:val="22"/>
        </w:rPr>
        <w:t xml:space="preserve">Phase 2 — Compliance Suite (Weeks 5–12)</w:t>
      </w:r>
    </w:p>
    <w:p>
      <w:pPr>
        <w:pStyle w:val="ListParagraph"/>
        <w:numPr>
          <w:ilvl w:val="0"/>
          <w:numId w:val="2"/>
        </w:numPr>
        <w:spacing w:after="40" w:before="40"/>
      </w:pPr>
      <w:r>
        <w:rPr>
          <w:rFonts w:ascii="Arial" w:cs="Arial" w:eastAsia="Arial" w:hAnsi="Arial"/>
          <w:sz w:val="20"/>
          <w:szCs w:val="20"/>
        </w:rPr>
        <w:t xml:space="preserve">Scheduled re-assessment engine: daily/weekly sweeps per watchlist vendor</w:t>
      </w:r>
    </w:p>
    <w:p>
      <w:pPr>
        <w:pStyle w:val="ListParagraph"/>
        <w:numPr>
          <w:ilvl w:val="0"/>
          <w:numId w:val="2"/>
        </w:numPr>
        <w:spacing w:after="40" w:before="40"/>
      </w:pPr>
      <w:r>
        <w:rPr>
          <w:rFonts w:ascii="Arial" w:cs="Arial" w:eastAsia="Arial" w:hAnsi="Arial"/>
          <w:sz w:val="20"/>
          <w:szCs w:val="20"/>
        </w:rPr>
        <w:t xml:space="preserve">Compliance report export: full assessment history formatted for DORA/NIS-2 audit packs</w:t>
      </w:r>
    </w:p>
    <w:p>
      <w:pPr>
        <w:pStyle w:val="ListParagraph"/>
        <w:numPr>
          <w:ilvl w:val="0"/>
          <w:numId w:val="2"/>
        </w:numPr>
        <w:spacing w:after="40" w:before="40"/>
      </w:pPr>
      <w:r>
        <w:rPr>
          <w:rFonts w:ascii="Arial" w:cs="Arial" w:eastAsia="Arial" w:hAnsi="Arial"/>
          <w:sz w:val="20"/>
          <w:szCs w:val="20"/>
        </w:rPr>
        <w:t xml:space="preserve">Expanded data sources: OpenCorporates, Companies House, SEC EDGAR, HMRC</w:t>
      </w:r>
    </w:p>
    <w:p>
      <w:pPr>
        <w:pStyle w:val="ListParagraph"/>
        <w:numPr>
          <w:ilvl w:val="0"/>
          <w:numId w:val="2"/>
        </w:numPr>
        <w:spacing w:after="40" w:before="40"/>
      </w:pPr>
      <w:r>
        <w:rPr>
          <w:rFonts w:ascii="Arial" w:cs="Arial" w:eastAsia="Arial" w:hAnsi="Arial"/>
          <w:sz w:val="20"/>
          <w:szCs w:val="20"/>
        </w:rPr>
        <w:t xml:space="preserve">Multi-tenant SaaS: per-organisation vendor watchlists and alert routing</w:t>
      </w:r>
    </w:p>
    <w:p>
      <w:pPr>
        <w:spacing w:after="0" w:before="60"/>
      </w:pPr>
      <w:r>
        <w:t xml:space="preserve"/>
      </w:r>
    </w:p>
    <w:p>
      <w:pPr>
        <w:spacing w:after="60" w:before="200"/>
      </w:pPr>
      <w:r>
        <w:rPr>
          <w:rFonts w:ascii="Arial" w:cs="Arial" w:eastAsia="Arial" w:hAnsi="Arial"/>
          <w:b/>
          <w:bCs/>
          <w:color w:val="1B2A4A"/>
          <w:sz w:val="22"/>
          <w:szCs w:val="22"/>
        </w:rPr>
        <w:t xml:space="preserve">Phase 3 — White-Label &amp; Agency Tier (Months 3–6)</w:t>
      </w:r>
    </w:p>
    <w:p>
      <w:pPr>
        <w:pStyle w:val="ListParagraph"/>
        <w:numPr>
          <w:ilvl w:val="0"/>
          <w:numId w:val="2"/>
        </w:numPr>
        <w:spacing w:after="40" w:before="40"/>
      </w:pPr>
      <w:r>
        <w:rPr>
          <w:rFonts w:ascii="Arial" w:cs="Arial" w:eastAsia="Arial" w:hAnsi="Arial"/>
          <w:sz w:val="20"/>
          <w:szCs w:val="20"/>
        </w:rPr>
        <w:t xml:space="preserve">White-label API for AI automation agency owners to resell under their own brand</w:t>
      </w:r>
    </w:p>
    <w:p>
      <w:pPr>
        <w:pStyle w:val="ListParagraph"/>
        <w:numPr>
          <w:ilvl w:val="0"/>
          <w:numId w:val="2"/>
        </w:numPr>
        <w:spacing w:after="40" w:before="40"/>
      </w:pPr>
      <w:r>
        <w:rPr>
          <w:rFonts w:ascii="Arial" w:cs="Arial" w:eastAsia="Arial" w:hAnsi="Arial"/>
          <w:sz w:val="20"/>
          <w:szCs w:val="20"/>
        </w:rPr>
        <w:t xml:space="preserve">Client portal: branded risk reports and watchlist dashboard</w:t>
      </w:r>
    </w:p>
    <w:p>
      <w:pPr>
        <w:pStyle w:val="ListParagraph"/>
        <w:numPr>
          <w:ilvl w:val="0"/>
          <w:numId w:val="2"/>
        </w:numPr>
        <w:spacing w:after="40" w:before="40"/>
      </w:pPr>
      <w:r>
        <w:rPr>
          <w:rFonts w:ascii="Arial" w:cs="Arial" w:eastAsia="Arial" w:hAnsi="Arial"/>
          <w:sz w:val="20"/>
          <w:szCs w:val="20"/>
        </w:rPr>
        <w:t xml:space="preserve">Integration templates: n8n, Make, Zapier — plug Fortify DD into any automation stack</w:t>
      </w:r>
    </w:p>
    <w:p>
      <w:pPr>
        <w:pStyle w:val="ListParagraph"/>
        <w:numPr>
          <w:ilvl w:val="0"/>
          <w:numId w:val="2"/>
        </w:numPr>
        <w:spacing w:after="40" w:before="40"/>
      </w:pPr>
      <w:r>
        <w:rPr>
          <w:rFonts w:ascii="Arial" w:cs="Arial" w:eastAsia="Arial" w:hAnsi="Arial"/>
          <w:sz w:val="20"/>
          <w:szCs w:val="20"/>
        </w:rPr>
        <w:t xml:space="preserve">Usage-based billing: per-assessment USDC micropayment option via X402</w:t>
      </w:r>
    </w:p>
    <w:p>
      <w:pPr>
        <w:pStyle w:val="Heading1"/>
        <w:spacing w:after="80" w:before="360"/>
      </w:pPr>
      <w:r>
        <w:rPr>
          <w:rFonts w:ascii="Arial" w:cs="Arial" w:eastAsia="Arial" w:hAnsi="Arial"/>
          <w:b/>
          <w:bCs/>
          <w:color w:val="1B2A4A"/>
          <w:sz w:val="36"/>
          <w:szCs w:val="36"/>
        </w:rPr>
        <w:t xml:space="preserve">9. Success Metrics</w:t>
      </w:r>
    </w:p>
    <w:p>
      <w:pPr>
        <w:pBdr>
          <w:bottom w:val="single" w:color="0E7C86" w:sz="8" w:space="1"/>
        </w:pBdr>
        <w:spacing w:after="120" w:before="0"/>
      </w:pPr>
      <w:r>
        <w:t xml:space="preserve"/>
      </w:r>
    </w:p>
    <w:p>
      <w:pPr>
        <w:pStyle w:val="Heading2"/>
        <w:spacing w:after="60" w:before="260"/>
      </w:pPr>
      <w:r>
        <w:rPr>
          <w:rFonts w:ascii="Arial" w:cs="Arial" w:eastAsia="Arial" w:hAnsi="Arial"/>
          <w:b/>
          <w:bCs/>
          <w:color w:val="0E7C86"/>
          <w:sz w:val="26"/>
          <w:szCs w:val="26"/>
        </w:rPr>
        <w:t xml:space="preserve">9.1  Hackathon Success</w:t>
      </w:r>
    </w:p>
    <w:p>
      <w:pPr>
        <w:pStyle w:val="ListParagraph"/>
        <w:numPr>
          <w:ilvl w:val="0"/>
          <w:numId w:val="2"/>
        </w:numPr>
        <w:spacing w:after="40" w:before="40"/>
      </w:pPr>
      <w:r>
        <w:rPr>
          <w:rFonts w:ascii="Arial" w:cs="Arial" w:eastAsia="Arial" w:hAnsi="Arial"/>
          <w:sz w:val="20"/>
          <w:szCs w:val="20"/>
        </w:rPr>
        <w:t xml:space="preserve">All 7 prize tracks submitted with qualifying integrations</w:t>
      </w:r>
    </w:p>
    <w:p>
      <w:pPr>
        <w:pStyle w:val="ListParagraph"/>
        <w:numPr>
          <w:ilvl w:val="0"/>
          <w:numId w:val="2"/>
        </w:numPr>
        <w:spacing w:after="40" w:before="40"/>
      </w:pPr>
      <w:r>
        <w:rPr>
          <w:rFonts w:ascii="Arial" w:cs="Arial" w:eastAsia="Arial" w:hAnsi="Arial"/>
          <w:sz w:val="20"/>
          <w:szCs w:val="20"/>
        </w:rPr>
        <w:t xml:space="preserve">Live demo runs end-to-end without failure: assessment + watchlist alert + voice readout</w:t>
      </w:r>
    </w:p>
    <w:p>
      <w:pPr>
        <w:pStyle w:val="ListParagraph"/>
        <w:numPr>
          <w:ilvl w:val="0"/>
          <w:numId w:val="2"/>
        </w:numPr>
        <w:spacing w:after="40" w:before="40"/>
      </w:pPr>
      <w:r>
        <w:t>At least one judge references the Fortify memory layer or TriggerWare alerting as a differentiator</w:t>
      </w:r>
    </w:p>
    <w:p>
      <w:pPr>
        <w:pStyle w:val="ListParagraph"/>
        <w:numPr>
          <w:ilvl w:val="0"/>
          <w:numId w:val="2"/>
        </w:numPr>
        <w:spacing w:after="40" w:before="40"/>
      </w:pPr>
      <w:r>
        <w:rPr>
          <w:rFonts w:ascii="Arial" w:cs="Arial" w:eastAsia="Arial" w:hAnsi="Arial"/>
          <w:sz w:val="20"/>
          <w:szCs w:val="20"/>
        </w:rPr>
        <w:t xml:space="preserve">Project eligible for Bright Data AI Startup Program</w:t>
      </w:r>
    </w:p>
    <w:p>
      <w:pPr>
        <w:spacing w:after="0" w:before="80"/>
      </w:pPr>
      <w:r>
        <w:t xml:space="preserve"/>
      </w:r>
    </w:p>
    <w:p>
      <w:pPr>
        <w:pStyle w:val="Heading2"/>
        <w:spacing w:after="60" w:before="260"/>
      </w:pPr>
      <w:r>
        <w:rPr>
          <w:rFonts w:ascii="Arial" w:cs="Arial" w:eastAsia="Arial" w:hAnsi="Arial"/>
          <w:b/>
          <w:bCs/>
          <w:color w:val="0E7C86"/>
          <w:sz w:val="26"/>
          <w:szCs w:val="26"/>
        </w:rPr>
        <w:t xml:space="preserve">9.2  MVP Product Metrics (30 days post-hackathon)</w:t>
      </w:r>
    </w:p>
    <w:p>
      <w:pPr>
        <w:pStyle w:val="ListParagraph"/>
        <w:numPr>
          <w:ilvl w:val="0"/>
          <w:numId w:val="2"/>
        </w:numPr>
        <w:spacing w:after="40" w:before="40"/>
      </w:pPr>
      <w:r>
        <w:rPr>
          <w:rFonts w:ascii="Arial" w:cs="Arial" w:eastAsia="Arial" w:hAnsi="Arial"/>
          <w:sz w:val="20"/>
          <w:szCs w:val="20"/>
        </w:rPr>
        <w:t xml:space="preserve">End-to-end latency &lt; 60 seconds on 95% of assessments</w:t>
      </w:r>
    </w:p>
    <w:p>
      <w:pPr>
        <w:pStyle w:val="ListParagraph"/>
        <w:numPr>
          <w:ilvl w:val="0"/>
          <w:numId w:val="2"/>
        </w:numPr>
        <w:spacing w:after="40" w:before="40"/>
      </w:pPr>
      <w:r>
        <w:t>Fortify memory delta detection: correctly identifies risk rating changes on re-assessment of known vendors</w:t>
      </w:r>
    </w:p>
    <w:p>
      <w:pPr>
        <w:pStyle w:val="ListParagraph"/>
        <w:numPr>
          <w:ilvl w:val="0"/>
          <w:numId w:val="2"/>
        </w:numPr>
        <w:spacing w:after="40" w:before="40"/>
      </w:pPr>
      <w:r>
        <w:rPr>
          <w:rFonts w:ascii="Arial" w:cs="Arial" w:eastAsia="Arial" w:hAnsi="Arial"/>
          <w:sz w:val="20"/>
          <w:szCs w:val="20"/>
        </w:rPr>
        <w:t xml:space="preserve">TriggerWare alert latency &lt; 30 seconds from rating change to webhook fire</w:t>
      </w:r>
    </w:p>
    <w:p>
      <w:pPr>
        <w:pStyle w:val="ListParagraph"/>
        <w:numPr>
          <w:ilvl w:val="0"/>
          <w:numId w:val="2"/>
        </w:numPr>
        <w:spacing w:after="40" w:before="40"/>
      </w:pPr>
      <w:r>
        <w:rPr>
          <w:rFonts w:ascii="Arial" w:cs="Arial" w:eastAsia="Arial" w:hAnsi="Arial"/>
          <w:sz w:val="20"/>
          <w:szCs w:val="20"/>
        </w:rPr>
        <w:t xml:space="preserve">First paying white-label client or agency integration signed within 30 days</w:t>
      </w:r>
    </w:p>
    <w:p>
      <w:pPr>
        <w:spacing w:after="0" w:before="80"/>
      </w:pPr>
      <w:r>
        <w:t xml:space="preserve"/>
      </w:r>
    </w:p>
    <w:p>
      <w:pPr>
        <w:pBdr>
          <w:left w:val="single" w:color="1B2A4A" w:sz="20" w:space="8"/>
        </w:pBdr>
        <w:shd w:fill="F4F6F9" w:val="clear"/>
        <w:spacing w:after="80" w:before="80"/>
        <w:ind w:left="280" w:right="280"/>
      </w:pPr>
      <w:r>
        <w:rPr>
          <w:rFonts w:ascii="Arial" w:cs="Arial" w:eastAsia="Arial" w:hAnsi="Arial"/>
          <w:i/>
          <w:iCs/>
          <w:color w:val="1B2A4A"/>
          <w:sz w:val="22"/>
          <w:szCs w:val="22"/>
        </w:rPr>
        <w:t xml:space="preserve">Fortify DD v2.0: five sponsors, seven prize tracks, one agent that never stops watching your vendors.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86" w:sz="4" w:space="4"/>
      </w:pBdr>
      <w:tabs>
        <w:tab w:val="right" w:pos="9026"/>
      </w:tabs>
      <w:spacing w:before="80"/>
    </w:pPr>
    <w:r>
      <w:rPr>
        <w:rFonts w:ascii="Arial" w:cs="Arial" w:eastAsia="Arial" w:hAnsi="Arial"/>
        <w:color w:val="777777"/>
        <w:sz w:val="16"/>
        <w:szCs w:val="16"/>
      </w:rPr>
      <w:t xml:space="preserve">Fortify DD — PRD v2.0  |  Confidential</w:t>
    </w:r>
    <w:r>
      <w:rPr>
        <w:sz w:val="16"/>
        <w:szCs w:val="16"/>
      </w:rPr>
      <w:t xml:space="preserv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60" w:before="260"/>
      <w:outlineLvl w:val="1"/>
    </w:pPr>
    <w:rPr>
      <w:rFonts w:ascii="Arial" w:cs="Arial" w:eastAsia="Arial" w:hAnsi="Arial"/>
      <w:b/>
      <w:bCs/>
      <w:color w:val="0E7C8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2026-05-28T08:51:27.472Z</dcterms:created>
  <dcterms:modified xsi:type="dcterms:W3CDTF">2026-05-28T08:51:27.486Z</dcterms:modified>
</cp:coreProperties>
</file>

<file path=docProps/custom.xml><?xml version="1.0" encoding="utf-8"?>
<Properties xmlns="http://schemas.openxmlformats.org/officeDocument/2006/custom-properties" xmlns:vt="http://schemas.openxmlformats.org/officeDocument/2006/docPropsVTypes"/>
</file>