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3"/>
        <w:spacing/>
        <w:ind/>
        <w:rPr/>
      </w:pPr>
      <w:r>
        <w:t xml:space="preserve">Services Agreement for </w:t>
      </w:r>
      <w:sdt>
        <w:sdtPr>
          <w:alias w:val="r2"/>
          <w:tag w:val="field:r2"/>
          <w15:appearance w15:val="boundingBox"/>
          <w:id w:val="1008"/>
          <w:lock w:val="contentLocked"/>
          <w:rPr>
            <w:b/>
            <w:color w:val="1f4e79"/>
          </w:rPr>
        </w:sdtPr>
        <w:sdtContent>
          <w:r>
            <w:rPr>
              <w:b/>
              <w:color w:val="1f4e79"/>
            </w:rPr>
            <w:t xml:space="preserve">Acme Testing LLC</w:t>
          </w:r>
        </w:sdtContent>
      </w:sdt>
      <w:r/>
      <w:r/>
    </w:p>
    <w:p>
      <w:pPr>
        <w:spacing/>
        <w:ind/>
        <w:rPr/>
      </w:pPr>
      <w:r>
        <w:t xml:space="preserve">This Agreement starts on </w:t>
      </w:r>
      <w:sdt>
        <w:sdtPr>
          <w:alias w:val="r1"/>
          <w:tag w:val="field:r1"/>
          <w15:appearance w15:val="boundingBox"/>
          <w:id w:val="1009"/>
          <w:lock w:val="contentLocked"/>
          <w:rPr>
            <w:b/>
          </w:rPr>
        </w:sdtPr>
        <w:sdtContent>
          <w:r>
            <w:rPr>
              <w:b/>
            </w:rPr>
            <w:t xml:space="preserve">2026-11-01</w:t>
          </w:r>
        </w:sdtContent>
      </w:sdt>
      <w:r>
        <w:t xml:space="preserve"> between Monolith and </w:t>
      </w:r>
      <w:sdt>
        <w:sdtPr>
          <w:alias w:val="r2"/>
          <w:tag w:val="field:r2"/>
          <w15:appearance w15:val="boundingBox"/>
          <w:id w:val="1010"/>
          <w:lock w:val="contentLocked"/>
          <w:rPr>
            <w:i/>
          </w:rPr>
        </w:sdtPr>
        <w:sdtContent>
          <w:r>
            <w:rPr>
              <w:i/>
            </w:rPr>
            <w:t xml:space="preserve">Acme Testing LLC</w:t>
          </w:r>
        </w:sdtContent>
      </w:sdt>
      <w:r>
        <w:t xml:space="preserve">. The total is </w:t>
      </w:r>
      <w:sdt>
        <w:sdtPr>
          <w:alias w:val="r3"/>
          <w:tag w:val="field:r3"/>
          <w15:appearance w15:val="boundingBox"/>
          <w:id w:val="1011"/>
          <w:lock w:val="contentLocked"/>
          <w:rPr>
            <w:b/>
            <w:color w:val="1f4e79"/>
          </w:rPr>
        </w:sdtPr>
        <w:sdtContent>
          <w:r>
            <w:rPr>
              <w:b/>
              <w:color w:val="1f4e79"/>
            </w:rPr>
            <w:t xml:space="preserve">$12,345.00</w:t>
          </w:r>
        </w:sdtContent>
      </w:sdt>
      <w:r>
        <w:t xml:space="preserve"> payable </w:t>
      </w:r>
      <w:sdt>
        <w:sdtPr>
          <w:alias w:val="r4"/>
          <w:tag w:val="field:r4"/>
          <w15:appearance w15:val="boundingBox"/>
          <w:id w:val="1012"/>
          <w:lock w:val="contentLocked"/>
          <w:rPr/>
        </w:sdtPr>
        <w:sdtContent>
          <w:r>
            <w:t xml:space="preserve">Net 30</w:t>
          </w:r>
        </w:sdtContent>
      </w:sdt>
      <w:r>
        <w:t xml:space="preserve">.</w:t>
      </w:r>
      <w:r/>
    </w:p>
    <w:p>
      <w:pPr>
        <w:spacing/>
        <w:ind/>
        <w:rPr/>
      </w:pPr>
      <w:r>
        <w:t xml:space="preserve">SENTENCEHOLDER keeps </w:t>
      </w:r>
      <w:sdt>
        <w:sdtPr>
          <w:alias w:val="r5"/>
          <w:tag w:val="field:r5"/>
          <w15:appearance w15:val="boundingBox"/>
          <w:id w:val="1013"/>
          <w:lock w:val="contentLocked"/>
          <w:rPr/>
        </w:sdtPr>
        <w:sdtContent>
          <w:r>
            <w:t xml:space="preserve">FIELDFIVEVALUE</w:t>
          </w:r>
        </w:sdtContent>
      </w:sdt>
      <w:r>
        <w:t xml:space="preserve"> inside it.</w:t>
      </w:r>
      <w:r/>
    </w:p>
    <w:p>
      <w:pPr>
        <w:spacing/>
        <w:ind/>
        <w:rPr/>
      </w:pPr>
      <w:r>
        <w:t xml:space="preserve">Token check: {customer_name} and </w:t>
      </w:r>
      <w:r>
        <w:rPr>
          <w:b/>
        </w:rPr>
        <w:t xml:space="preserve">{total_amount}</w:t>
      </w:r>
      <w:r>
        <w:t xml:space="preserve">.</w:t>
      </w:r>
      <w:r/>
    </w:p>
    <w:sdt>
      <w:sdtPr>
        <w:alias w:val="r6"/>
        <w:tag w:val="block:r6"/>
        <w15:appearance w15:val="boundingBox"/>
        <w:id w:val="1014"/>
        <w:lock w:val="sdtContentLocked"/>
        <w:rPr/>
      </w:sdtPr>
      <w:sdtContent>
        <w:tbl>
          <w:tblPr>
            <w:tblW w:w="9000" w:type="dxa"/>
            <w:tbl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color="000000" w:sz="4" w:space="0"/>
              <w:insideV w:val="single" w:color="000000" w:sz="4" w:space="0"/>
            </w:tblBorders>
            <w:tblLook w:val="04A0" w:firstRow="1" w:lastRow="0" w:firstColumn="1" w:lastColumn="0" w:noHBand="0" w:noVBand="1"/>
          </w:tblPr>
          <w:tblGrid>
            <w:gridCol w:w="3000"/>
            <w:gridCol w:w="3000"/>
            <w:gridCol w:w="3000"/>
          </w:tblGrid>
          <w:tr>
            <w:trPr/>
            <w:tc>
              <w:tcPr>
                <w:tcBorders/>
                <w:tcW w:w="3000" w:type="dxa"/>
              </w:tcPr>
              <w:p>
                <w:pPr>
                  <w:spacing/>
                  <w:ind/>
                  <w:rPr/>
                </w:pPr>
                <w:r>
                  <w:rPr>
                    <w:b/>
                  </w:rPr>
                  <w:t xml:space="preserve">Item</w:t>
                </w:r>
                <w:r/>
              </w:p>
            </w:tc>
            <w:tc>
              <w:tcPr>
                <w:tcBorders/>
                <w:tcW w:w="3000" w:type="dxa"/>
              </w:tcPr>
              <w:p>
                <w:pPr>
                  <w:spacing/>
                  <w:ind/>
                  <w:rPr/>
                </w:pPr>
                <w:r>
                  <w:rPr>
                    <w:b/>
                  </w:rPr>
                  <w:t xml:space="preserve">Qty</w:t>
                </w:r>
                <w:r/>
              </w:p>
            </w:tc>
            <w:tc>
              <w:tcPr>
                <w:tcBorders/>
                <w:tcW w:w="3000" w:type="dxa"/>
              </w:tcPr>
              <w:p>
                <w:pPr>
                  <w:spacing/>
                  <w:ind/>
                  <w:rPr/>
                </w:pPr>
                <w:r>
                  <w:rPr>
                    <w:b/>
                  </w:rPr>
                  <w:t xml:space="preserve">Price</w:t>
                </w:r>
                <w:r/>
              </w:p>
            </w:tc>
          </w:tr>
          <w:tr>
            <w:trPr/>
            <w:tc>
              <w:tcPr>
                <w:tcBorders/>
                <w:tcW w:w="3000" w:type="dxa"/>
              </w:tcPr>
              <w:p>
                <w:pPr>
                  <w:spacing/>
                  <w:ind/>
                  <w:rPr/>
                </w:pPr>
                <w:r>
                  <w:t xml:space="preserve">Widget</w:t>
                </w:r>
                <w:r/>
              </w:p>
            </w:tc>
            <w:tc>
              <w:tcPr>
                <w:tcBorders/>
                <w:tcW w:w="3000" w:type="dxa"/>
              </w:tcPr>
              <w:p>
                <w:pPr>
                  <w:spacing/>
                  <w:ind/>
                  <w:rPr/>
                </w:pPr>
                <w:r>
                  <w:t xml:space="preserve">2</w:t>
                </w:r>
                <w:r/>
              </w:p>
            </w:tc>
            <w:tc>
              <w:tcPr>
                <w:tcBorders/>
                <w:tcW w:w="3000" w:type="dxa"/>
              </w:tcPr>
              <w:p>
                <w:pPr>
                  <w:spacing/>
                  <w:ind/>
                  <w:rPr/>
                </w:pPr>
                <w:r>
                  <w:t xml:space="preserve">$10.00</w:t>
                </w:r>
                <w:r/>
              </w:p>
            </w:tc>
          </w:tr>
          <w:tr>
            <w:trPr/>
            <w:tc>
              <w:tcPr>
                <w:tcBorders/>
                <w:tcW w:w="3000" w:type="dxa"/>
              </w:tcPr>
              <w:p>
                <w:pPr>
                  <w:spacing/>
                  <w:ind/>
                  <w:rPr/>
                </w:pPr>
                <w:r>
                  <w:t xml:space="preserve">Gadget</w:t>
                </w:r>
                <w:r/>
              </w:p>
            </w:tc>
            <w:tc>
              <w:tcPr>
                <w:tcBorders/>
                <w:tcW w:w="3000" w:type="dxa"/>
              </w:tcPr>
              <w:p>
                <w:pPr>
                  <w:spacing/>
                  <w:ind/>
                  <w:rPr/>
                </w:pPr>
                <w:r>
                  <w:t xml:space="preserve">1</w:t>
                </w:r>
                <w:r/>
              </w:p>
            </w:tc>
            <w:tc>
              <w:tcPr>
                <w:tcBorders/>
                <w:tcW w:w="3000" w:type="dxa"/>
              </w:tcPr>
              <w:p>
                <w:pPr>
                  <w:spacing/>
                  <w:ind/>
                  <w:rPr/>
                </w:pPr>
                <w:r>
                  <w:t xml:space="preserve">$25.00</w:t>
                </w:r>
                <w:r/>
              </w:p>
            </w:tc>
          </w:tr>
        </w:tbl>
      </w:sdtContent>
    </w:sdt>
    <w:p>
      <w:pPr>
        <w:spacing/>
        <w:ind/>
        <w:rPr/>
      </w:pPr>
      <w:r>
        <w:t xml:space="preserve">ENDMARKER of document. 12121 before Word</w:t>
      </w:r>
      <w:r/>
    </w:p>
    <w:sectPr>
      <w:footnotePr/>
      <w:endnotePr/>
      <w:type w:val="nextPage"/>
      <w:pgSz w:h="15840" w:orient="portrait" w:w="12240"/>
      <w:pgMar w:top="1440" w:right="1440" w:bottom="1440" w:left="144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Times New Roman" w:cs="Times New Roman"/>
        <w:sz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62"/>
    <w:next w:val="66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2"/>
    <w:next w:val="66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2"/>
    <w:next w:val="66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2"/>
    <w:next w:val="66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2"/>
    <w:next w:val="6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2"/>
    <w:next w:val="66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2"/>
    <w:next w:val="66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2"/>
    <w:next w:val="66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2"/>
    <w:next w:val="66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2"/>
    <w:next w:val="66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2"/>
    <w:next w:val="66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2"/>
    <w:next w:val="66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2"/>
    <w:next w:val="6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2"/>
    <w:next w:val="662"/>
    <w:uiPriority w:val="39"/>
    <w:unhideWhenUsed/>
    <w:pPr>
      <w:pBdr/>
      <w:spacing w:after="100"/>
      <w:ind/>
    </w:pPr>
  </w:style>
  <w:style w:type="paragraph" w:styleId="190">
    <w:name w:val="toc 2"/>
    <w:basedOn w:val="662"/>
    <w:next w:val="662"/>
    <w:uiPriority w:val="39"/>
    <w:unhideWhenUsed/>
    <w:pPr>
      <w:pBdr/>
      <w:spacing w:after="100"/>
      <w:ind w:left="220"/>
    </w:pPr>
  </w:style>
  <w:style w:type="paragraph" w:styleId="191">
    <w:name w:val="toc 3"/>
    <w:basedOn w:val="662"/>
    <w:next w:val="662"/>
    <w:uiPriority w:val="39"/>
    <w:unhideWhenUsed/>
    <w:pPr>
      <w:pBdr/>
      <w:spacing w:after="100"/>
      <w:ind w:left="440"/>
    </w:pPr>
  </w:style>
  <w:style w:type="paragraph" w:styleId="192">
    <w:name w:val="toc 4"/>
    <w:basedOn w:val="662"/>
    <w:next w:val="662"/>
    <w:uiPriority w:val="39"/>
    <w:unhideWhenUsed/>
    <w:pPr>
      <w:pBdr/>
      <w:spacing w:after="100"/>
      <w:ind w:left="660"/>
    </w:pPr>
  </w:style>
  <w:style w:type="paragraph" w:styleId="193">
    <w:name w:val="toc 5"/>
    <w:basedOn w:val="662"/>
    <w:next w:val="662"/>
    <w:uiPriority w:val="39"/>
    <w:unhideWhenUsed/>
    <w:pPr>
      <w:pBdr/>
      <w:spacing w:after="100"/>
      <w:ind w:left="880"/>
    </w:pPr>
  </w:style>
  <w:style w:type="paragraph" w:styleId="194">
    <w:name w:val="toc 6"/>
    <w:basedOn w:val="662"/>
    <w:next w:val="662"/>
    <w:uiPriority w:val="39"/>
    <w:unhideWhenUsed/>
    <w:pPr>
      <w:pBdr/>
      <w:spacing w:after="100"/>
      <w:ind w:left="1100"/>
    </w:pPr>
  </w:style>
  <w:style w:type="paragraph" w:styleId="195">
    <w:name w:val="toc 7"/>
    <w:basedOn w:val="662"/>
    <w:next w:val="662"/>
    <w:uiPriority w:val="39"/>
    <w:unhideWhenUsed/>
    <w:pPr>
      <w:pBdr/>
      <w:spacing w:after="100"/>
      <w:ind w:left="1320"/>
    </w:pPr>
  </w:style>
  <w:style w:type="paragraph" w:styleId="196">
    <w:name w:val="toc 8"/>
    <w:basedOn w:val="662"/>
    <w:next w:val="662"/>
    <w:uiPriority w:val="39"/>
    <w:unhideWhenUsed/>
    <w:pPr>
      <w:pBdr/>
      <w:spacing w:after="100"/>
      <w:ind w:left="1540"/>
    </w:pPr>
  </w:style>
  <w:style w:type="paragraph" w:styleId="197">
    <w:name w:val="toc 9"/>
    <w:basedOn w:val="662"/>
    <w:next w:val="66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2"/>
    <w:next w:val="662"/>
    <w:uiPriority w:val="99"/>
    <w:unhideWhenUsed/>
    <w:pPr>
      <w:pBdr/>
      <w:spacing w:after="0" w:afterAutospacing="0"/>
      <w:ind/>
    </w:pPr>
  </w:style>
  <w:style w:type="paragraph" w:styleId="662" w:default="1">
    <w:name w:val="Normal"/>
    <w:pPr>
      <w:pBdr/>
      <w:spacing/>
      <w:ind/>
    </w:pPr>
  </w:style>
  <w:style w:type="paragraph" w:styleId="663">
    <w:name w:val="Heading 1"/>
    <w:basedOn w:val="662"/>
    <w:pPr>
      <w:pBdr/>
      <w:spacing w:after="120" w:before="240"/>
      <w:ind/>
    </w:pPr>
    <w:rPr>
      <w:b/>
      <w:sz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