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</w:pPr>
      <w:r>
        <w:rPr>
          <w:b/>
          <w:color w:val="000000"/>
        </w:rPr>
        <w:t>TeamFS 科研实验输入追溯目标与分工</w:t>
      </w:r>
    </w:p>
    <w:p>
      <w:pPr>
        <w:pStyle w:val="GoalHeading"/>
      </w:pPr>
      <w:r>
        <w:rPr>
          <w:b/>
          <w:color w:val="000000"/>
        </w:rPr>
        <w:t>最终完成体</w:t>
      </w:r>
    </w:p>
    <w:p>
      <w:pPr>
        <w:spacing w:after="80" w:line="269" w:lineRule="auto"/>
      </w:pPr>
      <w:r>
        <w:rPr>
          <w:b w:val="0"/>
          <w:color w:val="000000"/>
        </w:rPr>
        <w:t>完成一个基于 Rust + fuse-rs 的科研实验文件输入追溯系统，在 Linux 或 WSL2 中使用。一次运行可固定输入版本、记录实际访问、关联结果，并能验证、取回和重放旧输入。</w:t>
      </w:r>
    </w:p>
    <w:p>
      <w:pPr>
        <w:spacing w:after="80" w:line="269" w:lineRule="auto"/>
      </w:pPr>
      <w:r>
        <w:rPr>
          <w:b/>
          <w:color w:val="000000"/>
        </w:rPr>
        <w:t>输入目录：</w:t>
      </w:r>
      <w:r>
        <w:rPr>
          <w:b w:val="0"/>
          <w:color w:val="000000"/>
        </w:rPr>
        <w:t>程序在固定的只读输入目录中运行，结果写到挂载点外。范围为单机单用户的挂载内文件输入，外部依赖、网络和随机性不保证完整采集。</w:t>
      </w:r>
    </w:p>
    <w:p>
      <w:pPr>
        <w:spacing w:after="80" w:line="269" w:lineRule="auto"/>
      </w:pPr>
      <w:r>
        <w:rPr>
          <w:b/>
          <w:color w:val="000000"/>
        </w:rPr>
        <w:t>管理命令：</w:t>
      </w:r>
      <w:r>
        <w:rPr>
          <w:b w:val="0"/>
          <w:color w:val="000000"/>
        </w:rPr>
        <w:t>通过 experiment 命令运行、查看、验证、比较和重放实验，结合恢复与独立备份保留输入。现有快照、分块存储和诊断作为基础。</w:t>
      </w:r>
    </w:p>
    <w:p>
      <w:pPr>
        <w:spacing w:after="80" w:line="269" w:lineRule="auto"/>
      </w:pPr>
      <w:r>
        <w:rPr>
          <w:b/>
          <w:color w:val="000000"/>
        </w:rPr>
        <w:t>展示页面：</w:t>
      </w:r>
      <w:r>
        <w:rPr>
          <w:b w:val="0"/>
          <w:color w:val="000000"/>
        </w:rPr>
        <w:t>只读展示真实实验报告、输入与输出版本、差异和异常状态；与原有操作监控共同使用，明确区分教学模拟和真实数据。</w:t>
      </w:r>
    </w:p>
    <w:p>
      <w:pPr>
        <w:pStyle w:val="GoalHeading"/>
      </w:pPr>
      <w:r>
        <w:rPr>
          <w:b/>
          <w:color w:val="000000"/>
        </w:rPr>
        <w:t>六人本轮目标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37"/>
        <w:gridCol w:w="9331"/>
      </w:tblGrid>
      <w:tr>
        <w:trPr>
          <w:cantSplit/>
          <w:tblHeader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spacing w:line="264" w:lineRule="auto" w:after="0"/>
              <w:jc w:val="center"/>
            </w:pPr>
            <w:r>
              <w:rPr>
                <w:b/>
              </w:rPr>
              <w:t>成员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  <w:shd w:fill="E8ECF0"/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本轮应达到的状态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组长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围绕科研输入追溯整合各模块，统一接口、整体验收、换机复现、版本发布和答辩材料。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成员 2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保证记录与实际文件访问一致，正确区分正文、仅打开、元数据查询和实验进程归属。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成员 3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保留固定输入版本和已采集证据，清楚区分成功保存、取消、中断以及无法恢复的状态。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成员 4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用实际分析流程证明需求，关联输入和输出版本，并通过报告比较及重放查证实验结果。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成员 5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量化原生目录、普通 TeamFS 和实验模式的成本，解释追溯的代价并提出有数据支持的优化。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center"/>
            </w:pPr>
            <w:r>
              <w:rPr>
                <w:b/>
                <w:color w:val="000000"/>
              </w:rPr>
              <w:t>成员 6</w:t>
            </w:r>
          </w:p>
        </w:tc>
        <w:tc>
          <w:tcPr>
            <w:tcW w:type="dxa" w:w="9331"/>
            <w:vAlign w:val="center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line="264" w:lineRule="auto" w:after="0"/>
              <w:jc w:val="left"/>
            </w:pPr>
            <w:r>
              <w:rPr>
                <w:b w:val="0"/>
                <w:color w:val="000000"/>
              </w:rPr>
              <w:t>用真实报告展示实验、输入、输出、变化和异常状态，让观众理解结果对应的是哪一版数据。</w:t>
            </w:r>
          </w:p>
        </w:tc>
      </w:tr>
    </w:tbl>
    <w:p>
      <w:pPr>
        <w:pStyle w:val="GoalHeading"/>
      </w:pPr>
      <w:r>
        <w:rPr>
          <w:b/>
          <w:color w:val="000000"/>
        </w:rPr>
        <w:t>交付与整体完成标准</w:t>
      </w:r>
    </w:p>
    <w:p>
      <w:pPr>
        <w:spacing w:after="80" w:line="269" w:lineRule="auto"/>
      </w:pPr>
      <w:r>
        <w:rPr>
          <w:b/>
          <w:color w:val="000000"/>
        </w:rPr>
        <w:t>交付内容：</w:t>
      </w:r>
      <w:r>
        <w:rPr>
          <w:b w:val="0"/>
          <w:color w:val="000000"/>
        </w:rPr>
        <w:t>源码和可运行程序、科研案例及数据说明、启动与演示脚本、真实报告页面、README、验收和开销评估、分工材料及答辩 PPT。</w:t>
      </w:r>
    </w:p>
    <w:p>
      <w:pPr>
        <w:spacing w:after="80" w:line="269" w:lineRule="auto"/>
      </w:pPr>
      <w:r>
        <w:rPr>
          <w:b/>
          <w:color w:val="000000"/>
        </w:rPr>
        <w:t>演示流程：</w:t>
      </w:r>
      <w:r>
        <w:rPr>
          <w:b w:val="0"/>
          <w:color w:val="000000"/>
        </w:rPr>
        <w:t>准备输入 → 运行并记录 → 修改同名数据或参数 → 结果变化 → 按旧报告重放 → 对照输入与结果 SHA256 → 查看报告和真实状态。</w:t>
      </w:r>
    </w:p>
    <w:p>
      <w:pPr>
        <w:spacing w:after="80" w:line="269" w:lineRule="auto"/>
      </w:pPr>
      <w:r>
        <w:rPr>
          <w:b/>
          <w:color w:val="000000"/>
        </w:rPr>
        <w:t>完成判定：</w:t>
      </w:r>
      <w:r>
        <w:rPr>
          <w:b w:val="0"/>
          <w:color w:val="000000"/>
        </w:rPr>
        <w:t>同环境确定性案例重放结果一致；支持范围验收通过，性能代价和追溯范围讲清楚；另一位成员能独立复现，GitHub 提交与验收凭证一致。</w:t>
      </w:r>
    </w:p>
    <w:p>
      <w:pPr>
        <w:pStyle w:val="Title"/>
        <w:keepNext/>
        <w:pageBreakBefore/>
        <w:spacing w:after="180"/>
        <w:jc w:val="center"/>
      </w:pPr>
      <w:r>
        <w:rPr>
          <w:b/>
          <w:color w:val="000000"/>
        </w:rPr>
        <w:t>TeamFS 小组分工与验收标准</w:t>
      </w:r>
    </w:p>
    <w:p>
      <w:pPr>
        <w:keepNext/>
        <w:spacing w:after="200" w:line="276" w:lineRule="auto"/>
      </w:pPr>
      <w:r>
        <w:rPr>
          <w:b w:val="0"/>
          <w:color w:val="000000"/>
        </w:rPr>
        <w:t>以当前 0.8 实现为基础。各成员先复核、测试和讲解所负责模块，再完成本轮新增工作及必要修正。新增重点是结果证据、采集中途保存、实际案例、开销评估和报告页面；均使用独立测试挂载。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893"/>
        <w:gridCol w:w="1800"/>
        <w:gridCol w:w="4522"/>
        <w:gridCol w:w="3154"/>
      </w:tblGrid>
      <w:tr>
        <w:trPr>
          <w:cantSplit/>
          <w:tblHeader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  <w:shd w:fill="E8ECF0"/>
          </w:tcPr>
          <w:p>
            <w:pPr>
              <w:keepNext w:val="0"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  <w:shd w:fill="E8ECF0"/>
          </w:tcPr>
          <w:p>
            <w:pPr>
              <w:keepNext w:val="0"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负责方向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  <w:shd w:fill="E8ECF0"/>
          </w:tcPr>
          <w:p>
            <w:pPr>
              <w:keepNext w:val="0"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现阶段具体工作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  <w:shd w:fill="E8ECF0"/>
          </w:tcPr>
          <w:p>
            <w:pPr>
              <w:keepNext w:val="0"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必须交付的成果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组长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总体架构与集成发布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梳理输入固定、命令运行、FUSE 记录和报告导出的过程；协调接口与集成；组织整体验收、换机复现、GitHub 发布及答辩。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系统架构图、统一运行说明、完整演示脚本、最终验收与发布记录、PPT。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原理讲解：能追踪一次文件读取和一次实验启动，说明应用、VFS、FUSE、Rust 服务与 SQLite 的关系，并定位对应代码。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集成验收：最终提交运行 scripts/check.sh，退出码为 0；失败、不支持和环境跳过分别说明，未执行项不算通过。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换机复现：另一名成员在新环境按 README 克隆、安装、构建并运行科研案例，完成报告查看、输入验证和旧版本重放。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现场演示：连续完成原实验、修改同名输入、重新运行、旧输入重放、结果对照和页面展示；同环境确定性结果校验一致。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发布与汇报：GitHub 提交号与验收版本一致，保存 CI 结果；PPT 讲清需求、方案、实测结果和范围，不宣称完整环境自动复现。</w:t>
            </w:r>
          </w:p>
          <w:p>
            <w:pPr>
              <w:keepNext w:val="0"/>
              <w:spacing w:after="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  <w:t>架构图、最终提交号、完整验收输出、换机记录、演示录屏、GitHub 与 CI 链接、PPT。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 2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FUSE 访问记录与进程归属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复核 FUSE 回调和专用采集会话；检查进程组归属、访问分类、原始路径、软链接与错误记录；复测基础操作和软件兼容性。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访问记录流程说明、进程归属与边界测试、兼容性复测结果、必要的代码修正。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访问分类：正文读取、仅打开、属性查询和目录查询分别记录；未读取的备用文件不列为正文输入，空文件也能正确识别。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归属与完整性：普通子进程访问纳入本实验，其他进程访问同一快照不混入；超过日志窗口的重复读取次数和字节数仍准确。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路径与校验：中文、非 UTF-8 名称、二进制和局部读取记录正确；SHA256 标识完整文件版本，不把返回字节都宣称为算法使用。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边界与错误：缺失输入记录 errno；未固定输入和越界软链接有明确提示，不能被认证为已固定输入；离开进程组的情况注明范围。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基础回归：支持范围内的读写、截断、改名、打开后删除及 Git、Vim、rsync 场景继续通过；不支持项及失败修正有记录。</w:t>
            </w:r>
          </w:p>
          <w:p>
            <w:pPr>
              <w:keepNext w:val="0"/>
              <w:spacing w:after="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  <w:t>真实请求与报告对照、分类和子进程测试、2500 次读取记录、路径与错误案例、兼容性复测及修正说明。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 3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输入版本留存与中断恢复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复核快照、分块存储、事务和备份；新增采集摘要的中途持久保存；完善中断恢复和失败状态，保证旧版本不被当前修改影响。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存储与保存时序图、采集中途保存实现、故障验收报告、输入与报告迁移说明。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输入固定：实验开始成功后，修改、截断或删除当前文件不改变已固定内容；输入只读，普通快照删除不能误删实验版本。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事务失败：输入版本创建或保存失败时，不释放命令执行门，不留下半份快照；旧提交完整，恢复存储后能明确重试。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中途留证：长实验先形成已保存的采集摘要，再强制结束 daemon；重启后保留固定输入及最后摘要，未知部分明确标记不完整。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状态与恢复：成功、程序失败、取消、运行器中断和 daemon 崩溃有正确状态；不补造退出码或丢失的读取记录，不把中断当作完整实验。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迁移与留存：报告和独立备份迁移后输入 SHA256 一致；损坏数据及已有导入目标不被覆盖；memory 模式明确说明输入不会跨重启保留。</w:t>
            </w:r>
          </w:p>
          <w:p>
            <w:pPr>
              <w:keepNext w:val="0"/>
              <w:spacing w:after="6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  <w:t>快照与恢复 SHA256、事务失败与重试日志、中途保存文件、崩溃前后对照、备份校验与导入记录。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 4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科研案例与输入输出证据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选择公开数据和多步骤分析流程；新增指定输出文件摘要、轻量环境信息及实验报告比较；组织同名输入变化和旧版本重放案例。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案例数据与程序、数据来源说明、输出摘要和报告比较功能、完整案例记录。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案例可信：注明数据来源、规模和处理流程；包含数据、配置或辅助输入及未使用文件，人工核对实际依赖。合成数据须明确标注。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证据关联：通用报告包含输入与指定输出的路径、SHA256、命令、退出状态和轻量环境摘要；不把环境摘要当作完整环境归档。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报告比较：正确列出输入和输出的新增、删除与内容变化；PID、运行时间和实验名称变化不误判为文件正文变化。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结果验证：修改同名数据或参数后结果确有变化；使用旧输入重放确定性案例，同环境输出逐字节及 SHA256 一致。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可移交使用：代码、数据和结果说明完整，组长及另一名成员能按步骤运行；成功与失败结果均有记录，说明可验证的结论和范围。</w:t>
            </w:r>
          </w:p>
          <w:p>
            <w:pPr>
              <w:keepNext w:val="0"/>
              <w:spacing w:after="6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  <w:t>数据来源与规模、案例代码、输入输出清单、原实验与改动后报告、比较结果、重放前后 SHA256 和运行步骤。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 5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追溯开销与性能评估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设计同一工作负载的三组对照；测量准备、运行、校验及报告耗时，内存和存储占用；分析分块与采集成本，提出并验证优化。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可复现评估脚本、原始样本、性能图表、成本分析与优化前后记录。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公平对照：同一机器、数据和程序比较原生 Linux 目录、普通 TeamFS 与实验模式；每组至少 3 次，保存样本及中位数。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分阶段计时：分别记录输入准备、程序运行、内容校验和报告导出，总耗时口径清楚；嵌套保存耗时不能重复相加。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资源记录：说明实验进程和 daemon 的内存口径，记录数据库、WAL 与报告占用；内容插入字节不称为设备物理写入量。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条件可复现：注明提交号、构建、缓存及日志设置，覆盖小文件、多文件和较大输入；debug 与 release 分开，不清缓存不能称严格冷读。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结论有依据：优化有前后样本且回归通过；如追溯更慢则如实说明代价，不预设快于原生目录，不外推到未测的生产规模。</w:t>
            </w:r>
          </w:p>
          <w:p>
            <w:pPr>
              <w:keepNext w:val="0"/>
              <w:spacing w:after="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  <w:t>机器与构建信息、命令和原始 JSON 或 CSV、阶段耗时与资源统计、对照图表、优化及回归记录。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center"/>
            </w:pPr>
            <w:r>
              <w:rPr>
                <w:b/>
                <w:color w:val="000000"/>
              </w:rPr>
              <w:t>成员 6</w:t>
            </w:r>
          </w:p>
        </w:tc>
        <w:tc>
          <w:tcPr>
            <w:tcW w:type="dxa" w:w="1800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实验报告页面与展示体验</w:t>
            </w:r>
          </w:p>
        </w:tc>
        <w:tc>
          <w:tcPr>
            <w:tcW w:type="dxa" w:w="4522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新增实验列表、报告详情和输入输出差异展示；对接真实报告及挂载状态；复核只读监控，更新离线讲解、版本和演示入口。</w:t>
            </w:r>
          </w:p>
        </w:tc>
        <w:tc>
          <w:tcPr>
            <w:tcW w:type="dxa" w:w="3154"/>
            <w:vAlign w:val="center"/>
            <w:tcMar>
              <w:top w:w="115" w:type="dxa"/>
              <w:bottom w:w="115" w:type="dxa"/>
              <w:left w:w="105" w:type="dxa"/>
              <w:right w:w="105" w:type="dxa"/>
            </w:tcMar>
          </w:tcPr>
          <w:p>
            <w:pPr>
              <w:keepNext/>
              <w:widowControl w:val="0"/>
              <w:spacing w:before="0" w:after="0"/>
              <w:jc w:val="left"/>
            </w:pPr>
            <w:r>
              <w:rPr>
                <w:b w:val="0"/>
                <w:color w:val="000000"/>
              </w:rPr>
              <w:t>实验报告页面、真实数据对接、界面验收与录屏、统一后的展示入口。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jc w:val="center"/>
            </w:pPr>
            <w:r>
              <w:rPr>
                <w:b/>
              </w:rPr>
              <w:t>验收</w:t>
              <w:br/>
              <w:t>标准</w:t>
            </w:r>
          </w:p>
        </w:tc>
        <w:tc>
          <w:tcPr>
            <w:tcW w:type="dxa" w:w="9476"/>
            <w:gridSpan w:val="3"/>
            <w:vAlign w:val="center"/>
            <w:tcMar>
              <w:top w:w="110" w:type="dxa"/>
              <w:bottom w:w="110" w:type="dxa"/>
              <w:left w:w="105" w:type="dxa"/>
              <w:right w:w="105" w:type="dxa"/>
            </w:tcMar>
          </w:tcPr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1. 数据真实：列表与详情来自实际报告，显示实验名称、状态、命令、退出结果及输入输出；成功、失败和取消不混为同一状态。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2. 输入分类：正文、仅打开和元数据访问有清楚区分；中文与特殊名称显示不混淆，未固定输入、越界链接和不完整采集有提示。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3. 差异对应：两次报告的输入输出变化与成员 4 的比较结果一致；能展示同名输入改变，以及旧版本重放后的结果一致性。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4. 异常与只读：缺失或损坏报告、断线及重挂载有明确状态，旧数据显示采样时间；页面查看不修改文件、不触发同步或实验运行。</w:t>
            </w:r>
          </w:p>
          <w:p>
            <w:pPr>
              <w:keepNext w:val="0"/>
              <w:spacing w:after="60" w:line="264" w:lineRule="auto"/>
            </w:pPr>
            <w:r>
              <w:rPr>
                <w:b w:val="0"/>
                <w:color w:val="000000"/>
              </w:rPr>
              <w:t>5. 交付一致：页面、README 和实际版本及命令入口一致，模拟与真实展示明确区分；另一名成员可按说明启动并查看科研案例。</w:t>
            </w:r>
          </w:p>
          <w:p>
            <w:pPr>
              <w:keepNext w:val="0"/>
              <w:spacing w:after="60" w:line="264" w:lineRule="auto"/>
            </w:pPr>
            <w:r>
              <w:rPr>
                <w:b/>
                <w:color w:val="000000"/>
              </w:rPr>
              <w:t>验收凭证：</w:t>
            </w:r>
            <w:r>
              <w:rPr>
                <w:b w:val="0"/>
                <w:color w:val="000000"/>
              </w:rPr>
              <w:t>真实报告与界面对照、差异截图、失败及断线录屏、只读验收记录、启动说明和完整展示录屏。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3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alHeading">
    <w:name w:val="GoalHeading"/>
    <w:basedOn w:val="Normal"/>
    <w:pPr>
      <w:keepNext/>
      <w:spacing w:before="180" w:after="100"/>
    </w:pPr>
    <w:rPr>
      <w:rFonts w:ascii="Calibri" w:hAnsi="Calibri" w:eastAsia="黑体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TeamFS 科研实验输入追溯目标与分工</dc:title>
  <dc:subject>六人分工 交付成果与验收标准</dc:subject>
  <dc:creator>TeamFS 小组</dc:creator>
  <cp:keywords/>
  <dc:description/>
  <cp:lastModifiedBy/>
  <cp:revision>1</cp:revision>
  <dcterms:created xsi:type="dcterms:W3CDTF">2013-12-23T23:15:00Z</dcterms:created>
  <dcterms:modified xsi:type="dcterms:W3CDTF">2026-10-14T17:47:43Z</dcterms:modified>
  <cp:category/>
</cp:coreProperties>
</file>