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180"/>
        <w:jc w:val="center"/>
      </w:pPr>
      <w:r>
        <w:t>TeamFS 小组分工与验收标准</w:t>
      </w:r>
    </w:p>
    <w:p>
      <w:pPr>
        <w:keepNext/>
        <w:spacing w:after="200" w:line="276" w:lineRule="auto"/>
      </w:pPr>
      <w:r>
        <w:t>每位成员按本人验收项复测并提交凭证。实验使用独立临时挂载点和存储，记录运行环境、提交号及实际结果。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893"/>
        <w:gridCol w:w="1800"/>
        <w:gridCol w:w="4522"/>
        <w:gridCol w:w="3154"/>
      </w:tblGrid>
      <w:tr>
        <w:trPr>
          <w:cantSplit/>
          <w:tblHeader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负责方向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现阶段具体工作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  <w:shd w:fill="E8ECF0"/>
          </w:tcPr>
          <w:p>
            <w:pPr>
              <w:keepNext w:val="0"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必须交付的成果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组长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总体架构与集成发布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梳理应用 → VFS → FUSE → Rust → 存储的调用过程；维护 CLI 和挂载入口；协调接口修改；组织完整验收、GitHub 整理及最终演示。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系统架构图、完整演示脚本、可复现运行说明、最终版本与汇报材料。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换机复现：由另一名成员按 README 克隆、构建、挂载、读写、同步并卸载成功；不依赖组长电脑上的额外文件。</w:t>
            </w:r>
          </w:p>
          <w:p>
            <w:pPr>
              <w:spacing w:after="60" w:line="264" w:lineRule="auto"/>
            </w:pPr>
            <w:r>
              <w:t>2. 集成检查：运行 scripts/check.sh，退出码为 0，报告无 fail；不支持和环境跳过须单独列明，未执行的测试不能算通过。</w:t>
            </w:r>
          </w:p>
          <w:p>
            <w:pPr>
              <w:spacing w:after="60" w:line="264" w:lineRule="auto"/>
            </w:pPr>
            <w:r>
              <w:t>3. 完整演示：连续完成写报告、同步重挂载、快照、修改与恢复、误删与回收恢复、查看监控；恢复内容与原稿一致。</w:t>
            </w:r>
          </w:p>
          <w:p>
            <w:pPr>
              <w:spacing w:after="60" w:line="264" w:lineRule="auto"/>
            </w:pPr>
            <w:r>
              <w:t>4. 原理讲解：分别追踪一次读取和写入，能说明应用、VFS、FUSE、Rust 回调及存储的关系，并定位对应代码。</w:t>
            </w:r>
          </w:p>
          <w:p>
            <w:pPr>
              <w:spacing w:after="60" w:line="264" w:lineRule="auto"/>
            </w:pPr>
            <w:r>
              <w:t>5. 发布核对：GitHub 目标分支的提交号与验收版本一致；保存 CI 结果。云端未运行挂载测试时，须注明并附本地真实挂载结果。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环境与提交号、换机操作记录、完整验收输出、演示录屏、架构图、GitHub 与 CI 链接。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2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基础文件操作与软件兼容性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inode、目录项、句柄和引用计数；复核读写、截断、改名、删除、权限和错误码；负责 Git、Vim、rsync 与随机对照测试。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基础操作流程说明、兼容性清单、随机测试复现记录、发现问题后的修正。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基础操作：中文名、非 UTF-8 名称、二进制与空文件的创建和读写正确；偏移写、追加、截断、改名与目录操作结果符合预期。</w:t>
            </w:r>
          </w:p>
          <w:p>
            <w:pPr>
              <w:spacing w:after="60" w:line="264" w:lineRule="auto"/>
            </w:pPr>
            <w:r>
              <w:t>2. 句柄与并发：删除或被改名覆盖的文件，其已有句柄仍可读写；并发追加记录无缺失，原子替换期间读取不到半个新文件或短暂缺失的目标。</w:t>
            </w:r>
          </w:p>
          <w:p>
            <w:pPr>
              <w:spacing w:after="60" w:line="264" w:lineRule="auto"/>
            </w:pPr>
            <w:r>
              <w:t>3. 软件兼容：在 direct 与 cached 模式运行 Git、Vim、rsync 和文件锁场景；支持项无失败，不支持项及 SQLite 保存边界注明原因。</w:t>
            </w:r>
          </w:p>
          <w:p>
            <w:pPr>
              <w:spacing w:after="60" w:line="264" w:lineRule="auto"/>
            </w:pPr>
            <w:r>
              <w:t>4. 随机对照：两种模式各跑 3 个固定种子，每组 180 次操作；内容、路径和错误结果与原生目录对照一致，重挂载恢复到正确保存点。</w:t>
            </w:r>
          </w:p>
          <w:p>
            <w:pPr>
              <w:spacing w:after="60" w:line="264" w:lineRule="auto"/>
            </w:pPr>
            <w:r>
              <w:t>5. 错误处理：目标已存在、目录非空、无权限、类型冲突及非法路径返回相应错误；失败操作不破坏原文件，不留下半成品。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基础操作日志、兼容性 JSON、随机种子和操作序列、问题修复前后对比及复测记录。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3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持久化、同步与故障诊断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 SQLite 表结构、事务和保存边界；复核手动与自动同步、正常卸载、异常退出、写入失败重试；检查 check、doctor 的行为。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存储结构图、保存时序图、故障实验报告、自检操作说明。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保存边界：先同步 A 再写入未同步 B，强制结束后恢复 A；同步 B 后强制结束恢复 B；正常卸载后的修改可在重挂载后读取。</w:t>
            </w:r>
          </w:p>
          <w:p>
            <w:pPr>
              <w:spacing w:after="60" w:line="264" w:lineRule="auto"/>
            </w:pPr>
            <w:r>
              <w:t>2. 自动同步：开启后停止业务请求，未同步修改仍能保存；关闭时不自动提交。同步失败保留 dirty 与错误信息，修复后可重试成功。</w:t>
            </w:r>
          </w:p>
          <w:p>
            <w:pPr>
              <w:spacing w:after="60" w:line="264" w:lineRule="auto"/>
            </w:pPr>
            <w:r>
              <w:t>3. 事务失败：对 blobs、nodes、metadata 注入失败，并组合同步、创建快照、清理回收站共 9 组；旧提交完整，失败结果不对外生效。</w:t>
            </w:r>
          </w:p>
          <w:p>
            <w:pPr>
              <w:spacing w:after="60" w:line="264" w:lineRule="auto"/>
            </w:pPr>
            <w:r>
              <w:t>4. 存储占用：短暂写锁释放后同步成功；超过等待时间则明确失败并保留修改，解除占用后重试能保存。</w:t>
            </w:r>
          </w:p>
          <w:p>
            <w:pPr>
              <w:spacing w:after="60" w:line="264" w:lineRule="auto"/>
            </w:pPr>
            <w:r>
              <w:t>5. 只读诊断：check 接受有效离线存储，拒绝正在使用、损坏或未知格式的存储且不重建数据；doctor 正确说明环境和挂载问题。</w:t>
            </w:r>
          </w:p>
          <w:p>
            <w:pPr>
              <w:spacing w:after="60" w:line="264" w:lineRule="auto"/>
            </w:pPr>
            <w:r>
              <w:t>6. 启动保护：同一存储的第二个挂载被拒绝，第一个挂载仍能正常使用；存储目录不能放在挂载点内。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保存前后内容校验、9 组故障日志、错误与重试记录、诊断输出、存储结构与保存时序图。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4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快照、回收站、恢复与备份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梳理当前文件与历史版本的关系；复核差异比较、单文件与目录恢复、覆盖保护、历史句柄和备份导入。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完整恢复案例、恢复前后内容校验、历史数据生命周期说明。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历史隔离：创建快照后修改、截断、改名或删除当前文件，历史内容保持不变；对快照的写入、改名、删除和属性修改被拒绝。</w:t>
            </w:r>
          </w:p>
          <w:p>
            <w:pPr>
              <w:spacing w:after="60" w:line="264" w:lineRule="auto"/>
            </w:pPr>
            <w:r>
              <w:t>2. 恢复一致：中文名、二进制和空文件恢复后校验一致；目录恢复保持层级、权限和修改时间，软链接保持原目标字符串。</w:t>
            </w:r>
          </w:p>
          <w:p>
            <w:pPr>
              <w:spacing w:after="60" w:line="264" w:lineRule="auto"/>
            </w:pPr>
            <w:r>
              <w:t>3. 恢复边界：已有目标、缺失父目录、绝对路径、越界路径和管理目录目标均被拒绝，目标处不留下部分恢复内容。</w:t>
            </w:r>
          </w:p>
          <w:p>
            <w:pPr>
              <w:spacing w:after="60" w:line="264" w:lineRule="auto"/>
            </w:pPr>
            <w:r>
              <w:t>4. 回收与句柄：普通删除、改名覆盖产生正确记录；恢复不移除原记录。清理记录或删除快照后，已打开的历史文件仍可读到关闭。</w:t>
            </w:r>
          </w:p>
          <w:p>
            <w:pPr>
              <w:spacing w:after="60" w:line="264" w:lineRule="auto"/>
            </w:pPr>
            <w:r>
              <w:t>5. 差异正确：新增、删除、内容、属性、类型变化均正确列出；改名表现为旧路径删除和新路径新增，单纯读取不产生访问时间差异。</w:t>
            </w:r>
          </w:p>
          <w:p>
            <w:pPr>
              <w:spacing w:after="60" w:line="264" w:lineRule="auto"/>
            </w:pPr>
            <w:r>
              <w:t>6. 独立备份：备份校验成功，导入新存储后文件与历史可读；损坏备份和已有目标被拒绝，不覆盖原存储或发布半成品。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完整恢复命令与录屏、恢复前后 SHA256、目录和属性对照、差异清单、备份校验及导入记录。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5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缓存、性能与资源分析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理解按需读取、缓存和整文件版本保存；复现实测基线；补充 release 构建实验；分析锁等待、保存耗时及资源占用。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可复现性能报告、原始数据、瓶颈解释与有依据的优化建议。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按需读取：保存并重挂载后记录内容读取量；读取文件片段结果正确，能够用指标说明内容何时加载及缓存、未落盘内容各自的占用。</w:t>
            </w:r>
          </w:p>
          <w:p>
            <w:pPr>
              <w:spacing w:after="60" w:line="264" w:lineRule="auto"/>
            </w:pPr>
            <w:r>
              <w:t>2. 基线复现：在相同机器、数据和参数下测试原生目录、direct、cached；每项至少 3 次，保存 fio 原始 JSON、样本及中位数。</w:t>
            </w:r>
          </w:p>
          <w:p>
            <w:pPr>
              <w:spacing w:after="60" w:line="264" w:lineRule="auto"/>
            </w:pPr>
            <w:r>
              <w:t>3. 构建对照：补充 release 实验，明确实际可执行文件、编译参数和缓存条件；与 debug 对照，不混用两种构建的结果。</w:t>
            </w:r>
          </w:p>
          <w:p>
            <w:pPr>
              <w:spacing w:after="60" w:line="264" w:lineRule="auto"/>
            </w:pPr>
            <w:r>
              <w:t>4. 保存成本：分别修改 4KiB 文件和 16MiB 文件中的 4KiB，记录写入与同步耗时、SQL 内容插入量；正确解释当前整文件保存的成本。</w:t>
            </w:r>
          </w:p>
          <w:p>
            <w:pPr>
              <w:spacing w:after="60" w:line="264" w:lineRule="auto"/>
            </w:pPr>
            <w:r>
              <w:t>5. 慢请求分析：复现一次短暂存储等待，指标能定位保存阶段，解除后正常保存；区分锁等待、业务处理和其中的保存耗时，避免重复累计。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环境、版本、构建与命令记录，原始样本、对照报告和瓶颈解释；优化建议须有测量依据，不预设必须快于原生文件系统。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center"/>
            </w:pPr>
            <w:r>
              <w:rPr>
                <w:b/>
                <w:color w:val="000000"/>
              </w:rPr>
              <w:t>成员 6</w:t>
            </w:r>
          </w:p>
        </w:tc>
        <w:tc>
          <w:tcPr>
            <w:tcW w:type="dxa" w:w="1800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操作日志、真实监控与展示体验</w:t>
            </w:r>
          </w:p>
        </w:tc>
        <w:tc>
          <w:tcPr>
            <w:tcW w:type="dxa" w:w="4522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理解日志从回调到 JSON、HTTP 和页面的过程；复核筛选、耗时详情、断线提示及日志故障隔离；完善演示页面说明。</w:t>
            </w:r>
          </w:p>
        </w:tc>
        <w:tc>
          <w:tcPr>
            <w:tcW w:type="dxa" w:w="3154"/>
            <w:vAlign w:val="center"/>
            <w:tcMar>
              <w:top w:w="115" w:type="dxa"/>
              <w:bottom w:w="115" w:type="dxa"/>
              <w:left w:w="105" w:type="dxa"/>
              <w:right w:w="105" w:type="dxa"/>
            </w:tcMar>
          </w:tcPr>
          <w:p>
            <w:pPr>
              <w:keepNext/>
              <w:widowControl w:val="0"/>
              <w:spacing w:before="0" w:after="0"/>
              <w:jc w:val="left"/>
            </w:pPr>
            <w:r>
              <w:rPr>
                <w:b w:val="0"/>
                <w:color w:val="000000"/>
              </w:rPr>
              <w:t>监控流程图、真实操作录屏、监控验收记录、统一后的展示页面。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jc w:val="center"/>
            </w:pPr>
            <w:r>
              <w:rPr>
                <w:b/>
              </w:rPr>
              <w:t>验收</w:t>
              <w:br/>
              <w:t>标准</w:t>
            </w:r>
          </w:p>
        </w:tc>
        <w:tc>
          <w:tcPr>
            <w:tcW w:type="dxa" w:w="9476"/>
            <w:gridSpan w:val="3"/>
            <w:vAlign w:val="center"/>
            <w:tcMar>
              <w:top w:w="110" w:type="dxa"/>
              <w:bottom w:w="110" w:type="dxa"/>
              <w:left w:w="105" w:type="dxa"/>
              <w:right w:w="105" w:type="dxa"/>
            </w:tcMar>
          </w:tcPr>
          <w:p>
            <w:pPr>
              <w:spacing w:after="60" w:line="264" w:lineRule="auto"/>
            </w:pPr>
            <w:r>
              <w:t>1. 真实对应：在挂载点执行创建、读写、改名、删除和同步；日志中的操作、路径、PID、结果及实际字节与对应回调一致，不包含文件正文。</w:t>
            </w:r>
          </w:p>
          <w:p>
            <w:pPr>
              <w:spacing w:after="60" w:line="264" w:lineRule="auto"/>
            </w:pPr>
            <w:r>
              <w:t>2. 查询与筛选：路径、操作、结果、PID、最小耗时筛选正确；详情显示时间分解，导出的 JSON 只包含当前筛选结果。</w:t>
            </w:r>
          </w:p>
          <w:p>
            <w:pPr>
              <w:spacing w:after="60" w:line="264" w:lineRule="auto"/>
            </w:pPr>
            <w:r>
              <w:t>3. 统计口径：多次读取状态、日志和指标文件不增加业务读写计数或制造日志循环；能够解释内核缓存及内核提前拒绝请求的统计边界。</w:t>
            </w:r>
          </w:p>
          <w:p>
            <w:pPr>
              <w:spacing w:after="60" w:line="264" w:lineRule="auto"/>
            </w:pPr>
            <w:r>
              <w:t>4. 固定读取：同一句柄分段读取状态、日志和指标 JSON 可完整解析且内容固定；重新打开后能看到新操作。</w:t>
            </w:r>
          </w:p>
          <w:p>
            <w:pPr>
              <w:spacing w:after="60" w:line="264" w:lineRule="auto"/>
            </w:pPr>
            <w:r>
              <w:t>5. 连接状态：暂停后保持旧采样，恢复后继续更新；断开时明确显示旧数据及最后采样时间，重挂载后识别新会话。</w:t>
            </w:r>
          </w:p>
          <w:p>
            <w:pPr>
              <w:spacing w:after="60" w:line="264" w:lineRule="auto"/>
            </w:pPr>
            <w:r>
              <w:t>6. 日志故障：在独立测试目录模拟日志不可写，业务写入与同步仍成功；页面或状态显示日志错误和丢失量，修复后恢复记录。</w:t>
            </w:r>
          </w:p>
          <w:p>
            <w:pPr>
              <w:spacing w:after="0" w:line="264" w:lineRule="auto"/>
            </w:pPr>
            <w:r>
              <w:rPr>
                <w:b/>
              </w:rPr>
              <w:t>验收凭证：</w:t>
            </w:r>
            <w:r>
              <w:t>真实事件样本、筛选导出 JSON、时间分解截图、断线与恢复录屏、日志故障隔离记录。</w:t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3" w:lineRule="auto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TeamFS 小组分工与验收标准</dc:title>
  <dc:subject>六人职责 交付成果与验收标准</dc:subject>
  <dc:creator>TeamFS 小组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