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БРЮ21052023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Болинову Рамазану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ID0275632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218071 from 23.09.2017,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Болинову Рамазану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№185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ДЕМСА ХОЛДИНГ АНОНИМ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Зейтинлик Махаллеси Фисекхане Каддеси №: 50 СТАМБУЛ Турция, производить все необходимые процедуры в таможенных и других органах в пути следования по маршруту  ( Hong Kong 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21.05.2023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