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ЖНА23052023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Жакыпову Нурлану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AC4728463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12.05.2019,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Жакыпову Нурлану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№186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ДЕМСА ХОЛДИНГ АНОНИМ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Зейтинлик Махаллеси Фисекхане Каддеси №: 50 СТАМБУЛ Турция, производить все необходимые процедуры в таможенных и других органах в пути следования по маршруту  Guangzhou ( China)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23.05.2023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