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WEITAIBEI TRADE CO LIMITED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2132065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99 Queens Road Central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Central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Hong Kong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КИЛИКАСЛАН ГИЙИМ ТЕКСТИЛЬ ГИДАКИЙМЕТЛИ МАДЕНЛЕР МАКИНА САНАЙИ ДИС ТИКАРЕТ ЛИМИТЕД СИРКЕТИ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Bolinov Ramazan Yusupovich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BEYAZIT MACH. JAGLIKCHILAR SAD. TSUKURAN NO. 63/5 KAPI NO. FATIH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ID0275632  MKK 218071 from 23.09.2017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BEYAZIT MACH. JAGLIKCHILAR SAD. TSUKURAN NO. 63/5 KAPI NO. FATIH, 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99 Queens Road Central,  Central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Hong Kong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23.05.2023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 KGT-14032023/WTC-14032023 dated 14.04.2023/16.03.2023, Appendix no. 1 dated 16.03.2023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No.231 of 23.05.2023, UPD No. 231 of 23.05.2023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423 corrupted box women's skirt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 Hong Kong,  Central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23.05.2023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Bolinov R.Yu.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KAMAZ 5460, B102KC16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