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№231 от 23.05.2023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№231 от 23.05.2023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app.3 от 16.03.2023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Женская юбка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423 140,00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Central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Hong Kong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99 Квинс-роуд Сентрал Центральный Гонконг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23.05.2023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WEITAIBEI TRADE CO LIMITED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БЕЯЗИТ МАХ. ЯГЛИКЧИЛАР САД. ЦУКУРАН НЕТ. 63/5 КАПИ №. ФАТИХ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10.06.2023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KAMAZ 5460,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B102KC16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Болинов Рамазан Юсупович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