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253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21.05.2023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GAU DOI AGRICULTURAL COMPANY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Quarter 2, Ward 3, Cai Lay Town, Tien Giang Province.  Cai Lay  Vietnam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NET-14032023/20221225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14.04.2023/22.03.2023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21.05.2023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НЬЮ-ЭКСИМ Пауэр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ул. Мусаффо д-7. Кувасой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сушенное манго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6 547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18,19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119 090,00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Чертов К.Р.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119 090,00 Долларов США (сто девятнадцать тысяч девяносто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