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№59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№59 от 22.05.2023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/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«Интеграция»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000000000000012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  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ПвВГнг(A)-LS 3х2,5-0,66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170 981,04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643 364,05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363 640,55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503 502,30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279 723,50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279 723,50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Дифференц. автоматический выключатель 16А/30 мА, 10кА,  DS201, 2Р, С16, 30тА, 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279 723,50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ПвВГнг(A)-FRLS 5х16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238 775,67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ПвВГнг(A)-FRLS 5х10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320 998,33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ПвВГнг(A)-LS 3х1,5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99 330,58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Короб силовой КЭТ 1890х300х150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531 668,00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Лоток перфорированный 400х50, L3000, толщ. 1,0 мм, горячеоцинкованный, 3526010HDZ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277 716,60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Профиль L-0,5м, ВРL4105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367 264,80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ПвВГнг(A)-FRLS 5х16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238 775,67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/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/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/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22.05.2023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Общество с ограниченной ответственностью «Мастер Транс Компани»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  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date_consignee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Общество с ограниченной ответственностью «Интеграция»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SHACMAN L3000,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CE9144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Жакыпов Нурлан Азизович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