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44B2A" w14:textId="77777777" w:rsidR="00543D28" w:rsidRDefault="00640ECE">
      <w:pPr>
        <w:jc w:val="center"/>
      </w:pPr>
      <w:r>
        <w:rPr>
          <w:b/>
          <w:sz w:val="36"/>
        </w:rPr>
        <w:t>Tech Use and Mental Wellbeing</w:t>
      </w:r>
    </w:p>
    <w:p w14:paraId="65447D59" w14:textId="77777777" w:rsidR="00543D28" w:rsidRDefault="00543D28"/>
    <w:p w14:paraId="0F89992D" w14:textId="77777777" w:rsidR="00543D28" w:rsidRDefault="00640ECE">
      <w:pPr>
        <w:jc w:val="center"/>
      </w:pPr>
      <w:r>
        <w:rPr>
          <w:sz w:val="28"/>
        </w:rPr>
        <w:t>Project Overview and User Guide</w:t>
      </w:r>
    </w:p>
    <w:p w14:paraId="2CC5FEA8" w14:textId="77777777" w:rsidR="00543D28" w:rsidRDefault="00543D28"/>
    <w:p w14:paraId="42C74C6C" w14:textId="77777777" w:rsidR="00543D28" w:rsidRDefault="00640ECE">
      <w:r>
        <w:rPr>
          <w:b/>
          <w:sz w:val="28"/>
        </w:rPr>
        <w:t>1. Project Overview</w:t>
      </w:r>
    </w:p>
    <w:p w14:paraId="07CB0FA0" w14:textId="648A743C" w:rsidR="00543D28" w:rsidRPr="00C871A3" w:rsidRDefault="00640ECE">
      <w:pPr>
        <w:rPr>
          <w:rFonts w:eastAsia="宋体" w:hint="eastAsia"/>
          <w:lang w:eastAsia="zh-CN"/>
        </w:rPr>
      </w:pPr>
      <w:r>
        <w:t>This project investigates the Relationship Between Tech Use and Mental Wellbeing through a dual-lens approach:</w:t>
      </w:r>
      <w:r>
        <w:br/>
        <w:t xml:space="preserve">  • A technical analytical framework built in Python</w:t>
      </w:r>
      <w:r>
        <w:br/>
        <w:t xml:space="preserve">  • An interactive visualization layer developed in Power BI</w:t>
      </w:r>
    </w:p>
    <w:p w14:paraId="142312D1" w14:textId="77777777" w:rsidR="00543D28" w:rsidRDefault="00640ECE">
      <w:r>
        <w:t>The system aims to bridge the gap between complex statistical modeling and intuitive data storytelling. While the Python component handles the rigorous data orchestration—including preprocessing, exploratory data analysis (EDA), and predictive modeling—the Power BI dashboard translates these findings into a dynamic, user-facing interface. This complementary structure ensures that both technical stakeholders and general users can derive meaningful insights into how digital habits correlate with psychological</w:t>
      </w:r>
      <w:r>
        <w:t xml:space="preserve"> health indicators.</w:t>
      </w:r>
    </w:p>
    <w:p w14:paraId="20959D6A" w14:textId="77777777" w:rsidR="00543D28" w:rsidRDefault="00543D28"/>
    <w:p w14:paraId="26C4BBE8" w14:textId="77777777" w:rsidR="00543D28" w:rsidRDefault="00640ECE">
      <w:r>
        <w:rPr>
          <w:b/>
          <w:sz w:val="28"/>
        </w:rPr>
        <w:t>2. User Guide: Python Analytical Component</w:t>
      </w:r>
    </w:p>
    <w:p w14:paraId="3FC51688" w14:textId="457F3FF0" w:rsidR="00543D28" w:rsidRPr="00C871A3" w:rsidRDefault="00640ECE">
      <w:pPr>
        <w:rPr>
          <w:rFonts w:eastAsia="宋体" w:hint="eastAsia"/>
          <w:lang w:eastAsia="zh-CN"/>
        </w:rPr>
      </w:pPr>
      <w:r>
        <w:t>The analytical backbone of this project is contained within a Jupyter Notebook (.ipynb). This format facilitates a literate programming approach, where code execution is interspersed with explanatory documentation to ensure the reproducibility of our findings.</w:t>
      </w:r>
    </w:p>
    <w:p w14:paraId="06FE24CB" w14:textId="77777777" w:rsidR="00543D28" w:rsidRDefault="00640ECE">
      <w:r>
        <w:rPr>
          <w:b/>
        </w:rPr>
        <w:t>2.1 Environment and Execution</w:t>
      </w:r>
    </w:p>
    <w:p w14:paraId="5B9D1630" w14:textId="2255801D" w:rsidR="00543D28" w:rsidRPr="00C871A3" w:rsidRDefault="00640ECE">
      <w:pPr>
        <w:rPr>
          <w:rFonts w:eastAsia="宋体" w:hint="eastAsia"/>
          <w:lang w:eastAsia="zh-CN"/>
        </w:rPr>
      </w:pPr>
      <w:r>
        <w:t>To interact with the analysis, users should open the notebook file using Visual Studio Code (with the Jupyter extension) or a standard Jupyter lab environment. The workflow is partitioned into sequential cells:</w:t>
      </w:r>
    </w:p>
    <w:p w14:paraId="34690A7A" w14:textId="77777777" w:rsidR="00543D28" w:rsidRDefault="00640ECE">
      <w:r>
        <w:t>1. Initialization:</w:t>
      </w:r>
      <w:r>
        <w:br/>
        <w:t xml:space="preserve">   Execute the top-level cells to import necessary dependencies and load the dataset into the environment.</w:t>
      </w:r>
    </w:p>
    <w:p w14:paraId="3CC3B865" w14:textId="77777777" w:rsidR="00543D28" w:rsidRDefault="00543D28"/>
    <w:p w14:paraId="19C3E53C" w14:textId="5595FB72" w:rsidR="00543D28" w:rsidRPr="00C871A3" w:rsidRDefault="00640ECE">
      <w:pPr>
        <w:rPr>
          <w:rFonts w:eastAsia="宋体" w:hint="eastAsia"/>
          <w:lang w:eastAsia="zh-CN"/>
        </w:rPr>
      </w:pPr>
      <w:r>
        <w:lastRenderedPageBreak/>
        <w:t>2. Data Governance:</w:t>
      </w:r>
      <w:r>
        <w:br/>
        <w:t xml:space="preserve">   The notebook automatically performs data cleaning and feature engineering. This includes handling null values and normalizing tech-use metrics to ensure model stability.</w:t>
      </w:r>
    </w:p>
    <w:p w14:paraId="610FDE3D" w14:textId="427FAD23" w:rsidR="00543D28" w:rsidRPr="00C871A3" w:rsidRDefault="00640ECE">
      <w:pPr>
        <w:rPr>
          <w:rFonts w:eastAsia="宋体" w:hint="eastAsia"/>
          <w:lang w:eastAsia="zh-CN"/>
        </w:rPr>
      </w:pPr>
      <w:r>
        <w:t>3. Heuristic Analysis:</w:t>
      </w:r>
      <w:r>
        <w:br/>
        <w:t xml:space="preserve">   Through matplotlib and seaborn integrations, the notebook generates high-fidelity plots. Users can observe data distributions and preliminary correlations here</w:t>
      </w:r>
      <w:r>
        <w:t>.</w:t>
      </w:r>
    </w:p>
    <w:p w14:paraId="38CDA2A7" w14:textId="77777777" w:rsidR="00543D28" w:rsidRDefault="00640ECE">
      <w:r>
        <w:rPr>
          <w:b/>
        </w:rPr>
        <w:t>2.2 Machine Learning Integration</w:t>
      </w:r>
    </w:p>
    <w:p w14:paraId="5C6ADED7" w14:textId="29D62622" w:rsidR="00543D28" w:rsidRPr="00C871A3" w:rsidRDefault="00640ECE">
      <w:pPr>
        <w:rPr>
          <w:rFonts w:eastAsia="宋体" w:hint="eastAsia"/>
          <w:lang w:eastAsia="zh-CN"/>
        </w:rPr>
      </w:pPr>
      <w:r>
        <w:t>Beyond static analysis, the notebook implements a machine learning pipeline. This section trains a model on selected behavioral features to predict wellbeing outcomes.</w:t>
      </w:r>
    </w:p>
    <w:p w14:paraId="45E40E0E" w14:textId="16E50920" w:rsidR="00543D28" w:rsidRPr="00C871A3" w:rsidRDefault="00640ECE">
      <w:pPr>
        <w:rPr>
          <w:rFonts w:eastAsia="宋体" w:hint="eastAsia"/>
          <w:lang w:eastAsia="zh-CN"/>
        </w:rPr>
      </w:pPr>
      <w:r>
        <w:t>Evaluation:</w:t>
      </w:r>
      <w:r>
        <w:br/>
        <w:t xml:space="preserve">   Users can review performance metrics (e.g., Accuracy, F1-score) directly within the output cells.</w:t>
      </w:r>
    </w:p>
    <w:p w14:paraId="58FC14B0" w14:textId="77777777" w:rsidR="00543D28" w:rsidRDefault="00640ECE">
      <w:r>
        <w:t>Flexibility:</w:t>
      </w:r>
      <w:r>
        <w:br/>
        <w:t xml:space="preserve">   While designed as a 'run-through' script, advanced users may modify hyper-parameters or input features to observe how the predictive boundaries shift.</w:t>
      </w:r>
    </w:p>
    <w:p w14:paraId="59B28977" w14:textId="77777777" w:rsidR="00543D28" w:rsidRDefault="00543D28"/>
    <w:p w14:paraId="315078CB" w14:textId="77777777" w:rsidR="00543D28" w:rsidRDefault="00640ECE">
      <w:r>
        <w:rPr>
          <w:b/>
          <w:sz w:val="28"/>
        </w:rPr>
        <w:t>3. User Guide: Power BI Dashboard</w:t>
      </w:r>
    </w:p>
    <w:p w14:paraId="0A73081F" w14:textId="40073638" w:rsidR="00543D28" w:rsidRPr="00C871A3" w:rsidRDefault="00640ECE">
      <w:pPr>
        <w:rPr>
          <w:rFonts w:eastAsia="宋体" w:hint="eastAsia"/>
          <w:lang w:eastAsia="zh-CN"/>
        </w:rPr>
      </w:pPr>
      <w:r>
        <w:t>The Power BI component (.pbix) serves as the interactive storytelling hub of the project. It is designed for stakeholders who require immediate, visual access to the data trends without engaging with the underlying source code.</w:t>
      </w:r>
    </w:p>
    <w:p w14:paraId="7A0B4CB9" w14:textId="77777777" w:rsidR="00543D28" w:rsidRDefault="00640ECE">
      <w:r>
        <w:rPr>
          <w:b/>
        </w:rPr>
        <w:t>3.1 Accessing the Dashboard</w:t>
      </w:r>
    </w:p>
    <w:p w14:paraId="617B18EC" w14:textId="32C5A995" w:rsidR="00543D28" w:rsidRPr="00C871A3" w:rsidRDefault="00640ECE">
      <w:pPr>
        <w:rPr>
          <w:rFonts w:eastAsia="宋体" w:hint="eastAsia"/>
          <w:lang w:eastAsia="zh-CN"/>
        </w:rPr>
      </w:pPr>
      <w:r>
        <w:t>Users need Power BI Desktop installed to view the project. Upon opening the file:</w:t>
      </w:r>
    </w:p>
    <w:p w14:paraId="79C3A2D1" w14:textId="66F9CBF9" w:rsidR="00543D28" w:rsidRPr="00C871A3" w:rsidRDefault="00640ECE">
      <w:pPr>
        <w:rPr>
          <w:rFonts w:eastAsia="宋体" w:hint="eastAsia"/>
          <w:lang w:eastAsia="zh-CN"/>
        </w:rPr>
      </w:pPr>
      <w:r>
        <w:t>Data Connectivity:</w:t>
      </w:r>
      <w:r>
        <w:br/>
        <w:t xml:space="preserve">   The dashboard is pre-configured with the cleaned dataset. No manual data mapping or SQL querying is required from the user's end.</w:t>
      </w:r>
    </w:p>
    <w:p w14:paraId="73F0B227" w14:textId="53C8DC76" w:rsidR="00543D28" w:rsidRPr="00C871A3" w:rsidRDefault="00640ECE">
      <w:pPr>
        <w:rPr>
          <w:rFonts w:eastAsia="宋体" w:hint="eastAsia"/>
          <w:lang w:eastAsia="zh-CN"/>
        </w:rPr>
      </w:pPr>
      <w:r>
        <w:t>Layout:</w:t>
      </w:r>
      <w:r>
        <w:br/>
        <w:t xml:space="preserve">   The interface is divided into thematic sections—such as demographic breakdowns and correlation matrices—allowing for a structured exploration of the mental health landscape.</w:t>
      </w:r>
    </w:p>
    <w:p w14:paraId="73EF696B" w14:textId="77777777" w:rsidR="00543D28" w:rsidRDefault="00640ECE">
      <w:r>
        <w:rPr>
          <w:b/>
        </w:rPr>
        <w:lastRenderedPageBreak/>
        <w:t>3.2 Interactive Exploration</w:t>
      </w:r>
    </w:p>
    <w:p w14:paraId="5E710EB0" w14:textId="221B457B" w:rsidR="00543D28" w:rsidRPr="00C871A3" w:rsidRDefault="00640ECE">
      <w:pPr>
        <w:rPr>
          <w:rFonts w:eastAsia="宋体" w:hint="eastAsia"/>
          <w:lang w:eastAsia="zh-CN"/>
        </w:rPr>
      </w:pPr>
      <w:r>
        <w:t>The strength of this dashboard lies in its interactivity. Users are encouraged to:</w:t>
      </w:r>
    </w:p>
    <w:p w14:paraId="5D58DBAD" w14:textId="466EB1B0" w:rsidR="00543D28" w:rsidRPr="00C871A3" w:rsidRDefault="00640ECE">
      <w:pPr>
        <w:rPr>
          <w:rFonts w:eastAsia="宋体" w:hint="eastAsia"/>
          <w:lang w:eastAsia="zh-CN"/>
        </w:rPr>
      </w:pPr>
      <w:r>
        <w:t>Cross-Filtering:</w:t>
      </w:r>
      <w:r>
        <w:br/>
        <w:t xml:space="preserve">   Click on specific data points (e.g., a specific age group or high-screen-time bracket) to see how the rest of the report dynamically updates to reflect that subset</w:t>
      </w:r>
      <w:r>
        <w:t>.</w:t>
      </w:r>
    </w:p>
    <w:p w14:paraId="34F0620D" w14:textId="77777777" w:rsidR="00543D28" w:rsidRDefault="00640ECE">
      <w:r>
        <w:t>Insight Discovery:</w:t>
      </w:r>
      <w:r>
        <w:br/>
        <w:t xml:space="preserve">   Use the built-in slicers to isolate specific variables. This allows for a granular comparison between different technology usage patterns and their corresponding wellbeing scores, making complex multidimensional data easy to interpret.</w:t>
      </w:r>
    </w:p>
    <w:p w14:paraId="04EE5D46" w14:textId="77777777" w:rsidR="00543D28" w:rsidRDefault="00543D28"/>
    <w:p w14:paraId="477D0405" w14:textId="77777777" w:rsidR="00543D28" w:rsidRDefault="00640ECE">
      <w:r>
        <w:rPr>
          <w:b/>
          <w:sz w:val="28"/>
        </w:rPr>
        <w:t>4. Conclusion</w:t>
      </w:r>
    </w:p>
    <w:p w14:paraId="5EAEE345" w14:textId="51B6D6F8" w:rsidR="00543D28" w:rsidRPr="00C871A3" w:rsidRDefault="00640ECE">
      <w:pPr>
        <w:rPr>
          <w:rFonts w:eastAsia="宋体" w:hint="eastAsia"/>
          <w:lang w:eastAsia="zh-CN"/>
        </w:rPr>
      </w:pPr>
      <w:r>
        <w:t>By integrating the technical depth of Python with the accessibility of Power BI, this project provides a comprehensive toolkit for understanding the digital impact on mental health.</w:t>
      </w:r>
    </w:p>
    <w:p w14:paraId="46BD78A2" w14:textId="4370BF0B" w:rsidR="00543D28" w:rsidRPr="00C871A3" w:rsidRDefault="00640ECE">
      <w:pPr>
        <w:rPr>
          <w:rFonts w:eastAsia="宋体" w:hint="eastAsia"/>
          <w:lang w:eastAsia="zh-CN"/>
        </w:rPr>
      </w:pPr>
      <w:r>
        <w:t>Following the sequences outlined in this guide will allow users to successfully replicate the analysis and explore the interactive findings. Whether through the code-driven logic of the Jupyter Notebook or the visual intuition of the Power BI dashboard, the relationship between our tech habits and our minds is made transparent and actionable.</w:t>
      </w:r>
    </w:p>
    <w:sectPr w:rsidR="00543D28" w:rsidRPr="00C871A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84B89" w14:textId="77777777" w:rsidR="00640ECE" w:rsidRDefault="00640ECE" w:rsidP="00C871A3">
      <w:pPr>
        <w:spacing w:after="0" w:line="240" w:lineRule="auto"/>
      </w:pPr>
      <w:r>
        <w:separator/>
      </w:r>
    </w:p>
  </w:endnote>
  <w:endnote w:type="continuationSeparator" w:id="0">
    <w:p w14:paraId="445C8A28" w14:textId="77777777" w:rsidR="00640ECE" w:rsidRDefault="00640ECE" w:rsidP="00C87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AE7A0" w14:textId="77777777" w:rsidR="00640ECE" w:rsidRDefault="00640ECE" w:rsidP="00C871A3">
      <w:pPr>
        <w:spacing w:after="0" w:line="240" w:lineRule="auto"/>
      </w:pPr>
      <w:r>
        <w:separator/>
      </w:r>
    </w:p>
  </w:footnote>
  <w:footnote w:type="continuationSeparator" w:id="0">
    <w:p w14:paraId="620D5BDD" w14:textId="77777777" w:rsidR="00640ECE" w:rsidRDefault="00640ECE" w:rsidP="00C87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0351299">
    <w:abstractNumId w:val="8"/>
  </w:num>
  <w:num w:numId="2" w16cid:durableId="329799331">
    <w:abstractNumId w:val="6"/>
  </w:num>
  <w:num w:numId="3" w16cid:durableId="1510102643">
    <w:abstractNumId w:val="5"/>
  </w:num>
  <w:num w:numId="4" w16cid:durableId="1079592247">
    <w:abstractNumId w:val="4"/>
  </w:num>
  <w:num w:numId="5" w16cid:durableId="2135445510">
    <w:abstractNumId w:val="7"/>
  </w:num>
  <w:num w:numId="6" w16cid:durableId="450321646">
    <w:abstractNumId w:val="3"/>
  </w:num>
  <w:num w:numId="7" w16cid:durableId="736705355">
    <w:abstractNumId w:val="2"/>
  </w:num>
  <w:num w:numId="8" w16cid:durableId="2056615445">
    <w:abstractNumId w:val="1"/>
  </w:num>
  <w:num w:numId="9" w16cid:durableId="1095132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D28"/>
    <w:rsid w:val="00640ECE"/>
    <w:rsid w:val="00AA1D8D"/>
    <w:rsid w:val="00B47730"/>
    <w:rsid w:val="00C871A3"/>
    <w:rsid w:val="00CB0664"/>
    <w:rsid w:val="00EC77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B632C37-6E2D-417B-B5BC-87DC617A1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科锐 李</cp:lastModifiedBy>
  <cp:revision>2</cp:revision>
  <dcterms:created xsi:type="dcterms:W3CDTF">2013-12-23T23:15:00Z</dcterms:created>
  <dcterms:modified xsi:type="dcterms:W3CDTF">2026-03-29T01:39:00Z</dcterms:modified>
  <cp:category/>
</cp:coreProperties>
</file>