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2"/>
        </w:rPr>
        <w:t>株式会社サキュレ　社内規程</w:t>
      </w:r>
    </w:p>
    <w:p>
      <w:pPr>
        <w:jc w:val="center"/>
      </w:pPr>
      <w:r>
        <w:rPr>
          <w:b/>
          <w:color w:val="1A376E"/>
          <w:sz w:val="40"/>
        </w:rPr>
        <w:t>得意先・拠点マスター 登録・管理規程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color w:val="1A376E"/>
                <w:sz w:val="18"/>
              </w:rPr>
              <w:t>文書番号</w:t>
              <w:br/>
              <w:t>MGT-001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color w:val="1A376E"/>
                <w:sz w:val="18"/>
              </w:rPr>
              <w:t>制定日</w:t>
              <w:br/>
              <w:t>令和8年6月19日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color w:val="1A376E"/>
                <w:sz w:val="18"/>
              </w:rPr>
              <w:t>改定日</w:t>
              <w:br/>
              <w:t>―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color w:val="1A376E"/>
                <w:sz w:val="18"/>
              </w:rPr>
              <w:t>管理部門</w:t>
              <w:br/>
              <w:t>管理部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第１章　目的と適用範囲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第１条（目的）</w:t>
      </w:r>
    </w:p>
    <w:p>
      <w:pPr>
        <w:spacing w:after="60"/>
        <w:ind w:left="283"/>
      </w:pPr>
      <w:r>
        <w:rPr>
          <w:color w:val="1A1A1A"/>
          <w:sz w:val="20"/>
        </w:rPr>
        <w:t>本規程は、株式会社サキュレにおける得意先マスター・拠点マスターの登録・管理に関する統一ルールを定め、売上データ・原価データ・採算管理データの正確な突合・集計を可能にすることを目的とする。</w:t>
      </w:r>
    </w:p>
    <w:p>
      <w:pPr>
        <w:spacing w:after="60"/>
        <w:ind w:left="0"/>
      </w:pPr>
      <w:r>
        <w:rPr>
          <w:color w:val="1A1A1A"/>
          <w:sz w:val="20"/>
        </w:rPr>
        <w:t>第２条（適用範囲）</w:t>
      </w:r>
    </w:p>
    <w:p>
      <w:pPr>
        <w:spacing w:after="60"/>
        <w:ind w:left="283"/>
      </w:pPr>
      <w:r>
        <w:rPr>
          <w:color w:val="1A1A1A"/>
          <w:sz w:val="20"/>
        </w:rPr>
        <w:t>本規程は、営業・運用・経理の全部門に適用する。新規顧客の登録時および既存顧客の情報変更時には、必ず本規程に従うこと。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第２章　コード体系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第３条（得意先コード）</w:t>
      </w:r>
    </w:p>
    <w:p>
      <w:pPr>
        <w:spacing w:after="60"/>
        <w:ind w:left="283"/>
      </w:pPr>
      <w:r>
        <w:rPr>
          <w:color w:val="1A1A1A"/>
          <w:sz w:val="20"/>
        </w:rPr>
        <w:t>すべての取引先に以下の形式で得意先コードを付番する。このコードを売上台帳・請求書・拠点マスター・採算管理ツールの全てで共通して使用する。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プレフィックス</w:t>
            </w:r>
          </w:p>
        </w:tc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対象カテゴリ</w:t>
            </w:r>
          </w:p>
        </w:tc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例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TK-XXX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東急グループ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TK-001, TK-002, …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MT-XXX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都営地下鉄・行政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MT-001, MT-002, …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GN-XXX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一般事業者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GN-001, GN-002, …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KC-XXX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KCサキュレ関連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KC-001, KC-002, …</w:t>
            </w:r>
          </w:p>
        </w:tc>
      </w:tr>
    </w:tbl>
    <w:p>
      <w:pPr>
        <w:ind w:left="360"/>
        <w:spacing w:before="80" w:after="80"/>
      </w:pPr>
      <w:r>
        <w:rPr>
          <w:sz w:val="18"/>
          <w:color w:val="595959"/>
        </w:rPr>
        <w:t xml:space="preserve">【注釈】既存コードについて</w:t>
      </w:r>
    </w:p>
    <w:p>
      <w:pPr>
        <w:ind w:left="360"/>
        <w:spacing w:before="80" w:after="80"/>
      </w:pPr>
      <w:r>
        <w:rPr>
          <w:sz w:val="18"/>
          <w:color w:val="595959"/>
        </w:rPr>
        <w:t xml:space="preserve">・ルート最適化ツールに登録済みの拠点コード（L0001〜L0500形式）は従来コードとして当面併用する。</w:t>
      </w:r>
    </w:p>
    <w:p>
      <w:pPr>
        <w:ind w:left="360"/>
        <w:spacing w:before="80" w:after="80"/>
      </w:pPr>
      <w:r>
        <w:rPr>
          <w:sz w:val="18"/>
          <w:color w:val="595959"/>
        </w:rPr>
        <w:t xml:space="preserve">・TOKSストア等の既登録コード（TK-001〜TK-395形式）は上記TK-XXX体系と同一であり、そのまま有効とする。</w:t>
      </w:r>
    </w:p>
    <w:p>
      <w:pPr>
        <w:ind w:left="360"/>
        <w:spacing w:before="80" w:after="80"/>
      </w:pPr>
      <w:r>
        <w:rPr>
          <w:sz w:val="18"/>
          <w:color w:val="595959"/>
        </w:rPr>
        <w:t xml:space="preserve">・新規登録は本規程のコード体系に従うこと。既存L番号の新体系への統一は年次棚卸のタイミングで順次対応する。</w:t>
      </w:r>
    </w:p>
    <w:p/>
    <w:p>
      <w:pPr>
        <w:spacing w:after="60"/>
        <w:ind w:left="0"/>
      </w:pPr>
      <w:r>
        <w:rPr>
          <w:color w:val="1A1A1A"/>
          <w:sz w:val="20"/>
        </w:rPr>
        <w:t>第４条（拠点コード）</w:t>
      </w:r>
    </w:p>
    <w:p>
      <w:pPr>
        <w:spacing w:after="60"/>
        <w:ind w:left="283"/>
      </w:pPr>
      <w:r>
        <w:rPr>
          <w:color w:val="1A1A1A"/>
          <w:sz w:val="20"/>
        </w:rPr>
        <w:t>1つの得意先（請求先）が複数の回収拠点を持つ場合、得意先コードに枝番を付けて拠点コードとする。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559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得意先コード（請求先）</w:t>
            </w:r>
          </w:p>
        </w:tc>
        <w:tc>
          <w:tcPr>
            <w:tcW w:type="dxa" w:w="3024"/>
            <w:shd w:val="clear" w:color="auto" w:fill="2E559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拠点コード（回収場所）</w:t>
            </w:r>
          </w:p>
        </w:tc>
        <w:tc>
          <w:tcPr>
            <w:tcW w:type="dxa" w:w="3024"/>
            <w:shd w:val="clear" w:color="auto" w:fill="2E559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拠点名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GN-015-01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アールキュ－ブ 渋谷店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GN-015-02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アールキュ－ブ 新宿店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GN-015-03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アールキュ－ブ 池袋店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第３章　名称登録ルール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第５条（名称の統一基準）</w:t>
      </w:r>
    </w:p>
    <w:p>
      <w:pPr>
        <w:spacing w:after="60"/>
        <w:ind w:left="283"/>
      </w:pPr>
      <w:r>
        <w:rPr>
          <w:color w:val="1A1A1A"/>
          <w:sz w:val="20"/>
        </w:rPr>
        <w:t>拠点マスター・経理システム・売上台帳における名称の登録は、以下の基準に統一する。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ルール</w:t>
            </w:r>
          </w:p>
        </w:tc>
        <w:tc>
          <w:tcPr>
            <w:tcW w:type="dxa" w:w="3024"/>
            <w:shd w:val="clear" w:color="auto" w:fill="1A37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悪い例　→　良い例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法人格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省略する（記載しない）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（株）山田商事　→　山田商事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カタカナ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全角に統一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ｱｰﾙｷｭｰﾌﾞ　→　アールキューブ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長音符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「ー」（全角長音）に統一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アール－キュ－ブ　→　アールキュ－ブ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スペース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使用しない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山田　商事　→　山田商事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屋号＋個人名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屋号のみ記載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干支屋ヒロセヨウスケ　→　干支屋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支店・店舗名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拠点コードに枝番で管理</w:t>
              <w:br/>
              <w:t>名称には店舗名のみ記載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東急グルメフロント 渋谷店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第４章　登録フロー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第６条（新規顧客の登録手順）</w:t>
      </w:r>
    </w:p>
    <w:p>
      <w:pPr>
        <w:spacing w:after="60"/>
        <w:ind w:left="283"/>
      </w:pPr>
      <w:r>
        <w:rPr>
          <w:color w:val="1A1A1A"/>
          <w:sz w:val="20"/>
        </w:rPr>
        <w:t>新規契約が成立した場合、以下の手順で登録を行う。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6B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手順</w:t>
            </w:r>
          </w:p>
        </w:tc>
        <w:tc>
          <w:tcPr>
            <w:tcW w:type="dxa" w:w="3024"/>
            <w:shd w:val="clear" w:color="auto" w:fill="1A6B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3024"/>
            <w:shd w:val="clear" w:color="auto" w:fill="1A6B2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作業内容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①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営業担当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拠点マスターに新規登録（拠点コード・得意先コード・拠点名・担当ドライバー・回収曜日を入力）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②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営業担当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経理担当へ「得意先コード」「正式名称（省略後）」をメールまたはチャットで連絡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③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経理担当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会計システム・売上台帳に同一コード・同一名称で登録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④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管理担当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採算管理ツールのマッピング設定シートを確認・必要に応じてルート配分を更新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第７条（既存データの移行方針）</w:t>
      </w:r>
    </w:p>
    <w:p>
      <w:pPr>
        <w:spacing w:after="60"/>
        <w:ind w:left="283"/>
      </w:pPr>
      <w:r>
        <w:rPr>
          <w:color w:val="1A1A1A"/>
          <w:sz w:val="20"/>
        </w:rPr>
        <w:t>既存顧客については以下の優先順位で順次コードを整備する。一度に全件対応することは求めない。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① 売上上位20社（全体売上の約80%をカバー）を最優先で整備する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② 新規請求・契約更新が発生した既存顧客から随時整備する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③ 残りは年次棚卸のタイミングで整備する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第５章　禁止事項と確認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第８条（禁止事項）</w:t>
      </w:r>
    </w:p>
    <w:p>
      <w:pPr>
        <w:spacing w:after="60"/>
        <w:ind w:left="283"/>
      </w:pPr>
      <w:r>
        <w:rPr>
          <w:color w:val="1A1A1A"/>
          <w:sz w:val="20"/>
        </w:rPr>
        <w:t>以下の行為を禁止する。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・ 同一顧客に複数の名称・コードを登録すること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・ 経理への連絡前に請求書を発行すること（コード未登録状態での売上計上）</w:t>
      </w:r>
    </w:p>
    <w:p>
      <w:pPr>
        <w:spacing w:after="60"/>
        <w:ind w:left="283"/>
      </w:pPr>
      <w:r>
        <w:rPr>
          <w:color w:val="1A1A1A"/>
          <w:sz w:val="20"/>
        </w:rPr>
        <w:t xml:space="preserve">　・ 拠点マスターと異なる名称を経理システムに独自登録すること</w:t>
      </w:r>
    </w:p>
    <w:p/>
    <w:p>
      <w:pPr>
        <w:spacing w:after="60"/>
        <w:ind w:left="0"/>
      </w:pPr>
      <w:r>
        <w:rPr>
          <w:color w:val="1A1A1A"/>
          <w:sz w:val="20"/>
        </w:rPr>
        <w:t>第９条（定期確認）</w:t>
      </w:r>
    </w:p>
    <w:p>
      <w:pPr>
        <w:spacing w:after="60"/>
        <w:ind w:left="283"/>
      </w:pPr>
      <w:r>
        <w:rPr>
          <w:color w:val="1A1A1A"/>
          <w:sz w:val="20"/>
        </w:rPr>
        <w:t>管理部門は四半期ごとに拠点マスターと経理システムの突合チェックを実施し、不一致件数をゼロに近づけることを目標とする。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76E"/>
          </w:tcPr>
          <w:p>
            <w:pPr>
              <w:jc w:val="left"/>
            </w:pPr>
            <w:r/>
            <w:r>
              <w:rPr>
                <w:b/>
                <w:color w:val="FFFFFF"/>
                <w:sz w:val="24"/>
              </w:rPr>
              <w:t>付則</w:t>
            </w:r>
          </w:p>
        </w:tc>
      </w:tr>
    </w:tbl>
    <w:p/>
    <w:p>
      <w:pPr>
        <w:spacing w:after="60"/>
        <w:ind w:left="0"/>
      </w:pPr>
      <w:r>
        <w:rPr>
          <w:color w:val="1A1A1A"/>
          <w:sz w:val="20"/>
        </w:rPr>
        <w:t>本規程は令和8年6月19日より施行する。</w:t>
      </w:r>
    </w:p>
    <w:p>
      <w:pPr>
        <w:spacing w:after="60"/>
        <w:ind w:left="0"/>
      </w:pPr>
      <w:r>
        <w:rPr>
          <w:color w:val="1A1A1A"/>
          <w:sz w:val="20"/>
        </w:rPr>
        <w:t>改廃は管理部門の提議により、代表取締役の承認を得て行う。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1A376E"/>
                <w:sz w:val="20"/>
              </w:rPr>
              <w:t>起案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1A376E"/>
                <w:sz w:val="20"/>
              </w:rPr>
              <w:t>部門長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1A376E"/>
                <w:sz w:val="20"/>
              </w:rPr>
              <w:t>取締役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1A376E"/>
                <w:sz w:val="20"/>
              </w:rPr>
              <w:t>代表取締役</w:t>
            </w:r>
          </w:p>
        </w:tc>
      </w:tr>
      <w:tr>
        <w:tc>
          <w:tcPr>
            <w:tcW w:type="dxa" w:w="2268"/>
          </w:tcPr>
          <w:p>
            <w:r>
              <w:br/>
              <w:br/>
              <w:br/>
            </w:r>
          </w:p>
        </w:tc>
        <w:tc>
          <w:tcPr>
            <w:tcW w:type="dxa" w:w="2268"/>
          </w:tcPr>
          <w:p>
            <w:r>
              <w:br/>
              <w:br/>
              <w:br/>
            </w:r>
          </w:p>
        </w:tc>
        <w:tc>
          <w:tcPr>
            <w:tcW w:type="dxa" w:w="2268"/>
          </w:tcPr>
          <w:p>
            <w:r>
              <w:br/>
              <w:br/>
              <w:br/>
            </w:r>
          </w:p>
        </w:tc>
        <w:tc>
          <w:tcPr>
            <w:tcW w:type="dxa" w:w="2268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