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80"/>
        </w:rPr>
        <w:t>整  理</w:t>
      </w:r>
    </w:p>
    <w:p>
      <w:pPr>
        <w:spacing w:before="120"/>
        <w:jc w:val="center"/>
      </w:pPr>
      <w:r>
        <w:rPr>
          <w:rFonts w:ascii="微软雅黑" w:hAnsi="微软雅黑" w:eastAsia="微软雅黑"/>
          <w:color w:val="2E5496"/>
          <w:sz w:val="26"/>
        </w:rPr>
        <w:t>端侧 LLM · 量化 · 算子 · 推理系统</w:t>
      </w:r>
    </w:p>
    <w:p>
      <w:pPr>
        <w:spacing w:before="480"/>
        <w:pBdr>
          <w:bottom w:val="single" w:sz="6" w:space="4" w:color="1F3864"/>
        </w:pBdr>
      </w:pPr>
    </w:p>
    <w:p>
      <w:pPr>
        <w:spacing w:before="360"/>
        <w:jc w:val="center"/>
      </w:pPr>
      <w:r>
        <w:rPr>
          <w:rFonts w:ascii="DengXian" w:hAnsi="DengXian" w:eastAsia="等线"/>
          <w:i/>
          <w:color w:val="808080"/>
          <w:sz w:val="22"/>
        </w:rPr>
        <w:t>“把模型拆到 op，把 op 拆到字节。”</w:t>
      </w:r>
    </w:p>
    <w:p/>
    <w:p/>
    <w:p/>
    <w:p/>
    <w:p/>
    <w:p/>
    <w:p>
      <w:pPr>
        <w:spacing w:after="40"/>
        <w:jc w:val="center"/>
      </w:pPr>
      <w:r>
        <w:rPr>
          <w:rFonts w:ascii="DengXian" w:hAnsi="DengXian" w:eastAsia="等线"/>
          <w:color w:val="808080"/>
          <w:sz w:val="20"/>
        </w:rPr>
        <w:t xml:space="preserve">使用者　</w:t>
      </w:r>
      <w:r>
        <w:rPr>
          <w:rFonts w:ascii="DengXian" w:hAnsi="DengXian" w:eastAsia="等线"/>
          <w:color w:val="262626"/>
          <w:sz w:val="20"/>
        </w:rPr>
        <w:t>renha</w:t>
      </w:r>
    </w:p>
    <w:p>
      <w:pPr>
        <w:spacing w:after="40"/>
        <w:jc w:val="center"/>
      </w:pPr>
      <w:r>
        <w:rPr>
          <w:rFonts w:ascii="DengXian" w:hAnsi="DengXian" w:eastAsia="等线"/>
          <w:color w:val="808080"/>
          <w:sz w:val="20"/>
        </w:rPr>
        <w:t xml:space="preserve">方向　</w:t>
      </w:r>
      <w:r>
        <w:rPr>
          <w:rFonts w:ascii="DengXian" w:hAnsi="DengXian" w:eastAsia="等线"/>
          <w:color w:val="262626"/>
          <w:sz w:val="20"/>
        </w:rPr>
        <w:t>端侧推理 / 模型量化 / 算子优化</w:t>
      </w:r>
    </w:p>
    <w:p>
      <w:pPr>
        <w:spacing w:after="40"/>
        <w:jc w:val="center"/>
      </w:pPr>
      <w:r>
        <w:rPr>
          <w:rFonts w:ascii="DengXian" w:hAnsi="DengXian" w:eastAsia="等线"/>
          <w:color w:val="808080"/>
          <w:sz w:val="20"/>
        </w:rPr>
        <w:t xml:space="preserve">版本　</w:t>
      </w:r>
      <w:r>
        <w:rPr>
          <w:rFonts w:ascii="DengXian" w:hAnsi="DengXian" w:eastAsia="等线"/>
          <w:color w:val="262626"/>
          <w:sz w:val="20"/>
        </w:rPr>
        <w:t>v1.0</w:t>
      </w:r>
    </w:p>
    <w:p>
      <w:pPr>
        <w:spacing w:after="40"/>
        <w:jc w:val="center"/>
      </w:pPr>
      <w:r>
        <w:rPr>
          <w:rFonts w:ascii="DengXian" w:hAnsi="DengXian" w:eastAsia="等线"/>
          <w:color w:val="808080"/>
          <w:sz w:val="20"/>
        </w:rPr>
        <w:t xml:space="preserve">起始　</w:t>
      </w:r>
      <w:r>
        <w:rPr>
          <w:rFonts w:ascii="DengXian" w:hAnsi="DengXian" w:eastAsia="等线"/>
          <w:color w:val="262626"/>
          <w:sz w:val="20"/>
        </w:rPr>
        <w:t>2026-10</w:t>
      </w:r>
    </w:p>
    <w:p>
      <w:r>
        <w:br w:type="page"/>
      </w:r>
    </w:p>
    <w:p>
      <w:pPr>
        <w:pStyle w:val="Heading1"/>
        <w:pBdr>
          <w:bottom w:val="single" w:sz="8" w:space="4" w:color="1F3864"/>
        </w:pBdr>
      </w:pPr>
      <w:r>
        <w:t>使用说明</w:t>
      </w:r>
    </w:p>
    <w:p>
      <w:pPr>
        <w:spacing w:before="80" w:after="80"/>
      </w:pPr>
      <w:r>
        <w:rPr>
          <w:rFonts w:ascii="微软雅黑" w:hAnsi="微软雅黑" w:eastAsia="微软雅黑"/>
          <w:b/>
          <w:color w:val="1F3864"/>
          <w:sz w:val="23"/>
        </w:rPr>
        <w:t>这本书怎么用</w:t>
      </w:r>
    </w:p>
    <w:p>
      <w:pPr>
        <w:pStyle w:val="ListBullet"/>
      </w:pPr>
      <w:r>
        <w:t>每个二级标题 = 一份 md 笔记。我在 md 里学、在这里归档；学到的东西先写成 md，讲顺了再粘进来，粘完把灰色提示行删掉。</w:t>
      </w:r>
    </w:p>
    <w:p>
      <w:pPr>
        <w:pStyle w:val="ListBullet"/>
      </w:pPr>
      <w:r>
        <w:t>只收「面试能讲、简历能写」的内容。全面性不是目标，能撑住 3 轮追问才是。</w:t>
      </w:r>
    </w:p>
    <w:p>
      <w:pPr>
        <w:pStyle w:val="ListBullet"/>
      </w:pPr>
      <w:r>
        <w:t>每个知识点必须带数字：形状、带宽、时延、精度掉点。没有数字的段落，面试官记不住。</w:t>
      </w:r>
    </w:p>
    <w:p>
      <w:pPr>
        <w:pStyle w:val="ListBullet"/>
      </w:pPr>
      <w:r>
        <w:t>每节末尾留一句「60 秒口述版」，用第一人称说，能对着镜子讲完再算学完。</w:t>
      </w:r>
    </w:p>
    <w:p>
      <w:pPr>
        <w:spacing w:before="280"/>
      </w:pPr>
      <w:r>
        <w:rPr>
          <w:rFonts w:ascii="微软雅黑" w:hAnsi="微软雅黑" w:eastAsia="微软雅黑"/>
          <w:b/>
          <w:color w:val="1F3864"/>
          <w:sz w:val="23"/>
        </w:rPr>
        <w:t>一句话人设</w:t>
      </w:r>
    </w:p>
    <w:p>
      <w:pPr>
        <w:ind w:left="340"/>
        <w:pBdr>
          <w:bottom w:val="single" w:sz="4" w:space="6" w:color="BFBFBF"/>
        </w:pBdr>
      </w:pPr>
      <w:r>
        <w:rPr>
          <w:rFonts w:ascii="DengXian" w:hAnsi="DengXian" w:eastAsia="等线"/>
          <w:i/>
          <w:color w:val="404040"/>
          <w:sz w:val="21"/>
        </w:rPr>
        <w:t>我在高通做端侧 LLM 的部署与量化：把一个 Transformer 图从 PyTorch/ONNX 一路拆到 HTP 上的 op，在精度和时延之间做权衡，能定位到底是哪个 op、哪种量化策略让 W4A16 掉点，或者让时延卡在 memory-bound 上。</w:t>
      </w:r>
    </w:p>
    <w:p>
      <w:r>
        <w:br w:type="page"/>
      </w:r>
    </w:p>
    <w:p>
      <w:pPr>
        <w:pStyle w:val="Heading1"/>
        <w:spacing w:before="0"/>
        <w:pBdr>
          <w:bottom w:val="single" w:sz="8" w:space="4" w:color="1F3864"/>
        </w:pBdr>
      </w:pPr>
      <w:r>
        <w:t>索引与进度</w:t>
      </w:r>
    </w:p>
    <w:tbl>
      <w:tblPr>
        <w:tblStyle w:val="TableGrid"/>
        <w:tblW w:type="auto" w:w="0"/>
        <w:jc w:val="center"/>
        <w:tblLayout w:type="fixed"/>
        <w:tblCellMar>
          <w:left w:w="85" w:type="dxa"/>
          <w:right w:w="85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67"/>
        <w:gridCol w:w="3061"/>
        <w:gridCol w:w="1247"/>
        <w:gridCol w:w="2494"/>
        <w:gridCol w:w="907"/>
        <w:gridCol w:w="1134"/>
      </w:tblGrid>
      <w:tr>
        <w:trPr>
          <w:cantSplit/>
          <w:tblHeader w:val="true"/>
        </w:trPr>
        <w:tc>
          <w:tcPr>
            <w:tcW w:type="dxa" w:w="567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#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上次复习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01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MobileNetV2 的 Graph Op 与 llama.cpp 落地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二 · 算子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notes/01_mobilenetv2_ggml.md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已整理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02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Qwen3.5 在 transformers 里的实现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三 · 架构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notes/02_qwen35_transformer.md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已整理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03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数值格式与硬件映射（int8/int4/fp8/mxfp4）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一 · 量化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04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PTQ 全链路：校准、敏感层、混合精度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一 · 量化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05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AWQ / GPTQ / SmoothQuant 的推导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一 · 量化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06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旋转类量化：Hadamard / QuaRot / SpinQuant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一 · 量化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07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QAT 与 STE：什么时候值得做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一 · 量化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08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KV cache 量化与长上下文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一 · 量化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09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Roofline：怎么判断一个 op 的瓶颈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二 · 算子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10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int8 / W4A16 kernel 怎么写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二 · 算子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11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PagedAttention 与 continuous batching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三 · 架构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12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MoE / MLA / 稀疏注意力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三 · 架构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13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端侧 VLM 与 VLA 的时延预算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四 · 应用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14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RAG 的失败模式与评测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四 · 应用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待写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</w:tbl>
    <w:p>
      <w:pPr>
        <w:spacing w:before="160"/>
      </w:pPr>
      <w:r>
        <w:rPr>
          <w:rFonts w:ascii="DengXian" w:hAnsi="DengXian" w:eastAsia="等线"/>
          <w:i/>
          <w:color w:val="9A9A9A"/>
          <w:sz w:val="17"/>
        </w:rPr>
        <w:t>状态用：待写 / 学习中 / 已整理 / 已讲顺（能 3 分钟口述）</w:t>
      </w:r>
    </w:p>
    <w:p>
      <w:r>
        <w:br w:type="page"/>
      </w:r>
    </w:p>
    <w:p>
      <w:pPr>
        <w:pStyle w:val="Heading1"/>
        <w:pBdr>
          <w:bottom w:val="single" w:sz="8" w:space="4" w:color="1F3864"/>
        </w:pBdr>
      </w:pPr>
      <w:r>
        <w:t>第一部分　模型量化</w:t>
      </w:r>
    </w:p>
    <w:p>
      <w:r>
        <w:rPr>
          <w:rFonts w:ascii="DengXian" w:hAnsi="DengXian" w:eastAsia="等线"/>
          <w:i/>
          <w:color w:val="808080"/>
          <w:sz w:val="20"/>
        </w:rPr>
        <w:t>主线：面试的主战场。目标不是「知道所有方法」，而是「能推公式 + 能选型 + 有数字」。</w:t>
      </w:r>
    </w:p>
    <w:p>
      <w:pPr>
        <w:pStyle w:val="Heading2"/>
      </w:pPr>
      <w:r>
        <w:t>1.1　数值格式与硬件映射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int8 / int4 / fp8 / mxfp4 / nvfp4；对称与非对称；per-tensor / per-channel / per-group；zero-point 在硬件上怎么省掉。</w:t>
      </w:r>
    </w:p>
    <w:p>
      <w:pPr>
        <w:pStyle w:val="Heading2"/>
      </w:pPr>
      <w:r>
        <w:t>1.2　PTQ 全链路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校准集、MinMax / Percentile / MSE / KL、bias correction、逐层敏感度、混合精度搜索。</w:t>
      </w:r>
    </w:p>
    <w:p>
      <w:pPr>
        <w:pStyle w:val="Heading2"/>
      </w:pPr>
      <w:r>
        <w:t>1.3　高级 PTQ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GPTQ（OBS + Hessian）、AWQ、SmoothQuant、AdaRound / BRECQ 的数学推导与实现差异。</w:t>
      </w:r>
    </w:p>
    <w:p>
      <w:pPr>
        <w:pStyle w:val="Heading2"/>
      </w:pPr>
      <w:r>
        <w:t>1.4　旋转类方法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Hadamard / QuaRot / SpinQuant / PrefixQuant：为什么正交变换能压 outlier，代价在哪。</w:t>
      </w:r>
    </w:p>
    <w:p>
      <w:pPr>
        <w:pStyle w:val="Heading2"/>
      </w:pPr>
      <w:r>
        <w:t>1.5　QAT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STE 的梯度偏差、LSQ / DoReFa、fake-quant 放置、蒸馏；QAT 相对 PTQ 的真实收益边界。</w:t>
      </w:r>
    </w:p>
    <w:p>
      <w:pPr>
        <w:pStyle w:val="Heading2"/>
      </w:pPr>
      <w:r>
        <w:t>1.6　评估与调优方法论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ppl 与任务指标的背离、掉点归因、长尾与安全对齐、如何证明方案更好。</w:t>
      </w:r>
    </w:p>
    <w:p>
      <w:pPr>
        <w:pStyle w:val="Heading2"/>
      </w:pPr>
      <w:r>
        <w:t>1.7　部署侧特化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W4A16 vs W8A8、unpack 开销、group size 与 kernel 对齐、KV 量化的额外读写。</w:t>
      </w:r>
    </w:p>
    <w:p>
      <w:r>
        <w:br w:type="page"/>
      </w:r>
    </w:p>
    <w:p>
      <w:pPr>
        <w:pStyle w:val="Heading1"/>
        <w:pBdr>
          <w:bottom w:val="single" w:sz="8" w:space="4" w:color="1F3864"/>
        </w:pBdr>
      </w:pPr>
      <w:r>
        <w:t>第二部分　NPU / GPU 算子与 kernel 优化</w:t>
      </w:r>
    </w:p>
    <w:p>
      <w:r>
        <w:rPr>
          <w:rFonts w:ascii="DengXian" w:hAnsi="DengXian" w:eastAsia="等线"/>
          <w:i/>
          <w:color w:val="808080"/>
          <w:sz w:val="20"/>
        </w:rPr>
        <w:t>副线：从「部署工程师」往「算子/推理工程师」平移的通道。重在「能算清楚为什么快」。</w:t>
      </w:r>
    </w:p>
    <w:p>
      <w:pPr>
        <w:pStyle w:val="Heading2"/>
      </w:pPr>
      <w:r>
        <w:t>2.1　计算图与 lowering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ggml 的 tensor/op/graph/allocator；ONNX → 后端；op fusion；NCHW 与 NHWC 的代价。</w:t>
      </w:r>
    </w:p>
    <w:p>
      <w:pPr>
        <w:pStyle w:val="Heading2"/>
      </w:pPr>
      <w:r>
        <w:t>2.2　GEMM 与 tiling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roofline、arithmetic intensity、shared memory / VTCM 分块、double buffering、寄存器分块。</w:t>
      </w:r>
    </w:p>
    <w:p>
      <w:pPr>
        <w:pStyle w:val="Heading2"/>
      </w:pPr>
      <w:r>
        <w:t>2.3　Memory-bound op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DW conv、elementwise、softmax、RMSNorm：为什么慢，带宽上限怎么算。</w:t>
      </w:r>
    </w:p>
    <w:p>
      <w:pPr>
        <w:pStyle w:val="Heading2"/>
      </w:pPr>
      <w:r>
        <w:t>2.4　后端差异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CPU(SIMD/多线程) / CUDA / HVX-HTP / Metal / Vulkan：同一个 op 的不同写法。</w:t>
      </w:r>
    </w:p>
    <w:p>
      <w:pPr>
        <w:pStyle w:val="Heading2"/>
      </w:pPr>
      <w:r>
        <w:t>2.5　量化 kernel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int8 dp4a、W4A16 的 dequant-in-register、unpack 的指令开销。</w:t>
      </w:r>
    </w:p>
    <w:p>
      <w:pPr>
        <w:pStyle w:val="Heading2"/>
      </w:pPr>
      <w:r>
        <w:t>2.6　图级优化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常量折叠、prefill 与 decode 的瓶颈切换、arena 内存复用、多后端调度与拷贝。</w:t>
      </w:r>
    </w:p>
    <w:p>
      <w:pPr>
        <w:pStyle w:val="Heading2"/>
      </w:pPr>
      <w:r>
        <w:t>2.7　Profiling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nsys / ncu、llama-bench、ggml graph dump、HTP 侧 op 时间线。</w:t>
      </w:r>
    </w:p>
    <w:p>
      <w:pPr>
        <w:pStyle w:val="Heading2"/>
      </w:pPr>
      <w:r>
        <w:t>2.8　案例：MobileNetV2 的 op 图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▸ 来源：notes/01_mobilenetv2_ggml.md（把 md 内容粘到此处后删除本行）</w:t>
      </w:r>
    </w:p>
    <w:p>
      <w:r>
        <w:br w:type="page"/>
      </w:r>
    </w:p>
    <w:p>
      <w:pPr>
        <w:pStyle w:val="Heading1"/>
        <w:pBdr>
          <w:bottom w:val="single" w:sz="8" w:space="4" w:color="1F3864"/>
        </w:pBdr>
      </w:pPr>
      <w:r>
        <w:t>第三部分　推理系统与模型架构</w:t>
      </w:r>
    </w:p>
    <w:p>
      <w:r>
        <w:rPr>
          <w:rFonts w:ascii="DengXian" w:hAnsi="DengXian" w:eastAsia="等线"/>
          <w:i/>
          <w:color w:val="808080"/>
          <w:sz w:val="20"/>
        </w:rPr>
        <w:t>补齐常识：不是主战场，但答不上来会显得不像做推理的。</w:t>
      </w:r>
    </w:p>
    <w:p>
      <w:pPr>
        <w:pStyle w:val="Heading2"/>
      </w:pPr>
      <w:r>
        <w:t>3.1　推理引擎基础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PagedAttention、continuous batching、prefix caching、chunked prefill、speculative decoding。</w:t>
      </w:r>
    </w:p>
    <w:p>
      <w:pPr>
        <w:pStyle w:val="Heading2"/>
      </w:pPr>
      <w:r>
        <w:t>3.2　调度与内存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KV cache 管理 / swap / 抢占、TP / PP / EP、MoE 的 all-to-all。</w:t>
      </w:r>
    </w:p>
    <w:p>
      <w:pPr>
        <w:pStyle w:val="Heading2"/>
      </w:pPr>
      <w:r>
        <w:t>3.3　高效 attention 架构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MLA、Gated DeltaNet / linear attention、稀疏注意力、混合层比例。</w:t>
      </w:r>
    </w:p>
    <w:p>
      <w:pPr>
        <w:pStyle w:val="Heading2"/>
      </w:pPr>
      <w:r>
        <w:t>3.4　KV 压缩与投机解码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KV 量化、NativeKV / SPD 一类思路、EAGLE 的 draft 结构。</w:t>
      </w:r>
    </w:p>
    <w:p>
      <w:pPr>
        <w:pStyle w:val="Heading2"/>
      </w:pPr>
      <w:r>
        <w:t>3.5　端云协同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端侧小模型 + 云端大模型、端侧 draft + 云端 verify、路由与降级。</w:t>
      </w:r>
    </w:p>
    <w:p>
      <w:pPr>
        <w:pStyle w:val="Heading2"/>
      </w:pPr>
      <w:r>
        <w:t>3.6　案例：Qwen3.5 的实现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▸ 来源：notes/02_qwen35_transformer.md（把 md 内容粘到此处后删除本行）</w:t>
      </w:r>
    </w:p>
    <w:p>
      <w:r>
        <w:br w:type="page"/>
      </w:r>
    </w:p>
    <w:p>
      <w:pPr>
        <w:pStyle w:val="Heading1"/>
        <w:pBdr>
          <w:bottom w:val="single" w:sz="8" w:space="4" w:color="1F3864"/>
        </w:pBdr>
      </w:pPr>
      <w:r>
        <w:t>第四部分　AI 应用</w:t>
      </w:r>
    </w:p>
    <w:p>
      <w:r>
        <w:rPr>
          <w:rFonts w:ascii="DengXian" w:hAnsi="DengXian" w:eastAsia="等线"/>
          <w:i/>
          <w:color w:val="808080"/>
          <w:sz w:val="20"/>
        </w:rPr>
        <w:t>差异化：决定你能不能把技术讲成产品故事，也是转机器人 / 具身的入口。不超过 10% 的精力。</w:t>
      </w:r>
    </w:p>
    <w:p>
      <w:pPr>
        <w:pStyle w:val="Heading2"/>
      </w:pPr>
      <w:r>
        <w:t>4.1　RAG 与 Agentic RAG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chunking、embedding、hybrid retrieval、rerank、query rewrite、tool use、评测指标。</w:t>
      </w:r>
    </w:p>
    <w:p>
      <w:pPr>
        <w:pStyle w:val="Heading2"/>
      </w:pPr>
      <w:r>
        <w:t>4.2　传统 CV 与端侧 CV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检测 / 分割 / 跟踪、TFLite / QNN 部署、后处理开销。</w:t>
      </w:r>
    </w:p>
    <w:p>
      <w:pPr>
        <w:pStyle w:val="Heading2"/>
      </w:pPr>
      <w:r>
        <w:t>4.3　机器人与 VLA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VLA 结构、action head、推理时延预算、sim2real。</w:t>
      </w:r>
    </w:p>
    <w:p>
      <w:pPr>
        <w:pStyle w:val="Heading2"/>
      </w:pPr>
      <w:r>
        <w:t>4.4　VLM 与 world model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视觉 token 数控制、patch merge、动态分辨率、视频时序建模。</w:t>
      </w:r>
    </w:p>
    <w:p>
      <w:r>
        <w:br w:type="page"/>
      </w:r>
    </w:p>
    <w:p>
      <w:pPr>
        <w:pStyle w:val="Heading1"/>
        <w:pBdr>
          <w:bottom w:val="single" w:sz="8" w:space="4" w:color="1F3864"/>
        </w:pBdr>
      </w:pPr>
      <w:r>
        <w:t>附录</w:t>
      </w:r>
    </w:p>
    <w:p>
      <w:pPr>
        <w:pStyle w:val="Heading2"/>
      </w:pPr>
      <w:r>
        <w:t>A　面试问答总表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按「问题 / 一句话答案 / 追问点 / 我的项目证据」四列整理，面试前只复习这张表。</w:t>
      </w:r>
    </w:p>
    <w:tbl>
      <w:tblPr>
        <w:tblStyle w:val="TableGrid"/>
        <w:tblW w:type="auto" w:w="0"/>
        <w:jc w:val="center"/>
        <w:tblLayout w:type="fixed"/>
        <w:tblCellMar>
          <w:left w:w="85" w:type="dxa"/>
          <w:right w:w="85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948"/>
        <w:gridCol w:w="3175"/>
        <w:gridCol w:w="1701"/>
        <w:gridCol w:w="1587"/>
      </w:tblGrid>
      <w:tr>
        <w:trPr>
          <w:cantSplit/>
          <w:tblHeader w:val="true"/>
        </w:trPr>
        <w:tc>
          <w:tcPr>
            <w:tcW w:type="dxa" w:w="2948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一句话答案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可能的追问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我的证据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</w:tbl>
    <w:p>
      <w:pPr>
        <w:pStyle w:val="Heading2"/>
      </w:pPr>
      <w:r>
        <w:t>B　数字卡片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所有能背出来的数字放这里。面试时说出一个具体数字，可信度立刻不一样。</w:t>
      </w:r>
    </w:p>
    <w:tbl>
      <w:tblPr>
        <w:tblStyle w:val="TableGrid"/>
        <w:tblW w:type="auto" w:w="0"/>
        <w:jc w:val="center"/>
        <w:tblLayout w:type="fixed"/>
        <w:tblCellMar>
          <w:left w:w="85" w:type="dxa"/>
          <w:right w:w="85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381"/>
        <w:gridCol w:w="4762"/>
        <w:gridCol w:w="2268"/>
      </w:tblGrid>
      <w:tr>
        <w:trPr>
          <w:cantSplit/>
          <w:tblHeader w:val="true"/>
        </w:trPr>
        <w:tc>
          <w:tcPr>
            <w:tcW w:type="dxa" w:w="2381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数字</w:t>
            </w:r>
          </w:p>
        </w:tc>
        <w:tc>
          <w:tcPr>
            <w:tcW w:type="dxa" w:w="4762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出处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3.47 M / ≈3 亿 MACs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MobileNetV2 1.0@224 的参数量与计算量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≈1 MAC/Byte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MobileNetV2 depthwise 层的算术强度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16384 元素/token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Qwen3.5 每 token 的 KV（仅 8 个 full attention 层）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134 MB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Qwen3.5-9B 级配置在 4k 上下文的 KV（fp16）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≈25 MB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Qwen3.5 的 GDN 固定状态（24 层，fp16，与长度无关）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  <w:t>≈768 token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GDN 状态与 KV 带宽打平的上下文长度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  <w:t>notes/02</w:t>
            </w:r>
          </w:p>
        </w:tc>
      </w:tr>
    </w:tbl>
    <w:p>
      <w:r>
        <w:br w:type="page"/>
      </w:r>
    </w:p>
    <w:p>
      <w:pPr>
        <w:pStyle w:val="Heading2"/>
      </w:pPr>
      <w:r>
        <w:t>C　项目复述模板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每个项目一段，严格四句：背景 → 我的动作 → 数字结果 → 学到什么。</w:t>
      </w:r>
    </w:p>
    <w:p>
      <w:pPr>
        <w:pStyle w:val="ListBullet"/>
      </w:pPr>
      <w:r>
        <w:t>项目名称 / 时间 / 团队规模</w:t>
      </w:r>
    </w:p>
    <w:p>
      <w:pPr>
        <w:pStyle w:val="ListBullet"/>
      </w:pPr>
      <w:r>
        <w:t>背景：要解决什么问题，约束是什么（时延、内存、精度）</w:t>
      </w:r>
    </w:p>
    <w:p>
      <w:pPr>
        <w:pStyle w:val="ListBullet"/>
      </w:pPr>
      <w:r>
        <w:t>我的动作：我具体做了什么，用了什么工具链，做了哪些取舍</w:t>
      </w:r>
    </w:p>
    <w:p>
      <w:pPr>
        <w:pStyle w:val="ListBullet"/>
      </w:pPr>
      <w:r>
        <w:t>数字结果：before / after，至少一个百分比</w:t>
      </w:r>
    </w:p>
    <w:p>
      <w:pPr>
        <w:pStyle w:val="ListBullet"/>
      </w:pPr>
      <w:r>
        <w:t>学到什么：一句反思，最好是「如果重做我会改什么」</w:t>
      </w:r>
    </w:p>
    <w:p>
      <w:pPr>
        <w:pStyle w:val="Heading2"/>
      </w:pPr>
      <w:r>
        <w:t>D　待办与复盘</w:t>
      </w:r>
    </w:p>
    <w:p>
      <w:pPr>
        <w:spacing w:before="40" w:after="160"/>
      </w:pPr>
      <w:r>
        <w:rPr>
          <w:rFonts w:ascii="DengXian" w:hAnsi="DengXian" w:eastAsia="等线"/>
          <w:i/>
          <w:color w:val="9A9A9A"/>
          <w:sz w:val="17"/>
        </w:rPr>
        <w:t>每周写三行：本周学了什么、卡在哪、下周只做一件事。</w:t>
      </w:r>
    </w:p>
    <w:tbl>
      <w:tblPr>
        <w:tblStyle w:val="TableGrid"/>
        <w:tblW w:type="auto" w:w="0"/>
        <w:jc w:val="center"/>
        <w:tblLayout w:type="fixed"/>
        <w:tblCellMar>
          <w:left w:w="85" w:type="dxa"/>
          <w:right w:w="85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07"/>
        <w:gridCol w:w="3061"/>
        <w:gridCol w:w="2721"/>
        <w:gridCol w:w="2721"/>
      </w:tblGrid>
      <w:tr>
        <w:trPr>
          <w:cantSplit/>
          <w:tblHeader w:val="true"/>
        </w:trPr>
        <w:tc>
          <w:tcPr>
            <w:tcW w:type="dxa" w:w="907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学了什么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卡在哪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FFFFFF"/>
                <w:sz w:val="19"/>
              </w:rPr>
              <w:t>下周只做一件事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/>
                <w:color w:val="262626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DengXian" w:hAnsi="DengXian" w:eastAsia="等线"/>
                <w:b w:val="0"/>
                <w:color w:val="262626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ngXian" w:hAnsi="DengXian" w:eastAsia="等线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00" w:before="0"/>
    </w:pPr>
    <w:rPr>
      <w:rFonts w:ascii="DengXian" w:hAnsi="DengXian" w:eastAsia="等线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整理</dc:title>
  <dc:subject>端侧 LLM 部署 · 量化 · 算子</dc:subject>
  <dc:creator>renha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