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42C15"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Análisis Pedagógico: Integración de la No Violencia en la Planificación Docente</w:t>
      </w:r>
    </w:p>
    <w:p w14:paraId="514BF8EB"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1. Marco Contextual y Relevancia Estratégica</w:t>
      </w:r>
    </w:p>
    <w:p w14:paraId="6A9940A9"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 xml:space="preserve">La planificación educativa contemporánea exige un cambio de paradigma que trascienda el modelo academicista tradicional para abrazar una visión integral del estudiante como sujeto de derecho. Como se desprende de la práctica de Lucía Silvera, nos situamos en una transición crítica hacia una educación que no se limita a la asimilación de contenidos cognitivos, sino que prioriza las habilidades socioemocionales como el soporte fundamental para el aprendizaje y la equidad social. Bajo el amparo de la Ley General de Educación </w:t>
      </w:r>
      <w:proofErr w:type="spellStart"/>
      <w:r w:rsidRPr="00383A6E">
        <w:rPr>
          <w:rFonts w:ascii="Times New Roman" w:eastAsia="Times New Roman" w:hAnsi="Times New Roman" w:cs="Times New Roman"/>
          <w:color w:val="303030"/>
          <w:kern w:val="0"/>
          <w:sz w:val="24"/>
          <w:szCs w:val="24"/>
          <w:lang w:eastAsia="es-UY"/>
          <w14:ligatures w14:val="none"/>
        </w:rPr>
        <w:t>N°</w:t>
      </w:r>
      <w:proofErr w:type="spellEnd"/>
      <w:r w:rsidRPr="00383A6E">
        <w:rPr>
          <w:rFonts w:ascii="Times New Roman" w:eastAsia="Times New Roman" w:hAnsi="Times New Roman" w:cs="Times New Roman"/>
          <w:color w:val="303030"/>
          <w:kern w:val="0"/>
          <w:sz w:val="24"/>
          <w:szCs w:val="24"/>
          <w:lang w:eastAsia="es-UY"/>
          <w14:ligatures w14:val="none"/>
        </w:rPr>
        <w:t xml:space="preserve"> 18.437, la escuela uruguaya asume la responsabilidad de garantizar un ambiente plural donde el niño sea valorado en su totalidad bio-psico-social, reconociendo que el bienestar emocional es el cimiento de la ciudadanía democrática.</w:t>
      </w:r>
    </w:p>
    <w:p w14:paraId="145285D0"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Basándonos estrictamente en la planificación de 3ero C (Anexo 1), el propósito central es </w:t>
      </w:r>
      <w:r w:rsidRPr="00383A6E">
        <w:rPr>
          <w:rFonts w:ascii="Times New Roman" w:eastAsia="Times New Roman" w:hAnsi="Times New Roman" w:cs="Times New Roman"/>
          <w:b/>
          <w:bCs/>
          <w:color w:val="303030"/>
          <w:kern w:val="0"/>
          <w:sz w:val="24"/>
          <w:szCs w:val="24"/>
          <w:lang w:eastAsia="es-UY"/>
          <w14:ligatures w14:val="none"/>
        </w:rPr>
        <w:t>promover la reflexión de posibles soluciones frente a un problema o situación particular en el ámbito escolar</w:t>
      </w:r>
      <w:r w:rsidRPr="00383A6E">
        <w:rPr>
          <w:rFonts w:ascii="Times New Roman" w:eastAsia="Times New Roman" w:hAnsi="Times New Roman" w:cs="Times New Roman"/>
          <w:color w:val="303030"/>
          <w:kern w:val="0"/>
          <w:sz w:val="24"/>
          <w:szCs w:val="24"/>
          <w:lang w:eastAsia="es-UY"/>
          <w14:ligatures w14:val="none"/>
        </w:rPr>
        <w:t>. Este objetivo es estratégico para la "Construcción de Ciudadanía" porque desplaza el foco del castigo punitivo hacia la formación de competencias deliberativas; busca que el alumnado deje de ser un receptor pasivo de normas para convertirse en un gestor activo de la convivencia. El éxito de este enfoque depende de la capacidad del docente para vincular marcos teóricos robustos con la aplicación práctica específica ante actitudes violentas recurrentes en el aula.</w:t>
      </w:r>
    </w:p>
    <w:p w14:paraId="3CE43E0D"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2. Desglose del Contenido: "La Actitud Violenta como Respuesta"</w:t>
      </w:r>
    </w:p>
    <w:p w14:paraId="1B2D4920"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Abordar la violencia escolar requiere una audacia pedagógica que rompa con la tendencia de tratar el conflicto como un tabú o una simple falta disciplinaria. Al proponer el contenido "La actitud violenta como respuesta a otra actitud violenta", la docente transforma la agresión en un objeto de estudio reflexivo. Esta decisión es de una alta complejidad cognitiva para estudiantes de 3er año, ya que les exige desnaturalizar la reacción instintiva y analizar la cadena de causalidad emocional: entender que la violencia no es un hecho aislado, sino un eslabón en una secuencia de interacciones.</w:t>
      </w:r>
    </w:p>
    <w:p w14:paraId="335B0048"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Las cinco situaciones problemáticas planteadas en el pizarrón (insultos, discriminación, peleas, desobediencia) actúan como catalizadores críticos para la identificación de emociones subyacentes. Al presentar escenarios de la vida cotidiana, se facilita que el alumno pase del juicio moral ("está mal") a la comprensión de la causalidad emocional ("qué siente quien lo vive"). A continuación, se detalla la correlación entre las situaciones de conflicto y las emociones dominantes identificadas por el alumnado:</w:t>
      </w:r>
    </w:p>
    <w:p w14:paraId="452691B6" w14:textId="77777777" w:rsidR="00383A6E" w:rsidRPr="00383A6E" w:rsidRDefault="00383A6E" w:rsidP="00383A6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383A6E">
        <w:rPr>
          <w:rFonts w:ascii="Times New Roman" w:eastAsia="Times New Roman" w:hAnsi="Times New Roman" w:cs="Times New Roman"/>
          <w:b/>
          <w:bCs/>
          <w:color w:val="303030"/>
          <w:kern w:val="0"/>
          <w:sz w:val="27"/>
          <w:szCs w:val="27"/>
          <w:lang w:eastAsia="es-UY"/>
          <w14:ligatures w14:val="none"/>
        </w:rPr>
        <w:t>Furia y Frustración:</w:t>
      </w:r>
      <w:r w:rsidRPr="00383A6E">
        <w:rPr>
          <w:rFonts w:ascii="Times New Roman" w:eastAsia="Times New Roman" w:hAnsi="Times New Roman" w:cs="Times New Roman"/>
          <w:color w:val="303030"/>
          <w:kern w:val="0"/>
          <w:sz w:val="27"/>
          <w:szCs w:val="27"/>
          <w:lang w:eastAsia="es-UY"/>
          <w14:ligatures w14:val="none"/>
        </w:rPr>
        <w:t> Identificadas en situaciones de agresión física (golpes) y desobediencia violenta hacia adultos, evidenciando la falta de control de impulsos.</w:t>
      </w:r>
    </w:p>
    <w:p w14:paraId="73B0DEDC" w14:textId="77777777" w:rsidR="00383A6E" w:rsidRPr="00383A6E" w:rsidRDefault="00383A6E" w:rsidP="00383A6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383A6E">
        <w:rPr>
          <w:rFonts w:ascii="Times New Roman" w:eastAsia="Times New Roman" w:hAnsi="Times New Roman" w:cs="Times New Roman"/>
          <w:b/>
          <w:bCs/>
          <w:color w:val="303030"/>
          <w:kern w:val="0"/>
          <w:sz w:val="27"/>
          <w:szCs w:val="27"/>
          <w:lang w:eastAsia="es-UY"/>
          <w14:ligatures w14:val="none"/>
        </w:rPr>
        <w:t>Tristeza y Vulnerabilidad:</w:t>
      </w:r>
      <w:r w:rsidRPr="00383A6E">
        <w:rPr>
          <w:rFonts w:ascii="Times New Roman" w:eastAsia="Times New Roman" w:hAnsi="Times New Roman" w:cs="Times New Roman"/>
          <w:color w:val="303030"/>
          <w:kern w:val="0"/>
          <w:sz w:val="27"/>
          <w:szCs w:val="27"/>
          <w:lang w:eastAsia="es-UY"/>
          <w14:ligatures w14:val="none"/>
        </w:rPr>
        <w:t> Predominantes ante los insultos y la discriminación por dificultades de aprendizaje (lectura), permitiendo visibilizar el daño a la autoestima.</w:t>
      </w:r>
    </w:p>
    <w:p w14:paraId="6362A5C4" w14:textId="77777777" w:rsidR="00383A6E" w:rsidRPr="00383A6E" w:rsidRDefault="00383A6E" w:rsidP="00383A6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383A6E">
        <w:rPr>
          <w:rFonts w:ascii="Times New Roman" w:eastAsia="Times New Roman" w:hAnsi="Times New Roman" w:cs="Times New Roman"/>
          <w:b/>
          <w:bCs/>
          <w:color w:val="303030"/>
          <w:kern w:val="0"/>
          <w:sz w:val="27"/>
          <w:szCs w:val="27"/>
          <w:lang w:eastAsia="es-UY"/>
          <w14:ligatures w14:val="none"/>
        </w:rPr>
        <w:t>Miedo y Exclusión:</w:t>
      </w:r>
      <w:r w:rsidRPr="00383A6E">
        <w:rPr>
          <w:rFonts w:ascii="Times New Roman" w:eastAsia="Times New Roman" w:hAnsi="Times New Roman" w:cs="Times New Roman"/>
          <w:color w:val="303030"/>
          <w:kern w:val="0"/>
          <w:sz w:val="27"/>
          <w:szCs w:val="27"/>
          <w:lang w:eastAsia="es-UY"/>
          <w14:ligatures w14:val="none"/>
        </w:rPr>
        <w:t> Catalizados por la discriminación por vestimenta, lo que facilita el reconocimiento de la inseguridad que genera el rechazo de los pares.</w:t>
      </w:r>
    </w:p>
    <w:p w14:paraId="5A7E362E"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El reconocimiento y etiquetado preciso de estas emociones constituye el paso previo indispensable para la búsqueda de soluciones pacíficas, pues solo aquello que se comprende racionalmente puede ser mediado por el pensamiento.</w:t>
      </w:r>
    </w:p>
    <w:p w14:paraId="36F164B8"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lastRenderedPageBreak/>
        <w:t>3. Dinámica de Integración: Del Conflicto a la Solución Pacífica</w:t>
      </w:r>
    </w:p>
    <w:p w14:paraId="65B1B0CC"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La secuencia didáctica (Inicio, Desarrollo, Cierre) es la estructura que permite transformar una reacción biológica instintiva en una respuesta ética mediada. El proceso de integración pedagógica documentado en el Anexo 1 utiliza el video "Intensamente" como un recurso de proyección para que los estudiantes externalicen y reconozcan las emociones básicas en un tercero. El movimiento pedagógico crucial ocurre en la transición hacia la consigna de "ponerse en el lugar del otro". Este ejercicio promueve la </w:t>
      </w:r>
      <w:r w:rsidRPr="00383A6E">
        <w:rPr>
          <w:rFonts w:ascii="Times New Roman" w:eastAsia="Times New Roman" w:hAnsi="Times New Roman" w:cs="Times New Roman"/>
          <w:b/>
          <w:bCs/>
          <w:color w:val="303030"/>
          <w:kern w:val="0"/>
          <w:sz w:val="24"/>
          <w:szCs w:val="24"/>
          <w:lang w:eastAsia="es-UY"/>
          <w14:ligatures w14:val="none"/>
        </w:rPr>
        <w:t>descentración cognitiva</w:t>
      </w:r>
      <w:r w:rsidRPr="00383A6E">
        <w:rPr>
          <w:rFonts w:ascii="Times New Roman" w:eastAsia="Times New Roman" w:hAnsi="Times New Roman" w:cs="Times New Roman"/>
          <w:color w:val="303030"/>
          <w:kern w:val="0"/>
          <w:sz w:val="24"/>
          <w:szCs w:val="24"/>
          <w:lang w:eastAsia="es-UY"/>
          <w14:ligatures w14:val="none"/>
        </w:rPr>
        <w:t>, un mecanismo psicopedagógico esencial para romper con el egocentrismo propio de la etapa evolutiva y permitir que el niño procese el impacto de sus acciones en el bienestar ajeno.</w:t>
      </w:r>
    </w:p>
    <w:p w14:paraId="6CD866A9"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Al internalizar el conflicto mediante preguntas problematizadoras, los estudiantes logran articular soluciones que trascienden la mera obediencia reglamentaria. Las soluciones propuestas por el grupo de 3ero C demuestran una apropiación de herramientas de mediación social:</w:t>
      </w:r>
    </w:p>
    <w:p w14:paraId="44E75875"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"Hablar de lo que nos pasa con personas adultas (mamá, papá, la maestra, la directora). Ayudar a otros compañeros para que no se sientan excluidos. Escuchar, preguntar y darse espacio si es necesario."</w:t>
      </w:r>
    </w:p>
    <w:p w14:paraId="7A394C1A"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Estas conclusiones no son respuestas prefabricadas, sino el resultado de un aprendizaje experiencial donde el ambiente y las relaciones cotidianas del aula se utilizan como el laboratorio principal para la formación de valores.</w:t>
      </w:r>
    </w:p>
    <w:p w14:paraId="03298C37"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4. Fundamentación Teórica del Modelo de Intervención</w:t>
      </w:r>
    </w:p>
    <w:p w14:paraId="6BF4DCBD"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La práctica de la practicante Lucía Silvera se valida a la luz de los postulados de Rafael Bisquerra, quien sostiene que la educación emocional debe ser un proceso continuo y permanente que complemente el desarrollo cognitivo. En esta intervención, las estrategias declaradas cumplen funciones específicas: el </w:t>
      </w:r>
      <w:r w:rsidRPr="00383A6E">
        <w:rPr>
          <w:rFonts w:ascii="Times New Roman" w:eastAsia="Times New Roman" w:hAnsi="Times New Roman" w:cs="Times New Roman"/>
          <w:i/>
          <w:iCs/>
          <w:color w:val="303030"/>
          <w:kern w:val="0"/>
          <w:sz w:val="24"/>
          <w:szCs w:val="24"/>
          <w:lang w:eastAsia="es-UY"/>
          <w14:ligatures w14:val="none"/>
        </w:rPr>
        <w:t>uso de la pregunta</w:t>
      </w:r>
      <w:r w:rsidRPr="00383A6E">
        <w:rPr>
          <w:rFonts w:ascii="Times New Roman" w:eastAsia="Times New Roman" w:hAnsi="Times New Roman" w:cs="Times New Roman"/>
          <w:color w:val="303030"/>
          <w:kern w:val="0"/>
          <w:sz w:val="24"/>
          <w:szCs w:val="24"/>
          <w:lang w:eastAsia="es-UY"/>
          <w14:ligatures w14:val="none"/>
        </w:rPr>
        <w:t> actúa como andamiaje para la verbalización de lo interno; la </w:t>
      </w:r>
      <w:r w:rsidRPr="00383A6E">
        <w:rPr>
          <w:rFonts w:ascii="Times New Roman" w:eastAsia="Times New Roman" w:hAnsi="Times New Roman" w:cs="Times New Roman"/>
          <w:i/>
          <w:iCs/>
          <w:color w:val="303030"/>
          <w:kern w:val="0"/>
          <w:sz w:val="24"/>
          <w:szCs w:val="24"/>
          <w:lang w:eastAsia="es-UY"/>
          <w14:ligatures w14:val="none"/>
        </w:rPr>
        <w:t>problematización</w:t>
      </w:r>
      <w:r w:rsidRPr="00383A6E">
        <w:rPr>
          <w:rFonts w:ascii="Times New Roman" w:eastAsia="Times New Roman" w:hAnsi="Times New Roman" w:cs="Times New Roman"/>
          <w:color w:val="303030"/>
          <w:kern w:val="0"/>
          <w:sz w:val="24"/>
          <w:szCs w:val="24"/>
          <w:lang w:eastAsia="es-UY"/>
          <w14:ligatures w14:val="none"/>
        </w:rPr>
        <w:t> evita las respuestas binarias y fuerza al alumno a enfrentar la complejidad social; y la </w:t>
      </w:r>
      <w:r w:rsidRPr="00383A6E">
        <w:rPr>
          <w:rFonts w:ascii="Times New Roman" w:eastAsia="Times New Roman" w:hAnsi="Times New Roman" w:cs="Times New Roman"/>
          <w:i/>
          <w:iCs/>
          <w:color w:val="303030"/>
          <w:kern w:val="0"/>
          <w:sz w:val="24"/>
          <w:szCs w:val="24"/>
          <w:lang w:eastAsia="es-UY"/>
          <w14:ligatures w14:val="none"/>
        </w:rPr>
        <w:t>reflexión</w:t>
      </w:r>
      <w:r w:rsidRPr="00383A6E">
        <w:rPr>
          <w:rFonts w:ascii="Times New Roman" w:eastAsia="Times New Roman" w:hAnsi="Times New Roman" w:cs="Times New Roman"/>
          <w:color w:val="303030"/>
          <w:kern w:val="0"/>
          <w:sz w:val="24"/>
          <w:szCs w:val="24"/>
          <w:lang w:eastAsia="es-UY"/>
          <w14:ligatures w14:val="none"/>
        </w:rPr>
        <w:t> fomenta la inteligencia emocional como una </w:t>
      </w:r>
      <w:r w:rsidRPr="00383A6E">
        <w:rPr>
          <w:rFonts w:ascii="Times New Roman" w:eastAsia="Times New Roman" w:hAnsi="Times New Roman" w:cs="Times New Roman"/>
          <w:b/>
          <w:bCs/>
          <w:color w:val="303030"/>
          <w:kern w:val="0"/>
          <w:sz w:val="24"/>
          <w:szCs w:val="24"/>
          <w:lang w:eastAsia="es-UY"/>
          <w14:ligatures w14:val="none"/>
        </w:rPr>
        <w:t>meta-habilidad</w:t>
      </w:r>
      <w:r w:rsidRPr="00383A6E">
        <w:rPr>
          <w:rFonts w:ascii="Times New Roman" w:eastAsia="Times New Roman" w:hAnsi="Times New Roman" w:cs="Times New Roman"/>
          <w:color w:val="303030"/>
          <w:kern w:val="0"/>
          <w:sz w:val="24"/>
          <w:szCs w:val="24"/>
          <w:lang w:eastAsia="es-UY"/>
          <w14:ligatures w14:val="none"/>
        </w:rPr>
        <w:t> esencial para la vida.</w:t>
      </w:r>
    </w:p>
    <w:p w14:paraId="2BC538CC"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Para comprender la articulación entre la teoría citada y la práctica observada, se presenta el siguiente cuadro comparativo:</w:t>
      </w:r>
    </w:p>
    <w:tbl>
      <w:tblPr>
        <w:tblW w:w="0" w:type="auto"/>
        <w:tblCellMar>
          <w:top w:w="15" w:type="dxa"/>
          <w:left w:w="15" w:type="dxa"/>
          <w:bottom w:w="15" w:type="dxa"/>
          <w:right w:w="15" w:type="dxa"/>
        </w:tblCellMar>
        <w:tblLook w:val="04A0" w:firstRow="1" w:lastRow="0" w:firstColumn="1" w:lastColumn="0" w:noHBand="0" w:noVBand="1"/>
      </w:tblPr>
      <w:tblGrid>
        <w:gridCol w:w="2167"/>
        <w:gridCol w:w="6337"/>
      </w:tblGrid>
      <w:tr w:rsidR="00383A6E" w:rsidRPr="00383A6E" w14:paraId="17DD23D2" w14:textId="77777777">
        <w:tc>
          <w:tcPr>
            <w:tcW w:w="0" w:type="auto"/>
            <w:tcBorders>
              <w:bottom w:val="single" w:sz="4" w:space="0" w:color="919191"/>
            </w:tcBorders>
            <w:hideMark/>
          </w:tcPr>
          <w:p w14:paraId="4820B783" w14:textId="77777777" w:rsidR="00383A6E" w:rsidRPr="00383A6E" w:rsidRDefault="00383A6E" w:rsidP="00383A6E">
            <w:pPr>
              <w:spacing w:after="0" w:line="240" w:lineRule="auto"/>
              <w:jc w:val="center"/>
              <w:rPr>
                <w:rFonts w:ascii="Times New Roman" w:eastAsia="Times New Roman" w:hAnsi="Times New Roman" w:cs="Times New Roman"/>
                <w:b/>
                <w:bCs/>
                <w:color w:val="303030"/>
                <w:kern w:val="0"/>
                <w:sz w:val="24"/>
                <w:szCs w:val="24"/>
                <w:lang w:eastAsia="es-UY"/>
                <w14:ligatures w14:val="none"/>
              </w:rPr>
            </w:pPr>
            <w:r w:rsidRPr="00383A6E">
              <w:rPr>
                <w:rFonts w:ascii="Times New Roman" w:eastAsia="Times New Roman" w:hAnsi="Times New Roman" w:cs="Times New Roman"/>
                <w:b/>
                <w:bCs/>
                <w:color w:val="303030"/>
                <w:kern w:val="0"/>
                <w:sz w:val="24"/>
                <w:szCs w:val="24"/>
                <w:lang w:eastAsia="es-UY"/>
                <w14:ligatures w14:val="none"/>
              </w:rPr>
              <w:t>Concepto Teórico</w:t>
            </w:r>
          </w:p>
        </w:tc>
        <w:tc>
          <w:tcPr>
            <w:tcW w:w="0" w:type="auto"/>
            <w:tcBorders>
              <w:bottom w:val="single" w:sz="4" w:space="0" w:color="919191"/>
            </w:tcBorders>
            <w:hideMark/>
          </w:tcPr>
          <w:p w14:paraId="2A2CE86B" w14:textId="77777777" w:rsidR="00383A6E" w:rsidRPr="00383A6E" w:rsidRDefault="00383A6E" w:rsidP="00383A6E">
            <w:pPr>
              <w:spacing w:after="0" w:line="240" w:lineRule="auto"/>
              <w:jc w:val="center"/>
              <w:rPr>
                <w:rFonts w:ascii="Times New Roman" w:eastAsia="Times New Roman" w:hAnsi="Times New Roman" w:cs="Times New Roman"/>
                <w:b/>
                <w:bCs/>
                <w:color w:val="303030"/>
                <w:kern w:val="0"/>
                <w:sz w:val="24"/>
                <w:szCs w:val="24"/>
                <w:lang w:eastAsia="es-UY"/>
                <w14:ligatures w14:val="none"/>
              </w:rPr>
            </w:pPr>
            <w:r w:rsidRPr="00383A6E">
              <w:rPr>
                <w:rFonts w:ascii="Times New Roman" w:eastAsia="Times New Roman" w:hAnsi="Times New Roman" w:cs="Times New Roman"/>
                <w:b/>
                <w:bCs/>
                <w:color w:val="303030"/>
                <w:kern w:val="0"/>
                <w:sz w:val="24"/>
                <w:szCs w:val="24"/>
                <w:lang w:eastAsia="es-UY"/>
                <w14:ligatures w14:val="none"/>
              </w:rPr>
              <w:t>Acción Específica de la Planificación</w:t>
            </w:r>
          </w:p>
        </w:tc>
      </w:tr>
      <w:tr w:rsidR="00383A6E" w:rsidRPr="00383A6E" w14:paraId="23726E81" w14:textId="77777777">
        <w:tc>
          <w:tcPr>
            <w:tcW w:w="0" w:type="auto"/>
            <w:tcBorders>
              <w:bottom w:val="single" w:sz="4" w:space="0" w:color="DDE1EB"/>
            </w:tcBorders>
            <w:hideMark/>
          </w:tcPr>
          <w:p w14:paraId="19B3E5B1"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b/>
                <w:bCs/>
                <w:color w:val="303030"/>
                <w:kern w:val="0"/>
                <w:sz w:val="24"/>
                <w:szCs w:val="24"/>
                <w:lang w:eastAsia="es-UY"/>
                <w14:ligatures w14:val="none"/>
              </w:rPr>
              <w:t>Empatía / Cognición Social</w:t>
            </w:r>
          </w:p>
        </w:tc>
        <w:tc>
          <w:tcPr>
            <w:tcW w:w="0" w:type="auto"/>
            <w:tcBorders>
              <w:bottom w:val="single" w:sz="4" w:space="0" w:color="DDE1EB"/>
            </w:tcBorders>
            <w:hideMark/>
          </w:tcPr>
          <w:p w14:paraId="257F65D5"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Pregunta reflexiva: "¿Qué significa ponerse en el lugar del otro?" ante casos de discriminación.</w:t>
            </w:r>
          </w:p>
        </w:tc>
      </w:tr>
      <w:tr w:rsidR="00383A6E" w:rsidRPr="00383A6E" w14:paraId="303905F6" w14:textId="77777777">
        <w:tc>
          <w:tcPr>
            <w:tcW w:w="0" w:type="auto"/>
            <w:tcBorders>
              <w:bottom w:val="single" w:sz="4" w:space="0" w:color="DDE1EB"/>
            </w:tcBorders>
            <w:hideMark/>
          </w:tcPr>
          <w:p w14:paraId="78060155"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b/>
                <w:bCs/>
                <w:color w:val="303030"/>
                <w:kern w:val="0"/>
                <w:sz w:val="24"/>
                <w:szCs w:val="24"/>
                <w:lang w:eastAsia="es-UY"/>
                <w14:ligatures w14:val="none"/>
              </w:rPr>
              <w:t>Regulación Emocional</w:t>
            </w:r>
          </w:p>
        </w:tc>
        <w:tc>
          <w:tcPr>
            <w:tcW w:w="0" w:type="auto"/>
            <w:tcBorders>
              <w:bottom w:val="single" w:sz="4" w:space="0" w:color="DDE1EB"/>
            </w:tcBorders>
            <w:hideMark/>
          </w:tcPr>
          <w:p w14:paraId="196E1C1B"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Cuestionamiento sobre la importancia de "controlar los impulsos" y los beneficios del diálogo frente a la reacción.</w:t>
            </w:r>
          </w:p>
        </w:tc>
      </w:tr>
      <w:tr w:rsidR="00383A6E" w:rsidRPr="00383A6E" w14:paraId="2E656436" w14:textId="77777777">
        <w:tc>
          <w:tcPr>
            <w:tcW w:w="0" w:type="auto"/>
            <w:tcBorders>
              <w:bottom w:val="single" w:sz="4" w:space="0" w:color="DDE1EB"/>
            </w:tcBorders>
            <w:hideMark/>
          </w:tcPr>
          <w:p w14:paraId="16A67327"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b/>
                <w:bCs/>
                <w:color w:val="303030"/>
                <w:kern w:val="0"/>
                <w:sz w:val="24"/>
                <w:szCs w:val="24"/>
                <w:lang w:eastAsia="es-UY"/>
                <w14:ligatures w14:val="none"/>
              </w:rPr>
              <w:t>Aprendizaje Social (Bandura)</w:t>
            </w:r>
          </w:p>
        </w:tc>
        <w:tc>
          <w:tcPr>
            <w:tcW w:w="0" w:type="auto"/>
            <w:tcBorders>
              <w:bottom w:val="single" w:sz="4" w:space="0" w:color="DDE1EB"/>
            </w:tcBorders>
            <w:hideMark/>
          </w:tcPr>
          <w:p w14:paraId="0A9C6F45"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La docente como </w:t>
            </w:r>
            <w:r w:rsidRPr="00383A6E">
              <w:rPr>
                <w:rFonts w:ascii="Times New Roman" w:eastAsia="Times New Roman" w:hAnsi="Times New Roman" w:cs="Times New Roman"/>
                <w:b/>
                <w:bCs/>
                <w:color w:val="303030"/>
                <w:kern w:val="0"/>
                <w:sz w:val="24"/>
                <w:szCs w:val="24"/>
                <w:lang w:eastAsia="es-UY"/>
                <w14:ligatures w14:val="none"/>
              </w:rPr>
              <w:t>modelo de referencia</w:t>
            </w:r>
            <w:r w:rsidRPr="00383A6E">
              <w:rPr>
                <w:rFonts w:ascii="Times New Roman" w:eastAsia="Times New Roman" w:hAnsi="Times New Roman" w:cs="Times New Roman"/>
                <w:color w:val="303030"/>
                <w:kern w:val="0"/>
                <w:sz w:val="24"/>
                <w:szCs w:val="24"/>
                <w:lang w:eastAsia="es-UY"/>
                <w14:ligatures w14:val="none"/>
              </w:rPr>
              <w:t> durante la puesta en común, validando la escucha activa y la mediación.</w:t>
            </w:r>
          </w:p>
        </w:tc>
      </w:tr>
      <w:tr w:rsidR="00383A6E" w:rsidRPr="00383A6E" w14:paraId="3255895D" w14:textId="77777777">
        <w:tc>
          <w:tcPr>
            <w:tcW w:w="0" w:type="auto"/>
            <w:tcBorders>
              <w:bottom w:val="single" w:sz="4" w:space="0" w:color="DDE1EB"/>
            </w:tcBorders>
            <w:hideMark/>
          </w:tcPr>
          <w:p w14:paraId="02C243A9"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b/>
                <w:bCs/>
                <w:color w:val="303030"/>
                <w:kern w:val="0"/>
                <w:sz w:val="24"/>
                <w:szCs w:val="24"/>
                <w:lang w:eastAsia="es-UY"/>
                <w14:ligatures w14:val="none"/>
              </w:rPr>
              <w:t>Validación Social (Gresham)</w:t>
            </w:r>
          </w:p>
        </w:tc>
        <w:tc>
          <w:tcPr>
            <w:tcW w:w="0" w:type="auto"/>
            <w:tcBorders>
              <w:bottom w:val="single" w:sz="4" w:space="0" w:color="DDE1EB"/>
            </w:tcBorders>
            <w:hideMark/>
          </w:tcPr>
          <w:p w14:paraId="71AA6E47"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Puesta en común final para reconocer y reforzar colectivamente las conductas que predicen aceptación y buen trato.</w:t>
            </w:r>
          </w:p>
        </w:tc>
      </w:tr>
    </w:tbl>
    <w:p w14:paraId="16839106"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El desarrollo de estas competencias socioemocionales prepara al individuo no solo para el éxito académico, sino para los desafíos de una sociedad del siglo XXI que demanda ciudadanos capaces de gestionar el estrés y la diversidad mediante el diálogo constructivo.</w:t>
      </w:r>
    </w:p>
    <w:p w14:paraId="505F5DA8"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5. Síntesis y Proyecciones Pedagógicas</w:t>
      </w:r>
    </w:p>
    <w:p w14:paraId="7598E4FF"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 xml:space="preserve">La planificación analizada cumple con la misión de transformar al estudiante de un "objeto de educación" —centrado históricamente en la obediencia y el </w:t>
      </w:r>
      <w:proofErr w:type="spellStart"/>
      <w:r w:rsidRPr="00383A6E">
        <w:rPr>
          <w:rFonts w:ascii="Times New Roman" w:eastAsia="Times New Roman" w:hAnsi="Times New Roman" w:cs="Times New Roman"/>
          <w:color w:val="303030"/>
          <w:kern w:val="0"/>
          <w:sz w:val="24"/>
          <w:szCs w:val="24"/>
          <w:lang w:eastAsia="es-UY"/>
          <w14:ligatures w14:val="none"/>
        </w:rPr>
        <w:t>disciplinamiento</w:t>
      </w:r>
      <w:proofErr w:type="spellEnd"/>
      <w:r w:rsidRPr="00383A6E">
        <w:rPr>
          <w:rFonts w:ascii="Times New Roman" w:eastAsia="Times New Roman" w:hAnsi="Times New Roman" w:cs="Times New Roman"/>
          <w:color w:val="303030"/>
          <w:kern w:val="0"/>
          <w:sz w:val="24"/>
          <w:szCs w:val="24"/>
          <w:lang w:eastAsia="es-UY"/>
          <w14:ligatures w14:val="none"/>
        </w:rPr>
        <w:t>— a un "sujeto activo, responsable y protagonista" de su propia formación ciudadana. Al legitimar sus miedos y frustraciones como contenidos dignos de estudio, la escuela abandona el paradigma de la obediencia para abrazar el paradigma de la autonomía y la participación.</w:t>
      </w:r>
    </w:p>
    <w:p w14:paraId="05960B38"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lastRenderedPageBreak/>
        <w:t>De la práctica de Lucía Silvera se destilan tres lecciones fundamentales para la integración de la no-violencia en el currículo de Primaria:</w:t>
      </w:r>
    </w:p>
    <w:p w14:paraId="68390B21" w14:textId="77777777" w:rsidR="00383A6E" w:rsidRPr="00383A6E" w:rsidRDefault="00383A6E" w:rsidP="00383A6E">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383A6E">
        <w:rPr>
          <w:rFonts w:ascii="Times New Roman" w:eastAsia="Times New Roman" w:hAnsi="Times New Roman" w:cs="Times New Roman"/>
          <w:b/>
          <w:bCs/>
          <w:color w:val="303030"/>
          <w:kern w:val="0"/>
          <w:sz w:val="27"/>
          <w:szCs w:val="27"/>
          <w:lang w:eastAsia="es-UY"/>
          <w14:ligatures w14:val="none"/>
        </w:rPr>
        <w:t>Indisolubilidad de lo emocional y lo cognitivo:</w:t>
      </w:r>
      <w:r w:rsidRPr="00383A6E">
        <w:rPr>
          <w:rFonts w:ascii="Times New Roman" w:eastAsia="Times New Roman" w:hAnsi="Times New Roman" w:cs="Times New Roman"/>
          <w:color w:val="303030"/>
          <w:kern w:val="0"/>
          <w:sz w:val="27"/>
          <w:szCs w:val="27"/>
          <w:lang w:eastAsia="es-UY"/>
          <w14:ligatures w14:val="none"/>
        </w:rPr>
        <w:t> Como afirma Izard (2009), no hay aprendizaje sin soporte emocional; el manejo de la ansiedad y el miedo es el requisito previo para el éxito en cualquier disciplina académica.</w:t>
      </w:r>
    </w:p>
    <w:p w14:paraId="6F6CDC22" w14:textId="77777777" w:rsidR="00383A6E" w:rsidRPr="00383A6E" w:rsidRDefault="00383A6E" w:rsidP="00383A6E">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383A6E">
        <w:rPr>
          <w:rFonts w:ascii="Times New Roman" w:eastAsia="Times New Roman" w:hAnsi="Times New Roman" w:cs="Times New Roman"/>
          <w:b/>
          <w:bCs/>
          <w:color w:val="303030"/>
          <w:kern w:val="0"/>
          <w:sz w:val="27"/>
          <w:szCs w:val="27"/>
          <w:lang w:eastAsia="es-UY"/>
          <w14:ligatures w14:val="none"/>
        </w:rPr>
        <w:t>Eficacia de la problematización situada:</w:t>
      </w:r>
      <w:r w:rsidRPr="00383A6E">
        <w:rPr>
          <w:rFonts w:ascii="Times New Roman" w:eastAsia="Times New Roman" w:hAnsi="Times New Roman" w:cs="Times New Roman"/>
          <w:color w:val="303030"/>
          <w:kern w:val="0"/>
          <w:sz w:val="27"/>
          <w:szCs w:val="27"/>
          <w:lang w:eastAsia="es-UY"/>
          <w14:ligatures w14:val="none"/>
        </w:rPr>
        <w:t> Enfrentar a los niños a conflictos reales y tangibles de su entorno es significativamente más efectivo para el desarrollo de la tolerancia que la enseñanza abstracta de valores.</w:t>
      </w:r>
    </w:p>
    <w:p w14:paraId="3E45FAD0" w14:textId="77777777" w:rsidR="00383A6E" w:rsidRPr="00383A6E" w:rsidRDefault="00383A6E" w:rsidP="00383A6E">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383A6E">
        <w:rPr>
          <w:rFonts w:ascii="Times New Roman" w:eastAsia="Times New Roman" w:hAnsi="Times New Roman" w:cs="Times New Roman"/>
          <w:b/>
          <w:bCs/>
          <w:color w:val="303030"/>
          <w:kern w:val="0"/>
          <w:sz w:val="27"/>
          <w:szCs w:val="27"/>
          <w:lang w:eastAsia="es-UY"/>
          <w14:ligatures w14:val="none"/>
        </w:rPr>
        <w:t>El diálogo como herramienta de empoderamiento:</w:t>
      </w:r>
      <w:r w:rsidRPr="00383A6E">
        <w:rPr>
          <w:rFonts w:ascii="Times New Roman" w:eastAsia="Times New Roman" w:hAnsi="Times New Roman" w:cs="Times New Roman"/>
          <w:color w:val="303030"/>
          <w:kern w:val="0"/>
          <w:sz w:val="27"/>
          <w:szCs w:val="27"/>
          <w:lang w:eastAsia="es-UY"/>
          <w14:ligatures w14:val="none"/>
        </w:rPr>
        <w:t> Enseñar a los estudiantes a "pedir ayuda" y "escuchar" les otorga poder real y alternativas concretas frente al ciclo de la violencia.</w:t>
      </w:r>
    </w:p>
    <w:p w14:paraId="1DB3DE26" w14:textId="77777777" w:rsidR="00383A6E" w:rsidRPr="00383A6E" w:rsidRDefault="00383A6E" w:rsidP="00383A6E">
      <w:pPr>
        <w:spacing w:after="0" w:line="240" w:lineRule="auto"/>
        <w:rPr>
          <w:rFonts w:ascii="Times New Roman" w:eastAsia="Times New Roman" w:hAnsi="Times New Roman" w:cs="Times New Roman"/>
          <w:color w:val="303030"/>
          <w:kern w:val="0"/>
          <w:sz w:val="24"/>
          <w:szCs w:val="24"/>
          <w:lang w:eastAsia="es-UY"/>
          <w14:ligatures w14:val="none"/>
        </w:rPr>
      </w:pPr>
      <w:r w:rsidRPr="00383A6E">
        <w:rPr>
          <w:rFonts w:ascii="Times New Roman" w:eastAsia="Times New Roman" w:hAnsi="Times New Roman" w:cs="Times New Roman"/>
          <w:color w:val="303030"/>
          <w:kern w:val="0"/>
          <w:sz w:val="24"/>
          <w:szCs w:val="24"/>
          <w:lang w:eastAsia="es-UY"/>
          <w14:ligatures w14:val="none"/>
        </w:rPr>
        <w:t>En conclusión, la labor docente que integra la inteligencia emocional de manera sistemática deja una </w:t>
      </w:r>
      <w:r w:rsidRPr="00383A6E">
        <w:rPr>
          <w:rFonts w:ascii="Times New Roman" w:eastAsia="Times New Roman" w:hAnsi="Times New Roman" w:cs="Times New Roman"/>
          <w:b/>
          <w:bCs/>
          <w:color w:val="303030"/>
          <w:kern w:val="0"/>
          <w:sz w:val="24"/>
          <w:szCs w:val="24"/>
          <w:lang w:eastAsia="es-UY"/>
          <w14:ligatures w14:val="none"/>
        </w:rPr>
        <w:t>huella</w:t>
      </w:r>
      <w:r w:rsidRPr="00383A6E">
        <w:rPr>
          <w:rFonts w:ascii="Times New Roman" w:eastAsia="Times New Roman" w:hAnsi="Times New Roman" w:cs="Times New Roman"/>
          <w:color w:val="303030"/>
          <w:kern w:val="0"/>
          <w:sz w:val="24"/>
          <w:szCs w:val="24"/>
          <w:lang w:eastAsia="es-UY"/>
          <w14:ligatures w14:val="none"/>
        </w:rPr>
        <w:t> indeleble (Martinis, 2006). Esta huella no consiste en la transmisión de datos, sino en la construcción de un vínculo pedagógico que capacita a los ciudadanos del futuro para resolver sus conflictos mediante el diálogo, garantizando una convivencia pacífica y democrática.</w:t>
      </w:r>
    </w:p>
    <w:p w14:paraId="568E8D1C" w14:textId="77777777" w:rsidR="00C876B6" w:rsidRDefault="00C876B6"/>
    <w:sectPr w:rsidR="00C876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97FF3"/>
    <w:multiLevelType w:val="multilevel"/>
    <w:tmpl w:val="B6F45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D7013D"/>
    <w:multiLevelType w:val="multilevel"/>
    <w:tmpl w:val="65A6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710498">
    <w:abstractNumId w:val="1"/>
  </w:num>
  <w:num w:numId="2" w16cid:durableId="10228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A6E"/>
    <w:rsid w:val="00383A6E"/>
    <w:rsid w:val="006D3B91"/>
    <w:rsid w:val="00C876B6"/>
    <w:rsid w:val="00F2718E"/>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B6560"/>
  <w15:chartTrackingRefBased/>
  <w15:docId w15:val="{1827D832-9779-4772-89C3-6D6F57E24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3A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83A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83A6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83A6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83A6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83A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3A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3A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3A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3A6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83A6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83A6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83A6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83A6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83A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3A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3A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3A6E"/>
    <w:rPr>
      <w:rFonts w:eastAsiaTheme="majorEastAsia" w:cstheme="majorBidi"/>
      <w:color w:val="272727" w:themeColor="text1" w:themeTint="D8"/>
    </w:rPr>
  </w:style>
  <w:style w:type="paragraph" w:styleId="Ttulo">
    <w:name w:val="Title"/>
    <w:basedOn w:val="Normal"/>
    <w:next w:val="Normal"/>
    <w:link w:val="TtuloCar"/>
    <w:uiPriority w:val="10"/>
    <w:qFormat/>
    <w:rsid w:val="00383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3A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3A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3A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3A6E"/>
    <w:pPr>
      <w:spacing w:before="160"/>
      <w:jc w:val="center"/>
    </w:pPr>
    <w:rPr>
      <w:i/>
      <w:iCs/>
      <w:color w:val="404040" w:themeColor="text1" w:themeTint="BF"/>
    </w:rPr>
  </w:style>
  <w:style w:type="character" w:customStyle="1" w:styleId="CitaCar">
    <w:name w:val="Cita Car"/>
    <w:basedOn w:val="Fuentedeprrafopredeter"/>
    <w:link w:val="Cita"/>
    <w:uiPriority w:val="29"/>
    <w:rsid w:val="00383A6E"/>
    <w:rPr>
      <w:i/>
      <w:iCs/>
      <w:color w:val="404040" w:themeColor="text1" w:themeTint="BF"/>
    </w:rPr>
  </w:style>
  <w:style w:type="paragraph" w:styleId="Prrafodelista">
    <w:name w:val="List Paragraph"/>
    <w:basedOn w:val="Normal"/>
    <w:uiPriority w:val="34"/>
    <w:qFormat/>
    <w:rsid w:val="00383A6E"/>
    <w:pPr>
      <w:ind w:left="720"/>
      <w:contextualSpacing/>
    </w:pPr>
  </w:style>
  <w:style w:type="character" w:styleId="nfasisintenso">
    <w:name w:val="Intense Emphasis"/>
    <w:basedOn w:val="Fuentedeprrafopredeter"/>
    <w:uiPriority w:val="21"/>
    <w:qFormat/>
    <w:rsid w:val="00383A6E"/>
    <w:rPr>
      <w:i/>
      <w:iCs/>
      <w:color w:val="2F5496" w:themeColor="accent1" w:themeShade="BF"/>
    </w:rPr>
  </w:style>
  <w:style w:type="paragraph" w:styleId="Citadestacada">
    <w:name w:val="Intense Quote"/>
    <w:basedOn w:val="Normal"/>
    <w:next w:val="Normal"/>
    <w:link w:val="CitadestacadaCar"/>
    <w:uiPriority w:val="30"/>
    <w:qFormat/>
    <w:rsid w:val="00383A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83A6E"/>
    <w:rPr>
      <w:i/>
      <w:iCs/>
      <w:color w:val="2F5496" w:themeColor="accent1" w:themeShade="BF"/>
    </w:rPr>
  </w:style>
  <w:style w:type="character" w:styleId="Referenciaintensa">
    <w:name w:val="Intense Reference"/>
    <w:basedOn w:val="Fuentedeprrafopredeter"/>
    <w:uiPriority w:val="32"/>
    <w:qFormat/>
    <w:rsid w:val="00383A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1259</Words>
  <Characters>6929</Characters>
  <Application>Microsoft Office Word</Application>
  <DocSecurity>0</DocSecurity>
  <Lines>57</Lines>
  <Paragraphs>16</Paragraphs>
  <ScaleCrop>false</ScaleCrop>
  <Company/>
  <LinksUpToDate>false</LinksUpToDate>
  <CharactersWithSpaces>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Montse Santana</dc:creator>
  <cp:keywords/>
  <dc:description/>
  <cp:lastModifiedBy>Montse Santana</cp:lastModifiedBy>
  <cp:revision>1</cp:revision>
  <dcterms:created xsi:type="dcterms:W3CDTF">2026-06-20T14:56:00Z</dcterms:created>
  <dcterms:modified xsi:type="dcterms:W3CDTF">2026-06-20T14:57:00Z</dcterms:modified>
</cp:coreProperties>
</file>