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A296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Vínculo de las Habilidades Socioemocionales con el Desempeño Académico y el Bienestar en Sexto de Primaria</w:t>
      </w:r>
    </w:p>
    <w:p w14:paraId="52C743FC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Este documento sintetiza los hallazgos del reporte sobre la evaluación </w:t>
      </w: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Aristas Primaria 2020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, elaborada por el Instituto Nacional de Evaluación Educativa (</w:t>
      </w:r>
      <w:proofErr w:type="spellStart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INEEd</w:t>
      </w:r>
      <w:proofErr w:type="spellEnd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). El análisis se centra en cómo las habilidades socioemocionales de los estudiantes uruguayos de sexto grado de primaria se relacionan con sus logros académicos en lectura y matemática, así como con su bienestar y adaptación en el contexto de la crisis provocada por el COVID-19.</w:t>
      </w:r>
    </w:p>
    <w:p w14:paraId="4187FF2D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Definiciones de las Habilidades Clave</w:t>
      </w:r>
    </w:p>
    <w:p w14:paraId="19553904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 xml:space="preserve">El marco conceptual del </w:t>
      </w:r>
      <w:proofErr w:type="spellStart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INEEd</w:t>
      </w:r>
      <w:proofErr w:type="spellEnd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 xml:space="preserve"> define las habilidades socioemocionales como herramientas cognitivas, emocionales y sociales dinámicas que facilitan la adaptación y el aprendizaje. Las dimensiones más relevantes para el éxito académico identificadas en el reporte 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052"/>
        <w:gridCol w:w="4339"/>
      </w:tblGrid>
      <w:tr w:rsidR="000C29A9" w:rsidRPr="000C29A9" w14:paraId="57818B2F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757915DB" w14:textId="77777777" w:rsidR="000C29A9" w:rsidRPr="000C29A9" w:rsidRDefault="000C29A9" w:rsidP="000C2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Dimensión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414876BB" w14:textId="77777777" w:rsidR="000C29A9" w:rsidRPr="000C29A9" w:rsidRDefault="000C29A9" w:rsidP="000C2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Subdimensión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13FFCDA9" w14:textId="77777777" w:rsidR="000C29A9" w:rsidRPr="000C29A9" w:rsidRDefault="000C29A9" w:rsidP="000C2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Definición Operacional</w:t>
            </w:r>
          </w:p>
        </w:tc>
      </w:tr>
      <w:tr w:rsidR="000C29A9" w:rsidRPr="000C29A9" w14:paraId="67BF758C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FC56C28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Motivación y autorregulación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3D30B73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Perseverancia académica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26B4194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Compromiso, foco y persistencia en metas académicas a pesar de obstáculos y distracciones.</w:t>
            </w:r>
          </w:p>
        </w:tc>
      </w:tr>
      <w:tr w:rsidR="000C29A9" w:rsidRPr="000C29A9" w14:paraId="53C4B6F2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70D7133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Motivación y autorregulación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9BC8D3E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Autorregulación metacognitiva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1834396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Conciencia y control de actividades cognitivas mediante la planificación, monitoreo y corrección durante tareas.</w:t>
            </w:r>
          </w:p>
        </w:tc>
      </w:tr>
      <w:tr w:rsidR="000C29A9" w:rsidRPr="000C29A9" w14:paraId="3BEE68B1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CAB39A8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Motivación y autorregulación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0FCFB069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Motivación intrínseca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DAF5F79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Participación en tareas por el desafío, curiosidad o dominio de la materia en sí misma.</w:t>
            </w:r>
          </w:p>
        </w:tc>
      </w:tr>
      <w:tr w:rsidR="000C29A9" w:rsidRPr="000C29A9" w14:paraId="3F35B977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4332FEF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Habilidades intrapersonales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AC2B14C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Autocontrol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A18A9C5" w14:textId="77777777" w:rsidR="000C29A9" w:rsidRPr="000C29A9" w:rsidRDefault="000C29A9" w:rsidP="000C29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</w:pPr>
            <w:r w:rsidRPr="000C29A9">
              <w:rPr>
                <w:rFonts w:ascii="Times New Roman" w:eastAsia="Times New Roman" w:hAnsi="Times New Roman" w:cs="Times New Roman"/>
                <w:color w:val="303030"/>
                <w:kern w:val="0"/>
                <w:sz w:val="24"/>
                <w:szCs w:val="24"/>
                <w:lang w:eastAsia="es-UY"/>
                <w14:ligatures w14:val="none"/>
              </w:rPr>
              <w:t>Capacidad de controlar reacciones impulsivas para cumplir obligaciones y metas a largo plazo.</w:t>
            </w:r>
          </w:p>
        </w:tc>
      </w:tr>
    </w:tbl>
    <w:p w14:paraId="0B18EE57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Hallazgos sobre el Desempeño Académico</w:t>
      </w:r>
    </w:p>
    <w:p w14:paraId="567C267E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El estudio concluye de forma categórica que la </w:t>
      </w: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perseverancia académica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y la </w:t>
      </w: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autorregulación metacognitiva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son las habilidades que mejor explican el desempeño de los alumnos.</w:t>
      </w:r>
    </w:p>
    <w:p w14:paraId="73DD9406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Factores Determinantes en Lectura y Matemática</w:t>
      </w:r>
    </w:p>
    <w:p w14:paraId="1684ABBC" w14:textId="77777777" w:rsidR="000C29A9" w:rsidRPr="000C29A9" w:rsidRDefault="000C29A9" w:rsidP="000C29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Perseverancia Académica: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Es la habilidad con mayor incidencia en los puntajes de ambas disciplinas. Refleja que la capacidad de mantener el esfuerzo y la concentración es un motor crítico del logro escolar.</w:t>
      </w:r>
    </w:p>
    <w:p w14:paraId="7ABD0104" w14:textId="77777777" w:rsidR="000C29A9" w:rsidRPr="000C29A9" w:rsidRDefault="000C29A9" w:rsidP="000C29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Autorregulación Metacognitiva: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Se posiciona como el segundo factor de importancia. Los alumnos que planifican y monitorean su propio proceso de aprendizaje tienden a obtener mejores resultados.</w:t>
      </w:r>
    </w:p>
    <w:p w14:paraId="3FDCFFB9" w14:textId="77777777" w:rsidR="000C29A9" w:rsidRPr="000C29A9" w:rsidRDefault="000C29A9" w:rsidP="000C29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Contraste de Motivación Intrínseca: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Un hallazgo inesperado del reporte señala una relación negativa entre la motivación intrínseca y los puntajes en matemática y lectura. Aunque se esperaría que la curiosidad impulsara el éxito, los datos de 2020 muestran una tendencia opuesta que requiere mayor investigación.</w:t>
      </w:r>
    </w:p>
    <w:p w14:paraId="1C4B2D0F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Matices por Sexo, Edad y Nivel Socioeconómico</w:t>
      </w:r>
    </w:p>
    <w:p w14:paraId="0B0C4B8E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lastRenderedPageBreak/>
        <w:t>La relación entre estas habilidades y el desempeño no es uniforme; presenta variaciones significativas según las características individuales y el contexto del alumno.</w:t>
      </w:r>
    </w:p>
    <w:p w14:paraId="71BB356A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1. Diferencias por Sexo</w:t>
      </w:r>
    </w:p>
    <w:p w14:paraId="35FD1181" w14:textId="77777777" w:rsidR="000C29A9" w:rsidRPr="000C29A9" w:rsidRDefault="000C29A9" w:rsidP="000C29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Autorregulación y Perseverancia: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Los datos generales de Aristas Primaria 2020 indican que las niñas suelen ser favorecidas en los niveles de autorregulación metacognitiva y perseverancia académica.</w:t>
      </w:r>
    </w:p>
    <w:p w14:paraId="48954E37" w14:textId="77777777" w:rsidR="000C29A9" w:rsidRPr="000C29A9" w:rsidRDefault="000C29A9" w:rsidP="000C29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Autocontrol y Matemática: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El autocontrol permite explicar el rendimiento en matemática de manera más clara en los varones que en las niñas.</w:t>
      </w:r>
    </w:p>
    <w:p w14:paraId="22E67158" w14:textId="77777777" w:rsidR="000C29A9" w:rsidRPr="000C29A9" w:rsidRDefault="000C29A9" w:rsidP="000C29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Satisfacción Escolar: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La autorregulación metacognitiva contribuye a explicar la satisfacción con la vida escolar específicamente en los varones.</w:t>
      </w:r>
    </w:p>
    <w:p w14:paraId="7D96FCE1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2. Influencia del Nivel Socioeconómico (NSE)</w:t>
      </w:r>
    </w:p>
    <w:p w14:paraId="2470419F" w14:textId="77777777" w:rsidR="000C29A9" w:rsidRPr="000C29A9" w:rsidRDefault="000C29A9" w:rsidP="000C29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Asistencia y Autorregulación: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En contextos socioeconómicos </w:t>
      </w: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desfavorables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, la autorregulación metacognitiva contribuye de manera </w:t>
      </w: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negativa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a explicar la asistencia a clases. Se interpreta que los niños con alta capacidad de planificación en entornos vulnerables pudieron haber realizado sus tareas de forma autónoma sin sentir la necesidad de asistir a los encuentros virtuales.</w:t>
      </w:r>
    </w:p>
    <w:p w14:paraId="01922A3C" w14:textId="77777777" w:rsidR="000C29A9" w:rsidRPr="000C29A9" w:rsidRDefault="000C29A9" w:rsidP="000C29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Vínculo Virtual: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La perseverancia académica contribuye a explicar el vínculo virtual con los pares en alumnos de contextos favorables, pero este efecto no se observa en contextos desfavorables.</w:t>
      </w:r>
    </w:p>
    <w:p w14:paraId="5F6AFF7C" w14:textId="77777777" w:rsidR="000C29A9" w:rsidRPr="000C29A9" w:rsidRDefault="000C29A9" w:rsidP="000C29A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Motivación Intrínseca: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Es notablemente más alta en alumnos provenientes de contextos desfavorables.</w:t>
      </w:r>
    </w:p>
    <w:p w14:paraId="26D82106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 xml:space="preserve">3. Variaciones por Edad (Edad Teórica vs. </w:t>
      </w:r>
      <w:proofErr w:type="spellStart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Extraedad</w:t>
      </w:r>
      <w:proofErr w:type="spellEnd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)</w:t>
      </w:r>
    </w:p>
    <w:p w14:paraId="4C77B47A" w14:textId="77777777" w:rsidR="000C29A9" w:rsidRPr="000C29A9" w:rsidRDefault="000C29A9" w:rsidP="000C29A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Predicción del Desempeño: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 xml:space="preserve"> La perseverancia académica es un predictor más fuerte de los puntajes en matemática y de la asistencia a clases en el grupo de edad teórica (11 y 12 años) en comparación con los alumnos en situación de </w:t>
      </w:r>
      <w:proofErr w:type="spellStart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extraedad</w:t>
      </w:r>
      <w:proofErr w:type="spellEnd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.</w:t>
      </w:r>
    </w:p>
    <w:p w14:paraId="2753893C" w14:textId="77777777" w:rsidR="000C29A9" w:rsidRPr="000C29A9" w:rsidRDefault="000C29A9" w:rsidP="000C29A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Vínculo con Pares: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La empatía contribuye a explicar el vínculo virtual con los compañeros únicamente en el grupo de edad teórica.</w:t>
      </w:r>
    </w:p>
    <w:p w14:paraId="4AC47F44" w14:textId="77777777" w:rsidR="000C29A9" w:rsidRPr="000C29A9" w:rsidRDefault="000C29A9" w:rsidP="000C29A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Autocontrol: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 xml:space="preserve"> En el grupo de </w:t>
      </w:r>
      <w:proofErr w:type="spellStart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extraedad</w:t>
      </w:r>
      <w:proofErr w:type="spellEnd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, el autocontrol predice de forma negativa el vínculo virtual con el maestro, efecto que no se manifiesta en los niños de edad teórica.</w:t>
      </w:r>
    </w:p>
    <w:p w14:paraId="6F531D94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Habilidades Socioemocionales en el Contexto COVID-19</w:t>
      </w:r>
    </w:p>
    <w:p w14:paraId="62A2BAB6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El reporte destaca cómo la pandemia alteró la dinámica de estas habilidades y su impacto en la convivencia escolar.</w:t>
      </w:r>
    </w:p>
    <w:p w14:paraId="17E1D361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Asistencia y Vínculos</w:t>
      </w:r>
    </w:p>
    <w:p w14:paraId="4D76DBFF" w14:textId="77777777" w:rsidR="000C29A9" w:rsidRPr="000C29A9" w:rsidRDefault="000C29A9" w:rsidP="000C29A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lastRenderedPageBreak/>
        <w:t>Habilidades de Relacionamiento: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Son las que mejor explican la asistencia a clases durante la crisis. Los niños con mayor predisposición social asistieron más para mantener el contacto con sus pares.</w:t>
      </w:r>
    </w:p>
    <w:p w14:paraId="63E2A279" w14:textId="77777777" w:rsidR="000C29A9" w:rsidRPr="000C29A9" w:rsidRDefault="000C29A9" w:rsidP="000C29A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 xml:space="preserve">Impacto de la </w:t>
      </w:r>
      <w:proofErr w:type="spellStart"/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Pospandemia</w:t>
      </w:r>
      <w:proofErr w:type="spellEnd"/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Entre 2017 y 2020, se registró una leve disminución en las habilidades interpersonales (empatía y relacionamiento) debido al confinamiento, mientras que las habilidades intrapersonales y de autorregulación mostraron un aumento.</w:t>
      </w:r>
    </w:p>
    <w:p w14:paraId="087FD7D3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Retorno a la Presencialidad</w:t>
      </w:r>
    </w:p>
    <w:p w14:paraId="2B87614A" w14:textId="77777777" w:rsidR="000C29A9" w:rsidRPr="000C29A9" w:rsidRDefault="000C29A9" w:rsidP="000C29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Dificultades de Adaptación: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Los alumnos con mayor empatía y habilidades de relacionamiento reportaron </w:t>
      </w: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más dificultades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al regresar a clases presenciales debido a las restricciones de contacto (tapabocas, distancia social).</w:t>
      </w:r>
    </w:p>
    <w:p w14:paraId="03AC3119" w14:textId="77777777" w:rsidR="000C29A9" w:rsidRPr="000C29A9" w:rsidRDefault="000C29A9" w:rsidP="000C29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Adaptación a Normas: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Los niños con menor autocontrol enfrentaron mayores retos para adaptarse a las nuevas medidas sanitarias escolares.</w:t>
      </w:r>
    </w:p>
    <w:p w14:paraId="7FE43E0E" w14:textId="77777777" w:rsidR="000C29A9" w:rsidRPr="000C29A9" w:rsidRDefault="000C29A9" w:rsidP="000C29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Sentimientos Positivos: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La </w:t>
      </w: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motivación intrínseca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fue el factor clave que explicó el entusiasmo y la alegría por volver a las aulas.</w:t>
      </w:r>
    </w:p>
    <w:p w14:paraId="722DA534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Convivencia y Bienestar Escolar</w:t>
      </w:r>
    </w:p>
    <w:p w14:paraId="5C27C17D" w14:textId="77777777" w:rsidR="000C29A9" w:rsidRPr="000C29A9" w:rsidRDefault="000C29A9" w:rsidP="000C29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El bienestar del alumno no solo depende de su capacidad académica, sino de la interdependencia de sus habilidades socioemocionales:</w:t>
      </w:r>
    </w:p>
    <w:p w14:paraId="7C36AD27" w14:textId="77777777" w:rsidR="000C29A9" w:rsidRPr="000C29A9" w:rsidRDefault="000C29A9" w:rsidP="000C29A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Vínculo Estudiante-Maestro: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La motivación intrínseca es la habilidad que mejor explica un vínculo positivo con el docente.</w:t>
      </w:r>
    </w:p>
    <w:p w14:paraId="589D9BB7" w14:textId="77777777" w:rsidR="000C29A9" w:rsidRPr="000C29A9" w:rsidRDefault="000C29A9" w:rsidP="000C29A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Sentido de Pertenencia: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 Se asocia principalmente con la motivación intrínseca y las habilidades de relacionamiento. En las niñas, la regulación de emociones contribuye adicionalmente a este sentimiento de pertenencia.</w:t>
      </w:r>
    </w:p>
    <w:p w14:paraId="316BA0B6" w14:textId="77777777" w:rsidR="000C29A9" w:rsidRPr="000C29A9" w:rsidRDefault="000C29A9" w:rsidP="000C29A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</w:pPr>
      <w:r w:rsidRPr="000C29A9">
        <w:rPr>
          <w:rFonts w:ascii="Times New Roman" w:eastAsia="Times New Roman" w:hAnsi="Times New Roman" w:cs="Times New Roman"/>
          <w:b/>
          <w:bCs/>
          <w:color w:val="303030"/>
          <w:kern w:val="0"/>
          <w:sz w:val="27"/>
          <w:szCs w:val="27"/>
          <w:lang w:eastAsia="es-UY"/>
          <w14:ligatures w14:val="none"/>
        </w:rPr>
        <w:t>Satisfacción con la Vida Escolar:</w:t>
      </w:r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 xml:space="preserve"> Todas las habilidades del modelo </w:t>
      </w:r>
      <w:proofErr w:type="spellStart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>INEEd</w:t>
      </w:r>
      <w:proofErr w:type="spellEnd"/>
      <w:r w:rsidRPr="000C29A9">
        <w:rPr>
          <w:rFonts w:ascii="Times New Roman" w:eastAsia="Times New Roman" w:hAnsi="Times New Roman" w:cs="Times New Roman"/>
          <w:color w:val="303030"/>
          <w:kern w:val="0"/>
          <w:sz w:val="27"/>
          <w:szCs w:val="27"/>
          <w:lang w:eastAsia="es-UY"/>
          <w14:ligatures w14:val="none"/>
        </w:rPr>
        <w:t xml:space="preserve"> contribuyen positivamente a este indicador, resaltando la importancia del desarrollo integral del niño para su bienestar general.</w:t>
      </w:r>
    </w:p>
    <w:p w14:paraId="7DA5A78C" w14:textId="77777777" w:rsidR="00C876B6" w:rsidRDefault="00C876B6"/>
    <w:sectPr w:rsidR="00C87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654B"/>
    <w:multiLevelType w:val="multilevel"/>
    <w:tmpl w:val="61B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5122A"/>
    <w:multiLevelType w:val="multilevel"/>
    <w:tmpl w:val="F1C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C21AB"/>
    <w:multiLevelType w:val="multilevel"/>
    <w:tmpl w:val="C40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60B97"/>
    <w:multiLevelType w:val="multilevel"/>
    <w:tmpl w:val="A51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63725"/>
    <w:multiLevelType w:val="multilevel"/>
    <w:tmpl w:val="A56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F2592"/>
    <w:multiLevelType w:val="multilevel"/>
    <w:tmpl w:val="F3F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27A36"/>
    <w:multiLevelType w:val="multilevel"/>
    <w:tmpl w:val="709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375261">
    <w:abstractNumId w:val="2"/>
  </w:num>
  <w:num w:numId="2" w16cid:durableId="510031041">
    <w:abstractNumId w:val="1"/>
  </w:num>
  <w:num w:numId="3" w16cid:durableId="143666254">
    <w:abstractNumId w:val="4"/>
  </w:num>
  <w:num w:numId="4" w16cid:durableId="1356884351">
    <w:abstractNumId w:val="6"/>
  </w:num>
  <w:num w:numId="5" w16cid:durableId="268317257">
    <w:abstractNumId w:val="0"/>
  </w:num>
  <w:num w:numId="6" w16cid:durableId="1416709836">
    <w:abstractNumId w:val="3"/>
  </w:num>
  <w:num w:numId="7" w16cid:durableId="1964073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C29A9"/>
    <w:rsid w:val="006D3B91"/>
    <w:rsid w:val="00C876B6"/>
    <w:rsid w:val="00F2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ADA1C"/>
  <w15:chartTrackingRefBased/>
  <w15:docId w15:val="{80BED626-EEB7-43A1-8F83-EA3D141C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9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9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9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9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9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980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 Santana</dc:creator>
  <cp:keywords/>
  <dc:description/>
  <cp:lastModifiedBy>Montse Santana</cp:lastModifiedBy>
  <cp:revision>1</cp:revision>
  <dcterms:created xsi:type="dcterms:W3CDTF">2026-06-20T15:09:00Z</dcterms:created>
  <dcterms:modified xsi:type="dcterms:W3CDTF">2026-06-20T15:10:00Z</dcterms:modified>
</cp:coreProperties>
</file>