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12397" w14:textId="30035F08" w:rsidR="00AD4FD6" w:rsidRPr="00AD4FD6" w:rsidRDefault="00AD4FD6" w:rsidP="00AD4FD6">
      <w:pPr>
        <w:spacing w:after="0" w:line="240" w:lineRule="auto"/>
        <w:rPr>
          <w:rFonts w:ascii="Times New Roman" w:eastAsia="Times New Roman" w:hAnsi="Times New Roman" w:cs="Times New Roman"/>
          <w:b/>
          <w:bCs/>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Informe Técnico: Operacionalización de Habilidades Socioemocionales en el Aula</w:t>
      </w:r>
      <w:r>
        <w:rPr>
          <w:rFonts w:ascii="Times New Roman" w:eastAsia="Times New Roman" w:hAnsi="Times New Roman" w:cs="Times New Roman"/>
          <w:b/>
          <w:bCs/>
          <w:color w:val="303030"/>
          <w:kern w:val="0"/>
          <w:sz w:val="27"/>
          <w:szCs w:val="27"/>
          <w:lang w:eastAsia="es-UY"/>
          <w14:ligatures w14:val="none"/>
        </w:rPr>
        <w:t xml:space="preserve"> Mód 1</w:t>
      </w:r>
    </w:p>
    <w:p w14:paraId="749F43E6"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1. Fundamentación Estratégica: Las Habilidades Socioemocionales (HSE) en el Nuevo Paradigma Educativo</w:t>
      </w:r>
    </w:p>
    <w:p w14:paraId="1CFCCBEA"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Históricamente, el sistema educativo del siglo XX priorizó el desarrollo de competencias intelectuales bajo el supuesto de que las dimensiones sociales y emocionales pertenecían exclusivamente al ámbito de lo privado. No obstante, el inicio del siglo XXI ha consolidado un giro irreversible: la comprensión de que el aprendizaje es un proceso integral donde lo afectivo es inseparable de lo cognitivo. En este escenario, el marco Aristas del Instituto Nacional de Evaluación Educativa (</w:t>
      </w:r>
      <w:proofErr w:type="spellStart"/>
      <w:r w:rsidRPr="00AD4FD6">
        <w:rPr>
          <w:rFonts w:ascii="Times New Roman" w:eastAsia="Times New Roman" w:hAnsi="Times New Roman" w:cs="Times New Roman"/>
          <w:color w:val="303030"/>
          <w:kern w:val="0"/>
          <w:sz w:val="27"/>
          <w:szCs w:val="27"/>
          <w:lang w:eastAsia="es-UY"/>
          <w14:ligatures w14:val="none"/>
        </w:rPr>
        <w:t>INEEd</w:t>
      </w:r>
      <w:proofErr w:type="spellEnd"/>
      <w:r w:rsidRPr="00AD4FD6">
        <w:rPr>
          <w:rFonts w:ascii="Times New Roman" w:eastAsia="Times New Roman" w:hAnsi="Times New Roman" w:cs="Times New Roman"/>
          <w:color w:val="303030"/>
          <w:kern w:val="0"/>
          <w:sz w:val="27"/>
          <w:szCs w:val="27"/>
          <w:lang w:eastAsia="es-UY"/>
          <w14:ligatures w14:val="none"/>
        </w:rPr>
        <w:t>) sitúa a las habilidades socioemocionales (HSE) no como meros complementos decorativos, sino como pilares imprescindibles de la calidad educativa nacional. Para que un estudiante logre aprendizajes significativos, debe poseer herramientas que le permitan "ser" y "convivir", transformando la institución educativa en un espacio de desarrollo humano integral.</w:t>
      </w:r>
    </w:p>
    <w:p w14:paraId="29277F24"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Desde la perspectiva institucional del </w:t>
      </w:r>
      <w:proofErr w:type="spellStart"/>
      <w:r w:rsidRPr="00AD4FD6">
        <w:rPr>
          <w:rFonts w:ascii="Times New Roman" w:eastAsia="Times New Roman" w:hAnsi="Times New Roman" w:cs="Times New Roman"/>
          <w:color w:val="303030"/>
          <w:kern w:val="0"/>
          <w:sz w:val="27"/>
          <w:szCs w:val="27"/>
          <w:lang w:eastAsia="es-UY"/>
          <w14:ligatures w14:val="none"/>
        </w:rPr>
        <w:t>INEEd</w:t>
      </w:r>
      <w:proofErr w:type="spellEnd"/>
      <w:r w:rsidRPr="00AD4FD6">
        <w:rPr>
          <w:rFonts w:ascii="Times New Roman" w:eastAsia="Times New Roman" w:hAnsi="Times New Roman" w:cs="Times New Roman"/>
          <w:color w:val="303030"/>
          <w:kern w:val="0"/>
          <w:sz w:val="27"/>
          <w:szCs w:val="27"/>
          <w:lang w:eastAsia="es-UY"/>
          <w14:ligatures w14:val="none"/>
        </w:rPr>
        <w:t xml:space="preserve">, las HSE se definen estratégicamente como herramientas de adaptación y bienestar que facilitan el desarrollo personal y el desempeño en el aula. Su valor no radica en ser rasgos fijos de la personalidad, sino en su función como motores que activan el potencial del estudiante ante desafíos complejos. Para garantizar que la evaluación nacional sea técnica y pedagógicamente viable, el </w:t>
      </w:r>
      <w:proofErr w:type="spellStart"/>
      <w:r w:rsidRPr="00AD4FD6">
        <w:rPr>
          <w:rFonts w:ascii="Times New Roman" w:eastAsia="Times New Roman" w:hAnsi="Times New Roman" w:cs="Times New Roman"/>
          <w:color w:val="303030"/>
          <w:kern w:val="0"/>
          <w:sz w:val="27"/>
          <w:szCs w:val="27"/>
          <w:lang w:eastAsia="es-UY"/>
          <w14:ligatures w14:val="none"/>
        </w:rPr>
        <w:t>INEEd</w:t>
      </w:r>
      <w:proofErr w:type="spellEnd"/>
      <w:r w:rsidRPr="00AD4FD6">
        <w:rPr>
          <w:rFonts w:ascii="Times New Roman" w:eastAsia="Times New Roman" w:hAnsi="Times New Roman" w:cs="Times New Roman"/>
          <w:color w:val="303030"/>
          <w:kern w:val="0"/>
          <w:sz w:val="27"/>
          <w:szCs w:val="27"/>
          <w:lang w:eastAsia="es-UY"/>
          <w14:ligatures w14:val="none"/>
        </w:rPr>
        <w:t xml:space="preserve"> aplica tres criterios fundamentales de selección:</w:t>
      </w:r>
    </w:p>
    <w:p w14:paraId="6B454538" w14:textId="77777777" w:rsidR="00AD4FD6" w:rsidRPr="00AD4FD6" w:rsidRDefault="00AD4FD6" w:rsidP="00AD4FD6">
      <w:pPr>
        <w:numPr>
          <w:ilvl w:val="0"/>
          <w:numId w:val="1"/>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Maleabilidad:</w:t>
      </w:r>
      <w:r w:rsidRPr="00AD4FD6">
        <w:rPr>
          <w:rFonts w:ascii="Times New Roman" w:eastAsia="Times New Roman" w:hAnsi="Times New Roman" w:cs="Times New Roman"/>
          <w:color w:val="303030"/>
          <w:kern w:val="0"/>
          <w:sz w:val="27"/>
          <w:szCs w:val="27"/>
          <w:lang w:eastAsia="es-UY"/>
          <w14:ligatures w14:val="none"/>
        </w:rPr>
        <w:t> La capacidad de la habilidad para ser modificada y fortalecida mediante intervenciones intencionales en el centro educativo.</w:t>
      </w:r>
    </w:p>
    <w:p w14:paraId="5B7D5793" w14:textId="77777777" w:rsidR="00AD4FD6" w:rsidRPr="00AD4FD6" w:rsidRDefault="00AD4FD6" w:rsidP="00AD4FD6">
      <w:pPr>
        <w:numPr>
          <w:ilvl w:val="0"/>
          <w:numId w:val="1"/>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Importancia para el aprendizaje:</w:t>
      </w:r>
      <w:r w:rsidRPr="00AD4FD6">
        <w:rPr>
          <w:rFonts w:ascii="Times New Roman" w:eastAsia="Times New Roman" w:hAnsi="Times New Roman" w:cs="Times New Roman"/>
          <w:color w:val="303030"/>
          <w:kern w:val="0"/>
          <w:sz w:val="27"/>
          <w:szCs w:val="27"/>
          <w:lang w:eastAsia="es-UY"/>
          <w14:ligatures w14:val="none"/>
        </w:rPr>
        <w:t> Su incidencia directa en la trayectoria académica y la adquisición de conocimientos.</w:t>
      </w:r>
    </w:p>
    <w:p w14:paraId="72958155" w14:textId="77777777" w:rsidR="00AD4FD6" w:rsidRPr="00AD4FD6" w:rsidRDefault="00AD4FD6" w:rsidP="00AD4FD6">
      <w:pPr>
        <w:numPr>
          <w:ilvl w:val="0"/>
          <w:numId w:val="1"/>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Relevancia para el bienestar:</w:t>
      </w:r>
      <w:r w:rsidRPr="00AD4FD6">
        <w:rPr>
          <w:rFonts w:ascii="Times New Roman" w:eastAsia="Times New Roman" w:hAnsi="Times New Roman" w:cs="Times New Roman"/>
          <w:color w:val="303030"/>
          <w:kern w:val="0"/>
          <w:sz w:val="27"/>
          <w:szCs w:val="27"/>
          <w:lang w:eastAsia="es-UY"/>
          <w14:ligatures w14:val="none"/>
        </w:rPr>
        <w:t> Su impacto en el desarrollo saludable, la salud mental y la calidad de vida a largo plazo.</w:t>
      </w:r>
    </w:p>
    <w:p w14:paraId="6C8F9F66"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Esta fundamentación reconoce que las habilidades no germinan de forma aislada, sino que dependen de la arquitectura sistémica en la que el estudiante está inmerso.</w:t>
      </w:r>
    </w:p>
    <w:p w14:paraId="5CE30044"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2. El Ecosistema del Desarrollo: El Modelo </w:t>
      </w:r>
      <w:proofErr w:type="spellStart"/>
      <w:r w:rsidRPr="00AD4FD6">
        <w:rPr>
          <w:rFonts w:ascii="Times New Roman" w:eastAsia="Times New Roman" w:hAnsi="Times New Roman" w:cs="Times New Roman"/>
          <w:color w:val="303030"/>
          <w:kern w:val="0"/>
          <w:sz w:val="27"/>
          <w:szCs w:val="27"/>
          <w:lang w:eastAsia="es-UY"/>
          <w14:ligatures w14:val="none"/>
        </w:rPr>
        <w:t>Socioecológico</w:t>
      </w:r>
      <w:proofErr w:type="spellEnd"/>
    </w:p>
    <w:p w14:paraId="0B8E266B"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El desarrollo humano es un proceso interactivo y dinámico, no una trayectoria lineal y solitaria. Basándonos en la teoría </w:t>
      </w:r>
      <w:proofErr w:type="spellStart"/>
      <w:r w:rsidRPr="00AD4FD6">
        <w:rPr>
          <w:rFonts w:ascii="Times New Roman" w:eastAsia="Times New Roman" w:hAnsi="Times New Roman" w:cs="Times New Roman"/>
          <w:color w:val="303030"/>
          <w:kern w:val="0"/>
          <w:sz w:val="27"/>
          <w:szCs w:val="27"/>
          <w:lang w:eastAsia="es-UY"/>
          <w14:ligatures w14:val="none"/>
        </w:rPr>
        <w:t>socioecológica</w:t>
      </w:r>
      <w:proofErr w:type="spellEnd"/>
      <w:r w:rsidRPr="00AD4FD6">
        <w:rPr>
          <w:rFonts w:ascii="Times New Roman" w:eastAsia="Times New Roman" w:hAnsi="Times New Roman" w:cs="Times New Roman"/>
          <w:color w:val="303030"/>
          <w:kern w:val="0"/>
          <w:sz w:val="27"/>
          <w:szCs w:val="27"/>
          <w:lang w:eastAsia="es-UY"/>
          <w14:ligatures w14:val="none"/>
        </w:rPr>
        <w:t xml:space="preserve"> de Bronfenbrenner, entendemos que las HSE se moldean en la intersección entre las características del individuo y los múltiples entornos que habita. Esta visión desplaza la responsabilidad del éxito educativo del estudiante individual hacia la calidad de las interacciones en su ecosistema. El "mesosistema" (relación docente-alumno-familia) y el "macrosistema" (valores culturales) no son telones de fondo, sino condiciones que determinan la eficacia de cualquier intervención pedagógica.</w:t>
      </w:r>
    </w:p>
    <w:p w14:paraId="6764980E"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lastRenderedPageBreak/>
        <w:t>A continuación, se desglosan los sistemas que componen este ambiente ecológico y su impacto según el marco Aristas:</w:t>
      </w:r>
    </w:p>
    <w:p w14:paraId="192A5257"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Microsistema</w:t>
      </w:r>
    </w:p>
    <w:p w14:paraId="07A593BF"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Constituye el nivel de interacción directa y personal. Incluye el aula de clase, el hogar y el grupo de pares. Es donde se producen los intercambios más inmediatos que modelan la conducta.</w:t>
      </w:r>
    </w:p>
    <w:p w14:paraId="7621CC71"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Mesosistema</w:t>
      </w:r>
    </w:p>
    <w:p w14:paraId="09AD04E3"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Comprende las interrelaciones entre microsistemas. Un ejemplo crítico es la tríada docente-alumno-familia. Si las expectativas del hogar sobre la educación coinciden con la propuesta escolar, se potencia la motivación y la resolución de conflictos.</w:t>
      </w:r>
    </w:p>
    <w:p w14:paraId="4DA1396D"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Exosistema</w:t>
      </w:r>
    </w:p>
    <w:p w14:paraId="3D24F6F2"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Factores externos que influyen indirectamente. Incluye las condiciones laborales de los padres, la formación docente y, fundamentalmente, el contexto comunitario. Condiciones de desconfianza o miedo en el barrio actúan como encuadres que condicionan la dinámica de seguridad emocional en el nivel micro.</w:t>
      </w:r>
    </w:p>
    <w:p w14:paraId="4E226E6A"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Macrosistema</w:t>
      </w:r>
    </w:p>
    <w:p w14:paraId="19F2C3CF"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capa superior que envuelve al resto; abarca la cultura, las políticas educativas y los valores sociales. Define qué habilidades son valoradas (por ejemplo, el énfasis en lo interpersonal en culturas colectivistas) y provee los recursos para el sistema.</w:t>
      </w:r>
    </w:p>
    <w:p w14:paraId="114E93E0"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Este entorno sistémico sirve de base para los procesos específicos de motivación y autorregulación que el estudiante despliega en su aprendizaje.</w:t>
      </w:r>
    </w:p>
    <w:p w14:paraId="0E8BAA48"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3. Dimensiones Críticas I: Motivación y su Arquitectura Cognitiva</w:t>
      </w:r>
    </w:p>
    <w:p w14:paraId="1F103E96"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motivación es el motor energético que activa, dirige y mantiene la conducta académica hacia metas de aprendizaje profundo. No es un estado de ánimo pasivo, sino un proceso complejo que permite al estudiante movilizar sus recursos y persistir ante la dificultad.</w:t>
      </w:r>
    </w:p>
    <w:p w14:paraId="4D3DBD55"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Es imperativo distinguir entre la motivación intrínseca (curiosidad y desafío) y la extrínseca (calificaciones o aprobación externa). En la educación media, se observa un declive motivacional crítico. </w:t>
      </w:r>
      <w:proofErr w:type="gramStart"/>
      <w:r w:rsidRPr="00AD4FD6">
        <w:rPr>
          <w:rFonts w:ascii="Times New Roman" w:eastAsia="Times New Roman" w:hAnsi="Times New Roman" w:cs="Times New Roman"/>
          <w:color w:val="303030"/>
          <w:kern w:val="0"/>
          <w:sz w:val="27"/>
          <w:szCs w:val="27"/>
          <w:lang w:eastAsia="es-UY"/>
          <w14:ligatures w14:val="none"/>
        </w:rPr>
        <w:t xml:space="preserve">El "So </w:t>
      </w:r>
      <w:proofErr w:type="spellStart"/>
      <w:r w:rsidRPr="00AD4FD6">
        <w:rPr>
          <w:rFonts w:ascii="Times New Roman" w:eastAsia="Times New Roman" w:hAnsi="Times New Roman" w:cs="Times New Roman"/>
          <w:color w:val="303030"/>
          <w:kern w:val="0"/>
          <w:sz w:val="27"/>
          <w:szCs w:val="27"/>
          <w:lang w:eastAsia="es-UY"/>
          <w14:ligatures w14:val="none"/>
        </w:rPr>
        <w:t>what</w:t>
      </w:r>
      <w:proofErr w:type="spellEnd"/>
      <w:r w:rsidRPr="00AD4FD6">
        <w:rPr>
          <w:rFonts w:ascii="Times New Roman" w:eastAsia="Times New Roman" w:hAnsi="Times New Roman" w:cs="Times New Roman"/>
          <w:color w:val="303030"/>
          <w:kern w:val="0"/>
          <w:sz w:val="27"/>
          <w:szCs w:val="27"/>
          <w:lang w:eastAsia="es-UY"/>
          <w14:ligatures w14:val="none"/>
        </w:rPr>
        <w:t>?</w:t>
      </w:r>
      <w:proofErr w:type="gramEnd"/>
      <w:r w:rsidRPr="00AD4FD6">
        <w:rPr>
          <w:rFonts w:ascii="Times New Roman" w:eastAsia="Times New Roman" w:hAnsi="Times New Roman" w:cs="Times New Roman"/>
          <w:color w:val="303030"/>
          <w:kern w:val="0"/>
          <w:sz w:val="27"/>
          <w:szCs w:val="27"/>
          <w:lang w:eastAsia="es-UY"/>
          <w14:ligatures w14:val="none"/>
        </w:rPr>
        <w:t xml:space="preserve">" pedagógico de este fenómeno es claro: el desinterés surge de la distancia entre la propuesta escolar rígida y los intereses vitales del adolescente. El docente debe, por tanto, </w:t>
      </w:r>
      <w:proofErr w:type="spellStart"/>
      <w:r w:rsidRPr="00AD4FD6">
        <w:rPr>
          <w:rFonts w:ascii="Times New Roman" w:eastAsia="Times New Roman" w:hAnsi="Times New Roman" w:cs="Times New Roman"/>
          <w:color w:val="303030"/>
          <w:kern w:val="0"/>
          <w:sz w:val="27"/>
          <w:szCs w:val="27"/>
          <w:lang w:eastAsia="es-UY"/>
          <w14:ligatures w14:val="none"/>
        </w:rPr>
        <w:t>re-contextualizar</w:t>
      </w:r>
      <w:proofErr w:type="spellEnd"/>
      <w:r w:rsidRPr="00AD4FD6">
        <w:rPr>
          <w:rFonts w:ascii="Times New Roman" w:eastAsia="Times New Roman" w:hAnsi="Times New Roman" w:cs="Times New Roman"/>
          <w:color w:val="303030"/>
          <w:kern w:val="0"/>
          <w:sz w:val="27"/>
          <w:szCs w:val="27"/>
          <w:lang w:eastAsia="es-UY"/>
          <w14:ligatures w14:val="none"/>
        </w:rPr>
        <w:t xml:space="preserve"> los contenidos para cerrar esta brecha de relevancia.</w:t>
      </w:r>
    </w:p>
    <w:p w14:paraId="54955299"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Para la práctica operativa, el </w:t>
      </w:r>
      <w:proofErr w:type="spellStart"/>
      <w:r w:rsidRPr="00AD4FD6">
        <w:rPr>
          <w:rFonts w:ascii="Times New Roman" w:eastAsia="Times New Roman" w:hAnsi="Times New Roman" w:cs="Times New Roman"/>
          <w:color w:val="303030"/>
          <w:kern w:val="0"/>
          <w:sz w:val="27"/>
          <w:szCs w:val="27"/>
          <w:lang w:eastAsia="es-UY"/>
          <w14:ligatures w14:val="none"/>
        </w:rPr>
        <w:t>INEEd</w:t>
      </w:r>
      <w:proofErr w:type="spellEnd"/>
      <w:r w:rsidRPr="00AD4FD6">
        <w:rPr>
          <w:rFonts w:ascii="Times New Roman" w:eastAsia="Times New Roman" w:hAnsi="Times New Roman" w:cs="Times New Roman"/>
          <w:color w:val="303030"/>
          <w:kern w:val="0"/>
          <w:sz w:val="27"/>
          <w:szCs w:val="27"/>
          <w:lang w:eastAsia="es-UY"/>
          <w14:ligatures w14:val="none"/>
        </w:rPr>
        <w:t xml:space="preserve"> define </w:t>
      </w:r>
      <w:proofErr w:type="gramStart"/>
      <w:r w:rsidRPr="00AD4FD6">
        <w:rPr>
          <w:rFonts w:ascii="Times New Roman" w:eastAsia="Times New Roman" w:hAnsi="Times New Roman" w:cs="Times New Roman"/>
          <w:color w:val="303030"/>
          <w:kern w:val="0"/>
          <w:sz w:val="27"/>
          <w:szCs w:val="27"/>
          <w:lang w:eastAsia="es-UY"/>
          <w14:ligatures w14:val="none"/>
        </w:rPr>
        <w:t>estas subdimensiones</w:t>
      </w:r>
      <w:proofErr w:type="gramEnd"/>
      <w:r w:rsidRPr="00AD4FD6">
        <w:rPr>
          <w:rFonts w:ascii="Times New Roman" w:eastAsia="Times New Roman" w:hAnsi="Times New Roman" w:cs="Times New Roman"/>
          <w:color w:val="303030"/>
          <w:kern w:val="0"/>
          <w:sz w:val="27"/>
          <w:szCs w:val="27"/>
          <w:lang w:eastAsia="es-UY"/>
          <w14:ligatures w14:val="none"/>
        </w:rPr>
        <w:t xml:space="preserve"> desde comportamientos observables:</w:t>
      </w:r>
    </w:p>
    <w:tbl>
      <w:tblPr>
        <w:tblW w:w="0" w:type="auto"/>
        <w:tblCellMar>
          <w:top w:w="15" w:type="dxa"/>
          <w:left w:w="15" w:type="dxa"/>
          <w:bottom w:w="15" w:type="dxa"/>
          <w:right w:w="15" w:type="dxa"/>
        </w:tblCellMar>
        <w:tblLook w:val="04A0" w:firstRow="1" w:lastRow="0" w:firstColumn="1" w:lastColumn="0" w:noHBand="0" w:noVBand="1"/>
      </w:tblPr>
      <w:tblGrid>
        <w:gridCol w:w="2148"/>
        <w:gridCol w:w="6356"/>
      </w:tblGrid>
      <w:tr w:rsidR="00AD4FD6" w:rsidRPr="00AD4FD6" w14:paraId="7AA62D5D" w14:textId="77777777">
        <w:tc>
          <w:tcPr>
            <w:tcW w:w="0" w:type="auto"/>
            <w:tcBorders>
              <w:bottom w:val="single" w:sz="4" w:space="0" w:color="919191"/>
            </w:tcBorders>
            <w:hideMark/>
          </w:tcPr>
          <w:p w14:paraId="7F8EA6EC" w14:textId="77777777" w:rsidR="00AD4FD6" w:rsidRPr="00AD4FD6" w:rsidRDefault="00AD4FD6" w:rsidP="00AD4FD6">
            <w:pPr>
              <w:spacing w:after="0" w:line="240" w:lineRule="auto"/>
              <w:jc w:val="center"/>
              <w:rPr>
                <w:rFonts w:ascii="Times New Roman" w:eastAsia="Times New Roman" w:hAnsi="Times New Roman" w:cs="Times New Roman"/>
                <w:b/>
                <w:bCs/>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t>Dimensión</w:t>
            </w:r>
          </w:p>
        </w:tc>
        <w:tc>
          <w:tcPr>
            <w:tcW w:w="0" w:type="auto"/>
            <w:tcBorders>
              <w:bottom w:val="single" w:sz="4" w:space="0" w:color="919191"/>
            </w:tcBorders>
            <w:hideMark/>
          </w:tcPr>
          <w:p w14:paraId="1EA6A8CB" w14:textId="77777777" w:rsidR="00AD4FD6" w:rsidRPr="00AD4FD6" w:rsidRDefault="00AD4FD6" w:rsidP="00AD4FD6">
            <w:pPr>
              <w:spacing w:after="0" w:line="240" w:lineRule="auto"/>
              <w:jc w:val="center"/>
              <w:rPr>
                <w:rFonts w:ascii="Times New Roman" w:eastAsia="Times New Roman" w:hAnsi="Times New Roman" w:cs="Times New Roman"/>
                <w:b/>
                <w:bCs/>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t>Definición Operativa en el Aula</w:t>
            </w:r>
          </w:p>
        </w:tc>
      </w:tr>
      <w:tr w:rsidR="00AD4FD6" w:rsidRPr="00AD4FD6" w14:paraId="187D3858" w14:textId="77777777">
        <w:tc>
          <w:tcPr>
            <w:tcW w:w="0" w:type="auto"/>
            <w:tcBorders>
              <w:bottom w:val="single" w:sz="4" w:space="0" w:color="DDE1EB"/>
            </w:tcBorders>
            <w:hideMark/>
          </w:tcPr>
          <w:p w14:paraId="54273CC6"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t>Mentalidad de Crecimiento</w:t>
            </w:r>
          </w:p>
        </w:tc>
        <w:tc>
          <w:tcPr>
            <w:tcW w:w="0" w:type="auto"/>
            <w:tcBorders>
              <w:bottom w:val="single" w:sz="4" w:space="0" w:color="DDE1EB"/>
            </w:tcBorders>
            <w:hideMark/>
          </w:tcPr>
          <w:p w14:paraId="005358AB"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color w:val="303030"/>
                <w:kern w:val="0"/>
                <w:sz w:val="24"/>
                <w:szCs w:val="24"/>
                <w:lang w:eastAsia="es-UY"/>
                <w14:ligatures w14:val="none"/>
              </w:rPr>
              <w:t>El estudiante manifiesta que el error es parte del proceso y cree que su inteligencia se cultiva con el esfuerzo.</w:t>
            </w:r>
          </w:p>
        </w:tc>
      </w:tr>
      <w:tr w:rsidR="00AD4FD6" w:rsidRPr="00AD4FD6" w14:paraId="6154E8AD" w14:textId="77777777">
        <w:tc>
          <w:tcPr>
            <w:tcW w:w="0" w:type="auto"/>
            <w:tcBorders>
              <w:bottom w:val="single" w:sz="4" w:space="0" w:color="DDE1EB"/>
            </w:tcBorders>
            <w:hideMark/>
          </w:tcPr>
          <w:p w14:paraId="16E73F7F"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t>Autoeficacia Académica</w:t>
            </w:r>
          </w:p>
        </w:tc>
        <w:tc>
          <w:tcPr>
            <w:tcW w:w="0" w:type="auto"/>
            <w:tcBorders>
              <w:bottom w:val="single" w:sz="4" w:space="0" w:color="DDE1EB"/>
            </w:tcBorders>
            <w:hideMark/>
          </w:tcPr>
          <w:p w14:paraId="407B9D78"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color w:val="303030"/>
                <w:kern w:val="0"/>
                <w:sz w:val="24"/>
                <w:szCs w:val="24"/>
                <w:lang w:eastAsia="es-UY"/>
                <w14:ligatures w14:val="none"/>
              </w:rPr>
              <w:t>El estudiante se percibe capaz de dominar tareas específicas y resolver problemas con éxito basándose en sus aptitudes.</w:t>
            </w:r>
          </w:p>
        </w:tc>
      </w:tr>
      <w:tr w:rsidR="00AD4FD6" w:rsidRPr="00AD4FD6" w14:paraId="52AEBDF8" w14:textId="77777777">
        <w:tc>
          <w:tcPr>
            <w:tcW w:w="0" w:type="auto"/>
            <w:tcBorders>
              <w:bottom w:val="single" w:sz="4" w:space="0" w:color="DDE1EB"/>
            </w:tcBorders>
            <w:hideMark/>
          </w:tcPr>
          <w:p w14:paraId="116F3055"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t>Valoración de la Tarea</w:t>
            </w:r>
          </w:p>
        </w:tc>
        <w:tc>
          <w:tcPr>
            <w:tcW w:w="0" w:type="auto"/>
            <w:tcBorders>
              <w:bottom w:val="single" w:sz="4" w:space="0" w:color="DDE1EB"/>
            </w:tcBorders>
            <w:hideMark/>
          </w:tcPr>
          <w:p w14:paraId="719DED8A"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color w:val="303030"/>
                <w:kern w:val="0"/>
                <w:sz w:val="24"/>
                <w:szCs w:val="24"/>
                <w:lang w:eastAsia="es-UY"/>
                <w14:ligatures w14:val="none"/>
              </w:rPr>
              <w:t>El estudiante identifica la utilidad, importancia e interés real de la materia para su vida y metas futuras.</w:t>
            </w:r>
          </w:p>
        </w:tc>
      </w:tr>
      <w:tr w:rsidR="00AD4FD6" w:rsidRPr="00AD4FD6" w14:paraId="137DFAB8" w14:textId="77777777">
        <w:tc>
          <w:tcPr>
            <w:tcW w:w="0" w:type="auto"/>
            <w:tcBorders>
              <w:bottom w:val="single" w:sz="4" w:space="0" w:color="DDE1EB"/>
            </w:tcBorders>
            <w:hideMark/>
          </w:tcPr>
          <w:p w14:paraId="14BAB03C"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b/>
                <w:bCs/>
                <w:color w:val="303030"/>
                <w:kern w:val="0"/>
                <w:sz w:val="24"/>
                <w:szCs w:val="24"/>
                <w:lang w:eastAsia="es-UY"/>
                <w14:ligatures w14:val="none"/>
              </w:rPr>
              <w:lastRenderedPageBreak/>
              <w:t>Perseverancia Académica</w:t>
            </w:r>
          </w:p>
        </w:tc>
        <w:tc>
          <w:tcPr>
            <w:tcW w:w="0" w:type="auto"/>
            <w:tcBorders>
              <w:bottom w:val="single" w:sz="4" w:space="0" w:color="DDE1EB"/>
            </w:tcBorders>
            <w:hideMark/>
          </w:tcPr>
          <w:p w14:paraId="590798CE" w14:textId="77777777" w:rsidR="00AD4FD6" w:rsidRPr="00AD4FD6" w:rsidRDefault="00AD4FD6" w:rsidP="00AD4FD6">
            <w:pPr>
              <w:spacing w:after="0" w:line="240" w:lineRule="auto"/>
              <w:rPr>
                <w:rFonts w:ascii="Times New Roman" w:eastAsia="Times New Roman" w:hAnsi="Times New Roman" w:cs="Times New Roman"/>
                <w:color w:val="303030"/>
                <w:kern w:val="0"/>
                <w:sz w:val="24"/>
                <w:szCs w:val="24"/>
                <w:lang w:eastAsia="es-UY"/>
                <w14:ligatures w14:val="none"/>
              </w:rPr>
            </w:pPr>
            <w:r w:rsidRPr="00AD4FD6">
              <w:rPr>
                <w:rFonts w:ascii="Times New Roman" w:eastAsia="Times New Roman" w:hAnsi="Times New Roman" w:cs="Times New Roman"/>
                <w:color w:val="303030"/>
                <w:kern w:val="0"/>
                <w:sz w:val="24"/>
                <w:szCs w:val="24"/>
                <w:lang w:eastAsia="es-UY"/>
                <w14:ligatures w14:val="none"/>
              </w:rPr>
              <w:t>El estudiante mantiene el foco y el esfuerzo en metas a largo plazo, sin abandonar ante obstáculos o distracciones.</w:t>
            </w:r>
          </w:p>
        </w:tc>
      </w:tr>
    </w:tbl>
    <w:p w14:paraId="63081D30"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Concluir que la motivación es necesaria no basta; esta requiere de una estructura de control que transforme el deseo en acción, materializada en la autorregulación metacognitiva.</w:t>
      </w:r>
    </w:p>
    <w:p w14:paraId="4954AB0E"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4. Dimensiones Críticas II: Operacionalización de la Autorregulación Metacognitiva</w:t>
      </w:r>
    </w:p>
    <w:p w14:paraId="50331226"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autorregulación metacognitiva es el campo donde el estudiante ejerce su agencia activa, transformando sus capacidades cognitivas en desempeños académicos reales. A diferencia de los niños, que suelen usar estrategias descubiertas (como hablar solo), el adolescente en educación media utiliza procesos de cuestionamiento y autoevaluación más complejos. El punto de inflexión es el monitoreo (toma de conciencia), que permite detectar fallas en la comprensión y corregir la estrategia sobre la marcha.</w:t>
      </w:r>
    </w:p>
    <w:p w14:paraId="524C2261"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Guía operativa para estimular la autorregulación en el aula:</w:t>
      </w:r>
    </w:p>
    <w:p w14:paraId="4DCFD6A1" w14:textId="77777777" w:rsidR="00AD4FD6" w:rsidRPr="00AD4FD6" w:rsidRDefault="00AD4FD6" w:rsidP="00AD4FD6">
      <w:pPr>
        <w:numPr>
          <w:ilvl w:val="0"/>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Planificación: Análisis y Metas</w:t>
      </w:r>
    </w:p>
    <w:p w14:paraId="3969ADD7"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Definición del objetivo y organización de pasos y materiales antes de iniciar la tarea.</w:t>
      </w:r>
    </w:p>
    <w:p w14:paraId="263ED24C"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Pregunta Guía:</w:t>
      </w:r>
      <w:r w:rsidRPr="00AD4FD6">
        <w:rPr>
          <w:rFonts w:ascii="Times New Roman" w:eastAsia="Times New Roman" w:hAnsi="Times New Roman" w:cs="Times New Roman"/>
          <w:color w:val="303030"/>
          <w:kern w:val="0"/>
          <w:sz w:val="27"/>
          <w:szCs w:val="27"/>
          <w:lang w:eastAsia="es-UY"/>
          <w14:ligatures w14:val="none"/>
        </w:rPr>
        <w:t> "¿Qué pasos vas a seguir para resolver esta tarea y qué recursos vas a necesitar para no detenerte?"</w:t>
      </w:r>
    </w:p>
    <w:p w14:paraId="53166222" w14:textId="77777777" w:rsidR="00AD4FD6" w:rsidRPr="00AD4FD6" w:rsidRDefault="00AD4FD6" w:rsidP="00AD4FD6">
      <w:pPr>
        <w:numPr>
          <w:ilvl w:val="0"/>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Monitoreo: Toma de Conciencia</w:t>
      </w:r>
    </w:p>
    <w:p w14:paraId="1CBF98DB"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Supervisión constante de la atención y el nivel de comprensión durante la ejecución.</w:t>
      </w:r>
    </w:p>
    <w:p w14:paraId="7D57CF9D"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Pregunta Guía:</w:t>
      </w:r>
      <w:r w:rsidRPr="00AD4FD6">
        <w:rPr>
          <w:rFonts w:ascii="Times New Roman" w:eastAsia="Times New Roman" w:hAnsi="Times New Roman" w:cs="Times New Roman"/>
          <w:color w:val="303030"/>
          <w:kern w:val="0"/>
          <w:sz w:val="27"/>
          <w:szCs w:val="27"/>
          <w:lang w:eastAsia="es-UY"/>
          <w14:ligatures w14:val="none"/>
        </w:rPr>
        <w:t> "¿Sientes que has perdido el hilo en este párrafo o podrías explicar con tus palabras lo que acabas de leer?"</w:t>
      </w:r>
    </w:p>
    <w:p w14:paraId="2CC4B3DF" w14:textId="77777777" w:rsidR="00AD4FD6" w:rsidRPr="00AD4FD6" w:rsidRDefault="00AD4FD6" w:rsidP="00AD4FD6">
      <w:pPr>
        <w:numPr>
          <w:ilvl w:val="0"/>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Regulación: Ajuste Estratégico</w:t>
      </w:r>
    </w:p>
    <w:p w14:paraId="113532FA"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Corrección </w:t>
      </w:r>
      <w:proofErr w:type="gramStart"/>
      <w:r w:rsidRPr="00AD4FD6">
        <w:rPr>
          <w:rFonts w:ascii="Times New Roman" w:eastAsia="Times New Roman" w:hAnsi="Times New Roman" w:cs="Times New Roman"/>
          <w:color w:val="303030"/>
          <w:kern w:val="0"/>
          <w:sz w:val="27"/>
          <w:szCs w:val="27"/>
          <w:lang w:eastAsia="es-UY"/>
          <w14:ligatures w14:val="none"/>
        </w:rPr>
        <w:t>continua</w:t>
      </w:r>
      <w:proofErr w:type="gramEnd"/>
      <w:r w:rsidRPr="00AD4FD6">
        <w:rPr>
          <w:rFonts w:ascii="Times New Roman" w:eastAsia="Times New Roman" w:hAnsi="Times New Roman" w:cs="Times New Roman"/>
          <w:color w:val="303030"/>
          <w:kern w:val="0"/>
          <w:sz w:val="27"/>
          <w:szCs w:val="27"/>
          <w:lang w:eastAsia="es-UY"/>
          <w14:ligatures w14:val="none"/>
        </w:rPr>
        <w:t xml:space="preserve"> basada en el monitoreo para cumplir la meta final.</w:t>
      </w:r>
    </w:p>
    <w:p w14:paraId="40F166CE" w14:textId="77777777" w:rsidR="00AD4FD6" w:rsidRPr="00AD4FD6" w:rsidRDefault="00AD4FD6" w:rsidP="00AD4FD6">
      <w:pPr>
        <w:numPr>
          <w:ilvl w:val="1"/>
          <w:numId w:val="2"/>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Pregunta Guía:</w:t>
      </w:r>
      <w:r w:rsidRPr="00AD4FD6">
        <w:rPr>
          <w:rFonts w:ascii="Times New Roman" w:eastAsia="Times New Roman" w:hAnsi="Times New Roman" w:cs="Times New Roman"/>
          <w:color w:val="303030"/>
          <w:kern w:val="0"/>
          <w:sz w:val="27"/>
          <w:szCs w:val="27"/>
          <w:lang w:eastAsia="es-UY"/>
          <w14:ligatures w14:val="none"/>
        </w:rPr>
        <w:t> "Si este método no te está dando el resultado esperado, ¿qué otra estrategia podrías probar ahora?"</w:t>
      </w:r>
    </w:p>
    <w:p w14:paraId="0801B957"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Estos procesos operativos no son simples "técnicas de estudio", sino el puente esencial que permite que el potencial intelectual se convierta en rendimiento real.</w:t>
      </w:r>
    </w:p>
    <w:p w14:paraId="4530038A"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5. El Rol Moderador: HSE, Capacidad Cognitiva y Rendimiento</w:t>
      </w:r>
    </w:p>
    <w:p w14:paraId="5E04A32B"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Una tesis central de la directiva del </w:t>
      </w:r>
      <w:proofErr w:type="spellStart"/>
      <w:r w:rsidRPr="00AD4FD6">
        <w:rPr>
          <w:rFonts w:ascii="Times New Roman" w:eastAsia="Times New Roman" w:hAnsi="Times New Roman" w:cs="Times New Roman"/>
          <w:color w:val="303030"/>
          <w:kern w:val="0"/>
          <w:sz w:val="27"/>
          <w:szCs w:val="27"/>
          <w:lang w:eastAsia="es-UY"/>
          <w14:ligatures w14:val="none"/>
        </w:rPr>
        <w:t>INEEd</w:t>
      </w:r>
      <w:proofErr w:type="spellEnd"/>
      <w:r w:rsidRPr="00AD4FD6">
        <w:rPr>
          <w:rFonts w:ascii="Times New Roman" w:eastAsia="Times New Roman" w:hAnsi="Times New Roman" w:cs="Times New Roman"/>
          <w:color w:val="303030"/>
          <w:kern w:val="0"/>
          <w:sz w:val="27"/>
          <w:szCs w:val="27"/>
          <w:lang w:eastAsia="es-UY"/>
          <w14:ligatures w14:val="none"/>
        </w:rPr>
        <w:t xml:space="preserve"> es que las habilidades socioemocionales actúan como </w:t>
      </w:r>
      <w:r w:rsidRPr="00AD4FD6">
        <w:rPr>
          <w:rFonts w:ascii="Times New Roman" w:eastAsia="Times New Roman" w:hAnsi="Times New Roman" w:cs="Times New Roman"/>
          <w:b/>
          <w:bCs/>
          <w:color w:val="303030"/>
          <w:kern w:val="0"/>
          <w:sz w:val="27"/>
          <w:szCs w:val="27"/>
          <w:lang w:eastAsia="es-UY"/>
          <w14:ligatures w14:val="none"/>
        </w:rPr>
        <w:t>variables moderadoras</w:t>
      </w:r>
      <w:r w:rsidRPr="00AD4FD6">
        <w:rPr>
          <w:rFonts w:ascii="Times New Roman" w:eastAsia="Times New Roman" w:hAnsi="Times New Roman" w:cs="Times New Roman"/>
          <w:color w:val="303030"/>
          <w:kern w:val="0"/>
          <w:sz w:val="27"/>
          <w:szCs w:val="27"/>
          <w:lang w:eastAsia="es-UY"/>
          <w14:ligatures w14:val="none"/>
        </w:rPr>
        <w:t> entre el potencial intelectual y los resultados académicos. Poseer un alto coeficiente intelectual (CI) es insuficiente si el estudiante carece de la perseverancia para concluir una tarea o de la autoeficacia para enfrentar la evaluación.</w:t>
      </w:r>
    </w:p>
    <w:p w14:paraId="72F480E2"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 xml:space="preserve">Desde las neurociencias, se afirma que "no existe cognición sin emoción": la información es etiquetada emocionalmente por redes neuronales antes de pasar a funciones ejecutivas complejas. Por ello, niveles altos de HSE pueden </w:t>
      </w:r>
      <w:r w:rsidRPr="00AD4FD6">
        <w:rPr>
          <w:rFonts w:ascii="Times New Roman" w:eastAsia="Times New Roman" w:hAnsi="Times New Roman" w:cs="Times New Roman"/>
          <w:color w:val="303030"/>
          <w:kern w:val="0"/>
          <w:sz w:val="27"/>
          <w:szCs w:val="27"/>
          <w:lang w:eastAsia="es-UY"/>
          <w14:ligatures w14:val="none"/>
        </w:rPr>
        <w:lastRenderedPageBreak/>
        <w:t>compensar situaciones de vulnerabilidad o desafíos cognitivos específicos, potenciando la resiliencia académica.</w:t>
      </w:r>
    </w:p>
    <w:p w14:paraId="29015D42"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Hallazgo Clave del Marco Aristas:</w:t>
      </w:r>
      <w:r w:rsidRPr="00AD4FD6">
        <w:rPr>
          <w:rFonts w:ascii="Times New Roman" w:eastAsia="Times New Roman" w:hAnsi="Times New Roman" w:cs="Times New Roman"/>
          <w:color w:val="303030"/>
          <w:kern w:val="0"/>
          <w:sz w:val="27"/>
          <w:szCs w:val="27"/>
          <w:lang w:eastAsia="es-UY"/>
          <w14:ligatures w14:val="none"/>
        </w:rPr>
        <w:t> Siguiendo la evidencia de </w:t>
      </w:r>
      <w:r w:rsidRPr="00AD4FD6">
        <w:rPr>
          <w:rFonts w:ascii="Times New Roman" w:eastAsia="Times New Roman" w:hAnsi="Times New Roman" w:cs="Times New Roman"/>
          <w:b/>
          <w:bCs/>
          <w:color w:val="303030"/>
          <w:kern w:val="0"/>
          <w:sz w:val="27"/>
          <w:szCs w:val="27"/>
          <w:lang w:eastAsia="es-UY"/>
          <w14:ligatures w14:val="none"/>
        </w:rPr>
        <w:t>Duckworth y Seligman (2005)</w:t>
      </w:r>
      <w:r w:rsidRPr="00AD4FD6">
        <w:rPr>
          <w:rFonts w:ascii="Times New Roman" w:eastAsia="Times New Roman" w:hAnsi="Times New Roman" w:cs="Times New Roman"/>
          <w:color w:val="303030"/>
          <w:kern w:val="0"/>
          <w:sz w:val="27"/>
          <w:szCs w:val="27"/>
          <w:lang w:eastAsia="es-UY"/>
          <w14:ligatures w14:val="none"/>
        </w:rPr>
        <w:t>, la autorregulación y la perseverancia académica predicen el desempeño escolar con una precisión significativamente mayor que el CI. Estas habilidades son las que permiten que el potencial se traduzca en logros concretos, actuando como moderadores ante la adversidad.</w:t>
      </w:r>
    </w:p>
    <w:p w14:paraId="346369E5"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maleabilidad de estas habilidades abre una ventana de oportunidad invaluable para la intervención docente, especialmente en la adolescencia.</w:t>
      </w:r>
    </w:p>
    <w:p w14:paraId="64E24384"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6. Dinámica de la Maleabilidad e Intervención en el Aula</w:t>
      </w:r>
    </w:p>
    <w:p w14:paraId="57450A2D"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plasticidad cerebral sustenta la viabilidad de la intervención en adolescentes. Esta etapa no es el cierre del desarrollo, sino un período crítico y fértil para fortalecer habilidades complejas. Aquí, el docente trasciende el rol de transmisor para convertirse en un modelador de HSE, diseñando un entorno que favorezca la perseverancia y la autorregulación.</w:t>
      </w:r>
    </w:p>
    <w:p w14:paraId="0EA4376B"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Según los pilares técnicos de Dweck, Walton y Cohen, la intervención debe estructurarse en:</w:t>
      </w:r>
    </w:p>
    <w:p w14:paraId="4CEEB9E5" w14:textId="77777777" w:rsidR="00AD4FD6" w:rsidRPr="00AD4FD6" w:rsidRDefault="00AD4FD6" w:rsidP="00AD4FD6">
      <w:pPr>
        <w:numPr>
          <w:ilvl w:val="0"/>
          <w:numId w:val="3"/>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Desafíos:</w:t>
      </w:r>
      <w:r w:rsidRPr="00AD4FD6">
        <w:rPr>
          <w:rFonts w:ascii="Times New Roman" w:eastAsia="Times New Roman" w:hAnsi="Times New Roman" w:cs="Times New Roman"/>
          <w:color w:val="303030"/>
          <w:kern w:val="0"/>
          <w:sz w:val="27"/>
          <w:szCs w:val="27"/>
          <w:lang w:eastAsia="es-UY"/>
          <w14:ligatures w14:val="none"/>
        </w:rPr>
        <w:t> Proponer metas que exijan esfuerzo, acompañadas de altas expectativas docentes.</w:t>
      </w:r>
    </w:p>
    <w:p w14:paraId="7D5E5E9A" w14:textId="77777777" w:rsidR="00AD4FD6" w:rsidRPr="00AD4FD6" w:rsidRDefault="00AD4FD6" w:rsidP="00AD4FD6">
      <w:pPr>
        <w:numPr>
          <w:ilvl w:val="0"/>
          <w:numId w:val="3"/>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Andamiaje:</w:t>
      </w:r>
      <w:r w:rsidRPr="00AD4FD6">
        <w:rPr>
          <w:rFonts w:ascii="Times New Roman" w:eastAsia="Times New Roman" w:hAnsi="Times New Roman" w:cs="Times New Roman"/>
          <w:color w:val="303030"/>
          <w:kern w:val="0"/>
          <w:sz w:val="27"/>
          <w:szCs w:val="27"/>
          <w:lang w:eastAsia="es-UY"/>
          <w14:ligatures w14:val="none"/>
        </w:rPr>
        <w:t> Brindar el apoyo justo para que el estudiante progrese con autonomía sin frustrarse.</w:t>
      </w:r>
    </w:p>
    <w:p w14:paraId="28604709" w14:textId="77777777" w:rsidR="00AD4FD6" w:rsidRPr="00AD4FD6" w:rsidRDefault="00AD4FD6" w:rsidP="00AD4FD6">
      <w:pPr>
        <w:numPr>
          <w:ilvl w:val="0"/>
          <w:numId w:val="3"/>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Sentido de Pertenencia:</w:t>
      </w:r>
      <w:r w:rsidRPr="00AD4FD6">
        <w:rPr>
          <w:rFonts w:ascii="Times New Roman" w:eastAsia="Times New Roman" w:hAnsi="Times New Roman" w:cs="Times New Roman"/>
          <w:color w:val="303030"/>
          <w:kern w:val="0"/>
          <w:sz w:val="27"/>
          <w:szCs w:val="27"/>
          <w:lang w:eastAsia="es-UY"/>
          <w14:ligatures w14:val="none"/>
        </w:rPr>
        <w:t> Cultivar la conexión afectiva del estudiante con el centro y sus pares.</w:t>
      </w:r>
    </w:p>
    <w:p w14:paraId="1091FF50"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Recomendaciones Técnicas para el Docente:</w:t>
      </w:r>
    </w:p>
    <w:p w14:paraId="4BFC47C6" w14:textId="77777777" w:rsidR="00AD4FD6" w:rsidRPr="00AD4FD6" w:rsidRDefault="00AD4FD6" w:rsidP="00AD4FD6">
      <w:pPr>
        <w:numPr>
          <w:ilvl w:val="0"/>
          <w:numId w:val="4"/>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Retroalimentación del proceso:</w:t>
      </w:r>
      <w:r w:rsidRPr="00AD4FD6">
        <w:rPr>
          <w:rFonts w:ascii="Times New Roman" w:eastAsia="Times New Roman" w:hAnsi="Times New Roman" w:cs="Times New Roman"/>
          <w:color w:val="303030"/>
          <w:kern w:val="0"/>
          <w:sz w:val="27"/>
          <w:szCs w:val="27"/>
          <w:lang w:eastAsia="es-UY"/>
          <w14:ligatures w14:val="none"/>
        </w:rPr>
        <w:t> Elogiar el esfuerzo y las estrategias utilizadas en lugar de la "capacidad natural" o el resultado final.</w:t>
      </w:r>
    </w:p>
    <w:p w14:paraId="285A5B1C" w14:textId="77777777" w:rsidR="00AD4FD6" w:rsidRPr="00AD4FD6" w:rsidRDefault="00AD4FD6" w:rsidP="00AD4FD6">
      <w:pPr>
        <w:numPr>
          <w:ilvl w:val="0"/>
          <w:numId w:val="4"/>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El error como insumo:</w:t>
      </w:r>
      <w:r w:rsidRPr="00AD4FD6">
        <w:rPr>
          <w:rFonts w:ascii="Times New Roman" w:eastAsia="Times New Roman" w:hAnsi="Times New Roman" w:cs="Times New Roman"/>
          <w:color w:val="303030"/>
          <w:kern w:val="0"/>
          <w:sz w:val="27"/>
          <w:szCs w:val="27"/>
          <w:lang w:eastAsia="es-UY"/>
          <w14:ligatures w14:val="none"/>
        </w:rPr>
        <w:t> Tratar las fallas como oportunidades necesarias para practicar el monitoreo y la regulación, eliminando el carácter punitivo del error.</w:t>
      </w:r>
    </w:p>
    <w:p w14:paraId="2D661565" w14:textId="77777777" w:rsidR="00AD4FD6" w:rsidRPr="00AD4FD6" w:rsidRDefault="00AD4FD6" w:rsidP="00AD4FD6">
      <w:pPr>
        <w:numPr>
          <w:ilvl w:val="0"/>
          <w:numId w:val="4"/>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Modelado activo:</w:t>
      </w:r>
      <w:r w:rsidRPr="00AD4FD6">
        <w:rPr>
          <w:rFonts w:ascii="Times New Roman" w:eastAsia="Times New Roman" w:hAnsi="Times New Roman" w:cs="Times New Roman"/>
          <w:color w:val="303030"/>
          <w:kern w:val="0"/>
          <w:sz w:val="27"/>
          <w:szCs w:val="27"/>
          <w:lang w:eastAsia="es-UY"/>
          <w14:ligatures w14:val="none"/>
        </w:rPr>
        <w:t> El docente debe mostrar explícitamente cómo gestiona él mismo la frustración o el cambio de estrategia ante un imprevisto en clase.</w:t>
      </w:r>
    </w:p>
    <w:p w14:paraId="404F7D76" w14:textId="77777777" w:rsidR="00AD4FD6" w:rsidRPr="00AD4FD6" w:rsidRDefault="00AD4FD6" w:rsidP="00AD4FD6">
      <w:pPr>
        <w:numPr>
          <w:ilvl w:val="0"/>
          <w:numId w:val="4"/>
        </w:numPr>
        <w:spacing w:before="100" w:beforeAutospacing="1" w:after="100" w:afterAutospacing="1"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b/>
          <w:bCs/>
          <w:color w:val="303030"/>
          <w:kern w:val="0"/>
          <w:sz w:val="27"/>
          <w:szCs w:val="27"/>
          <w:lang w:eastAsia="es-UY"/>
          <w14:ligatures w14:val="none"/>
        </w:rPr>
        <w:t>Fomento de la autonomía:</w:t>
      </w:r>
      <w:r w:rsidRPr="00AD4FD6">
        <w:rPr>
          <w:rFonts w:ascii="Times New Roman" w:eastAsia="Times New Roman" w:hAnsi="Times New Roman" w:cs="Times New Roman"/>
          <w:color w:val="303030"/>
          <w:kern w:val="0"/>
          <w:sz w:val="27"/>
          <w:szCs w:val="27"/>
          <w:lang w:eastAsia="es-UY"/>
          <w14:ligatures w14:val="none"/>
        </w:rPr>
        <w:t> Permitir que el estudiante elija caminos diversos para resolver una consigna, fortaleciendo su autoeficacia.</w:t>
      </w:r>
    </w:p>
    <w:p w14:paraId="448CF36E" w14:textId="77777777" w:rsidR="00AD4FD6" w:rsidRPr="00AD4FD6" w:rsidRDefault="00AD4FD6" w:rsidP="00AD4FD6">
      <w:pPr>
        <w:spacing w:after="0" w:line="240" w:lineRule="auto"/>
        <w:rPr>
          <w:rFonts w:ascii="Times New Roman" w:eastAsia="Times New Roman" w:hAnsi="Times New Roman" w:cs="Times New Roman"/>
          <w:color w:val="303030"/>
          <w:kern w:val="0"/>
          <w:sz w:val="27"/>
          <w:szCs w:val="27"/>
          <w:lang w:eastAsia="es-UY"/>
          <w14:ligatures w14:val="none"/>
        </w:rPr>
      </w:pPr>
      <w:r w:rsidRPr="00AD4FD6">
        <w:rPr>
          <w:rFonts w:ascii="Times New Roman" w:eastAsia="Times New Roman" w:hAnsi="Times New Roman" w:cs="Times New Roman"/>
          <w:color w:val="303030"/>
          <w:kern w:val="0"/>
          <w:sz w:val="27"/>
          <w:szCs w:val="27"/>
          <w:lang w:eastAsia="es-UY"/>
          <w14:ligatures w14:val="none"/>
        </w:rPr>
        <w:t>La efectividad de estos procesos de evaluación y desarrollo socioemocional depende de una formación docente específica que profesionalice la mirada sobre lo emocional, garantizando que cada aula sea un laboratorio de crecimiento para los adolescentes uruguayos.</w:t>
      </w:r>
    </w:p>
    <w:p w14:paraId="195373C1" w14:textId="6E639B73" w:rsidR="00C876B6" w:rsidRDefault="00AD4FD6" w:rsidP="00AD4FD6">
      <w:proofErr w:type="spellStart"/>
      <w:r w:rsidRPr="00AD4FD6">
        <w:rPr>
          <w:rFonts w:ascii="Times New Roman" w:eastAsia="Times New Roman" w:hAnsi="Times New Roman" w:cs="Times New Roman"/>
          <w:kern w:val="0"/>
          <w:sz w:val="24"/>
          <w:szCs w:val="24"/>
          <w:lang w:eastAsia="es-UY"/>
          <w14:ligatures w14:val="none"/>
        </w:rPr>
        <w:t>NotebookLM</w:t>
      </w:r>
      <w:proofErr w:type="spellEnd"/>
      <w:r w:rsidRPr="00AD4FD6">
        <w:rPr>
          <w:rFonts w:ascii="Times New Roman" w:eastAsia="Times New Roman" w:hAnsi="Times New Roman" w:cs="Times New Roman"/>
          <w:kern w:val="0"/>
          <w:sz w:val="24"/>
          <w:szCs w:val="24"/>
          <w:lang w:eastAsia="es-UY"/>
          <w14:ligatures w14:val="none"/>
        </w:rPr>
        <w:t xml:space="preserve"> puede ofrecer respuestas inexactas. Compruébalas.</w:t>
      </w:r>
    </w:p>
    <w:sectPr w:rsidR="00C876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54B46"/>
    <w:multiLevelType w:val="multilevel"/>
    <w:tmpl w:val="FF6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26AD9"/>
    <w:multiLevelType w:val="multilevel"/>
    <w:tmpl w:val="BE6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A18DC"/>
    <w:multiLevelType w:val="multilevel"/>
    <w:tmpl w:val="E6A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6790B"/>
    <w:multiLevelType w:val="multilevel"/>
    <w:tmpl w:val="D4741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088004">
    <w:abstractNumId w:val="1"/>
  </w:num>
  <w:num w:numId="2" w16cid:durableId="2035575225">
    <w:abstractNumId w:val="3"/>
  </w:num>
  <w:num w:numId="3" w16cid:durableId="1912883810">
    <w:abstractNumId w:val="0"/>
  </w:num>
  <w:num w:numId="4" w16cid:durableId="185563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D6"/>
    <w:rsid w:val="00445F76"/>
    <w:rsid w:val="006D3B91"/>
    <w:rsid w:val="00AD4FD6"/>
    <w:rsid w:val="00C876B6"/>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11B1"/>
  <w15:chartTrackingRefBased/>
  <w15:docId w15:val="{5569947B-3CAB-4127-86B5-A8CF6DC8F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4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D4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D4F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D4F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D4F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D4F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4F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4F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4F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4FD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D4FD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D4FD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D4FD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D4FD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D4F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4F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4F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4FD6"/>
    <w:rPr>
      <w:rFonts w:eastAsiaTheme="majorEastAsia" w:cstheme="majorBidi"/>
      <w:color w:val="272727" w:themeColor="text1" w:themeTint="D8"/>
    </w:rPr>
  </w:style>
  <w:style w:type="paragraph" w:styleId="Ttulo">
    <w:name w:val="Title"/>
    <w:basedOn w:val="Normal"/>
    <w:next w:val="Normal"/>
    <w:link w:val="TtuloCar"/>
    <w:uiPriority w:val="10"/>
    <w:qFormat/>
    <w:rsid w:val="00AD4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4F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4F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4F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4FD6"/>
    <w:pPr>
      <w:spacing w:before="160"/>
      <w:jc w:val="center"/>
    </w:pPr>
    <w:rPr>
      <w:i/>
      <w:iCs/>
      <w:color w:val="404040" w:themeColor="text1" w:themeTint="BF"/>
    </w:rPr>
  </w:style>
  <w:style w:type="character" w:customStyle="1" w:styleId="CitaCar">
    <w:name w:val="Cita Car"/>
    <w:basedOn w:val="Fuentedeprrafopredeter"/>
    <w:link w:val="Cita"/>
    <w:uiPriority w:val="29"/>
    <w:rsid w:val="00AD4FD6"/>
    <w:rPr>
      <w:i/>
      <w:iCs/>
      <w:color w:val="404040" w:themeColor="text1" w:themeTint="BF"/>
    </w:rPr>
  </w:style>
  <w:style w:type="paragraph" w:styleId="Prrafodelista">
    <w:name w:val="List Paragraph"/>
    <w:basedOn w:val="Normal"/>
    <w:uiPriority w:val="34"/>
    <w:qFormat/>
    <w:rsid w:val="00AD4FD6"/>
    <w:pPr>
      <w:ind w:left="720"/>
      <w:contextualSpacing/>
    </w:pPr>
  </w:style>
  <w:style w:type="character" w:styleId="nfasisintenso">
    <w:name w:val="Intense Emphasis"/>
    <w:basedOn w:val="Fuentedeprrafopredeter"/>
    <w:uiPriority w:val="21"/>
    <w:qFormat/>
    <w:rsid w:val="00AD4FD6"/>
    <w:rPr>
      <w:i/>
      <w:iCs/>
      <w:color w:val="2F5496" w:themeColor="accent1" w:themeShade="BF"/>
    </w:rPr>
  </w:style>
  <w:style w:type="paragraph" w:styleId="Citadestacada">
    <w:name w:val="Intense Quote"/>
    <w:basedOn w:val="Normal"/>
    <w:next w:val="Normal"/>
    <w:link w:val="CitadestacadaCar"/>
    <w:uiPriority w:val="30"/>
    <w:qFormat/>
    <w:rsid w:val="00AD4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D4FD6"/>
    <w:rPr>
      <w:i/>
      <w:iCs/>
      <w:color w:val="2F5496" w:themeColor="accent1" w:themeShade="BF"/>
    </w:rPr>
  </w:style>
  <w:style w:type="character" w:styleId="Referenciaintensa">
    <w:name w:val="Intense Reference"/>
    <w:basedOn w:val="Fuentedeprrafopredeter"/>
    <w:uiPriority w:val="32"/>
    <w:qFormat/>
    <w:rsid w:val="00AD4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1574</Words>
  <Characters>8657</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Montse Santana</dc:creator>
  <cp:keywords/>
  <dc:description/>
  <cp:lastModifiedBy>Montse Santana</cp:lastModifiedBy>
  <cp:revision>1</cp:revision>
  <dcterms:created xsi:type="dcterms:W3CDTF">2026-06-18T15:11:00Z</dcterms:created>
  <dcterms:modified xsi:type="dcterms:W3CDTF">2026-06-18T15:12:00Z</dcterms:modified>
</cp:coreProperties>
</file>