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114300</wp:posOffset>
            </wp:positionV>
            <wp:extent cx="2128838" cy="5589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28838" cy="558923"/>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UIUC GPA</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on UIUC GPA is available at</w:t>
      </w:r>
    </w:p>
    <w:p w:rsidR="00000000" w:rsidDel="00000000" w:rsidP="00000000" w:rsidRDefault="00000000" w:rsidRPr="00000000" w14:paraId="00000007">
      <w:pPr>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https://github.com/wadefagen/datasets/tree/master/gpa</w:t>
        </w:r>
      </w:hyperlink>
      <w:r w:rsidDel="00000000" w:rsidR="00000000" w:rsidRPr="00000000">
        <w:rPr>
          <w:rFonts w:ascii="Times New Roman" w:cs="Times New Roman" w:eastAsia="Times New Roman" w:hAnsi="Times New Roman"/>
          <w:sz w:val="24"/>
          <w:szCs w:val="24"/>
          <w:rtl w:val="0"/>
        </w:rPr>
        <w:t xml:space="preserve"> (“uiuc-gpa-dataset.csv”)</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UIUC students are acquainted with Professor Ulmschneider’s historical grade distribution visualization tool. It can be very useful for determining which courses one wants to take. However, calling on historical data, is it possible to instead predict the GPA/grade distribution of UIUC courses in the future? This may be of relevance to those looking to hire new faculty for certain classes, faculty looking to change the structure of their course, and students looking to register early for or avoid altogether certain courses.</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Label(s)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GPA (Per Class/Class section)</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(Given Data)</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(Given Data)</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pop. per class (Given Data)</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 Department (One-Hot) (Given Data)</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(Given Data)</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(Each Column, “F” through “A+”) (Given Data)</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Title (One-Hot) (Given Data)</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Instructor (One-Hot) (Given Data)</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GPA at UIUC self-exciting? Use a Recurrent Neural Network</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Times New Roman" w:cs="Times New Roman" w:eastAsia="Times New Roman" w:hAnsi="Times New Roman"/>
          <w:sz w:val="24"/>
          <w:szCs w:val="24"/>
          <w:rtl w:val="0"/>
        </w:rPr>
        <w:t xml:space="preserve">Project Curated by Jared Canty (Summer 2022 Blackwell Progra</w:t>
      </w:r>
      <w:r w:rsidDel="00000000" w:rsidR="00000000" w:rsidRPr="00000000">
        <w:rPr>
          <w:rFonts w:ascii="Times New Roman" w:cs="Times New Roman" w:eastAsia="Times New Roman" w:hAnsi="Times New Roman"/>
          <w:rtl w:val="0"/>
        </w:rPr>
        <w:t xml:space="preserv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wadefagen/datasets/tree/master/g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