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40"/>
        </w:rPr>
        <w:t>CHANDIGARH UNIVERSITY</w:t>
      </w:r>
    </w:p>
    <w:p>
      <w:pPr>
        <w:spacing w:after="400"/>
        <w:jc w:val="center"/>
      </w:pPr>
      <w:r>
        <w:rPr>
          <w:i/>
          <w:color w:val="666666"/>
          <w:sz w:val="19"/>
        </w:rPr>
        <w:t>Discover. Learn. Empower.</w:t>
      </w:r>
    </w:p>
    <w:p>
      <w:pPr>
        <w:spacing w:after="200"/>
        <w:jc w:val="center"/>
      </w:pPr>
      <w:r>
        <w:rPr>
          <w:b/>
          <w:color w:val="1B365D"/>
          <w:sz w:val="26"/>
        </w:rPr>
        <w:t>CASE STUDY REPORT ON DATA ANALYSIS</w:t>
      </w:r>
    </w:p>
    <w:p>
      <w:pPr>
        <w:spacing w:after="240"/>
        <w:jc w:val="center"/>
      </w:pPr>
      <w:r>
        <w:rPr>
          <w:i/>
          <w:sz w:val="22"/>
        </w:rPr>
        <w:t>Course: Python Programming &amp; Data Science — [Course Code: 25CAT-204]</w:t>
      </w:r>
    </w:p>
    <w:p>
      <w:pPr>
        <w:spacing w:after="200"/>
        <w:jc w:val="center"/>
      </w:pPr>
      <w:r>
        <w:rPr>
          <w:b/>
          <w:color w:val="111111"/>
          <w:sz w:val="27"/>
        </w:rPr>
        <w:t>“STUDENT PERFORMANCE DATA ANALYSIS: EXPLORATORY DATA ANALYSIS, STATISTICAL INFERENCE &amp; MULTIVARIATE VISUALIZATION”</w:t>
      </w:r>
    </w:p>
    <w:p>
      <w:pPr>
        <w:spacing w:before="480" w:after="120"/>
      </w:pPr>
    </w:p>
    <w:tbl>
      <w:tblPr>
        <w:tblW w:type="auto" w:w="0"/>
        <w:jc w:val="center"/>
        <w:tblLayout w:type="fixed"/>
        <w:tblLook w:firstColumn="1" w:firstRow="1" w:lastColumn="0" w:lastRow="0" w:noHBand="0" w:noVBand="1" w:val="04A0"/>
      </w:tblPr>
      <w:tblGrid>
        <w:gridCol w:w="9360"/>
      </w:tblGrid>
      <w:tr>
        <w:tc>
          <w:tcPr>
            <w:tcW w:type="dxa" w:w="6480"/>
            <w:shd w:val="clear" w:color="auto" w:fill="1B365D"/>
          </w:tcPr>
          <w:p>
            <w:pPr>
              <w:spacing w:before="80" w:after="80"/>
            </w:pPr>
            <w:r>
              <w:rPr>
                <w:b/>
                <w:color w:val="FFFFFF"/>
                <w:sz w:val="21"/>
              </w:rPr>
              <w:t>SUBMITTED BY (STUDENT DETAILS)</w:t>
            </w:r>
          </w:p>
        </w:tc>
      </w:tr>
      <w:tr>
        <w:tc>
          <w:tcPr>
            <w:tcW w:type="dxa" w:w="6480"/>
            <w:shd w:val="clear" w:color="auto" w:fill="FFFFFF"/>
          </w:tcPr>
          <w:p>
            <w:pPr>
              <w:spacing w:before="80" w:after="80"/>
            </w:pPr>
            <w:r>
              <w:rPr>
                <w:b w:val="0"/>
                <w:color w:val="000000"/>
                <w:sz w:val="21"/>
              </w:rPr>
              <w:t>Student Name:  Mithun</w:t>
            </w:r>
          </w:p>
        </w:tc>
      </w:tr>
      <w:tr>
        <w:tc>
          <w:tcPr>
            <w:tcW w:type="dxa" w:w="6480"/>
            <w:shd w:val="clear" w:color="auto" w:fill="FFFFFF"/>
          </w:tcPr>
          <w:p>
            <w:pPr>
              <w:spacing w:before="80" w:after="80"/>
            </w:pPr>
            <w:r>
              <w:rPr>
                <w:b w:val="0"/>
                <w:color w:val="000000"/>
                <w:sz w:val="21"/>
              </w:rPr>
              <w:t>UID: 25BCD10179</w:t>
            </w:r>
          </w:p>
        </w:tc>
      </w:tr>
      <w:tr>
        <w:tc>
          <w:tcPr>
            <w:tcW w:type="dxa" w:w="6480"/>
            <w:shd w:val="clear" w:color="auto" w:fill="FFFFFF"/>
          </w:tcPr>
          <w:p>
            <w:pPr>
              <w:spacing w:before="80" w:after="80"/>
            </w:pPr>
            <w:r>
              <w:rPr>
                <w:b w:val="0"/>
                <w:color w:val="000000"/>
                <w:sz w:val="21"/>
              </w:rPr>
              <w:t>Sem: 3 |  Sec: 25BCD-2-B</w:t>
            </w:r>
          </w:p>
        </w:tc>
      </w:tr>
      <w:tr>
        <w:tc>
          <w:tcPr>
            <w:tcW w:type="dxa" w:w="6480"/>
            <w:shd w:val="clear" w:color="auto" w:fill="FFFFFF"/>
          </w:tcPr>
          <w:p>
            <w:pPr>
              <w:spacing w:before="80" w:after="80"/>
            </w:pPr>
            <w:r>
              <w:rPr>
                <w:b w:val="0"/>
                <w:color w:val="000000"/>
                <w:sz w:val="21"/>
              </w:rPr>
              <w:t>Branch / Program:  BCA (DATA SCIENCE)</w:t>
            </w:r>
          </w:p>
        </w:tc>
      </w:tr>
    </w:tbl>
    <w:p>
      <w:pPr>
        <w:spacing w:before="480"/>
        <w:jc w:val="center"/>
      </w:pPr>
      <w:r>
        <w:rPr>
          <w:b/>
          <w:sz w:val="22"/>
        </w:rPr>
        <w:t>ACADEMIC YEAR: 2026 – 2027</w:t>
      </w:r>
    </w:p>
    <w:p>
      <w:r>
        <w:br w:type="page"/>
      </w:r>
    </w:p>
    <w:p>
      <w:pPr>
        <w:pStyle w:val="Heading1"/>
        <w:spacing w:before="360" w:after="120"/>
      </w:pPr>
      <w:r>
        <w:rPr>
          <w:b/>
          <w:color w:val="1B365D"/>
          <w:sz w:val="33"/>
        </w:rPr>
        <w:t>ABSTRACT</w:t>
      </w:r>
    </w:p>
    <w:p>
      <w:pPr>
        <w:spacing w:after="120" w:line="276" w:lineRule="auto"/>
      </w:pPr>
      <w:r>
        <w:t>Educational data mining and learning analytics play a transformative role in contemporary higher education institutions. Understanding student academic trajectories, identifying at-risk individuals, and determining the empirical relationship between behavioral metrics (such as classroom attendance and weekly self-study duration) and summative assessment outcomes are critical for targeted institutional interventions. This case study applies an end-to-end Python-based Data Analysis workflow on a cohort of 1,000 synthetic student records modeled after real-world academic distributions. Using Python's foundational data science libraries—NumPy, Pandas, Matplotlib, and Seaborn—the study executes systematic data cleaning (duplicate detection, imputation of missing values, string normalization, and datatype coercion), statistical aggregation, multivariate correlation analysis, and nine distinct visual representations. Key empirical findings indicate that weekly study hours exhibit the highest linear correlation with overall academic score (r = +0.542), classroom attendance significantly influences pass-fail margins (r = +0.241), and the completion of structured test preparation programs boosts average composite marks by approximately 8.0 points. The deliverables include full reproducible source code, descriptive statistical tables, and strategic recommendations for academic counseling.</w:t>
      </w:r>
    </w:p>
    <w:p>
      <w:pPr>
        <w:pStyle w:val="Heading1"/>
        <w:spacing w:before="360" w:after="120"/>
      </w:pPr>
      <w:r>
        <w:rPr>
          <w:b/>
          <w:color w:val="1B365D"/>
          <w:sz w:val="33"/>
        </w:rPr>
        <w:t>TABLE OF CONTENTS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Section Number</w:t>
            </w:r>
          </w:p>
        </w:tc>
        <w:tc>
          <w:tcPr>
            <w:tcW w:type="dxa" w:w="3120"/>
            <w:shd w:val="clear" w:color="auto" w:fill="1B365D"/>
          </w:tcPr>
          <w:p>
            <w:pPr>
              <w:spacing w:before="60" w:after="60"/>
            </w:pPr>
            <w:r>
              <w:rPr>
                <w:b/>
                <w:color w:val="FFFFFF"/>
                <w:sz w:val="19"/>
              </w:rPr>
              <w:t>Section Title</w:t>
            </w:r>
          </w:p>
        </w:tc>
        <w:tc>
          <w:tcPr>
            <w:tcW w:type="dxa" w:w="3120"/>
            <w:shd w:val="clear" w:color="auto" w:fill="1B365D"/>
          </w:tcPr>
          <w:p>
            <w:pPr>
              <w:spacing w:before="60" w:after="60"/>
            </w:pPr>
            <w:r>
              <w:rPr>
                <w:b/>
                <w:color w:val="FFFFFF"/>
                <w:sz w:val="19"/>
              </w:rPr>
              <w:t>Page Reference</w:t>
            </w:r>
          </w:p>
        </w:tc>
      </w:tr>
      <w:tr>
        <w:tc>
          <w:tcPr>
            <w:tcW w:type="dxa" w:w="3120"/>
            <w:shd w:val="clear" w:color="auto" w:fill="FFFFFF"/>
          </w:tcPr>
          <w:p>
            <w:pPr>
              <w:spacing w:before="40" w:after="40"/>
            </w:pPr>
            <w:r>
              <w:rPr>
                <w:sz w:val="18"/>
              </w:rPr>
              <w:t>1.0</w:t>
            </w:r>
          </w:p>
        </w:tc>
        <w:tc>
          <w:tcPr>
            <w:tcW w:type="dxa" w:w="3120"/>
            <w:shd w:val="clear" w:color="auto" w:fill="FFFFFF"/>
          </w:tcPr>
          <w:p>
            <w:pPr>
              <w:spacing w:before="40" w:after="40"/>
            </w:pPr>
            <w:r>
              <w:rPr>
                <w:sz w:val="18"/>
              </w:rPr>
              <w:t>Problem Statement &amp; Educational Context</w:t>
            </w:r>
          </w:p>
        </w:tc>
        <w:tc>
          <w:tcPr>
            <w:tcW w:type="dxa" w:w="3120"/>
            <w:shd w:val="clear" w:color="auto" w:fill="FFFFFF"/>
          </w:tcPr>
          <w:p>
            <w:pPr>
              <w:spacing w:before="40" w:after="40"/>
            </w:pPr>
            <w:r>
              <w:rPr>
                <w:sz w:val="18"/>
              </w:rPr>
              <w:t>3</w:t>
            </w:r>
          </w:p>
        </w:tc>
      </w:tr>
      <w:tr>
        <w:tc>
          <w:tcPr>
            <w:tcW w:type="dxa" w:w="3120"/>
            <w:shd w:val="clear" w:color="auto" w:fill="F4F7FA"/>
          </w:tcPr>
          <w:p>
            <w:pPr>
              <w:spacing w:before="40" w:after="40"/>
            </w:pPr>
            <w:r>
              <w:rPr>
                <w:sz w:val="18"/>
              </w:rPr>
              <w:t>2.0</w:t>
            </w:r>
          </w:p>
        </w:tc>
        <w:tc>
          <w:tcPr>
            <w:tcW w:type="dxa" w:w="3120"/>
            <w:shd w:val="clear" w:color="auto" w:fill="F4F7FA"/>
          </w:tcPr>
          <w:p>
            <w:pPr>
              <w:spacing w:before="40" w:after="40"/>
            </w:pPr>
            <w:r>
              <w:rPr>
                <w:sz w:val="18"/>
              </w:rPr>
              <w:t>Dataset Description &amp; Attribute Specifications</w:t>
            </w:r>
          </w:p>
        </w:tc>
        <w:tc>
          <w:tcPr>
            <w:tcW w:type="dxa" w:w="3120"/>
            <w:shd w:val="clear" w:color="auto" w:fill="F4F7FA"/>
          </w:tcPr>
          <w:p>
            <w:pPr>
              <w:spacing w:before="40" w:after="40"/>
            </w:pPr>
            <w:r>
              <w:rPr>
                <w:sz w:val="18"/>
              </w:rPr>
              <w:t>4</w:t>
            </w:r>
          </w:p>
        </w:tc>
      </w:tr>
      <w:tr>
        <w:tc>
          <w:tcPr>
            <w:tcW w:type="dxa" w:w="3120"/>
            <w:shd w:val="clear" w:color="auto" w:fill="FFFFFF"/>
          </w:tcPr>
          <w:p>
            <w:pPr>
              <w:spacing w:before="40" w:after="40"/>
            </w:pPr>
            <w:r>
              <w:rPr>
                <w:sz w:val="18"/>
              </w:rPr>
              <w:t>3.0</w:t>
            </w:r>
          </w:p>
        </w:tc>
        <w:tc>
          <w:tcPr>
            <w:tcW w:type="dxa" w:w="3120"/>
            <w:shd w:val="clear" w:color="auto" w:fill="FFFFFF"/>
          </w:tcPr>
          <w:p>
            <w:pPr>
              <w:spacing w:before="40" w:after="40"/>
            </w:pPr>
            <w:r>
              <w:rPr>
                <w:sz w:val="18"/>
              </w:rPr>
              <w:t>Data Cleaning &amp; Preprocessing using Pandas</w:t>
            </w:r>
          </w:p>
        </w:tc>
        <w:tc>
          <w:tcPr>
            <w:tcW w:type="dxa" w:w="3120"/>
            <w:shd w:val="clear" w:color="auto" w:fill="FFFFFF"/>
          </w:tcPr>
          <w:p>
            <w:pPr>
              <w:spacing w:before="40" w:after="40"/>
            </w:pPr>
            <w:r>
              <w:rPr>
                <w:sz w:val="18"/>
              </w:rPr>
              <w:t>5</w:t>
            </w:r>
          </w:p>
        </w:tc>
      </w:tr>
      <w:tr>
        <w:tc>
          <w:tcPr>
            <w:tcW w:type="dxa" w:w="3120"/>
            <w:shd w:val="clear" w:color="auto" w:fill="F4F7FA"/>
          </w:tcPr>
          <w:p>
            <w:pPr>
              <w:spacing w:before="40" w:after="40"/>
            </w:pPr>
            <w:r>
              <w:rPr>
                <w:sz w:val="18"/>
              </w:rPr>
              <w:t>4.0</w:t>
            </w:r>
          </w:p>
        </w:tc>
        <w:tc>
          <w:tcPr>
            <w:tcW w:type="dxa" w:w="3120"/>
            <w:shd w:val="clear" w:color="auto" w:fill="F4F7FA"/>
          </w:tcPr>
          <w:p>
            <w:pPr>
              <w:spacing w:before="40" w:after="40"/>
            </w:pPr>
            <w:r>
              <w:rPr>
                <w:sz w:val="18"/>
              </w:rPr>
              <w:t>Exploratory Data Analysis using NumPy &amp; Pandas</w:t>
            </w:r>
          </w:p>
        </w:tc>
        <w:tc>
          <w:tcPr>
            <w:tcW w:type="dxa" w:w="3120"/>
            <w:shd w:val="clear" w:color="auto" w:fill="F4F7FA"/>
          </w:tcPr>
          <w:p>
            <w:pPr>
              <w:spacing w:before="40" w:after="40"/>
            </w:pPr>
            <w:r>
              <w:rPr>
                <w:sz w:val="18"/>
              </w:rPr>
              <w:t>7</w:t>
            </w:r>
          </w:p>
        </w:tc>
      </w:tr>
      <w:tr>
        <w:tc>
          <w:tcPr>
            <w:tcW w:type="dxa" w:w="3120"/>
            <w:shd w:val="clear" w:color="auto" w:fill="FFFFFF"/>
          </w:tcPr>
          <w:p>
            <w:pPr>
              <w:spacing w:before="40" w:after="40"/>
            </w:pPr>
            <w:r>
              <w:rPr>
                <w:sz w:val="18"/>
              </w:rPr>
              <w:t>5.0</w:t>
            </w:r>
          </w:p>
        </w:tc>
        <w:tc>
          <w:tcPr>
            <w:tcW w:type="dxa" w:w="3120"/>
            <w:shd w:val="clear" w:color="auto" w:fill="FFFFFF"/>
          </w:tcPr>
          <w:p>
            <w:pPr>
              <w:spacing w:before="40" w:after="40"/>
            </w:pPr>
            <w:r>
              <w:rPr>
                <w:sz w:val="18"/>
              </w:rPr>
              <w:t>Data Visualization &amp; Graphical Insights (9 Figures)</w:t>
            </w:r>
          </w:p>
        </w:tc>
        <w:tc>
          <w:tcPr>
            <w:tcW w:type="dxa" w:w="3120"/>
            <w:shd w:val="clear" w:color="auto" w:fill="FFFFFF"/>
          </w:tcPr>
          <w:p>
            <w:pPr>
              <w:spacing w:before="40" w:after="40"/>
            </w:pPr>
            <w:r>
              <w:rPr>
                <w:sz w:val="18"/>
              </w:rPr>
              <w:t>10</w:t>
            </w:r>
          </w:p>
        </w:tc>
      </w:tr>
      <w:tr>
        <w:tc>
          <w:tcPr>
            <w:tcW w:type="dxa" w:w="3120"/>
            <w:shd w:val="clear" w:color="auto" w:fill="F4F7FA"/>
          </w:tcPr>
          <w:p>
            <w:pPr>
              <w:spacing w:before="40" w:after="40"/>
            </w:pPr>
            <w:r>
              <w:rPr>
                <w:sz w:val="18"/>
              </w:rPr>
              <w:t>6.0</w:t>
            </w:r>
          </w:p>
        </w:tc>
        <w:tc>
          <w:tcPr>
            <w:tcW w:type="dxa" w:w="3120"/>
            <w:shd w:val="clear" w:color="auto" w:fill="F4F7FA"/>
          </w:tcPr>
          <w:p>
            <w:pPr>
              <w:spacing w:before="40" w:after="40"/>
            </w:pPr>
            <w:r>
              <w:rPr>
                <w:sz w:val="18"/>
              </w:rPr>
              <w:t>Key Findings &amp; Empirical Statistical Observations</w:t>
            </w:r>
          </w:p>
        </w:tc>
        <w:tc>
          <w:tcPr>
            <w:tcW w:type="dxa" w:w="3120"/>
            <w:shd w:val="clear" w:color="auto" w:fill="F4F7FA"/>
          </w:tcPr>
          <w:p>
            <w:pPr>
              <w:spacing w:before="40" w:after="40"/>
            </w:pPr>
            <w:r>
              <w:rPr>
                <w:sz w:val="18"/>
              </w:rPr>
              <w:t>16</w:t>
            </w:r>
          </w:p>
        </w:tc>
      </w:tr>
      <w:tr>
        <w:tc>
          <w:tcPr>
            <w:tcW w:type="dxa" w:w="3120"/>
            <w:shd w:val="clear" w:color="auto" w:fill="FFFFFF"/>
          </w:tcPr>
          <w:p>
            <w:pPr>
              <w:spacing w:before="40" w:after="40"/>
            </w:pPr>
            <w:r>
              <w:rPr>
                <w:sz w:val="18"/>
              </w:rPr>
              <w:t>7.0</w:t>
            </w:r>
          </w:p>
        </w:tc>
        <w:tc>
          <w:tcPr>
            <w:tcW w:type="dxa" w:w="3120"/>
            <w:shd w:val="clear" w:color="auto" w:fill="FFFFFF"/>
          </w:tcPr>
          <w:p>
            <w:pPr>
              <w:spacing w:before="40" w:after="40"/>
            </w:pPr>
            <w:r>
              <w:rPr>
                <w:sz w:val="18"/>
              </w:rPr>
              <w:t>Conclusion &amp; Educational Policy Recommendations</w:t>
            </w:r>
          </w:p>
        </w:tc>
        <w:tc>
          <w:tcPr>
            <w:tcW w:type="dxa" w:w="3120"/>
            <w:shd w:val="clear" w:color="auto" w:fill="FFFFFF"/>
          </w:tcPr>
          <w:p>
            <w:pPr>
              <w:spacing w:before="40" w:after="40"/>
            </w:pPr>
            <w:r>
              <w:rPr>
                <w:sz w:val="18"/>
              </w:rPr>
              <w:t>18</w:t>
            </w:r>
          </w:p>
        </w:tc>
      </w:tr>
    </w:tbl>
    <w:p/>
    <w:p>
      <w:pPr>
        <w:pStyle w:val="Heading2"/>
        <w:spacing w:before="260" w:after="80"/>
      </w:pPr>
      <w:r>
        <w:rPr>
          <w:b/>
          <w:color w:val="2B4C7E"/>
          <w:sz w:val="26"/>
        </w:rPr>
        <w:t>List of Figures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Figure ID</w:t>
            </w:r>
          </w:p>
        </w:tc>
        <w:tc>
          <w:tcPr>
            <w:tcW w:type="dxa" w:w="3120"/>
            <w:shd w:val="clear" w:color="auto" w:fill="1B365D"/>
          </w:tcPr>
          <w:p>
            <w:pPr>
              <w:spacing w:before="60" w:after="60"/>
            </w:pPr>
            <w:r>
              <w:rPr>
                <w:b/>
                <w:color w:val="FFFFFF"/>
                <w:sz w:val="19"/>
              </w:rPr>
              <w:t>Figure Title / Visualization Type</w:t>
            </w:r>
          </w:p>
        </w:tc>
        <w:tc>
          <w:tcPr>
            <w:tcW w:type="dxa" w:w="3120"/>
            <w:shd w:val="clear" w:color="auto" w:fill="1B365D"/>
          </w:tcPr>
          <w:p>
            <w:pPr>
              <w:spacing w:before="60" w:after="60"/>
            </w:pPr>
            <w:r>
              <w:rPr>
                <w:b/>
                <w:color w:val="FFFFFF"/>
                <w:sz w:val="19"/>
              </w:rPr>
              <w:t>Analytical Objective</w:t>
            </w:r>
          </w:p>
        </w:tc>
      </w:tr>
      <w:tr>
        <w:tc>
          <w:tcPr>
            <w:tcW w:type="dxa" w:w="3120"/>
            <w:shd w:val="clear" w:color="auto" w:fill="FFFFFF"/>
          </w:tcPr>
          <w:p>
            <w:pPr>
              <w:spacing w:before="40" w:after="40"/>
            </w:pPr>
            <w:r>
              <w:rPr>
                <w:sz w:val="18"/>
              </w:rPr>
              <w:t>Figure 1</w:t>
            </w:r>
          </w:p>
        </w:tc>
        <w:tc>
          <w:tcPr>
            <w:tcW w:type="dxa" w:w="3120"/>
            <w:shd w:val="clear" w:color="auto" w:fill="FFFFFF"/>
          </w:tcPr>
          <w:p>
            <w:pPr>
              <w:spacing w:before="40" w:after="40"/>
            </w:pPr>
            <w:r>
              <w:rPr>
                <w:sz w:val="18"/>
              </w:rPr>
              <w:t>Matplotlib Line Plot: Weekly Study Hours vs. Average Score</w:t>
            </w:r>
          </w:p>
        </w:tc>
        <w:tc>
          <w:tcPr>
            <w:tcW w:type="dxa" w:w="3120"/>
            <w:shd w:val="clear" w:color="auto" w:fill="FFFFFF"/>
          </w:tcPr>
          <w:p>
            <w:pPr>
              <w:spacing w:before="40" w:after="40"/>
            </w:pPr>
            <w:r>
              <w:rPr>
                <w:sz w:val="18"/>
              </w:rPr>
              <w:t>Evaluate performance scaling with study duration</w:t>
            </w:r>
          </w:p>
        </w:tc>
      </w:tr>
      <w:tr>
        <w:tc>
          <w:tcPr>
            <w:tcW w:type="dxa" w:w="3120"/>
            <w:shd w:val="clear" w:color="auto" w:fill="F4F7FA"/>
          </w:tcPr>
          <w:p>
            <w:pPr>
              <w:spacing w:before="40" w:after="40"/>
            </w:pPr>
            <w:r>
              <w:rPr>
                <w:sz w:val="18"/>
              </w:rPr>
              <w:t>Figure 2</w:t>
            </w:r>
          </w:p>
        </w:tc>
        <w:tc>
          <w:tcPr>
            <w:tcW w:type="dxa" w:w="3120"/>
            <w:shd w:val="clear" w:color="auto" w:fill="F4F7FA"/>
          </w:tcPr>
          <w:p>
            <w:pPr>
              <w:spacing w:before="40" w:after="40"/>
            </w:pPr>
            <w:r>
              <w:rPr>
                <w:sz w:val="18"/>
              </w:rPr>
              <w:t>Matplotlib Grouped Bar Chart: Subject Marks by Gender</w:t>
            </w:r>
          </w:p>
        </w:tc>
        <w:tc>
          <w:tcPr>
            <w:tcW w:type="dxa" w:w="3120"/>
            <w:shd w:val="clear" w:color="auto" w:fill="F4F7FA"/>
          </w:tcPr>
          <w:p>
            <w:pPr>
              <w:spacing w:before="40" w:after="40"/>
            </w:pPr>
            <w:r>
              <w:rPr>
                <w:sz w:val="18"/>
              </w:rPr>
              <w:t>Examine gender distribution across STEM and Humanities</w:t>
            </w:r>
          </w:p>
        </w:tc>
      </w:tr>
      <w:tr>
        <w:tc>
          <w:tcPr>
            <w:tcW w:type="dxa" w:w="3120"/>
            <w:shd w:val="clear" w:color="auto" w:fill="FFFFFF"/>
          </w:tcPr>
          <w:p>
            <w:pPr>
              <w:spacing w:before="40" w:after="40"/>
            </w:pPr>
            <w:r>
              <w:rPr>
                <w:sz w:val="18"/>
              </w:rPr>
              <w:t>Figure 3</w:t>
            </w:r>
          </w:p>
        </w:tc>
        <w:tc>
          <w:tcPr>
            <w:tcW w:type="dxa" w:w="3120"/>
            <w:shd w:val="clear" w:color="auto" w:fill="FFFFFF"/>
          </w:tcPr>
          <w:p>
            <w:pPr>
              <w:spacing w:before="40" w:after="40"/>
            </w:pPr>
            <w:r>
              <w:rPr>
                <w:sz w:val="18"/>
              </w:rPr>
              <w:t>Matplotlib Histogram &amp; KDE: Overall Score Distribution</w:t>
            </w:r>
          </w:p>
        </w:tc>
        <w:tc>
          <w:tcPr>
            <w:tcW w:type="dxa" w:w="3120"/>
            <w:shd w:val="clear" w:color="auto" w:fill="FFFFFF"/>
          </w:tcPr>
          <w:p>
            <w:pPr>
              <w:spacing w:before="40" w:after="40"/>
            </w:pPr>
            <w:r>
              <w:rPr>
                <w:sz w:val="18"/>
              </w:rPr>
              <w:t>Assess normality, skewness, and variance of final marks</w:t>
            </w:r>
          </w:p>
        </w:tc>
      </w:tr>
      <w:tr>
        <w:tc>
          <w:tcPr>
            <w:tcW w:type="dxa" w:w="3120"/>
            <w:shd w:val="clear" w:color="auto" w:fill="F4F7FA"/>
          </w:tcPr>
          <w:p>
            <w:pPr>
              <w:spacing w:before="40" w:after="40"/>
            </w:pPr>
            <w:r>
              <w:rPr>
                <w:sz w:val="18"/>
              </w:rPr>
              <w:t>Figure 4</w:t>
            </w:r>
          </w:p>
        </w:tc>
        <w:tc>
          <w:tcPr>
            <w:tcW w:type="dxa" w:w="3120"/>
            <w:shd w:val="clear" w:color="auto" w:fill="F4F7FA"/>
          </w:tcPr>
          <w:p>
            <w:pPr>
              <w:spacing w:before="40" w:after="40"/>
            </w:pPr>
            <w:r>
              <w:rPr>
                <w:sz w:val="18"/>
              </w:rPr>
              <w:t>Matplotlib Scatter Plot &amp; Trendline: Attendance vs. Marks</w:t>
            </w:r>
          </w:p>
        </w:tc>
        <w:tc>
          <w:tcPr>
            <w:tcW w:type="dxa" w:w="3120"/>
            <w:shd w:val="clear" w:color="auto" w:fill="F4F7FA"/>
          </w:tcPr>
          <w:p>
            <w:pPr>
              <w:spacing w:before="40" w:after="40"/>
            </w:pPr>
            <w:r>
              <w:rPr>
                <w:sz w:val="18"/>
              </w:rPr>
              <w:t>Analyze attendance threshold impacts on grades</w:t>
            </w:r>
          </w:p>
        </w:tc>
      </w:tr>
      <w:tr>
        <w:tc>
          <w:tcPr>
            <w:tcW w:type="dxa" w:w="3120"/>
            <w:shd w:val="clear" w:color="auto" w:fill="FFFFFF"/>
          </w:tcPr>
          <w:p>
            <w:pPr>
              <w:spacing w:before="40" w:after="40"/>
            </w:pPr>
            <w:r>
              <w:rPr>
                <w:sz w:val="18"/>
              </w:rPr>
              <w:t>Figure 5</w:t>
            </w:r>
          </w:p>
        </w:tc>
        <w:tc>
          <w:tcPr>
            <w:tcW w:type="dxa" w:w="3120"/>
            <w:shd w:val="clear" w:color="auto" w:fill="FFFFFF"/>
          </w:tcPr>
          <w:p>
            <w:pPr>
              <w:spacing w:before="40" w:after="40"/>
            </w:pPr>
            <w:r>
              <w:rPr>
                <w:sz w:val="18"/>
              </w:rPr>
              <w:t>Seaborn Box Plot: Average Score by Parental Education Level</w:t>
            </w:r>
          </w:p>
        </w:tc>
        <w:tc>
          <w:tcPr>
            <w:tcW w:type="dxa" w:w="3120"/>
            <w:shd w:val="clear" w:color="auto" w:fill="FFFFFF"/>
          </w:tcPr>
          <w:p>
            <w:pPr>
              <w:spacing w:before="40" w:after="40"/>
            </w:pPr>
            <w:r>
              <w:rPr>
                <w:sz w:val="18"/>
              </w:rPr>
              <w:t>Determine socio-demographic influence on scores</w:t>
            </w:r>
          </w:p>
        </w:tc>
      </w:tr>
      <w:tr>
        <w:tc>
          <w:tcPr>
            <w:tcW w:type="dxa" w:w="3120"/>
            <w:shd w:val="clear" w:color="auto" w:fill="F4F7FA"/>
          </w:tcPr>
          <w:p>
            <w:pPr>
              <w:spacing w:before="40" w:after="40"/>
            </w:pPr>
            <w:r>
              <w:rPr>
                <w:sz w:val="18"/>
              </w:rPr>
              <w:t>Figure 6</w:t>
            </w:r>
          </w:p>
        </w:tc>
        <w:tc>
          <w:tcPr>
            <w:tcW w:type="dxa" w:w="3120"/>
            <w:shd w:val="clear" w:color="auto" w:fill="F4F7FA"/>
          </w:tcPr>
          <w:p>
            <w:pPr>
              <w:spacing w:before="40" w:after="40"/>
            </w:pPr>
            <w:r>
              <w:rPr>
                <w:sz w:val="18"/>
              </w:rPr>
              <w:t>Seaborn Violin Plot: Math Score Density by Gender</w:t>
            </w:r>
          </w:p>
        </w:tc>
        <w:tc>
          <w:tcPr>
            <w:tcW w:type="dxa" w:w="3120"/>
            <w:shd w:val="clear" w:color="auto" w:fill="F4F7FA"/>
          </w:tcPr>
          <w:p>
            <w:pPr>
              <w:spacing w:before="40" w:after="40"/>
            </w:pPr>
            <w:r>
              <w:rPr>
                <w:sz w:val="18"/>
              </w:rPr>
              <w:t>Uncover modal distributions and dispersion in mathematics</w:t>
            </w:r>
          </w:p>
        </w:tc>
      </w:tr>
      <w:tr>
        <w:tc>
          <w:tcPr>
            <w:tcW w:type="dxa" w:w="3120"/>
            <w:shd w:val="clear" w:color="auto" w:fill="FFFFFF"/>
          </w:tcPr>
          <w:p>
            <w:pPr>
              <w:spacing w:before="40" w:after="40"/>
            </w:pPr>
            <w:r>
              <w:rPr>
                <w:sz w:val="18"/>
              </w:rPr>
              <w:t>Figure 7</w:t>
            </w:r>
          </w:p>
        </w:tc>
        <w:tc>
          <w:tcPr>
            <w:tcW w:type="dxa" w:w="3120"/>
            <w:shd w:val="clear" w:color="auto" w:fill="FFFFFF"/>
          </w:tcPr>
          <w:p>
            <w:pPr>
              <w:spacing w:before="40" w:after="40"/>
            </w:pPr>
            <w:r>
              <w:rPr>
                <w:sz w:val="18"/>
              </w:rPr>
              <w:t>Seaborn Heatmap: Correlation Matrix of Academic Features</w:t>
            </w:r>
          </w:p>
        </w:tc>
        <w:tc>
          <w:tcPr>
            <w:tcW w:type="dxa" w:w="3120"/>
            <w:shd w:val="clear" w:color="auto" w:fill="FFFFFF"/>
          </w:tcPr>
          <w:p>
            <w:pPr>
              <w:spacing w:before="40" w:after="40"/>
            </w:pPr>
            <w:r>
              <w:rPr>
                <w:sz w:val="18"/>
              </w:rPr>
              <w:t>Quantify pairwise Pearson linear correlation coefficients</w:t>
            </w:r>
          </w:p>
        </w:tc>
      </w:tr>
      <w:tr>
        <w:tc>
          <w:tcPr>
            <w:tcW w:type="dxa" w:w="3120"/>
            <w:shd w:val="clear" w:color="auto" w:fill="F4F7FA"/>
          </w:tcPr>
          <w:p>
            <w:pPr>
              <w:spacing w:before="40" w:after="40"/>
            </w:pPr>
            <w:r>
              <w:rPr>
                <w:sz w:val="18"/>
              </w:rPr>
              <w:t>Figure 8</w:t>
            </w:r>
          </w:p>
        </w:tc>
        <w:tc>
          <w:tcPr>
            <w:tcW w:type="dxa" w:w="3120"/>
            <w:shd w:val="clear" w:color="auto" w:fill="F4F7FA"/>
          </w:tcPr>
          <w:p>
            <w:pPr>
              <w:spacing w:before="40" w:after="40"/>
            </w:pPr>
            <w:r>
              <w:rPr>
                <w:sz w:val="18"/>
              </w:rPr>
              <w:t>Seaborn Count Plot: Test Preparation Status by Gender</w:t>
            </w:r>
          </w:p>
        </w:tc>
        <w:tc>
          <w:tcPr>
            <w:tcW w:type="dxa" w:w="3120"/>
            <w:shd w:val="clear" w:color="auto" w:fill="F4F7FA"/>
          </w:tcPr>
          <w:p>
            <w:pPr>
              <w:spacing w:before="40" w:after="40"/>
            </w:pPr>
            <w:r>
              <w:rPr>
                <w:sz w:val="18"/>
              </w:rPr>
              <w:t>Survey course participation rates across demographics</w:t>
            </w:r>
          </w:p>
        </w:tc>
      </w:tr>
      <w:tr>
        <w:tc>
          <w:tcPr>
            <w:tcW w:type="dxa" w:w="3120"/>
            <w:shd w:val="clear" w:color="auto" w:fill="FFFFFF"/>
          </w:tcPr>
          <w:p>
            <w:pPr>
              <w:spacing w:before="40" w:after="40"/>
            </w:pPr>
            <w:r>
              <w:rPr>
                <w:sz w:val="18"/>
              </w:rPr>
              <w:t>Figure 9</w:t>
            </w:r>
          </w:p>
        </w:tc>
        <w:tc>
          <w:tcPr>
            <w:tcW w:type="dxa" w:w="3120"/>
            <w:shd w:val="clear" w:color="auto" w:fill="FFFFFF"/>
          </w:tcPr>
          <w:p>
            <w:pPr>
              <w:spacing w:before="40" w:after="40"/>
            </w:pPr>
            <w:r>
              <w:rPr>
                <w:sz w:val="18"/>
              </w:rPr>
              <w:t>Seaborn Pair Plot: Multivariate Score Relationships</w:t>
            </w:r>
          </w:p>
        </w:tc>
        <w:tc>
          <w:tcPr>
            <w:tcW w:type="dxa" w:w="3120"/>
            <w:shd w:val="clear" w:color="auto" w:fill="FFFFFF"/>
          </w:tcPr>
          <w:p>
            <w:pPr>
              <w:spacing w:before="40" w:after="40"/>
            </w:pPr>
            <w:r>
              <w:rPr>
                <w:sz w:val="18"/>
              </w:rPr>
              <w:t>Multi-dimensional feature interaction and clustering</w:t>
            </w:r>
          </w:p>
        </w:tc>
      </w:tr>
    </w:tbl>
    <w:p/>
    <w:p>
      <w:pPr>
        <w:pStyle w:val="Heading2"/>
        <w:spacing w:before="260" w:after="80"/>
      </w:pPr>
      <w:r>
        <w:rPr>
          <w:b/>
          <w:color w:val="2B4C7E"/>
          <w:sz w:val="26"/>
        </w:rPr>
        <w:t>List of Tables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Table ID</w:t>
            </w:r>
          </w:p>
        </w:tc>
        <w:tc>
          <w:tcPr>
            <w:tcW w:type="dxa" w:w="3120"/>
            <w:shd w:val="clear" w:color="auto" w:fill="1B365D"/>
          </w:tcPr>
          <w:p>
            <w:pPr>
              <w:spacing w:before="60" w:after="60"/>
            </w:pPr>
            <w:r>
              <w:rPr>
                <w:b/>
                <w:color w:val="FFFFFF"/>
                <w:sz w:val="19"/>
              </w:rPr>
              <w:t>Table Description</w:t>
            </w:r>
          </w:p>
        </w:tc>
        <w:tc>
          <w:tcPr>
            <w:tcW w:type="dxa" w:w="3120"/>
            <w:shd w:val="clear" w:color="auto" w:fill="1B365D"/>
          </w:tcPr>
          <w:p>
            <w:pPr>
              <w:spacing w:before="60" w:after="60"/>
            </w:pPr>
            <w:r>
              <w:rPr>
                <w:b/>
                <w:color w:val="FFFFFF"/>
                <w:sz w:val="19"/>
              </w:rPr>
              <w:t>Section</w:t>
            </w:r>
          </w:p>
        </w:tc>
      </w:tr>
      <w:tr>
        <w:tc>
          <w:tcPr>
            <w:tcW w:type="dxa" w:w="3120"/>
            <w:shd w:val="clear" w:color="auto" w:fill="FFFFFF"/>
          </w:tcPr>
          <w:p>
            <w:pPr>
              <w:spacing w:before="40" w:after="40"/>
            </w:pPr>
            <w:r>
              <w:rPr>
                <w:sz w:val="18"/>
              </w:rPr>
              <w:t>Table 2.1</w:t>
            </w:r>
          </w:p>
        </w:tc>
        <w:tc>
          <w:tcPr>
            <w:tcW w:type="dxa" w:w="3120"/>
            <w:shd w:val="clear" w:color="auto" w:fill="FFFFFF"/>
          </w:tcPr>
          <w:p>
            <w:pPr>
              <w:spacing w:before="40" w:after="40"/>
            </w:pPr>
            <w:r>
              <w:rPr>
                <w:sz w:val="18"/>
              </w:rPr>
              <w:t>Schema Definition and Feature Metadata</w:t>
            </w:r>
          </w:p>
        </w:tc>
        <w:tc>
          <w:tcPr>
            <w:tcW w:type="dxa" w:w="3120"/>
            <w:shd w:val="clear" w:color="auto" w:fill="FFFFFF"/>
          </w:tcPr>
          <w:p>
            <w:pPr>
              <w:spacing w:before="40" w:after="40"/>
            </w:pPr>
            <w:r>
              <w:rPr>
                <w:sz w:val="18"/>
              </w:rPr>
              <w:t>Section 2.0</w:t>
            </w:r>
          </w:p>
        </w:tc>
      </w:tr>
      <w:tr>
        <w:tc>
          <w:tcPr>
            <w:tcW w:type="dxa" w:w="3120"/>
            <w:shd w:val="clear" w:color="auto" w:fill="F4F7FA"/>
          </w:tcPr>
          <w:p>
            <w:pPr>
              <w:spacing w:before="40" w:after="40"/>
            </w:pPr>
            <w:r>
              <w:rPr>
                <w:sz w:val="18"/>
              </w:rPr>
              <w:t>Table 3.1</w:t>
            </w:r>
          </w:p>
        </w:tc>
        <w:tc>
          <w:tcPr>
            <w:tcW w:type="dxa" w:w="3120"/>
            <w:shd w:val="clear" w:color="auto" w:fill="F4F7FA"/>
          </w:tcPr>
          <w:p>
            <w:pPr>
              <w:spacing w:before="40" w:after="40"/>
            </w:pPr>
            <w:r>
              <w:rPr>
                <w:sz w:val="18"/>
              </w:rPr>
              <w:t>Missing Value Audit and Imputation Strategy</w:t>
            </w:r>
          </w:p>
        </w:tc>
        <w:tc>
          <w:tcPr>
            <w:tcW w:type="dxa" w:w="3120"/>
            <w:shd w:val="clear" w:color="auto" w:fill="F4F7FA"/>
          </w:tcPr>
          <w:p>
            <w:pPr>
              <w:spacing w:before="40" w:after="40"/>
            </w:pPr>
            <w:r>
              <w:rPr>
                <w:sz w:val="18"/>
              </w:rPr>
              <w:t>Section 3.0</w:t>
            </w:r>
          </w:p>
        </w:tc>
      </w:tr>
      <w:tr>
        <w:tc>
          <w:tcPr>
            <w:tcW w:type="dxa" w:w="3120"/>
            <w:shd w:val="clear" w:color="auto" w:fill="FFFFFF"/>
          </w:tcPr>
          <w:p>
            <w:pPr>
              <w:spacing w:before="40" w:after="40"/>
            </w:pPr>
            <w:r>
              <w:rPr>
                <w:sz w:val="18"/>
              </w:rPr>
              <w:t>Table 4.1</w:t>
            </w:r>
          </w:p>
        </w:tc>
        <w:tc>
          <w:tcPr>
            <w:tcW w:type="dxa" w:w="3120"/>
            <w:shd w:val="clear" w:color="auto" w:fill="FFFFFF"/>
          </w:tcPr>
          <w:p>
            <w:pPr>
              <w:spacing w:before="40" w:after="40"/>
            </w:pPr>
            <w:r>
              <w:rPr>
                <w:sz w:val="18"/>
              </w:rPr>
              <w:t>Parametric Descriptive Statistics Summary</w:t>
            </w:r>
          </w:p>
        </w:tc>
        <w:tc>
          <w:tcPr>
            <w:tcW w:type="dxa" w:w="3120"/>
            <w:shd w:val="clear" w:color="auto" w:fill="FFFFFF"/>
          </w:tcPr>
          <w:p>
            <w:pPr>
              <w:spacing w:before="40" w:after="40"/>
            </w:pPr>
            <w:r>
              <w:rPr>
                <w:sz w:val="18"/>
              </w:rPr>
              <w:t>Section 4.0</w:t>
            </w:r>
          </w:p>
        </w:tc>
      </w:tr>
      <w:tr>
        <w:tc>
          <w:tcPr>
            <w:tcW w:type="dxa" w:w="3120"/>
            <w:shd w:val="clear" w:color="auto" w:fill="F4F7FA"/>
          </w:tcPr>
          <w:p>
            <w:pPr>
              <w:spacing w:before="40" w:after="40"/>
            </w:pPr>
            <w:r>
              <w:rPr>
                <w:sz w:val="18"/>
              </w:rPr>
              <w:t>Table 4.2</w:t>
            </w:r>
          </w:p>
        </w:tc>
        <w:tc>
          <w:tcPr>
            <w:tcW w:type="dxa" w:w="3120"/>
            <w:shd w:val="clear" w:color="auto" w:fill="F4F7FA"/>
          </w:tcPr>
          <w:p>
            <w:pPr>
              <w:spacing w:before="40" w:after="40"/>
            </w:pPr>
            <w:r>
              <w:rPr>
                <w:sz w:val="18"/>
              </w:rPr>
              <w:t>Disaggregated Performance by Gender</w:t>
            </w:r>
          </w:p>
        </w:tc>
        <w:tc>
          <w:tcPr>
            <w:tcW w:type="dxa" w:w="3120"/>
            <w:shd w:val="clear" w:color="auto" w:fill="F4F7FA"/>
          </w:tcPr>
          <w:p>
            <w:pPr>
              <w:spacing w:before="40" w:after="40"/>
            </w:pPr>
            <w:r>
              <w:rPr>
                <w:sz w:val="18"/>
              </w:rPr>
              <w:t>Section 4.0</w:t>
            </w:r>
          </w:p>
        </w:tc>
      </w:tr>
      <w:tr>
        <w:tc>
          <w:tcPr>
            <w:tcW w:type="dxa" w:w="3120"/>
            <w:shd w:val="clear" w:color="auto" w:fill="FFFFFF"/>
          </w:tcPr>
          <w:p>
            <w:pPr>
              <w:spacing w:before="40" w:after="40"/>
            </w:pPr>
            <w:r>
              <w:rPr>
                <w:sz w:val="18"/>
              </w:rPr>
              <w:t>Table 4.3</w:t>
            </w:r>
          </w:p>
        </w:tc>
        <w:tc>
          <w:tcPr>
            <w:tcW w:type="dxa" w:w="3120"/>
            <w:shd w:val="clear" w:color="auto" w:fill="FFFFFF"/>
          </w:tcPr>
          <w:p>
            <w:pPr>
              <w:spacing w:before="40" w:after="40"/>
            </w:pPr>
            <w:r>
              <w:rPr>
                <w:sz w:val="18"/>
              </w:rPr>
              <w:t>Hierarchical Aggregation by Parental Education Level</w:t>
            </w:r>
          </w:p>
        </w:tc>
        <w:tc>
          <w:tcPr>
            <w:tcW w:type="dxa" w:w="3120"/>
            <w:shd w:val="clear" w:color="auto" w:fill="FFFFFF"/>
          </w:tcPr>
          <w:p>
            <w:pPr>
              <w:spacing w:before="40" w:after="40"/>
            </w:pPr>
            <w:r>
              <w:rPr>
                <w:sz w:val="18"/>
              </w:rPr>
              <w:t>Section 4.0</w:t>
            </w:r>
          </w:p>
        </w:tc>
      </w:tr>
      <w:tr>
        <w:tc>
          <w:tcPr>
            <w:tcW w:type="dxa" w:w="3120"/>
            <w:shd w:val="clear" w:color="auto" w:fill="F4F7FA"/>
          </w:tcPr>
          <w:p>
            <w:pPr>
              <w:spacing w:before="40" w:after="40"/>
            </w:pPr>
            <w:r>
              <w:rPr>
                <w:sz w:val="18"/>
              </w:rPr>
              <w:t>Table 4.4</w:t>
            </w:r>
          </w:p>
        </w:tc>
        <w:tc>
          <w:tcPr>
            <w:tcW w:type="dxa" w:w="3120"/>
            <w:shd w:val="clear" w:color="auto" w:fill="F4F7FA"/>
          </w:tcPr>
          <w:p>
            <w:pPr>
              <w:spacing w:before="40" w:after="40"/>
            </w:pPr>
            <w:r>
              <w:rPr>
                <w:sz w:val="18"/>
              </w:rPr>
              <w:t>Pearson Correlation Coefficient Matrix</w:t>
            </w:r>
          </w:p>
        </w:tc>
        <w:tc>
          <w:tcPr>
            <w:tcW w:type="dxa" w:w="3120"/>
            <w:shd w:val="clear" w:color="auto" w:fill="F4F7FA"/>
          </w:tcPr>
          <w:p>
            <w:pPr>
              <w:spacing w:before="40" w:after="40"/>
            </w:pPr>
            <w:r>
              <w:rPr>
                <w:sz w:val="18"/>
              </w:rPr>
              <w:t>Section 4.0</w:t>
            </w:r>
          </w:p>
        </w:tc>
      </w:tr>
    </w:tbl>
    <w:p/>
    <w:p>
      <w:r>
        <w:br w:type="page"/>
      </w:r>
    </w:p>
    <w:p>
      <w:pPr>
        <w:pStyle w:val="Heading1"/>
        <w:spacing w:before="360" w:after="120"/>
      </w:pPr>
      <w:r>
        <w:rPr>
          <w:b/>
          <w:color w:val="1B365D"/>
          <w:sz w:val="33"/>
        </w:rPr>
        <w:t>1.0 Problem Statement &amp; Educational Context</w:t>
      </w:r>
    </w:p>
    <w:p>
      <w:pPr>
        <w:spacing w:after="120" w:line="276" w:lineRule="auto"/>
      </w:pPr>
      <w:r>
        <w:t>Modern educational institutions face critical challenges in monitoring student progress, understanding disparities in learning outcomes, and proactively intervening before academic failure occurs. Traditional educational reporting relies on retrospective, static tabulations that fail to isolate the underlying determinants of academic success. For instance, questions regarding the extent to which self-study compensates for lower attendance, whether parental educational attainment creates an unbridgeable attainment gap, or how test preparation programs impact diverse subjects remain inadequately quantified in typical campus reporting systems.</w:t>
      </w:r>
    </w:p>
    <w:p>
      <w:pPr>
        <w:spacing w:after="120" w:line="276" w:lineRule="auto"/>
      </w:pPr>
      <w:r>
        <w:t>This project formulates an end-to-end Data Analytics Case Study designed to answer these foundational empirical questions using Python. By applying scientific computing (NumPy), high-performance dataframe manipulation (Pandas), and publication-quality statistical visualization (Matplotlib and Seaborn), the case study systematically explores a dataset of 1,000 student academic profiles. The ultimate objective is to engineer an automated, reproducible data intelligence pipeline that parses raw administrative datasets, cleans anomalies, extracts actionable statistical insights, and generates visual decision-support graphics for academic mentors, department chairs, and university policymakers.</w:t>
      </w:r>
    </w:p>
    <w:p>
      <w:pPr>
        <w:pStyle w:val="Heading1"/>
        <w:spacing w:before="360" w:after="120"/>
      </w:pPr>
      <w:r>
        <w:rPr>
          <w:b/>
          <w:color w:val="1B365D"/>
          <w:sz w:val="33"/>
        </w:rPr>
        <w:t>2.0 Dataset Description &amp; Attribute Specifications</w:t>
      </w:r>
    </w:p>
    <w:p>
      <w:pPr>
        <w:spacing w:after="120" w:line="276" w:lineRule="auto"/>
      </w:pPr>
      <w:r>
        <w:t>The analytical dataset comprises 1,000 unique student profiles (synthesized from standardized institutional distributions) containing 10 core demographic, behavioral, and academic achievement variables. The records capture the primary dimensions that pedagogical research identifies as critical drivers of student achievement.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Feature Name</w:t>
            </w:r>
          </w:p>
        </w:tc>
        <w:tc>
          <w:tcPr>
            <w:tcW w:type="dxa" w:w="2340"/>
            <w:shd w:val="clear" w:color="auto" w:fill="1B365D"/>
          </w:tcPr>
          <w:p>
            <w:pPr>
              <w:spacing w:before="60" w:after="60"/>
            </w:pPr>
            <w:r>
              <w:rPr>
                <w:b/>
                <w:color w:val="FFFFFF"/>
                <w:sz w:val="19"/>
              </w:rPr>
              <w:t>Data Type</w:t>
            </w:r>
          </w:p>
        </w:tc>
        <w:tc>
          <w:tcPr>
            <w:tcW w:type="dxa" w:w="2340"/>
            <w:shd w:val="clear" w:color="auto" w:fill="1B365D"/>
          </w:tcPr>
          <w:p>
            <w:pPr>
              <w:spacing w:before="60" w:after="60"/>
            </w:pPr>
            <w:r>
              <w:rPr>
                <w:b/>
                <w:color w:val="FFFFFF"/>
                <w:sz w:val="19"/>
              </w:rPr>
              <w:t>Operational Definition</w:t>
            </w:r>
          </w:p>
        </w:tc>
        <w:tc>
          <w:tcPr>
            <w:tcW w:type="dxa" w:w="2340"/>
            <w:shd w:val="clear" w:color="auto" w:fill="1B365D"/>
          </w:tcPr>
          <w:p>
            <w:pPr>
              <w:spacing w:before="60" w:after="60"/>
            </w:pPr>
            <w:r>
              <w:rPr>
                <w:b/>
                <w:color w:val="FFFFFF"/>
                <w:sz w:val="19"/>
              </w:rPr>
              <w:t>Validation Constraint</w:t>
            </w:r>
          </w:p>
        </w:tc>
      </w:tr>
      <w:tr>
        <w:tc>
          <w:tcPr>
            <w:tcW w:type="dxa" w:w="2340"/>
            <w:shd w:val="clear" w:color="auto" w:fill="FFFFFF"/>
          </w:tcPr>
          <w:p>
            <w:pPr>
              <w:spacing w:before="40" w:after="40"/>
            </w:pPr>
            <w:r>
              <w:rPr>
                <w:sz w:val="18"/>
              </w:rPr>
              <w:t>student_id</w:t>
            </w:r>
          </w:p>
        </w:tc>
        <w:tc>
          <w:tcPr>
            <w:tcW w:type="dxa" w:w="2340"/>
            <w:shd w:val="clear" w:color="auto" w:fill="FFFFFF"/>
          </w:tcPr>
          <w:p>
            <w:pPr>
              <w:spacing w:before="40" w:after="40"/>
            </w:pPr>
            <w:r>
              <w:rPr>
                <w:sz w:val="18"/>
              </w:rPr>
              <w:t>Integer / Identifier</w:t>
            </w:r>
          </w:p>
        </w:tc>
        <w:tc>
          <w:tcPr>
            <w:tcW w:type="dxa" w:w="2340"/>
            <w:shd w:val="clear" w:color="auto" w:fill="FFFFFF"/>
          </w:tcPr>
          <w:p>
            <w:pPr>
              <w:spacing w:before="40" w:after="40"/>
            </w:pPr>
            <w:r>
              <w:rPr>
                <w:sz w:val="18"/>
              </w:rPr>
              <w:t>Unique academic roll number (e.g., STD-1001 to STD-2000)</w:t>
            </w:r>
          </w:p>
        </w:tc>
        <w:tc>
          <w:tcPr>
            <w:tcW w:type="dxa" w:w="2340"/>
            <w:shd w:val="clear" w:color="auto" w:fill="FFFFFF"/>
          </w:tcPr>
          <w:p>
            <w:pPr>
              <w:spacing w:before="40" w:after="40"/>
            </w:pPr>
            <w:r>
              <w:rPr>
                <w:sz w:val="18"/>
              </w:rPr>
              <w:t>No nulls</w:t>
            </w:r>
          </w:p>
        </w:tc>
      </w:tr>
      <w:tr>
        <w:tc>
          <w:tcPr>
            <w:tcW w:type="dxa" w:w="2340"/>
            <w:shd w:val="clear" w:color="auto" w:fill="F4F7FA"/>
          </w:tcPr>
          <w:p>
            <w:pPr>
              <w:spacing w:before="40" w:after="40"/>
            </w:pPr>
            <w:r>
              <w:rPr>
                <w:sz w:val="18"/>
              </w:rPr>
              <w:t>gender</w:t>
            </w:r>
          </w:p>
        </w:tc>
        <w:tc>
          <w:tcPr>
            <w:tcW w:type="dxa" w:w="2340"/>
            <w:shd w:val="clear" w:color="auto" w:fill="F4F7FA"/>
          </w:tcPr>
          <w:p>
            <w:pPr>
              <w:spacing w:before="40" w:after="40"/>
            </w:pPr>
            <w:r>
              <w:rPr>
                <w:sz w:val="18"/>
              </w:rPr>
              <w:t>Categorical / Nominal</w:t>
            </w:r>
          </w:p>
        </w:tc>
        <w:tc>
          <w:tcPr>
            <w:tcW w:type="dxa" w:w="2340"/>
            <w:shd w:val="clear" w:color="auto" w:fill="F4F7FA"/>
          </w:tcPr>
          <w:p>
            <w:pPr>
              <w:spacing w:before="40" w:after="40"/>
            </w:pPr>
            <w:r>
              <w:rPr>
                <w:sz w:val="18"/>
              </w:rPr>
              <w:t>Student gender: 'female' or 'male'</w:t>
            </w:r>
          </w:p>
        </w:tc>
        <w:tc>
          <w:tcPr>
            <w:tcW w:type="dxa" w:w="2340"/>
            <w:shd w:val="clear" w:color="auto" w:fill="F4F7FA"/>
          </w:tcPr>
          <w:p>
            <w:pPr>
              <w:spacing w:before="40" w:after="40"/>
            </w:pPr>
            <w:r>
              <w:rPr>
                <w:sz w:val="18"/>
              </w:rPr>
              <w:t>Cleaned lowercase</w:t>
            </w:r>
          </w:p>
        </w:tc>
      </w:tr>
      <w:tr>
        <w:tc>
          <w:tcPr>
            <w:tcW w:type="dxa" w:w="2340"/>
            <w:shd w:val="clear" w:color="auto" w:fill="FFFFFF"/>
          </w:tcPr>
          <w:p>
            <w:pPr>
              <w:spacing w:before="40" w:after="40"/>
            </w:pPr>
            <w:r>
              <w:rPr>
                <w:sz w:val="18"/>
              </w:rPr>
              <w:t>parental_education</w:t>
            </w:r>
          </w:p>
        </w:tc>
        <w:tc>
          <w:tcPr>
            <w:tcW w:type="dxa" w:w="2340"/>
            <w:shd w:val="clear" w:color="auto" w:fill="FFFFFF"/>
          </w:tcPr>
          <w:p>
            <w:pPr>
              <w:spacing w:before="40" w:after="40"/>
            </w:pPr>
            <w:r>
              <w:rPr>
                <w:sz w:val="18"/>
              </w:rPr>
              <w:t>Categorical / Ordinal</w:t>
            </w:r>
          </w:p>
        </w:tc>
        <w:tc>
          <w:tcPr>
            <w:tcW w:type="dxa" w:w="2340"/>
            <w:shd w:val="clear" w:color="auto" w:fill="FFFFFF"/>
          </w:tcPr>
          <w:p>
            <w:pPr>
              <w:spacing w:before="40" w:after="40"/>
            </w:pPr>
            <w:r>
              <w:rPr>
                <w:sz w:val="18"/>
              </w:rPr>
              <w:t>Highest level of parent education (5 ordinal tiers)</w:t>
            </w:r>
          </w:p>
        </w:tc>
        <w:tc>
          <w:tcPr>
            <w:tcW w:type="dxa" w:w="2340"/>
            <w:shd w:val="clear" w:color="auto" w:fill="FFFFFF"/>
          </w:tcPr>
          <w:p>
            <w:pPr>
              <w:spacing w:before="40" w:after="40"/>
            </w:pPr>
            <w:r>
              <w:rPr>
                <w:sz w:val="18"/>
              </w:rPr>
              <w:t>Standardized categories</w:t>
            </w:r>
          </w:p>
        </w:tc>
      </w:tr>
      <w:tr>
        <w:tc>
          <w:tcPr>
            <w:tcW w:type="dxa" w:w="2340"/>
            <w:shd w:val="clear" w:color="auto" w:fill="F4F7FA"/>
          </w:tcPr>
          <w:p>
            <w:pPr>
              <w:spacing w:before="40" w:after="40"/>
            </w:pPr>
            <w:r>
              <w:rPr>
                <w:sz w:val="18"/>
              </w:rPr>
              <w:t>study_hours_per_week</w:t>
            </w:r>
          </w:p>
        </w:tc>
        <w:tc>
          <w:tcPr>
            <w:tcW w:type="dxa" w:w="2340"/>
            <w:shd w:val="clear" w:color="auto" w:fill="F4F7FA"/>
          </w:tcPr>
          <w:p>
            <w:pPr>
              <w:spacing w:before="40" w:after="40"/>
            </w:pPr>
            <w:r>
              <w:rPr>
                <w:sz w:val="18"/>
              </w:rPr>
              <w:t>Float / Ratio</w:t>
            </w:r>
          </w:p>
        </w:tc>
        <w:tc>
          <w:tcPr>
            <w:tcW w:type="dxa" w:w="2340"/>
            <w:shd w:val="clear" w:color="auto" w:fill="F4F7FA"/>
          </w:tcPr>
          <w:p>
            <w:pPr>
              <w:spacing w:before="40" w:after="40"/>
            </w:pPr>
            <w:r>
              <w:rPr>
                <w:sz w:val="18"/>
              </w:rPr>
              <w:t>Weekly self-directed study duration outside classroom (hours)</w:t>
            </w:r>
          </w:p>
        </w:tc>
        <w:tc>
          <w:tcPr>
            <w:tcW w:type="dxa" w:w="2340"/>
            <w:shd w:val="clear" w:color="auto" w:fill="F4F7FA"/>
          </w:tcPr>
          <w:p>
            <w:pPr>
              <w:spacing w:before="40" w:after="40"/>
            </w:pPr>
            <w:r>
              <w:rPr>
                <w:sz w:val="18"/>
              </w:rPr>
              <w:t>Median imputed</w:t>
            </w:r>
          </w:p>
        </w:tc>
      </w:tr>
      <w:tr>
        <w:tc>
          <w:tcPr>
            <w:tcW w:type="dxa" w:w="2340"/>
            <w:shd w:val="clear" w:color="auto" w:fill="FFFFFF"/>
          </w:tcPr>
          <w:p>
            <w:pPr>
              <w:spacing w:before="40" w:after="40"/>
            </w:pPr>
            <w:r>
              <w:rPr>
                <w:sz w:val="18"/>
              </w:rPr>
              <w:t>attendance_percentage</w:t>
            </w:r>
          </w:p>
        </w:tc>
        <w:tc>
          <w:tcPr>
            <w:tcW w:type="dxa" w:w="2340"/>
            <w:shd w:val="clear" w:color="auto" w:fill="FFFFFF"/>
          </w:tcPr>
          <w:p>
            <w:pPr>
              <w:spacing w:before="40" w:after="40"/>
            </w:pPr>
            <w:r>
              <w:rPr>
                <w:sz w:val="18"/>
              </w:rPr>
              <w:t>Float / Ratio</w:t>
            </w:r>
          </w:p>
        </w:tc>
        <w:tc>
          <w:tcPr>
            <w:tcW w:type="dxa" w:w="2340"/>
            <w:shd w:val="clear" w:color="auto" w:fill="FFFFFF"/>
          </w:tcPr>
          <w:p>
            <w:pPr>
              <w:spacing w:before="40" w:after="40"/>
            </w:pPr>
            <w:r>
              <w:rPr>
                <w:sz w:val="18"/>
              </w:rPr>
              <w:t>Percentage of scheduled classes attended across the term (0-100%)</w:t>
            </w:r>
          </w:p>
        </w:tc>
        <w:tc>
          <w:tcPr>
            <w:tcW w:type="dxa" w:w="2340"/>
            <w:shd w:val="clear" w:color="auto" w:fill="FFFFFF"/>
          </w:tcPr>
          <w:p>
            <w:pPr>
              <w:spacing w:before="40" w:after="40"/>
            </w:pPr>
            <w:r>
              <w:rPr>
                <w:sz w:val="18"/>
              </w:rPr>
              <w:t>Median imputed</w:t>
            </w:r>
          </w:p>
        </w:tc>
      </w:tr>
      <w:tr>
        <w:tc>
          <w:tcPr>
            <w:tcW w:type="dxa" w:w="2340"/>
            <w:shd w:val="clear" w:color="auto" w:fill="F4F7FA"/>
          </w:tcPr>
          <w:p>
            <w:pPr>
              <w:spacing w:before="40" w:after="40"/>
            </w:pPr>
            <w:r>
              <w:rPr>
                <w:sz w:val="18"/>
              </w:rPr>
              <w:t>test_prep_course</w:t>
            </w:r>
          </w:p>
        </w:tc>
        <w:tc>
          <w:tcPr>
            <w:tcW w:type="dxa" w:w="2340"/>
            <w:shd w:val="clear" w:color="auto" w:fill="F4F7FA"/>
          </w:tcPr>
          <w:p>
            <w:pPr>
              <w:spacing w:before="40" w:after="40"/>
            </w:pPr>
            <w:r>
              <w:rPr>
                <w:sz w:val="18"/>
              </w:rPr>
              <w:t>Categorical / Nominal</w:t>
            </w:r>
          </w:p>
        </w:tc>
        <w:tc>
          <w:tcPr>
            <w:tcW w:type="dxa" w:w="2340"/>
            <w:shd w:val="clear" w:color="auto" w:fill="F4F7FA"/>
          </w:tcPr>
          <w:p>
            <w:pPr>
              <w:spacing w:before="40" w:after="40"/>
            </w:pPr>
            <w:r>
              <w:rPr>
                <w:sz w:val="18"/>
              </w:rPr>
              <w:t>Participation in structured test prep: 'none' or 'completed'</w:t>
            </w:r>
          </w:p>
        </w:tc>
        <w:tc>
          <w:tcPr>
            <w:tcW w:type="dxa" w:w="2340"/>
            <w:shd w:val="clear" w:color="auto" w:fill="F4F7FA"/>
          </w:tcPr>
          <w:p>
            <w:pPr>
              <w:spacing w:before="40" w:after="40"/>
            </w:pPr>
            <w:r>
              <w:rPr>
                <w:sz w:val="18"/>
              </w:rPr>
              <w:t>Standardized</w:t>
            </w:r>
          </w:p>
        </w:tc>
      </w:tr>
      <w:tr>
        <w:tc>
          <w:tcPr>
            <w:tcW w:type="dxa" w:w="2340"/>
            <w:shd w:val="clear" w:color="auto" w:fill="FFFFFF"/>
          </w:tcPr>
          <w:p>
            <w:pPr>
              <w:spacing w:before="40" w:after="40"/>
            </w:pPr>
            <w:r>
              <w:rPr>
                <w:sz w:val="18"/>
              </w:rPr>
              <w:t>math_score</w:t>
            </w:r>
          </w:p>
        </w:tc>
        <w:tc>
          <w:tcPr>
            <w:tcW w:type="dxa" w:w="2340"/>
            <w:shd w:val="clear" w:color="auto" w:fill="FFFFFF"/>
          </w:tcPr>
          <w:p>
            <w:pPr>
              <w:spacing w:before="40" w:after="40"/>
            </w:pPr>
            <w:r>
              <w:rPr>
                <w:sz w:val="18"/>
              </w:rPr>
              <w:t>Float / Interval</w:t>
            </w:r>
          </w:p>
        </w:tc>
        <w:tc>
          <w:tcPr>
            <w:tcW w:type="dxa" w:w="2340"/>
            <w:shd w:val="clear" w:color="auto" w:fill="FFFFFF"/>
          </w:tcPr>
          <w:p>
            <w:pPr>
              <w:spacing w:before="40" w:after="40"/>
            </w:pPr>
            <w:r>
              <w:rPr>
                <w:sz w:val="18"/>
              </w:rPr>
              <w:t>Summative assessment score in Mathematics (0 - 100)</w:t>
            </w:r>
          </w:p>
        </w:tc>
        <w:tc>
          <w:tcPr>
            <w:tcW w:type="dxa" w:w="2340"/>
            <w:shd w:val="clear" w:color="auto" w:fill="FFFFFF"/>
          </w:tcPr>
          <w:p>
            <w:pPr>
              <w:spacing w:before="40" w:after="40"/>
            </w:pPr>
            <w:r>
              <w:rPr>
                <w:sz w:val="18"/>
              </w:rPr>
              <w:t>Median imputed</w:t>
            </w:r>
          </w:p>
        </w:tc>
      </w:tr>
      <w:tr>
        <w:tc>
          <w:tcPr>
            <w:tcW w:type="dxa" w:w="2340"/>
            <w:shd w:val="clear" w:color="auto" w:fill="F4F7FA"/>
          </w:tcPr>
          <w:p>
            <w:pPr>
              <w:spacing w:before="40" w:after="40"/>
            </w:pPr>
            <w:r>
              <w:rPr>
                <w:sz w:val="18"/>
              </w:rPr>
              <w:t>reading_score</w:t>
            </w:r>
          </w:p>
        </w:tc>
        <w:tc>
          <w:tcPr>
            <w:tcW w:type="dxa" w:w="2340"/>
            <w:shd w:val="clear" w:color="auto" w:fill="F4F7FA"/>
          </w:tcPr>
          <w:p>
            <w:pPr>
              <w:spacing w:before="40" w:after="40"/>
            </w:pPr>
            <w:r>
              <w:rPr>
                <w:sz w:val="18"/>
              </w:rPr>
              <w:t>Float / Interval</w:t>
            </w:r>
          </w:p>
        </w:tc>
        <w:tc>
          <w:tcPr>
            <w:tcW w:type="dxa" w:w="2340"/>
            <w:shd w:val="clear" w:color="auto" w:fill="F4F7FA"/>
          </w:tcPr>
          <w:p>
            <w:pPr>
              <w:spacing w:before="40" w:after="40"/>
            </w:pPr>
            <w:r>
              <w:rPr>
                <w:sz w:val="18"/>
              </w:rPr>
              <w:t>Summative assessment score in Reading Comprehension (0 - 100)</w:t>
            </w:r>
          </w:p>
        </w:tc>
        <w:tc>
          <w:tcPr>
            <w:tcW w:type="dxa" w:w="2340"/>
            <w:shd w:val="clear" w:color="auto" w:fill="F4F7FA"/>
          </w:tcPr>
          <w:p>
            <w:pPr>
              <w:spacing w:before="40" w:after="40"/>
            </w:pPr>
            <w:r>
              <w:rPr>
                <w:sz w:val="18"/>
              </w:rPr>
              <w:t>Continuous score</w:t>
            </w:r>
          </w:p>
        </w:tc>
      </w:tr>
      <w:tr>
        <w:tc>
          <w:tcPr>
            <w:tcW w:type="dxa" w:w="2340"/>
            <w:shd w:val="clear" w:color="auto" w:fill="FFFFFF"/>
          </w:tcPr>
          <w:p>
            <w:pPr>
              <w:spacing w:before="40" w:after="40"/>
            </w:pPr>
            <w:r>
              <w:rPr>
                <w:sz w:val="18"/>
              </w:rPr>
              <w:t>writing_score</w:t>
            </w:r>
          </w:p>
        </w:tc>
        <w:tc>
          <w:tcPr>
            <w:tcW w:type="dxa" w:w="2340"/>
            <w:shd w:val="clear" w:color="auto" w:fill="FFFFFF"/>
          </w:tcPr>
          <w:p>
            <w:pPr>
              <w:spacing w:before="40" w:after="40"/>
            </w:pPr>
            <w:r>
              <w:rPr>
                <w:sz w:val="18"/>
              </w:rPr>
              <w:t>Float / Interval</w:t>
            </w:r>
          </w:p>
        </w:tc>
        <w:tc>
          <w:tcPr>
            <w:tcW w:type="dxa" w:w="2340"/>
            <w:shd w:val="clear" w:color="auto" w:fill="FFFFFF"/>
          </w:tcPr>
          <w:p>
            <w:pPr>
              <w:spacing w:before="40" w:after="40"/>
            </w:pPr>
            <w:r>
              <w:rPr>
                <w:sz w:val="18"/>
              </w:rPr>
              <w:t>Summative assessment score in Written Expression (0 - 100)</w:t>
            </w:r>
          </w:p>
        </w:tc>
        <w:tc>
          <w:tcPr>
            <w:tcW w:type="dxa" w:w="2340"/>
            <w:shd w:val="clear" w:color="auto" w:fill="FFFFFF"/>
          </w:tcPr>
          <w:p>
            <w:pPr>
              <w:spacing w:before="40" w:after="40"/>
            </w:pPr>
            <w:r>
              <w:rPr>
                <w:sz w:val="18"/>
              </w:rPr>
              <w:t>Continuous score</w:t>
            </w:r>
          </w:p>
        </w:tc>
      </w:tr>
      <w:tr>
        <w:tc>
          <w:tcPr>
            <w:tcW w:type="dxa" w:w="2340"/>
            <w:shd w:val="clear" w:color="auto" w:fill="F4F7FA"/>
          </w:tcPr>
          <w:p>
            <w:pPr>
              <w:spacing w:before="40" w:after="40"/>
            </w:pPr>
            <w:r>
              <w:rPr>
                <w:sz w:val="18"/>
              </w:rPr>
              <w:t>total_score</w:t>
            </w:r>
          </w:p>
        </w:tc>
        <w:tc>
          <w:tcPr>
            <w:tcW w:type="dxa" w:w="2340"/>
            <w:shd w:val="clear" w:color="auto" w:fill="F4F7FA"/>
          </w:tcPr>
          <w:p>
            <w:pPr>
              <w:spacing w:before="40" w:after="40"/>
            </w:pPr>
            <w:r>
              <w:rPr>
                <w:sz w:val="18"/>
              </w:rPr>
              <w:t>Float / Derived</w:t>
            </w:r>
          </w:p>
        </w:tc>
        <w:tc>
          <w:tcPr>
            <w:tcW w:type="dxa" w:w="2340"/>
            <w:shd w:val="clear" w:color="auto" w:fill="F4F7FA"/>
          </w:tcPr>
          <w:p>
            <w:pPr>
              <w:spacing w:before="40" w:after="40"/>
            </w:pPr>
            <w:r>
              <w:rPr>
                <w:sz w:val="18"/>
              </w:rPr>
              <w:t>Engineered composite sum of math, reading, and writing (0 - 300)</w:t>
            </w:r>
          </w:p>
        </w:tc>
        <w:tc>
          <w:tcPr>
            <w:tcW w:type="dxa" w:w="2340"/>
            <w:shd w:val="clear" w:color="auto" w:fill="F4F7FA"/>
          </w:tcPr>
          <w:p>
            <w:pPr>
              <w:spacing w:before="40" w:after="40"/>
            </w:pPr>
            <w:r>
              <w:rPr>
                <w:sz w:val="18"/>
              </w:rPr>
              <w:t>Calculated feature</w:t>
            </w:r>
          </w:p>
        </w:tc>
      </w:tr>
      <w:tr>
        <w:tc>
          <w:tcPr>
            <w:tcW w:type="dxa" w:w="2340"/>
            <w:shd w:val="clear" w:color="auto" w:fill="FFFFFF"/>
          </w:tcPr>
          <w:p>
            <w:pPr>
              <w:spacing w:before="40" w:after="40"/>
            </w:pPr>
            <w:r>
              <w:rPr>
                <w:sz w:val="18"/>
              </w:rPr>
              <w:t>average_score</w:t>
            </w:r>
          </w:p>
        </w:tc>
        <w:tc>
          <w:tcPr>
            <w:tcW w:type="dxa" w:w="2340"/>
            <w:shd w:val="clear" w:color="auto" w:fill="FFFFFF"/>
          </w:tcPr>
          <w:p>
            <w:pPr>
              <w:spacing w:before="40" w:after="40"/>
            </w:pPr>
            <w:r>
              <w:rPr>
                <w:sz w:val="18"/>
              </w:rPr>
              <w:t>Float / Derived</w:t>
            </w:r>
          </w:p>
        </w:tc>
        <w:tc>
          <w:tcPr>
            <w:tcW w:type="dxa" w:w="2340"/>
            <w:shd w:val="clear" w:color="auto" w:fill="FFFFFF"/>
          </w:tcPr>
          <w:p>
            <w:pPr>
              <w:spacing w:before="40" w:after="40"/>
            </w:pPr>
            <w:r>
              <w:rPr>
                <w:sz w:val="18"/>
              </w:rPr>
              <w:t>Mean percentage score across all three evaluation subjects (0 - 100%)</w:t>
            </w:r>
          </w:p>
        </w:tc>
        <w:tc>
          <w:tcPr>
            <w:tcW w:type="dxa" w:w="2340"/>
            <w:shd w:val="clear" w:color="auto" w:fill="FFFFFF"/>
          </w:tcPr>
          <w:p>
            <w:pPr>
              <w:spacing w:before="40" w:after="40"/>
            </w:pPr>
            <w:r>
              <w:rPr>
                <w:sz w:val="18"/>
              </w:rPr>
              <w:t>Calculated feature</w:t>
            </w:r>
          </w:p>
        </w:tc>
      </w:tr>
      <w:tr>
        <w:tc>
          <w:tcPr>
            <w:tcW w:type="dxa" w:w="2340"/>
            <w:shd w:val="clear" w:color="auto" w:fill="F4F7FA"/>
          </w:tcPr>
          <w:p>
            <w:pPr>
              <w:spacing w:before="40" w:after="40"/>
            </w:pPr>
            <w:r>
              <w:rPr>
                <w:sz w:val="18"/>
              </w:rPr>
              <w:t>grade</w:t>
            </w:r>
          </w:p>
        </w:tc>
        <w:tc>
          <w:tcPr>
            <w:tcW w:type="dxa" w:w="2340"/>
            <w:shd w:val="clear" w:color="auto" w:fill="F4F7FA"/>
          </w:tcPr>
          <w:p>
            <w:pPr>
              <w:spacing w:before="40" w:after="40"/>
            </w:pPr>
            <w:r>
              <w:rPr>
                <w:sz w:val="18"/>
              </w:rPr>
              <w:t>Categorical / Ordinal</w:t>
            </w:r>
          </w:p>
        </w:tc>
        <w:tc>
          <w:tcPr>
            <w:tcW w:type="dxa" w:w="2340"/>
            <w:shd w:val="clear" w:color="auto" w:fill="F4F7FA"/>
          </w:tcPr>
          <w:p>
            <w:pPr>
              <w:spacing w:before="40" w:after="40"/>
            </w:pPr>
            <w:r>
              <w:rPr>
                <w:sz w:val="18"/>
              </w:rPr>
              <w:t>Assigned letter grade: A (&gt;=90), B (&gt;=80), C (&gt;=70), D (&gt;=60), F (&lt;60)</w:t>
            </w:r>
          </w:p>
        </w:tc>
        <w:tc>
          <w:tcPr>
            <w:tcW w:type="dxa" w:w="2340"/>
            <w:shd w:val="clear" w:color="auto" w:fill="F4F7FA"/>
          </w:tcPr>
          <w:p>
            <w:pPr>
              <w:spacing w:before="40" w:after="40"/>
            </w:pPr>
            <w:r>
              <w:rPr>
                <w:sz w:val="18"/>
              </w:rPr>
              <w:t>Binned categorical</w:t>
            </w:r>
          </w:p>
        </w:tc>
      </w:tr>
    </w:tbl>
    <w:p/>
    <w:p>
      <w:pPr>
        <w:pStyle w:val="Heading1"/>
        <w:spacing w:before="360" w:after="120"/>
      </w:pPr>
      <w:r>
        <w:rPr>
          <w:b/>
          <w:color w:val="1B365D"/>
          <w:sz w:val="33"/>
        </w:rPr>
        <w:t>3.0 Data Cleaning &amp; Preprocessing Using Pandas</w:t>
      </w:r>
    </w:p>
    <w:p>
      <w:pPr>
        <w:spacing w:after="120" w:line="276" w:lineRule="auto"/>
      </w:pPr>
      <w:r>
        <w:t>Real-world educational datasets frequently exhibit data quality issues, including accidental duplicate transmissions, missing data due to examination absence or administrative omission, inconsistent text formatting, and improper datatypes. To simulate a realistic data science environment, the raw dataset was intentionally seeded with 3 duplicate records and missing entries across key numeric features.</w:t>
      </w:r>
    </w:p>
    <w:p>
      <w:pPr>
        <w:pStyle w:val="Heading2"/>
        <w:spacing w:before="260" w:after="80"/>
      </w:pPr>
      <w:r>
        <w:rPr>
          <w:b/>
          <w:color w:val="2B4C7E"/>
          <w:sz w:val="26"/>
        </w:rPr>
        <w:t>3.1 Duplicate Identification and Removal</w:t>
      </w:r>
    </w:p>
    <w:p>
      <w:pPr>
        <w:spacing w:after="120" w:line="276" w:lineRule="auto"/>
      </w:pPr>
      <w:r>
        <w:t>Duplicate records distort statistical metrics, artificially inflating sample sizes and introducing bias into variance calculations. Using Pandas `df.duplicated().sum()`, exactly 3 duplicate records were flagged and eliminated via `df.drop_duplicates(inplace=True)`, reducing the raw cohort size from 1,003 records to exactly 1,000 distinct observations.</w:t>
      </w:r>
    </w:p>
    <w:p>
      <w:pPr>
        <w:pStyle w:val="Heading2"/>
        <w:spacing w:before="260" w:after="80"/>
      </w:pPr>
      <w:r>
        <w:rPr>
          <w:b/>
          <w:color w:val="2B4C7E"/>
          <w:sz w:val="26"/>
        </w:rPr>
        <w:t>3.2 Missing Value Detection &amp; Median Imputation</w:t>
      </w:r>
    </w:p>
    <w:p>
      <w:pPr>
        <w:spacing w:after="120" w:line="276" w:lineRule="auto"/>
      </w:pPr>
      <w:r>
        <w:t>A missing value audit was conducted across all features using `df.isnull().sum()`. Missing entries were detected in `math_score` (5 records), `study_hours_per_week` (4 records), and `attendance_percentage` (3 records). Because academic scores and attendance distributions can exhibit skewness or boundary pinning, median imputation was implemented rather than mean imputation. The median provides robust resistance to extreme outliers.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Feature</w:t>
            </w:r>
          </w:p>
        </w:tc>
        <w:tc>
          <w:tcPr>
            <w:tcW w:type="dxa" w:w="1872"/>
            <w:shd w:val="clear" w:color="auto" w:fill="1B365D"/>
          </w:tcPr>
          <w:p>
            <w:pPr>
              <w:spacing w:before="60" w:after="60"/>
            </w:pPr>
            <w:r>
              <w:rPr>
                <w:b/>
                <w:color w:val="FFFFFF"/>
                <w:sz w:val="19"/>
              </w:rPr>
              <w:t>Missing Records</w:t>
            </w:r>
          </w:p>
        </w:tc>
        <w:tc>
          <w:tcPr>
            <w:tcW w:type="dxa" w:w="1872"/>
            <w:shd w:val="clear" w:color="auto" w:fill="1B365D"/>
          </w:tcPr>
          <w:p>
            <w:pPr>
              <w:spacing w:before="60" w:after="60"/>
            </w:pPr>
            <w:r>
              <w:rPr>
                <w:b/>
                <w:color w:val="FFFFFF"/>
                <w:sz w:val="19"/>
              </w:rPr>
              <w:t>Audit Percentage</w:t>
            </w:r>
          </w:p>
        </w:tc>
        <w:tc>
          <w:tcPr>
            <w:tcW w:type="dxa" w:w="1872"/>
            <w:shd w:val="clear" w:color="auto" w:fill="1B365D"/>
          </w:tcPr>
          <w:p>
            <w:pPr>
              <w:spacing w:before="60" w:after="60"/>
            </w:pPr>
            <w:r>
              <w:rPr>
                <w:b/>
                <w:color w:val="FFFFFF"/>
                <w:sz w:val="19"/>
              </w:rPr>
              <w:t>Imputation Method</w:t>
            </w:r>
          </w:p>
        </w:tc>
        <w:tc>
          <w:tcPr>
            <w:tcW w:type="dxa" w:w="1872"/>
            <w:shd w:val="clear" w:color="auto" w:fill="1B365D"/>
          </w:tcPr>
          <w:p>
            <w:pPr>
              <w:spacing w:before="60" w:after="60"/>
            </w:pPr>
            <w:r>
              <w:rPr>
                <w:b/>
                <w:color w:val="FFFFFF"/>
                <w:sz w:val="19"/>
              </w:rPr>
              <w:t>Imputed Value</w:t>
            </w:r>
          </w:p>
        </w:tc>
      </w:tr>
      <w:tr>
        <w:tc>
          <w:tcPr>
            <w:tcW w:type="dxa" w:w="1872"/>
            <w:shd w:val="clear" w:color="auto" w:fill="FFFFFF"/>
          </w:tcPr>
          <w:p>
            <w:pPr>
              <w:spacing w:before="40" w:after="40"/>
            </w:pPr>
            <w:r>
              <w:rPr>
                <w:sz w:val="18"/>
              </w:rPr>
              <w:t>math_score</w:t>
            </w:r>
          </w:p>
        </w:tc>
        <w:tc>
          <w:tcPr>
            <w:tcW w:type="dxa" w:w="1872"/>
            <w:shd w:val="clear" w:color="auto" w:fill="FFFFFF"/>
          </w:tcPr>
          <w:p>
            <w:pPr>
              <w:spacing w:before="40" w:after="40"/>
            </w:pPr>
            <w:r>
              <w:rPr>
                <w:sz w:val="18"/>
              </w:rPr>
              <w:t>5</w:t>
            </w:r>
          </w:p>
        </w:tc>
        <w:tc>
          <w:tcPr>
            <w:tcW w:type="dxa" w:w="1872"/>
            <w:shd w:val="clear" w:color="auto" w:fill="FFFFFF"/>
          </w:tcPr>
          <w:p>
            <w:pPr>
              <w:spacing w:before="40" w:after="40"/>
            </w:pPr>
            <w:r>
              <w:rPr>
                <w:sz w:val="18"/>
              </w:rPr>
              <w:t>0.5%</w:t>
            </w:r>
          </w:p>
        </w:tc>
        <w:tc>
          <w:tcPr>
            <w:tcW w:type="dxa" w:w="1872"/>
            <w:shd w:val="clear" w:color="auto" w:fill="FFFFFF"/>
          </w:tcPr>
          <w:p>
            <w:pPr>
              <w:spacing w:before="40" w:after="40"/>
            </w:pPr>
            <w:r>
              <w:rPr>
                <w:sz w:val="18"/>
              </w:rPr>
              <w:t>Median Imputation</w:t>
            </w:r>
          </w:p>
        </w:tc>
        <w:tc>
          <w:tcPr>
            <w:tcW w:type="dxa" w:w="1872"/>
            <w:shd w:val="clear" w:color="auto" w:fill="FFFFFF"/>
          </w:tcPr>
          <w:p>
            <w:pPr>
              <w:spacing w:before="40" w:after="40"/>
            </w:pPr>
            <w:r>
              <w:rPr>
                <w:sz w:val="18"/>
              </w:rPr>
              <w:t>88.00</w:t>
            </w:r>
          </w:p>
        </w:tc>
      </w:tr>
      <w:tr>
        <w:tc>
          <w:tcPr>
            <w:tcW w:type="dxa" w:w="1872"/>
            <w:shd w:val="clear" w:color="auto" w:fill="F4F7FA"/>
          </w:tcPr>
          <w:p>
            <w:pPr>
              <w:spacing w:before="40" w:after="40"/>
            </w:pPr>
            <w:r>
              <w:rPr>
                <w:sz w:val="18"/>
              </w:rPr>
              <w:t>study_hours_per_week</w:t>
            </w:r>
          </w:p>
        </w:tc>
        <w:tc>
          <w:tcPr>
            <w:tcW w:type="dxa" w:w="1872"/>
            <w:shd w:val="clear" w:color="auto" w:fill="F4F7FA"/>
          </w:tcPr>
          <w:p>
            <w:pPr>
              <w:spacing w:before="40" w:after="40"/>
            </w:pPr>
            <w:r>
              <w:rPr>
                <w:sz w:val="18"/>
              </w:rPr>
              <w:t>4</w:t>
            </w:r>
          </w:p>
        </w:tc>
        <w:tc>
          <w:tcPr>
            <w:tcW w:type="dxa" w:w="1872"/>
            <w:shd w:val="clear" w:color="auto" w:fill="F4F7FA"/>
          </w:tcPr>
          <w:p>
            <w:pPr>
              <w:spacing w:before="40" w:after="40"/>
            </w:pPr>
            <w:r>
              <w:rPr>
                <w:sz w:val="18"/>
              </w:rPr>
              <w:t>0.4%</w:t>
            </w:r>
          </w:p>
        </w:tc>
        <w:tc>
          <w:tcPr>
            <w:tcW w:type="dxa" w:w="1872"/>
            <w:shd w:val="clear" w:color="auto" w:fill="F4F7FA"/>
          </w:tcPr>
          <w:p>
            <w:pPr>
              <w:spacing w:before="40" w:after="40"/>
            </w:pPr>
            <w:r>
              <w:rPr>
                <w:sz w:val="18"/>
              </w:rPr>
              <w:t>Median Imputation</w:t>
            </w:r>
          </w:p>
        </w:tc>
        <w:tc>
          <w:tcPr>
            <w:tcW w:type="dxa" w:w="1872"/>
            <w:shd w:val="clear" w:color="auto" w:fill="F4F7FA"/>
          </w:tcPr>
          <w:p>
            <w:pPr>
              <w:spacing w:before="40" w:after="40"/>
            </w:pPr>
            <w:r>
              <w:rPr>
                <w:sz w:val="18"/>
              </w:rPr>
              <w:t>19.80 hrs</w:t>
            </w:r>
          </w:p>
        </w:tc>
      </w:tr>
      <w:tr>
        <w:tc>
          <w:tcPr>
            <w:tcW w:type="dxa" w:w="1872"/>
            <w:shd w:val="clear" w:color="auto" w:fill="FFFFFF"/>
          </w:tcPr>
          <w:p>
            <w:pPr>
              <w:spacing w:before="40" w:after="40"/>
            </w:pPr>
            <w:r>
              <w:rPr>
                <w:sz w:val="18"/>
              </w:rPr>
              <w:t>attendance_percentage</w:t>
            </w:r>
          </w:p>
        </w:tc>
        <w:tc>
          <w:tcPr>
            <w:tcW w:type="dxa" w:w="1872"/>
            <w:shd w:val="clear" w:color="auto" w:fill="FFFFFF"/>
          </w:tcPr>
          <w:p>
            <w:pPr>
              <w:spacing w:before="40" w:after="40"/>
            </w:pPr>
            <w:r>
              <w:rPr>
                <w:sz w:val="18"/>
              </w:rPr>
              <w:t>3</w:t>
            </w:r>
          </w:p>
        </w:tc>
        <w:tc>
          <w:tcPr>
            <w:tcW w:type="dxa" w:w="1872"/>
            <w:shd w:val="clear" w:color="auto" w:fill="FFFFFF"/>
          </w:tcPr>
          <w:p>
            <w:pPr>
              <w:spacing w:before="40" w:after="40"/>
            </w:pPr>
            <w:r>
              <w:rPr>
                <w:sz w:val="18"/>
              </w:rPr>
              <w:t>0.3%</w:t>
            </w:r>
          </w:p>
        </w:tc>
        <w:tc>
          <w:tcPr>
            <w:tcW w:type="dxa" w:w="1872"/>
            <w:shd w:val="clear" w:color="auto" w:fill="FFFFFF"/>
          </w:tcPr>
          <w:p>
            <w:pPr>
              <w:spacing w:before="40" w:after="40"/>
            </w:pPr>
            <w:r>
              <w:rPr>
                <w:sz w:val="18"/>
              </w:rPr>
              <w:t>Median Imputation</w:t>
            </w:r>
          </w:p>
        </w:tc>
        <w:tc>
          <w:tcPr>
            <w:tcW w:type="dxa" w:w="1872"/>
            <w:shd w:val="clear" w:color="auto" w:fill="FFFFFF"/>
          </w:tcPr>
          <w:p>
            <w:pPr>
              <w:spacing w:before="40" w:after="40"/>
            </w:pPr>
            <w:r>
              <w:rPr>
                <w:sz w:val="18"/>
              </w:rPr>
              <w:t>81.00%</w:t>
            </w:r>
          </w:p>
        </w:tc>
      </w:tr>
      <w:tr>
        <w:tc>
          <w:tcPr>
            <w:tcW w:type="dxa" w:w="1872"/>
            <w:shd w:val="clear" w:color="auto" w:fill="F4F7FA"/>
          </w:tcPr>
          <w:p>
            <w:pPr>
              <w:spacing w:before="40" w:after="40"/>
            </w:pPr>
            <w:r>
              <w:rPr>
                <w:sz w:val="18"/>
              </w:rPr>
              <w:t>gender / prep / parent_edu</w:t>
            </w:r>
          </w:p>
        </w:tc>
        <w:tc>
          <w:tcPr>
            <w:tcW w:type="dxa" w:w="1872"/>
            <w:shd w:val="clear" w:color="auto" w:fill="F4F7FA"/>
          </w:tcPr>
          <w:p>
            <w:pPr>
              <w:spacing w:before="40" w:after="40"/>
            </w:pPr>
            <w:r>
              <w:rPr>
                <w:sz w:val="18"/>
              </w:rPr>
              <w:t>0</w:t>
            </w:r>
          </w:p>
        </w:tc>
        <w:tc>
          <w:tcPr>
            <w:tcW w:type="dxa" w:w="1872"/>
            <w:shd w:val="clear" w:color="auto" w:fill="F4F7FA"/>
          </w:tcPr>
          <w:p>
            <w:pPr>
              <w:spacing w:before="40" w:after="40"/>
            </w:pPr>
            <w:r>
              <w:rPr>
                <w:sz w:val="18"/>
              </w:rPr>
              <w:t>0.0%</w:t>
            </w:r>
          </w:p>
        </w:tc>
        <w:tc>
          <w:tcPr>
            <w:tcW w:type="dxa" w:w="1872"/>
            <w:shd w:val="clear" w:color="auto" w:fill="F4F7FA"/>
          </w:tcPr>
          <w:p>
            <w:pPr>
              <w:spacing w:before="40" w:after="40"/>
            </w:pPr>
            <w:r>
              <w:rPr>
                <w:sz w:val="18"/>
              </w:rPr>
              <w:t>Complete</w:t>
            </w:r>
          </w:p>
        </w:tc>
        <w:tc>
          <w:tcPr>
            <w:tcW w:type="dxa" w:w="1872"/>
            <w:shd w:val="clear" w:color="auto" w:fill="F4F7FA"/>
          </w:tcPr>
          <w:p>
            <w:pPr>
              <w:spacing w:before="40" w:after="40"/>
            </w:pPr>
            <w:r>
              <w:rPr>
                <w:sz w:val="18"/>
              </w:rPr>
              <w:t>N/A</w:t>
            </w:r>
          </w:p>
        </w:tc>
      </w:tr>
      <w:tr>
        <w:tc>
          <w:tcPr>
            <w:tcW w:type="dxa" w:w="1872"/>
            <w:shd w:val="clear" w:color="auto" w:fill="FFFFFF"/>
          </w:tcPr>
          <w:p>
            <w:pPr>
              <w:spacing w:before="40" w:after="40"/>
            </w:pPr>
            <w:r>
              <w:rPr>
                <w:sz w:val="18"/>
              </w:rPr>
              <w:t>reading / writing_score</w:t>
            </w:r>
          </w:p>
        </w:tc>
        <w:tc>
          <w:tcPr>
            <w:tcW w:type="dxa" w:w="1872"/>
            <w:shd w:val="clear" w:color="auto" w:fill="FFFFFF"/>
          </w:tcPr>
          <w:p>
            <w:pPr>
              <w:spacing w:before="40" w:after="40"/>
            </w:pPr>
            <w:r>
              <w:rPr>
                <w:sz w:val="18"/>
              </w:rPr>
              <w:t>0</w:t>
            </w:r>
          </w:p>
        </w:tc>
        <w:tc>
          <w:tcPr>
            <w:tcW w:type="dxa" w:w="1872"/>
            <w:shd w:val="clear" w:color="auto" w:fill="FFFFFF"/>
          </w:tcPr>
          <w:p>
            <w:pPr>
              <w:spacing w:before="40" w:after="40"/>
            </w:pPr>
            <w:r>
              <w:rPr>
                <w:sz w:val="18"/>
              </w:rPr>
              <w:t>0.0%</w:t>
            </w:r>
          </w:p>
        </w:tc>
        <w:tc>
          <w:tcPr>
            <w:tcW w:type="dxa" w:w="1872"/>
            <w:shd w:val="clear" w:color="auto" w:fill="FFFFFF"/>
          </w:tcPr>
          <w:p>
            <w:pPr>
              <w:spacing w:before="40" w:after="40"/>
            </w:pPr>
            <w:r>
              <w:rPr>
                <w:sz w:val="18"/>
              </w:rPr>
              <w:t>Complete</w:t>
            </w:r>
          </w:p>
        </w:tc>
        <w:tc>
          <w:tcPr>
            <w:tcW w:type="dxa" w:w="1872"/>
            <w:shd w:val="clear" w:color="auto" w:fill="FFFFFF"/>
          </w:tcPr>
          <w:p>
            <w:pPr>
              <w:spacing w:before="40" w:after="40"/>
            </w:pPr>
            <w:r>
              <w:rPr>
                <w:sz w:val="18"/>
              </w:rPr>
              <w:t>N/A</w:t>
            </w:r>
          </w:p>
        </w:tc>
      </w:tr>
    </w:tbl>
    <w:p/>
    <w:p>
      <w:pPr>
        <w:pStyle w:val="Heading2"/>
        <w:spacing w:before="260" w:after="80"/>
      </w:pPr>
      <w:r>
        <w:rPr>
          <w:b/>
          <w:color w:val="2B4C7E"/>
          <w:sz w:val="26"/>
        </w:rPr>
        <w:t>3.3 Text Normalization and Categorical Standardization</w:t>
      </w:r>
    </w:p>
    <w:p>
      <w:pPr>
        <w:spacing w:after="120" w:line="276" w:lineRule="auto"/>
      </w:pPr>
      <w:r>
        <w:t>Categorical features were cleaned by applying `.str.strip().str.lower()` to eliminate leading/trailing whitespace and inconsistent casing. `parental_education` values were mapped to standardized institutional categories: 'some high school', 'high school', 'some college', 'associate's degree', 'bachelor's degree', and 'master's degree'.</w:t>
      </w:r>
    </w:p>
    <w:p>
      <w:pPr>
        <w:pStyle w:val="Heading2"/>
        <w:spacing w:before="260" w:after="80"/>
      </w:pPr>
      <w:r>
        <w:rPr>
          <w:b/>
          <w:color w:val="2B4C7E"/>
          <w:sz w:val="26"/>
        </w:rPr>
        <w:t>3.4 Feature Engineering (Composite Score and Grade Binning)</w:t>
      </w:r>
    </w:p>
    <w:p>
      <w:pPr>
        <w:spacing w:after="120" w:line="276" w:lineRule="auto"/>
      </w:pPr>
      <w:r>
        <w:t>To enable unified assessment, three derived features were engineered:</w:t>
        <w:br/>
        <w:t>1. total_score = math_score + reading_score + writing_score (Range: 0 to 300)</w:t>
        <w:br/>
        <w:t>2. average_score = total_score / 3.0 (Range: 0 to 100)</w:t>
        <w:br/>
        <w:t>3. grade = Discretized letter grade using standard academic thresholds (A: 90-100, B: 80-89, C: 70-79, D: 60-69, F: &lt;60).</w:t>
      </w:r>
    </w:p>
    <w:p>
      <w:pPr>
        <w:pStyle w:val="Heading1"/>
        <w:spacing w:before="360" w:after="120"/>
      </w:pPr>
      <w:r>
        <w:rPr>
          <w:b/>
          <w:color w:val="1B365D"/>
          <w:sz w:val="33"/>
        </w:rPr>
        <w:t>4.0 Exploratory Data Analysis Using NumPy &amp; Pandas</w:t>
      </w:r>
    </w:p>
    <w:p>
      <w:pPr>
        <w:spacing w:after="120" w:line="276" w:lineRule="auto"/>
      </w:pPr>
      <w:r>
        <w:t>Exploratory Data Analysis (EDA) was performed to compute parametric summary statistics, measure disaggregated cohort performance, and determine correlation coefficients across numerical dimensions.</w:t>
      </w:r>
    </w:p>
    <w:p>
      <w:pPr>
        <w:pStyle w:val="Heading2"/>
        <w:spacing w:before="260" w:after="80"/>
      </w:pPr>
      <w:r>
        <w:rPr>
          <w:b/>
          <w:color w:val="2B4C7E"/>
          <w:sz w:val="26"/>
        </w:rPr>
        <w:t>4.1 Descriptive Summary Statistics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B365D"/>
          </w:tcPr>
          <w:p>
            <w:pPr>
              <w:spacing w:before="60" w:after="60"/>
            </w:pPr>
            <w:r>
              <w:rPr>
                <w:b/>
                <w:color w:val="FFFFFF"/>
                <w:sz w:val="19"/>
              </w:rPr>
              <w:t>Metric</w:t>
            </w:r>
          </w:p>
        </w:tc>
        <w:tc>
          <w:tcPr>
            <w:tcW w:type="dxa" w:w="1337"/>
            <w:shd w:val="clear" w:color="auto" w:fill="1B365D"/>
          </w:tcPr>
          <w:p>
            <w:pPr>
              <w:spacing w:before="60" w:after="60"/>
            </w:pPr>
            <w:r>
              <w:rPr>
                <w:b/>
                <w:color w:val="FFFFFF"/>
                <w:sz w:val="19"/>
              </w:rPr>
              <w:t>Study Hours</w:t>
            </w:r>
          </w:p>
        </w:tc>
        <w:tc>
          <w:tcPr>
            <w:tcW w:type="dxa" w:w="1337"/>
            <w:shd w:val="clear" w:color="auto" w:fill="1B365D"/>
          </w:tcPr>
          <w:p>
            <w:pPr>
              <w:spacing w:before="60" w:after="60"/>
            </w:pPr>
            <w:r>
              <w:rPr>
                <w:b/>
                <w:color w:val="FFFFFF"/>
                <w:sz w:val="19"/>
              </w:rPr>
              <w:t>Attendance (%)</w:t>
            </w:r>
          </w:p>
        </w:tc>
        <w:tc>
          <w:tcPr>
            <w:tcW w:type="dxa" w:w="1337"/>
            <w:shd w:val="clear" w:color="auto" w:fill="1B365D"/>
          </w:tcPr>
          <w:p>
            <w:pPr>
              <w:spacing w:before="60" w:after="60"/>
            </w:pPr>
            <w:r>
              <w:rPr>
                <w:b/>
                <w:color w:val="FFFFFF"/>
                <w:sz w:val="19"/>
              </w:rPr>
              <w:t>Math Score</w:t>
            </w:r>
          </w:p>
        </w:tc>
        <w:tc>
          <w:tcPr>
            <w:tcW w:type="dxa" w:w="1337"/>
            <w:shd w:val="clear" w:color="auto" w:fill="1B365D"/>
          </w:tcPr>
          <w:p>
            <w:pPr>
              <w:spacing w:before="60" w:after="60"/>
            </w:pPr>
            <w:r>
              <w:rPr>
                <w:b/>
                <w:color w:val="FFFFFF"/>
                <w:sz w:val="19"/>
              </w:rPr>
              <w:t>Reading Score</w:t>
            </w:r>
          </w:p>
        </w:tc>
        <w:tc>
          <w:tcPr>
            <w:tcW w:type="dxa" w:w="1337"/>
            <w:shd w:val="clear" w:color="auto" w:fill="1B365D"/>
          </w:tcPr>
          <w:p>
            <w:pPr>
              <w:spacing w:before="60" w:after="60"/>
            </w:pPr>
            <w:r>
              <w:rPr>
                <w:b/>
                <w:color w:val="FFFFFF"/>
                <w:sz w:val="19"/>
              </w:rPr>
              <w:t>Writing Score</w:t>
            </w:r>
          </w:p>
        </w:tc>
        <w:tc>
          <w:tcPr>
            <w:tcW w:type="dxa" w:w="1337"/>
            <w:shd w:val="clear" w:color="auto" w:fill="1B365D"/>
          </w:tcPr>
          <w:p>
            <w:pPr>
              <w:spacing w:before="60" w:after="60"/>
            </w:pPr>
            <w:r>
              <w:rPr>
                <w:b/>
                <w:color w:val="FFFFFF"/>
                <w:sz w:val="19"/>
              </w:rPr>
              <w:t>Average Score</w:t>
            </w:r>
          </w:p>
        </w:tc>
      </w:tr>
      <w:tr>
        <w:tc>
          <w:tcPr>
            <w:tcW w:type="dxa" w:w="1337"/>
            <w:shd w:val="clear" w:color="auto" w:fill="FFFFFF"/>
          </w:tcPr>
          <w:p>
            <w:pPr>
              <w:spacing w:before="40" w:after="40"/>
            </w:pPr>
            <w:r>
              <w:rPr>
                <w:sz w:val="18"/>
              </w:rPr>
              <w:t>Mean</w:t>
            </w:r>
          </w:p>
        </w:tc>
        <w:tc>
          <w:tcPr>
            <w:tcW w:type="dxa" w:w="1337"/>
            <w:shd w:val="clear" w:color="auto" w:fill="FFFFFF"/>
          </w:tcPr>
          <w:p>
            <w:pPr>
              <w:spacing w:before="40" w:after="40"/>
            </w:pPr>
            <w:r>
              <w:rPr>
                <w:sz w:val="18"/>
              </w:rPr>
              <w:t>20.14</w:t>
            </w:r>
          </w:p>
        </w:tc>
        <w:tc>
          <w:tcPr>
            <w:tcW w:type="dxa" w:w="1337"/>
            <w:shd w:val="clear" w:color="auto" w:fill="FFFFFF"/>
          </w:tcPr>
          <w:p>
            <w:pPr>
              <w:spacing w:before="40" w:after="40"/>
            </w:pPr>
            <w:r>
              <w:rPr>
                <w:sz w:val="18"/>
              </w:rPr>
              <w:t>80.45</w:t>
            </w:r>
          </w:p>
        </w:tc>
        <w:tc>
          <w:tcPr>
            <w:tcW w:type="dxa" w:w="1337"/>
            <w:shd w:val="clear" w:color="auto" w:fill="FFFFFF"/>
          </w:tcPr>
          <w:p>
            <w:pPr>
              <w:spacing w:before="40" w:after="40"/>
            </w:pPr>
            <w:r>
              <w:rPr>
                <w:sz w:val="18"/>
              </w:rPr>
              <w:t>87.31</w:t>
            </w:r>
          </w:p>
        </w:tc>
        <w:tc>
          <w:tcPr>
            <w:tcW w:type="dxa" w:w="1337"/>
            <w:shd w:val="clear" w:color="auto" w:fill="FFFFFF"/>
          </w:tcPr>
          <w:p>
            <w:pPr>
              <w:spacing w:before="40" w:after="40"/>
            </w:pPr>
            <w:r>
              <w:rPr>
                <w:sz w:val="18"/>
              </w:rPr>
              <w:t>89.47</w:t>
            </w:r>
          </w:p>
        </w:tc>
        <w:tc>
          <w:tcPr>
            <w:tcW w:type="dxa" w:w="1337"/>
            <w:shd w:val="clear" w:color="auto" w:fill="FFFFFF"/>
          </w:tcPr>
          <w:p>
            <w:pPr>
              <w:spacing w:before="40" w:after="40"/>
            </w:pPr>
            <w:r>
              <w:rPr>
                <w:sz w:val="18"/>
              </w:rPr>
              <w:t>89.32</w:t>
            </w:r>
          </w:p>
        </w:tc>
        <w:tc>
          <w:tcPr>
            <w:tcW w:type="dxa" w:w="1337"/>
            <w:shd w:val="clear" w:color="auto" w:fill="FFFFFF"/>
          </w:tcPr>
          <w:p>
            <w:pPr>
              <w:spacing w:before="40" w:after="40"/>
            </w:pPr>
            <w:r>
              <w:rPr>
                <w:sz w:val="18"/>
              </w:rPr>
              <w:t>88.70</w:t>
            </w:r>
          </w:p>
        </w:tc>
      </w:tr>
      <w:tr>
        <w:tc>
          <w:tcPr>
            <w:tcW w:type="dxa" w:w="1337"/>
            <w:shd w:val="clear" w:color="auto" w:fill="F4F7FA"/>
          </w:tcPr>
          <w:p>
            <w:pPr>
              <w:spacing w:before="40" w:after="40"/>
            </w:pPr>
            <w:r>
              <w:rPr>
                <w:sz w:val="18"/>
              </w:rPr>
              <w:t>Median</w:t>
            </w:r>
          </w:p>
        </w:tc>
        <w:tc>
          <w:tcPr>
            <w:tcW w:type="dxa" w:w="1337"/>
            <w:shd w:val="clear" w:color="auto" w:fill="F4F7FA"/>
          </w:tcPr>
          <w:p>
            <w:pPr>
              <w:spacing w:before="40" w:after="40"/>
            </w:pPr>
            <w:r>
              <w:rPr>
                <w:sz w:val="18"/>
              </w:rPr>
              <w:t>19.80</w:t>
            </w:r>
          </w:p>
        </w:tc>
        <w:tc>
          <w:tcPr>
            <w:tcW w:type="dxa" w:w="1337"/>
            <w:shd w:val="clear" w:color="auto" w:fill="F4F7FA"/>
          </w:tcPr>
          <w:p>
            <w:pPr>
              <w:spacing w:before="40" w:after="40"/>
            </w:pPr>
            <w:r>
              <w:rPr>
                <w:sz w:val="18"/>
              </w:rPr>
              <w:t>81.00</w:t>
            </w:r>
          </w:p>
        </w:tc>
        <w:tc>
          <w:tcPr>
            <w:tcW w:type="dxa" w:w="1337"/>
            <w:shd w:val="clear" w:color="auto" w:fill="F4F7FA"/>
          </w:tcPr>
          <w:p>
            <w:pPr>
              <w:spacing w:before="40" w:after="40"/>
            </w:pPr>
            <w:r>
              <w:rPr>
                <w:sz w:val="18"/>
              </w:rPr>
              <w:t>88.00</w:t>
            </w:r>
          </w:p>
        </w:tc>
        <w:tc>
          <w:tcPr>
            <w:tcW w:type="dxa" w:w="1337"/>
            <w:shd w:val="clear" w:color="auto" w:fill="F4F7FA"/>
          </w:tcPr>
          <w:p>
            <w:pPr>
              <w:spacing w:before="40" w:after="40"/>
            </w:pPr>
            <w:r>
              <w:rPr>
                <w:sz w:val="18"/>
              </w:rPr>
              <w:t>90.00</w:t>
            </w:r>
          </w:p>
        </w:tc>
        <w:tc>
          <w:tcPr>
            <w:tcW w:type="dxa" w:w="1337"/>
            <w:shd w:val="clear" w:color="auto" w:fill="F4F7FA"/>
          </w:tcPr>
          <w:p>
            <w:pPr>
              <w:spacing w:before="40" w:after="40"/>
            </w:pPr>
            <w:r>
              <w:rPr>
                <w:sz w:val="18"/>
              </w:rPr>
              <w:t>90.00</w:t>
            </w:r>
          </w:p>
        </w:tc>
        <w:tc>
          <w:tcPr>
            <w:tcW w:type="dxa" w:w="1337"/>
            <w:shd w:val="clear" w:color="auto" w:fill="F4F7FA"/>
          </w:tcPr>
          <w:p>
            <w:pPr>
              <w:spacing w:before="40" w:after="40"/>
            </w:pPr>
            <w:r>
              <w:rPr>
                <w:sz w:val="18"/>
              </w:rPr>
              <w:t>89.00</w:t>
            </w:r>
          </w:p>
        </w:tc>
      </w:tr>
      <w:tr>
        <w:tc>
          <w:tcPr>
            <w:tcW w:type="dxa" w:w="1337"/>
            <w:shd w:val="clear" w:color="auto" w:fill="FFFFFF"/>
          </w:tcPr>
          <w:p>
            <w:pPr>
              <w:spacing w:before="40" w:after="40"/>
            </w:pPr>
            <w:r>
              <w:rPr>
                <w:sz w:val="18"/>
              </w:rPr>
              <w:t>Std Dev</w:t>
            </w:r>
          </w:p>
        </w:tc>
        <w:tc>
          <w:tcPr>
            <w:tcW w:type="dxa" w:w="1337"/>
            <w:shd w:val="clear" w:color="auto" w:fill="FFFFFF"/>
          </w:tcPr>
          <w:p>
            <w:pPr>
              <w:spacing w:before="40" w:after="40"/>
            </w:pPr>
            <w:r>
              <w:rPr>
                <w:sz w:val="18"/>
              </w:rPr>
              <w:t>5.88</w:t>
            </w:r>
          </w:p>
        </w:tc>
        <w:tc>
          <w:tcPr>
            <w:tcW w:type="dxa" w:w="1337"/>
            <w:shd w:val="clear" w:color="auto" w:fill="FFFFFF"/>
          </w:tcPr>
          <w:p>
            <w:pPr>
              <w:spacing w:before="40" w:after="40"/>
            </w:pPr>
            <w:r>
              <w:rPr>
                <w:sz w:val="18"/>
              </w:rPr>
              <w:t>10.12</w:t>
            </w:r>
          </w:p>
        </w:tc>
        <w:tc>
          <w:tcPr>
            <w:tcW w:type="dxa" w:w="1337"/>
            <w:shd w:val="clear" w:color="auto" w:fill="FFFFFF"/>
          </w:tcPr>
          <w:p>
            <w:pPr>
              <w:spacing w:before="40" w:after="40"/>
            </w:pPr>
            <w:r>
              <w:rPr>
                <w:sz w:val="18"/>
              </w:rPr>
              <w:t>7.84</w:t>
            </w:r>
          </w:p>
        </w:tc>
        <w:tc>
          <w:tcPr>
            <w:tcW w:type="dxa" w:w="1337"/>
            <w:shd w:val="clear" w:color="auto" w:fill="FFFFFF"/>
          </w:tcPr>
          <w:p>
            <w:pPr>
              <w:spacing w:before="40" w:after="40"/>
            </w:pPr>
            <w:r>
              <w:rPr>
                <w:sz w:val="18"/>
              </w:rPr>
              <w:t>6.92</w:t>
            </w:r>
          </w:p>
        </w:tc>
        <w:tc>
          <w:tcPr>
            <w:tcW w:type="dxa" w:w="1337"/>
            <w:shd w:val="clear" w:color="auto" w:fill="FFFFFF"/>
          </w:tcPr>
          <w:p>
            <w:pPr>
              <w:spacing w:before="40" w:after="40"/>
            </w:pPr>
            <w:r>
              <w:rPr>
                <w:sz w:val="18"/>
              </w:rPr>
              <w:t>7.15</w:t>
            </w:r>
          </w:p>
        </w:tc>
        <w:tc>
          <w:tcPr>
            <w:tcW w:type="dxa" w:w="1337"/>
            <w:shd w:val="clear" w:color="auto" w:fill="FFFFFF"/>
          </w:tcPr>
          <w:p>
            <w:pPr>
              <w:spacing w:before="40" w:after="40"/>
            </w:pPr>
            <w:r>
              <w:rPr>
                <w:sz w:val="18"/>
              </w:rPr>
              <w:t>6.25</w:t>
            </w:r>
          </w:p>
        </w:tc>
      </w:tr>
      <w:tr>
        <w:tc>
          <w:tcPr>
            <w:tcW w:type="dxa" w:w="1337"/>
            <w:shd w:val="clear" w:color="auto" w:fill="F4F7FA"/>
          </w:tcPr>
          <w:p>
            <w:pPr>
              <w:spacing w:before="40" w:after="40"/>
            </w:pPr>
            <w:r>
              <w:rPr>
                <w:sz w:val="18"/>
              </w:rPr>
              <w:t>Min</w:t>
            </w:r>
          </w:p>
        </w:tc>
        <w:tc>
          <w:tcPr>
            <w:tcW w:type="dxa" w:w="1337"/>
            <w:shd w:val="clear" w:color="auto" w:fill="F4F7FA"/>
          </w:tcPr>
          <w:p>
            <w:pPr>
              <w:spacing w:before="40" w:after="40"/>
            </w:pPr>
            <w:r>
              <w:rPr>
                <w:sz w:val="18"/>
              </w:rPr>
              <w:t>5.20</w:t>
            </w:r>
          </w:p>
        </w:tc>
        <w:tc>
          <w:tcPr>
            <w:tcW w:type="dxa" w:w="1337"/>
            <w:shd w:val="clear" w:color="auto" w:fill="F4F7FA"/>
          </w:tcPr>
          <w:p>
            <w:pPr>
              <w:spacing w:before="40" w:after="40"/>
            </w:pPr>
            <w:r>
              <w:rPr>
                <w:sz w:val="18"/>
              </w:rPr>
              <w:t>50.00</w:t>
            </w:r>
          </w:p>
        </w:tc>
        <w:tc>
          <w:tcPr>
            <w:tcW w:type="dxa" w:w="1337"/>
            <w:shd w:val="clear" w:color="auto" w:fill="F4F7FA"/>
          </w:tcPr>
          <w:p>
            <w:pPr>
              <w:spacing w:before="40" w:after="40"/>
            </w:pPr>
            <w:r>
              <w:rPr>
                <w:sz w:val="18"/>
              </w:rPr>
              <w:t>60.00</w:t>
            </w:r>
          </w:p>
        </w:tc>
        <w:tc>
          <w:tcPr>
            <w:tcW w:type="dxa" w:w="1337"/>
            <w:shd w:val="clear" w:color="auto" w:fill="F4F7FA"/>
          </w:tcPr>
          <w:p>
            <w:pPr>
              <w:spacing w:before="40" w:after="40"/>
            </w:pPr>
            <w:r>
              <w:rPr>
                <w:sz w:val="18"/>
              </w:rPr>
              <w:t>65.00</w:t>
            </w:r>
          </w:p>
        </w:tc>
        <w:tc>
          <w:tcPr>
            <w:tcW w:type="dxa" w:w="1337"/>
            <w:shd w:val="clear" w:color="auto" w:fill="F4F7FA"/>
          </w:tcPr>
          <w:p>
            <w:pPr>
              <w:spacing w:before="40" w:after="40"/>
            </w:pPr>
            <w:r>
              <w:rPr>
                <w:sz w:val="18"/>
              </w:rPr>
              <w:t>64.00</w:t>
            </w:r>
          </w:p>
        </w:tc>
        <w:tc>
          <w:tcPr>
            <w:tcW w:type="dxa" w:w="1337"/>
            <w:shd w:val="clear" w:color="auto" w:fill="F4F7FA"/>
          </w:tcPr>
          <w:p>
            <w:pPr>
              <w:spacing w:before="40" w:after="40"/>
            </w:pPr>
            <w:r>
              <w:rPr>
                <w:sz w:val="18"/>
              </w:rPr>
              <w:t>65.33</w:t>
            </w:r>
          </w:p>
        </w:tc>
      </w:tr>
      <w:tr>
        <w:tc>
          <w:tcPr>
            <w:tcW w:type="dxa" w:w="1337"/>
            <w:shd w:val="clear" w:color="auto" w:fill="FFFFFF"/>
          </w:tcPr>
          <w:p>
            <w:pPr>
              <w:spacing w:before="40" w:after="40"/>
            </w:pPr>
            <w:r>
              <w:rPr>
                <w:sz w:val="18"/>
              </w:rPr>
              <w:t>25% (Q1)</w:t>
            </w:r>
          </w:p>
        </w:tc>
        <w:tc>
          <w:tcPr>
            <w:tcW w:type="dxa" w:w="1337"/>
            <w:shd w:val="clear" w:color="auto" w:fill="FFFFFF"/>
          </w:tcPr>
          <w:p>
            <w:pPr>
              <w:spacing w:before="40" w:after="40"/>
            </w:pPr>
            <w:r>
              <w:rPr>
                <w:sz w:val="18"/>
              </w:rPr>
              <w:t>16.10</w:t>
            </w:r>
          </w:p>
        </w:tc>
        <w:tc>
          <w:tcPr>
            <w:tcW w:type="dxa" w:w="1337"/>
            <w:shd w:val="clear" w:color="auto" w:fill="FFFFFF"/>
          </w:tcPr>
          <w:p>
            <w:pPr>
              <w:spacing w:before="40" w:after="40"/>
            </w:pPr>
            <w:r>
              <w:rPr>
                <w:sz w:val="18"/>
              </w:rPr>
              <w:t>73.00</w:t>
            </w:r>
          </w:p>
        </w:tc>
        <w:tc>
          <w:tcPr>
            <w:tcW w:type="dxa" w:w="1337"/>
            <w:shd w:val="clear" w:color="auto" w:fill="FFFFFF"/>
          </w:tcPr>
          <w:p>
            <w:pPr>
              <w:spacing w:before="40" w:after="40"/>
            </w:pPr>
            <w:r>
              <w:rPr>
                <w:sz w:val="18"/>
              </w:rPr>
              <w:t>82.00</w:t>
            </w:r>
          </w:p>
        </w:tc>
        <w:tc>
          <w:tcPr>
            <w:tcW w:type="dxa" w:w="1337"/>
            <w:shd w:val="clear" w:color="auto" w:fill="FFFFFF"/>
          </w:tcPr>
          <w:p>
            <w:pPr>
              <w:spacing w:before="40" w:after="40"/>
            </w:pPr>
            <w:r>
              <w:rPr>
                <w:sz w:val="18"/>
              </w:rPr>
              <w:t>85.00</w:t>
            </w:r>
          </w:p>
        </w:tc>
        <w:tc>
          <w:tcPr>
            <w:tcW w:type="dxa" w:w="1337"/>
            <w:shd w:val="clear" w:color="auto" w:fill="FFFFFF"/>
          </w:tcPr>
          <w:p>
            <w:pPr>
              <w:spacing w:before="40" w:after="40"/>
            </w:pPr>
            <w:r>
              <w:rPr>
                <w:sz w:val="18"/>
              </w:rPr>
              <w:t>85.00</w:t>
            </w:r>
          </w:p>
        </w:tc>
        <w:tc>
          <w:tcPr>
            <w:tcW w:type="dxa" w:w="1337"/>
            <w:shd w:val="clear" w:color="auto" w:fill="FFFFFF"/>
          </w:tcPr>
          <w:p>
            <w:pPr>
              <w:spacing w:before="40" w:after="40"/>
            </w:pPr>
            <w:r>
              <w:rPr>
                <w:sz w:val="18"/>
              </w:rPr>
              <w:t>84.33</w:t>
            </w:r>
          </w:p>
        </w:tc>
      </w:tr>
      <w:tr>
        <w:tc>
          <w:tcPr>
            <w:tcW w:type="dxa" w:w="1337"/>
            <w:shd w:val="clear" w:color="auto" w:fill="F4F7FA"/>
          </w:tcPr>
          <w:p>
            <w:pPr>
              <w:spacing w:before="40" w:after="40"/>
            </w:pPr>
            <w:r>
              <w:rPr>
                <w:sz w:val="18"/>
              </w:rPr>
              <w:t>75% (Q3)</w:t>
            </w:r>
          </w:p>
        </w:tc>
        <w:tc>
          <w:tcPr>
            <w:tcW w:type="dxa" w:w="1337"/>
            <w:shd w:val="clear" w:color="auto" w:fill="F4F7FA"/>
          </w:tcPr>
          <w:p>
            <w:pPr>
              <w:spacing w:before="40" w:after="40"/>
            </w:pPr>
            <w:r>
              <w:rPr>
                <w:sz w:val="18"/>
              </w:rPr>
              <w:t>24.10</w:t>
            </w:r>
          </w:p>
        </w:tc>
        <w:tc>
          <w:tcPr>
            <w:tcW w:type="dxa" w:w="1337"/>
            <w:shd w:val="clear" w:color="auto" w:fill="F4F7FA"/>
          </w:tcPr>
          <w:p>
            <w:pPr>
              <w:spacing w:before="40" w:after="40"/>
            </w:pPr>
            <w:r>
              <w:rPr>
                <w:sz w:val="18"/>
              </w:rPr>
              <w:t>88.00</w:t>
            </w:r>
          </w:p>
        </w:tc>
        <w:tc>
          <w:tcPr>
            <w:tcW w:type="dxa" w:w="1337"/>
            <w:shd w:val="clear" w:color="auto" w:fill="F4F7FA"/>
          </w:tcPr>
          <w:p>
            <w:pPr>
              <w:spacing w:before="40" w:after="40"/>
            </w:pPr>
            <w:r>
              <w:rPr>
                <w:sz w:val="18"/>
              </w:rPr>
              <w:t>93.00</w:t>
            </w:r>
          </w:p>
        </w:tc>
        <w:tc>
          <w:tcPr>
            <w:tcW w:type="dxa" w:w="1337"/>
            <w:shd w:val="clear" w:color="auto" w:fill="F4F7FA"/>
          </w:tcPr>
          <w:p>
            <w:pPr>
              <w:spacing w:before="40" w:after="40"/>
            </w:pPr>
            <w:r>
              <w:rPr>
                <w:sz w:val="18"/>
              </w:rPr>
              <w:t>94.00</w:t>
            </w:r>
          </w:p>
        </w:tc>
        <w:tc>
          <w:tcPr>
            <w:tcW w:type="dxa" w:w="1337"/>
            <w:shd w:val="clear" w:color="auto" w:fill="F4F7FA"/>
          </w:tcPr>
          <w:p>
            <w:pPr>
              <w:spacing w:before="40" w:after="40"/>
            </w:pPr>
            <w:r>
              <w:rPr>
                <w:sz w:val="18"/>
              </w:rPr>
              <w:t>94.00</w:t>
            </w:r>
          </w:p>
        </w:tc>
        <w:tc>
          <w:tcPr>
            <w:tcW w:type="dxa" w:w="1337"/>
            <w:shd w:val="clear" w:color="auto" w:fill="F4F7FA"/>
          </w:tcPr>
          <w:p>
            <w:pPr>
              <w:spacing w:before="40" w:after="40"/>
            </w:pPr>
            <w:r>
              <w:rPr>
                <w:sz w:val="18"/>
              </w:rPr>
              <w:t>93.00</w:t>
            </w:r>
          </w:p>
        </w:tc>
      </w:tr>
      <w:tr>
        <w:tc>
          <w:tcPr>
            <w:tcW w:type="dxa" w:w="1337"/>
            <w:shd w:val="clear" w:color="auto" w:fill="FFFFFF"/>
          </w:tcPr>
          <w:p>
            <w:pPr>
              <w:spacing w:before="40" w:after="40"/>
            </w:pPr>
            <w:r>
              <w:rPr>
                <w:sz w:val="18"/>
              </w:rPr>
              <w:t>Max</w:t>
            </w:r>
          </w:p>
        </w:tc>
        <w:tc>
          <w:tcPr>
            <w:tcW w:type="dxa" w:w="1337"/>
            <w:shd w:val="clear" w:color="auto" w:fill="FFFFFF"/>
          </w:tcPr>
          <w:p>
            <w:pPr>
              <w:spacing w:before="40" w:after="40"/>
            </w:pPr>
            <w:r>
              <w:rPr>
                <w:sz w:val="18"/>
              </w:rPr>
              <w:t>38.50</w:t>
            </w:r>
          </w:p>
        </w:tc>
        <w:tc>
          <w:tcPr>
            <w:tcW w:type="dxa" w:w="1337"/>
            <w:shd w:val="clear" w:color="auto" w:fill="FFFFFF"/>
          </w:tcPr>
          <w:p>
            <w:pPr>
              <w:spacing w:before="40" w:after="40"/>
            </w:pPr>
            <w:r>
              <w:rPr>
                <w:sz w:val="18"/>
              </w:rPr>
              <w:t>99.00</w:t>
            </w:r>
          </w:p>
        </w:tc>
        <w:tc>
          <w:tcPr>
            <w:tcW w:type="dxa" w:w="1337"/>
            <w:shd w:val="clear" w:color="auto" w:fill="FFFFFF"/>
          </w:tcPr>
          <w:p>
            <w:pPr>
              <w:spacing w:before="40" w:after="40"/>
            </w:pPr>
            <w:r>
              <w:rPr>
                <w:sz w:val="18"/>
              </w:rPr>
              <w:t>100.00</w:t>
            </w:r>
          </w:p>
        </w:tc>
        <w:tc>
          <w:tcPr>
            <w:tcW w:type="dxa" w:w="1337"/>
            <w:shd w:val="clear" w:color="auto" w:fill="FFFFFF"/>
          </w:tcPr>
          <w:p>
            <w:pPr>
              <w:spacing w:before="40" w:after="40"/>
            </w:pPr>
            <w:r>
              <w:rPr>
                <w:sz w:val="18"/>
              </w:rPr>
              <w:t>100.00</w:t>
            </w:r>
          </w:p>
        </w:tc>
        <w:tc>
          <w:tcPr>
            <w:tcW w:type="dxa" w:w="1337"/>
            <w:shd w:val="clear" w:color="auto" w:fill="FFFFFF"/>
          </w:tcPr>
          <w:p>
            <w:pPr>
              <w:spacing w:before="40" w:after="40"/>
            </w:pPr>
            <w:r>
              <w:rPr>
                <w:sz w:val="18"/>
              </w:rPr>
              <w:t>100.00</w:t>
            </w:r>
          </w:p>
        </w:tc>
        <w:tc>
          <w:tcPr>
            <w:tcW w:type="dxa" w:w="1337"/>
            <w:shd w:val="clear" w:color="auto" w:fill="FFFFFF"/>
          </w:tcPr>
          <w:p>
            <w:pPr>
              <w:spacing w:before="40" w:after="40"/>
            </w:pPr>
            <w:r>
              <w:rPr>
                <w:sz w:val="18"/>
              </w:rPr>
              <w:t>100.00</w:t>
            </w:r>
          </w:p>
        </w:tc>
      </w:tr>
    </w:tbl>
    <w:p/>
    <w:p>
      <w:pPr>
        <w:pStyle w:val="Heading2"/>
        <w:spacing w:before="260" w:after="80"/>
      </w:pPr>
      <w:r>
        <w:rPr>
          <w:b/>
          <w:color w:val="2B4C7E"/>
          <w:sz w:val="26"/>
        </w:rPr>
        <w:t>4.2 Grouped Performance Aggregations</w:t>
      </w:r>
    </w:p>
    <w:p>
      <w:pPr>
        <w:spacing w:after="120" w:line="276" w:lineRule="auto"/>
      </w:pPr>
      <w:r>
        <w:t>Table 4.2 presents academic performance disaggregated by gender across subjects: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365D"/>
          </w:tcPr>
          <w:p>
            <w:pPr>
              <w:spacing w:before="60" w:after="60"/>
            </w:pPr>
            <w:r>
              <w:rPr>
                <w:b/>
                <w:color w:val="FFFFFF"/>
                <w:sz w:val="19"/>
              </w:rPr>
              <w:t>Gender</w:t>
            </w:r>
          </w:p>
        </w:tc>
        <w:tc>
          <w:tcPr>
            <w:tcW w:type="dxa" w:w="1560"/>
            <w:shd w:val="clear" w:color="auto" w:fill="1B365D"/>
          </w:tcPr>
          <w:p>
            <w:pPr>
              <w:spacing w:before="60" w:after="60"/>
            </w:pPr>
            <w:r>
              <w:rPr>
                <w:b/>
                <w:color w:val="FFFFFF"/>
                <w:sz w:val="19"/>
              </w:rPr>
              <w:t>Student Count</w:t>
            </w:r>
          </w:p>
        </w:tc>
        <w:tc>
          <w:tcPr>
            <w:tcW w:type="dxa" w:w="1560"/>
            <w:shd w:val="clear" w:color="auto" w:fill="1B365D"/>
          </w:tcPr>
          <w:p>
            <w:pPr>
              <w:spacing w:before="60" w:after="60"/>
            </w:pPr>
            <w:r>
              <w:rPr>
                <w:b/>
                <w:color w:val="FFFFFF"/>
                <w:sz w:val="19"/>
              </w:rPr>
              <w:t>Mean Math</w:t>
            </w:r>
          </w:p>
        </w:tc>
        <w:tc>
          <w:tcPr>
            <w:tcW w:type="dxa" w:w="1560"/>
            <w:shd w:val="clear" w:color="auto" w:fill="1B365D"/>
          </w:tcPr>
          <w:p>
            <w:pPr>
              <w:spacing w:before="60" w:after="60"/>
            </w:pPr>
            <w:r>
              <w:rPr>
                <w:b/>
                <w:color w:val="FFFFFF"/>
                <w:sz w:val="19"/>
              </w:rPr>
              <w:t>Mean Reading</w:t>
            </w:r>
          </w:p>
        </w:tc>
        <w:tc>
          <w:tcPr>
            <w:tcW w:type="dxa" w:w="1560"/>
            <w:shd w:val="clear" w:color="auto" w:fill="1B365D"/>
          </w:tcPr>
          <w:p>
            <w:pPr>
              <w:spacing w:before="60" w:after="60"/>
            </w:pPr>
            <w:r>
              <w:rPr>
                <w:b/>
                <w:color w:val="FFFFFF"/>
                <w:sz w:val="19"/>
              </w:rPr>
              <w:t>Mean Writing</w:t>
            </w:r>
          </w:p>
        </w:tc>
        <w:tc>
          <w:tcPr>
            <w:tcW w:type="dxa" w:w="1560"/>
            <w:shd w:val="clear" w:color="auto" w:fill="1B365D"/>
          </w:tcPr>
          <w:p>
            <w:pPr>
              <w:spacing w:before="60" w:after="60"/>
            </w:pPr>
            <w:r>
              <w:rPr>
                <w:b/>
                <w:color w:val="FFFFFF"/>
                <w:sz w:val="19"/>
              </w:rPr>
              <w:t>Mean Average Score</w:t>
            </w:r>
          </w:p>
        </w:tc>
      </w:tr>
      <w:tr>
        <w:tc>
          <w:tcPr>
            <w:tcW w:type="dxa" w:w="1560"/>
            <w:shd w:val="clear" w:color="auto" w:fill="FFFFFF"/>
          </w:tcPr>
          <w:p>
            <w:pPr>
              <w:spacing w:before="40" w:after="40"/>
            </w:pPr>
            <w:r>
              <w:rPr>
                <w:sz w:val="18"/>
              </w:rPr>
              <w:t>Female</w:t>
            </w:r>
          </w:p>
        </w:tc>
        <w:tc>
          <w:tcPr>
            <w:tcW w:type="dxa" w:w="1560"/>
            <w:shd w:val="clear" w:color="auto" w:fill="FFFFFF"/>
          </w:tcPr>
          <w:p>
            <w:pPr>
              <w:spacing w:before="40" w:after="40"/>
            </w:pPr>
            <w:r>
              <w:rPr>
                <w:sz w:val="18"/>
              </w:rPr>
              <w:t>500</w:t>
            </w:r>
          </w:p>
        </w:tc>
        <w:tc>
          <w:tcPr>
            <w:tcW w:type="dxa" w:w="1560"/>
            <w:shd w:val="clear" w:color="auto" w:fill="FFFFFF"/>
          </w:tcPr>
          <w:p>
            <w:pPr>
              <w:spacing w:before="40" w:after="40"/>
            </w:pPr>
            <w:r>
              <w:rPr>
                <w:sz w:val="18"/>
              </w:rPr>
              <w:t>86.00</w:t>
            </w:r>
          </w:p>
        </w:tc>
        <w:tc>
          <w:tcPr>
            <w:tcW w:type="dxa" w:w="1560"/>
            <w:shd w:val="clear" w:color="auto" w:fill="FFFFFF"/>
          </w:tcPr>
          <w:p>
            <w:pPr>
              <w:spacing w:before="40" w:after="40"/>
            </w:pPr>
            <w:r>
              <w:rPr>
                <w:sz w:val="18"/>
              </w:rPr>
              <w:t>91.23</w:t>
            </w:r>
          </w:p>
        </w:tc>
        <w:tc>
          <w:tcPr>
            <w:tcW w:type="dxa" w:w="1560"/>
            <w:shd w:val="clear" w:color="auto" w:fill="FFFFFF"/>
          </w:tcPr>
          <w:p>
            <w:pPr>
              <w:spacing w:before="40" w:after="40"/>
            </w:pPr>
            <w:r>
              <w:rPr>
                <w:sz w:val="18"/>
              </w:rPr>
              <w:t>91.42</w:t>
            </w:r>
          </w:p>
        </w:tc>
        <w:tc>
          <w:tcPr>
            <w:tcW w:type="dxa" w:w="1560"/>
            <w:shd w:val="clear" w:color="auto" w:fill="FFFFFF"/>
          </w:tcPr>
          <w:p>
            <w:pPr>
              <w:spacing w:before="40" w:after="40"/>
            </w:pPr>
            <w:r>
              <w:rPr>
                <w:sz w:val="18"/>
              </w:rPr>
              <w:t>89.55</w:t>
            </w:r>
          </w:p>
        </w:tc>
      </w:tr>
      <w:tr>
        <w:tc>
          <w:tcPr>
            <w:tcW w:type="dxa" w:w="1560"/>
            <w:shd w:val="clear" w:color="auto" w:fill="F4F7FA"/>
          </w:tcPr>
          <w:p>
            <w:pPr>
              <w:spacing w:before="40" w:after="40"/>
            </w:pPr>
            <w:r>
              <w:rPr>
                <w:sz w:val="18"/>
              </w:rPr>
              <w:t>Male</w:t>
            </w:r>
          </w:p>
        </w:tc>
        <w:tc>
          <w:tcPr>
            <w:tcW w:type="dxa" w:w="1560"/>
            <w:shd w:val="clear" w:color="auto" w:fill="F4F7FA"/>
          </w:tcPr>
          <w:p>
            <w:pPr>
              <w:spacing w:before="40" w:after="40"/>
            </w:pPr>
            <w:r>
              <w:rPr>
                <w:sz w:val="18"/>
              </w:rPr>
              <w:t>500</w:t>
            </w:r>
          </w:p>
        </w:tc>
        <w:tc>
          <w:tcPr>
            <w:tcW w:type="dxa" w:w="1560"/>
            <w:shd w:val="clear" w:color="auto" w:fill="F4F7FA"/>
          </w:tcPr>
          <w:p>
            <w:pPr>
              <w:spacing w:before="40" w:after="40"/>
            </w:pPr>
            <w:r>
              <w:rPr>
                <w:sz w:val="18"/>
              </w:rPr>
              <w:t>88.61</w:t>
            </w:r>
          </w:p>
        </w:tc>
        <w:tc>
          <w:tcPr>
            <w:tcW w:type="dxa" w:w="1560"/>
            <w:shd w:val="clear" w:color="auto" w:fill="F4F7FA"/>
          </w:tcPr>
          <w:p>
            <w:pPr>
              <w:spacing w:before="40" w:after="40"/>
            </w:pPr>
            <w:r>
              <w:rPr>
                <w:sz w:val="18"/>
              </w:rPr>
              <w:t>87.70</w:t>
            </w:r>
          </w:p>
        </w:tc>
        <w:tc>
          <w:tcPr>
            <w:tcW w:type="dxa" w:w="1560"/>
            <w:shd w:val="clear" w:color="auto" w:fill="F4F7FA"/>
          </w:tcPr>
          <w:p>
            <w:pPr>
              <w:spacing w:before="40" w:after="40"/>
            </w:pPr>
            <w:r>
              <w:rPr>
                <w:sz w:val="18"/>
              </w:rPr>
              <w:t>87.21</w:t>
            </w:r>
          </w:p>
        </w:tc>
        <w:tc>
          <w:tcPr>
            <w:tcW w:type="dxa" w:w="1560"/>
            <w:shd w:val="clear" w:color="auto" w:fill="F4F7FA"/>
          </w:tcPr>
          <w:p>
            <w:pPr>
              <w:spacing w:before="40" w:after="40"/>
            </w:pPr>
            <w:r>
              <w:rPr>
                <w:sz w:val="18"/>
              </w:rPr>
              <w:t>87.84</w:t>
            </w:r>
          </w:p>
        </w:tc>
      </w:tr>
    </w:tbl>
    <w:p/>
    <w:p>
      <w:pPr>
        <w:spacing w:after="120" w:line="276" w:lineRule="auto"/>
      </w:pPr>
      <w:r>
        <w:t>Table 4.3 presents the performance hierarchy based on parental educational attainment: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365D"/>
          </w:tcPr>
          <w:p>
            <w:pPr>
              <w:spacing w:before="60" w:after="60"/>
            </w:pPr>
            <w:r>
              <w:rPr>
                <w:b/>
                <w:color w:val="FFFFFF"/>
                <w:sz w:val="19"/>
              </w:rPr>
              <w:t>Parental Education Level</w:t>
            </w:r>
          </w:p>
        </w:tc>
        <w:tc>
          <w:tcPr>
            <w:tcW w:type="dxa" w:w="1560"/>
            <w:shd w:val="clear" w:color="auto" w:fill="1B365D"/>
          </w:tcPr>
          <w:p>
            <w:pPr>
              <w:spacing w:before="60" w:after="60"/>
            </w:pPr>
            <w:r>
              <w:rPr>
                <w:b/>
                <w:color w:val="FFFFFF"/>
                <w:sz w:val="19"/>
              </w:rPr>
              <w:t>Student Count</w:t>
            </w:r>
          </w:p>
        </w:tc>
        <w:tc>
          <w:tcPr>
            <w:tcW w:type="dxa" w:w="1560"/>
            <w:shd w:val="clear" w:color="auto" w:fill="1B365D"/>
          </w:tcPr>
          <w:p>
            <w:pPr>
              <w:spacing w:before="60" w:after="60"/>
            </w:pPr>
            <w:r>
              <w:rPr>
                <w:b/>
                <w:color w:val="FFFFFF"/>
                <w:sz w:val="19"/>
              </w:rPr>
              <w:t>Math Avg</w:t>
            </w:r>
          </w:p>
        </w:tc>
        <w:tc>
          <w:tcPr>
            <w:tcW w:type="dxa" w:w="1560"/>
            <w:shd w:val="clear" w:color="auto" w:fill="1B365D"/>
          </w:tcPr>
          <w:p>
            <w:pPr>
              <w:spacing w:before="60" w:after="60"/>
            </w:pPr>
            <w:r>
              <w:rPr>
                <w:b/>
                <w:color w:val="FFFFFF"/>
                <w:sz w:val="19"/>
              </w:rPr>
              <w:t>Reading Avg</w:t>
            </w:r>
          </w:p>
        </w:tc>
        <w:tc>
          <w:tcPr>
            <w:tcW w:type="dxa" w:w="1560"/>
            <w:shd w:val="clear" w:color="auto" w:fill="1B365D"/>
          </w:tcPr>
          <w:p>
            <w:pPr>
              <w:spacing w:before="60" w:after="60"/>
            </w:pPr>
            <w:r>
              <w:rPr>
                <w:b/>
                <w:color w:val="FFFFFF"/>
                <w:sz w:val="19"/>
              </w:rPr>
              <w:t>Writing Avg</w:t>
            </w:r>
          </w:p>
        </w:tc>
        <w:tc>
          <w:tcPr>
            <w:tcW w:type="dxa" w:w="1560"/>
            <w:shd w:val="clear" w:color="auto" w:fill="1B365D"/>
          </w:tcPr>
          <w:p>
            <w:pPr>
              <w:spacing w:before="60" w:after="60"/>
            </w:pPr>
            <w:r>
              <w:rPr>
                <w:b/>
                <w:color w:val="FFFFFF"/>
                <w:sz w:val="19"/>
              </w:rPr>
              <w:t>Composite Average</w:t>
            </w:r>
          </w:p>
        </w:tc>
      </w:tr>
      <w:tr>
        <w:tc>
          <w:tcPr>
            <w:tcW w:type="dxa" w:w="1560"/>
            <w:shd w:val="clear" w:color="auto" w:fill="FFFFFF"/>
          </w:tcPr>
          <w:p>
            <w:pPr>
              <w:spacing w:before="40" w:after="40"/>
            </w:pPr>
            <w:r>
              <w:rPr>
                <w:sz w:val="18"/>
              </w:rPr>
              <w:t>Master's Degree</w:t>
            </w:r>
          </w:p>
        </w:tc>
        <w:tc>
          <w:tcPr>
            <w:tcW w:type="dxa" w:w="1560"/>
            <w:shd w:val="clear" w:color="auto" w:fill="FFFFFF"/>
          </w:tcPr>
          <w:p>
            <w:pPr>
              <w:spacing w:before="40" w:after="40"/>
            </w:pPr>
            <w:r>
              <w:rPr>
                <w:sz w:val="18"/>
              </w:rPr>
              <w:t>112</w:t>
            </w:r>
          </w:p>
        </w:tc>
        <w:tc>
          <w:tcPr>
            <w:tcW w:type="dxa" w:w="1560"/>
            <w:shd w:val="clear" w:color="auto" w:fill="FFFFFF"/>
          </w:tcPr>
          <w:p>
            <w:pPr>
              <w:spacing w:before="40" w:after="40"/>
            </w:pPr>
            <w:r>
              <w:rPr>
                <w:sz w:val="18"/>
              </w:rPr>
              <w:t>93.12</w:t>
            </w:r>
          </w:p>
        </w:tc>
        <w:tc>
          <w:tcPr>
            <w:tcW w:type="dxa" w:w="1560"/>
            <w:shd w:val="clear" w:color="auto" w:fill="FFFFFF"/>
          </w:tcPr>
          <w:p>
            <w:pPr>
              <w:spacing w:before="40" w:after="40"/>
            </w:pPr>
            <w:r>
              <w:rPr>
                <w:sz w:val="18"/>
              </w:rPr>
              <w:t>95.20</w:t>
            </w:r>
          </w:p>
        </w:tc>
        <w:tc>
          <w:tcPr>
            <w:tcW w:type="dxa" w:w="1560"/>
            <w:shd w:val="clear" w:color="auto" w:fill="FFFFFF"/>
          </w:tcPr>
          <w:p>
            <w:pPr>
              <w:spacing w:before="40" w:after="40"/>
            </w:pPr>
            <w:r>
              <w:rPr>
                <w:sz w:val="18"/>
              </w:rPr>
              <w:t>95.01</w:t>
            </w:r>
          </w:p>
        </w:tc>
        <w:tc>
          <w:tcPr>
            <w:tcW w:type="dxa" w:w="1560"/>
            <w:shd w:val="clear" w:color="auto" w:fill="FFFFFF"/>
          </w:tcPr>
          <w:p>
            <w:pPr>
              <w:spacing w:before="40" w:after="40"/>
            </w:pPr>
            <w:r>
              <w:rPr>
                <w:sz w:val="18"/>
              </w:rPr>
              <w:t>94.44</w:t>
            </w:r>
          </w:p>
        </w:tc>
      </w:tr>
      <w:tr>
        <w:tc>
          <w:tcPr>
            <w:tcW w:type="dxa" w:w="1560"/>
            <w:shd w:val="clear" w:color="auto" w:fill="F4F7FA"/>
          </w:tcPr>
          <w:p>
            <w:pPr>
              <w:spacing w:before="40" w:after="40"/>
            </w:pPr>
            <w:r>
              <w:rPr>
                <w:sz w:val="18"/>
              </w:rPr>
              <w:t>Bachelor's Degree</w:t>
            </w:r>
          </w:p>
        </w:tc>
        <w:tc>
          <w:tcPr>
            <w:tcW w:type="dxa" w:w="1560"/>
            <w:shd w:val="clear" w:color="auto" w:fill="F4F7FA"/>
          </w:tcPr>
          <w:p>
            <w:pPr>
              <w:spacing w:before="40" w:after="40"/>
            </w:pPr>
            <w:r>
              <w:rPr>
                <w:sz w:val="18"/>
              </w:rPr>
              <w:t>198</w:t>
            </w:r>
          </w:p>
        </w:tc>
        <w:tc>
          <w:tcPr>
            <w:tcW w:type="dxa" w:w="1560"/>
            <w:shd w:val="clear" w:color="auto" w:fill="F4F7FA"/>
          </w:tcPr>
          <w:p>
            <w:pPr>
              <w:spacing w:before="40" w:after="40"/>
            </w:pPr>
            <w:r>
              <w:rPr>
                <w:sz w:val="18"/>
              </w:rPr>
              <w:t>91.05</w:t>
            </w:r>
          </w:p>
        </w:tc>
        <w:tc>
          <w:tcPr>
            <w:tcW w:type="dxa" w:w="1560"/>
            <w:shd w:val="clear" w:color="auto" w:fill="F4F7FA"/>
          </w:tcPr>
          <w:p>
            <w:pPr>
              <w:spacing w:before="40" w:after="40"/>
            </w:pPr>
            <w:r>
              <w:rPr>
                <w:sz w:val="18"/>
              </w:rPr>
              <w:t>93.45</w:t>
            </w:r>
          </w:p>
        </w:tc>
        <w:tc>
          <w:tcPr>
            <w:tcW w:type="dxa" w:w="1560"/>
            <w:shd w:val="clear" w:color="auto" w:fill="F4F7FA"/>
          </w:tcPr>
          <w:p>
            <w:pPr>
              <w:spacing w:before="40" w:after="40"/>
            </w:pPr>
            <w:r>
              <w:rPr>
                <w:sz w:val="18"/>
              </w:rPr>
              <w:t>93.30</w:t>
            </w:r>
          </w:p>
        </w:tc>
        <w:tc>
          <w:tcPr>
            <w:tcW w:type="dxa" w:w="1560"/>
            <w:shd w:val="clear" w:color="auto" w:fill="F4F7FA"/>
          </w:tcPr>
          <w:p>
            <w:pPr>
              <w:spacing w:before="40" w:after="40"/>
            </w:pPr>
            <w:r>
              <w:rPr>
                <w:sz w:val="18"/>
              </w:rPr>
              <w:t>92.60</w:t>
            </w:r>
          </w:p>
        </w:tc>
      </w:tr>
      <w:tr>
        <w:tc>
          <w:tcPr>
            <w:tcW w:type="dxa" w:w="1560"/>
            <w:shd w:val="clear" w:color="auto" w:fill="FFFFFF"/>
          </w:tcPr>
          <w:p>
            <w:pPr>
              <w:spacing w:before="40" w:after="40"/>
            </w:pPr>
            <w:r>
              <w:rPr>
                <w:sz w:val="18"/>
              </w:rPr>
              <w:t>Associate's Degree</w:t>
            </w:r>
          </w:p>
        </w:tc>
        <w:tc>
          <w:tcPr>
            <w:tcW w:type="dxa" w:w="1560"/>
            <w:shd w:val="clear" w:color="auto" w:fill="FFFFFF"/>
          </w:tcPr>
          <w:p>
            <w:pPr>
              <w:spacing w:before="40" w:after="40"/>
            </w:pPr>
            <w:r>
              <w:rPr>
                <w:sz w:val="18"/>
              </w:rPr>
              <w:t>225</w:t>
            </w:r>
          </w:p>
        </w:tc>
        <w:tc>
          <w:tcPr>
            <w:tcW w:type="dxa" w:w="1560"/>
            <w:shd w:val="clear" w:color="auto" w:fill="FFFFFF"/>
          </w:tcPr>
          <w:p>
            <w:pPr>
              <w:spacing w:before="40" w:after="40"/>
            </w:pPr>
            <w:r>
              <w:rPr>
                <w:sz w:val="18"/>
              </w:rPr>
              <w:t>88.10</w:t>
            </w:r>
          </w:p>
        </w:tc>
        <w:tc>
          <w:tcPr>
            <w:tcW w:type="dxa" w:w="1560"/>
            <w:shd w:val="clear" w:color="auto" w:fill="FFFFFF"/>
          </w:tcPr>
          <w:p>
            <w:pPr>
              <w:spacing w:before="40" w:after="40"/>
            </w:pPr>
            <w:r>
              <w:rPr>
                <w:sz w:val="18"/>
              </w:rPr>
              <w:t>90.30</w:t>
            </w:r>
          </w:p>
        </w:tc>
        <w:tc>
          <w:tcPr>
            <w:tcW w:type="dxa" w:w="1560"/>
            <w:shd w:val="clear" w:color="auto" w:fill="FFFFFF"/>
          </w:tcPr>
          <w:p>
            <w:pPr>
              <w:spacing w:before="40" w:after="40"/>
            </w:pPr>
            <w:r>
              <w:rPr>
                <w:sz w:val="18"/>
              </w:rPr>
              <w:t>90.15</w:t>
            </w:r>
          </w:p>
        </w:tc>
        <w:tc>
          <w:tcPr>
            <w:tcW w:type="dxa" w:w="1560"/>
            <w:shd w:val="clear" w:color="auto" w:fill="FFFFFF"/>
          </w:tcPr>
          <w:p>
            <w:pPr>
              <w:spacing w:before="40" w:after="40"/>
            </w:pPr>
            <w:r>
              <w:rPr>
                <w:sz w:val="18"/>
              </w:rPr>
              <w:t>89.52</w:t>
            </w:r>
          </w:p>
        </w:tc>
      </w:tr>
      <w:tr>
        <w:tc>
          <w:tcPr>
            <w:tcW w:type="dxa" w:w="1560"/>
            <w:shd w:val="clear" w:color="auto" w:fill="F4F7FA"/>
          </w:tcPr>
          <w:p>
            <w:pPr>
              <w:spacing w:before="40" w:after="40"/>
            </w:pPr>
            <w:r>
              <w:rPr>
                <w:sz w:val="18"/>
              </w:rPr>
              <w:t>Some College</w:t>
            </w:r>
          </w:p>
        </w:tc>
        <w:tc>
          <w:tcPr>
            <w:tcW w:type="dxa" w:w="1560"/>
            <w:shd w:val="clear" w:color="auto" w:fill="F4F7FA"/>
          </w:tcPr>
          <w:p>
            <w:pPr>
              <w:spacing w:before="40" w:after="40"/>
            </w:pPr>
            <w:r>
              <w:rPr>
                <w:sz w:val="18"/>
              </w:rPr>
              <w:t>240</w:t>
            </w:r>
          </w:p>
        </w:tc>
        <w:tc>
          <w:tcPr>
            <w:tcW w:type="dxa" w:w="1560"/>
            <w:shd w:val="clear" w:color="auto" w:fill="F4F7FA"/>
          </w:tcPr>
          <w:p>
            <w:pPr>
              <w:spacing w:before="40" w:after="40"/>
            </w:pPr>
            <w:r>
              <w:rPr>
                <w:sz w:val="18"/>
              </w:rPr>
              <w:t>85.40</w:t>
            </w:r>
          </w:p>
        </w:tc>
        <w:tc>
          <w:tcPr>
            <w:tcW w:type="dxa" w:w="1560"/>
            <w:shd w:val="clear" w:color="auto" w:fill="F4F7FA"/>
          </w:tcPr>
          <w:p>
            <w:pPr>
              <w:spacing w:before="40" w:after="40"/>
            </w:pPr>
            <w:r>
              <w:rPr>
                <w:sz w:val="18"/>
              </w:rPr>
              <w:t>87.60</w:t>
            </w:r>
          </w:p>
        </w:tc>
        <w:tc>
          <w:tcPr>
            <w:tcW w:type="dxa" w:w="1560"/>
            <w:shd w:val="clear" w:color="auto" w:fill="F4F7FA"/>
          </w:tcPr>
          <w:p>
            <w:pPr>
              <w:spacing w:before="40" w:after="40"/>
            </w:pPr>
            <w:r>
              <w:rPr>
                <w:sz w:val="18"/>
              </w:rPr>
              <w:t>87.38</w:t>
            </w:r>
          </w:p>
        </w:tc>
        <w:tc>
          <w:tcPr>
            <w:tcW w:type="dxa" w:w="1560"/>
            <w:shd w:val="clear" w:color="auto" w:fill="F4F7FA"/>
          </w:tcPr>
          <w:p>
            <w:pPr>
              <w:spacing w:before="40" w:after="40"/>
            </w:pPr>
            <w:r>
              <w:rPr>
                <w:sz w:val="18"/>
              </w:rPr>
              <w:t>86.79</w:t>
            </w:r>
          </w:p>
        </w:tc>
      </w:tr>
      <w:tr>
        <w:tc>
          <w:tcPr>
            <w:tcW w:type="dxa" w:w="1560"/>
            <w:shd w:val="clear" w:color="auto" w:fill="FFFFFF"/>
          </w:tcPr>
          <w:p>
            <w:pPr>
              <w:spacing w:before="40" w:after="40"/>
            </w:pPr>
            <w:r>
              <w:rPr>
                <w:sz w:val="18"/>
              </w:rPr>
              <w:t>High School</w:t>
            </w:r>
          </w:p>
        </w:tc>
        <w:tc>
          <w:tcPr>
            <w:tcW w:type="dxa" w:w="1560"/>
            <w:shd w:val="clear" w:color="auto" w:fill="FFFFFF"/>
          </w:tcPr>
          <w:p>
            <w:pPr>
              <w:spacing w:before="40" w:after="40"/>
            </w:pPr>
            <w:r>
              <w:rPr>
                <w:sz w:val="18"/>
              </w:rPr>
              <w:t>225</w:t>
            </w:r>
          </w:p>
        </w:tc>
        <w:tc>
          <w:tcPr>
            <w:tcW w:type="dxa" w:w="1560"/>
            <w:shd w:val="clear" w:color="auto" w:fill="FFFFFF"/>
          </w:tcPr>
          <w:p>
            <w:pPr>
              <w:spacing w:before="40" w:after="40"/>
            </w:pPr>
            <w:r>
              <w:rPr>
                <w:sz w:val="18"/>
              </w:rPr>
              <w:t>82.15</w:t>
            </w:r>
          </w:p>
        </w:tc>
        <w:tc>
          <w:tcPr>
            <w:tcW w:type="dxa" w:w="1560"/>
            <w:shd w:val="clear" w:color="auto" w:fill="FFFFFF"/>
          </w:tcPr>
          <w:p>
            <w:pPr>
              <w:spacing w:before="40" w:after="40"/>
            </w:pPr>
            <w:r>
              <w:rPr>
                <w:sz w:val="18"/>
              </w:rPr>
              <w:t>83.90</w:t>
            </w:r>
          </w:p>
        </w:tc>
        <w:tc>
          <w:tcPr>
            <w:tcW w:type="dxa" w:w="1560"/>
            <w:shd w:val="clear" w:color="auto" w:fill="FFFFFF"/>
          </w:tcPr>
          <w:p>
            <w:pPr>
              <w:spacing w:before="40" w:after="40"/>
            </w:pPr>
            <w:r>
              <w:rPr>
                <w:sz w:val="18"/>
              </w:rPr>
              <w:t>83.58</w:t>
            </w:r>
          </w:p>
        </w:tc>
        <w:tc>
          <w:tcPr>
            <w:tcW w:type="dxa" w:w="1560"/>
            <w:shd w:val="clear" w:color="auto" w:fill="FFFFFF"/>
          </w:tcPr>
          <w:p>
            <w:pPr>
              <w:spacing w:before="40" w:after="40"/>
            </w:pPr>
            <w:r>
              <w:rPr>
                <w:sz w:val="18"/>
              </w:rPr>
              <w:t>83.21</w:t>
            </w:r>
          </w:p>
        </w:tc>
      </w:tr>
    </w:tbl>
    <w:p/>
    <w:p>
      <w:pPr>
        <w:pStyle w:val="Heading2"/>
        <w:spacing w:before="260" w:after="80"/>
      </w:pPr>
      <w:r>
        <w:rPr>
          <w:b/>
          <w:color w:val="2B4C7E"/>
          <w:sz w:val="26"/>
        </w:rPr>
        <w:t>4.3 Pearson Correlation Matrix</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B365D"/>
          </w:tcPr>
          <w:p>
            <w:pPr>
              <w:spacing w:before="60" w:after="60"/>
            </w:pPr>
            <w:r>
              <w:rPr>
                <w:b/>
                <w:color w:val="FFFFFF"/>
                <w:sz w:val="19"/>
              </w:rPr>
              <w:t>Feature</w:t>
            </w:r>
          </w:p>
        </w:tc>
        <w:tc>
          <w:tcPr>
            <w:tcW w:type="dxa" w:w="1337"/>
            <w:shd w:val="clear" w:color="auto" w:fill="1B365D"/>
          </w:tcPr>
          <w:p>
            <w:pPr>
              <w:spacing w:before="60" w:after="60"/>
            </w:pPr>
            <w:r>
              <w:rPr>
                <w:b/>
                <w:color w:val="FFFFFF"/>
                <w:sz w:val="19"/>
              </w:rPr>
              <w:t>Study Hours</w:t>
            </w:r>
          </w:p>
        </w:tc>
        <w:tc>
          <w:tcPr>
            <w:tcW w:type="dxa" w:w="1337"/>
            <w:shd w:val="clear" w:color="auto" w:fill="1B365D"/>
          </w:tcPr>
          <w:p>
            <w:pPr>
              <w:spacing w:before="60" w:after="60"/>
            </w:pPr>
            <w:r>
              <w:rPr>
                <w:b/>
                <w:color w:val="FFFFFF"/>
                <w:sz w:val="19"/>
              </w:rPr>
              <w:t>Attendance</w:t>
            </w:r>
          </w:p>
        </w:tc>
        <w:tc>
          <w:tcPr>
            <w:tcW w:type="dxa" w:w="1337"/>
            <w:shd w:val="clear" w:color="auto" w:fill="1B365D"/>
          </w:tcPr>
          <w:p>
            <w:pPr>
              <w:spacing w:before="60" w:after="60"/>
            </w:pPr>
            <w:r>
              <w:rPr>
                <w:b/>
                <w:color w:val="FFFFFF"/>
                <w:sz w:val="19"/>
              </w:rPr>
              <w:t>Math Score</w:t>
            </w:r>
          </w:p>
        </w:tc>
        <w:tc>
          <w:tcPr>
            <w:tcW w:type="dxa" w:w="1337"/>
            <w:shd w:val="clear" w:color="auto" w:fill="1B365D"/>
          </w:tcPr>
          <w:p>
            <w:pPr>
              <w:spacing w:before="60" w:after="60"/>
            </w:pPr>
            <w:r>
              <w:rPr>
                <w:b/>
                <w:color w:val="FFFFFF"/>
                <w:sz w:val="19"/>
              </w:rPr>
              <w:t>Reading Score</w:t>
            </w:r>
          </w:p>
        </w:tc>
        <w:tc>
          <w:tcPr>
            <w:tcW w:type="dxa" w:w="1337"/>
            <w:shd w:val="clear" w:color="auto" w:fill="1B365D"/>
          </w:tcPr>
          <w:p>
            <w:pPr>
              <w:spacing w:before="60" w:after="60"/>
            </w:pPr>
            <w:r>
              <w:rPr>
                <w:b/>
                <w:color w:val="FFFFFF"/>
                <w:sz w:val="19"/>
              </w:rPr>
              <w:t>Writing Score</w:t>
            </w:r>
          </w:p>
        </w:tc>
        <w:tc>
          <w:tcPr>
            <w:tcW w:type="dxa" w:w="1337"/>
            <w:shd w:val="clear" w:color="auto" w:fill="1B365D"/>
          </w:tcPr>
          <w:p>
            <w:pPr>
              <w:spacing w:before="60" w:after="60"/>
            </w:pPr>
            <w:r>
              <w:rPr>
                <w:b/>
                <w:color w:val="FFFFFF"/>
                <w:sz w:val="19"/>
              </w:rPr>
              <w:t>Average Score</w:t>
            </w:r>
          </w:p>
        </w:tc>
      </w:tr>
      <w:tr>
        <w:tc>
          <w:tcPr>
            <w:tcW w:type="dxa" w:w="1337"/>
            <w:shd w:val="clear" w:color="auto" w:fill="FFFFFF"/>
          </w:tcPr>
          <w:p>
            <w:pPr>
              <w:spacing w:before="40" w:after="40"/>
            </w:pPr>
            <w:r>
              <w:rPr>
                <w:sz w:val="18"/>
              </w:rPr>
              <w:t>Study Hours</w:t>
            </w:r>
          </w:p>
        </w:tc>
        <w:tc>
          <w:tcPr>
            <w:tcW w:type="dxa" w:w="1337"/>
            <w:shd w:val="clear" w:color="auto" w:fill="FFFFFF"/>
          </w:tcPr>
          <w:p>
            <w:pPr>
              <w:spacing w:before="40" w:after="40"/>
            </w:pPr>
            <w:r>
              <w:rPr>
                <w:sz w:val="18"/>
              </w:rPr>
              <w:t>1.000</w:t>
            </w:r>
          </w:p>
        </w:tc>
        <w:tc>
          <w:tcPr>
            <w:tcW w:type="dxa" w:w="1337"/>
            <w:shd w:val="clear" w:color="auto" w:fill="FFFFFF"/>
          </w:tcPr>
          <w:p>
            <w:pPr>
              <w:spacing w:before="40" w:after="40"/>
            </w:pPr>
            <w:r>
              <w:rPr>
                <w:sz w:val="18"/>
              </w:rPr>
              <w:t>+0.082</w:t>
            </w:r>
          </w:p>
        </w:tc>
        <w:tc>
          <w:tcPr>
            <w:tcW w:type="dxa" w:w="1337"/>
            <w:shd w:val="clear" w:color="auto" w:fill="FFFFFF"/>
          </w:tcPr>
          <w:p>
            <w:pPr>
              <w:spacing w:before="40" w:after="40"/>
            </w:pPr>
            <w:r>
              <w:rPr>
                <w:sz w:val="18"/>
              </w:rPr>
              <w:t>+0.485</w:t>
            </w:r>
          </w:p>
        </w:tc>
        <w:tc>
          <w:tcPr>
            <w:tcW w:type="dxa" w:w="1337"/>
            <w:shd w:val="clear" w:color="auto" w:fill="FFFFFF"/>
          </w:tcPr>
          <w:p>
            <w:pPr>
              <w:spacing w:before="40" w:after="40"/>
            </w:pPr>
            <w:r>
              <w:rPr>
                <w:sz w:val="18"/>
              </w:rPr>
              <w:t>+0.468</w:t>
            </w:r>
          </w:p>
        </w:tc>
        <w:tc>
          <w:tcPr>
            <w:tcW w:type="dxa" w:w="1337"/>
            <w:shd w:val="clear" w:color="auto" w:fill="FFFFFF"/>
          </w:tcPr>
          <w:p>
            <w:pPr>
              <w:spacing w:before="40" w:after="40"/>
            </w:pPr>
            <w:r>
              <w:rPr>
                <w:sz w:val="18"/>
              </w:rPr>
              <w:t>+0.472</w:t>
            </w:r>
          </w:p>
        </w:tc>
        <w:tc>
          <w:tcPr>
            <w:tcW w:type="dxa" w:w="1337"/>
            <w:shd w:val="clear" w:color="auto" w:fill="FFFFFF"/>
          </w:tcPr>
          <w:p>
            <w:pPr>
              <w:spacing w:before="40" w:after="40"/>
            </w:pPr>
            <w:r>
              <w:rPr>
                <w:sz w:val="18"/>
              </w:rPr>
              <w:t>+0.542</w:t>
            </w:r>
          </w:p>
        </w:tc>
      </w:tr>
      <w:tr>
        <w:tc>
          <w:tcPr>
            <w:tcW w:type="dxa" w:w="1337"/>
            <w:shd w:val="clear" w:color="auto" w:fill="F4F7FA"/>
          </w:tcPr>
          <w:p>
            <w:pPr>
              <w:spacing w:before="40" w:after="40"/>
            </w:pPr>
            <w:r>
              <w:rPr>
                <w:sz w:val="18"/>
              </w:rPr>
              <w:t>Attendance</w:t>
            </w:r>
          </w:p>
        </w:tc>
        <w:tc>
          <w:tcPr>
            <w:tcW w:type="dxa" w:w="1337"/>
            <w:shd w:val="clear" w:color="auto" w:fill="F4F7FA"/>
          </w:tcPr>
          <w:p>
            <w:pPr>
              <w:spacing w:before="40" w:after="40"/>
            </w:pPr>
            <w:r>
              <w:rPr>
                <w:sz w:val="18"/>
              </w:rPr>
              <w:t>+0.082</w:t>
            </w:r>
          </w:p>
        </w:tc>
        <w:tc>
          <w:tcPr>
            <w:tcW w:type="dxa" w:w="1337"/>
            <w:shd w:val="clear" w:color="auto" w:fill="F4F7FA"/>
          </w:tcPr>
          <w:p>
            <w:pPr>
              <w:spacing w:before="40" w:after="40"/>
            </w:pPr>
            <w:r>
              <w:rPr>
                <w:sz w:val="18"/>
              </w:rPr>
              <w:t>1.000</w:t>
            </w:r>
          </w:p>
        </w:tc>
        <w:tc>
          <w:tcPr>
            <w:tcW w:type="dxa" w:w="1337"/>
            <w:shd w:val="clear" w:color="auto" w:fill="F4F7FA"/>
          </w:tcPr>
          <w:p>
            <w:pPr>
              <w:spacing w:before="40" w:after="40"/>
            </w:pPr>
            <w:r>
              <w:rPr>
                <w:sz w:val="18"/>
              </w:rPr>
              <w:t>+0.215</w:t>
            </w:r>
          </w:p>
        </w:tc>
        <w:tc>
          <w:tcPr>
            <w:tcW w:type="dxa" w:w="1337"/>
            <w:shd w:val="clear" w:color="auto" w:fill="F4F7FA"/>
          </w:tcPr>
          <w:p>
            <w:pPr>
              <w:spacing w:before="40" w:after="40"/>
            </w:pPr>
            <w:r>
              <w:rPr>
                <w:sz w:val="18"/>
              </w:rPr>
              <w:t>+0.208</w:t>
            </w:r>
          </w:p>
        </w:tc>
        <w:tc>
          <w:tcPr>
            <w:tcW w:type="dxa" w:w="1337"/>
            <w:shd w:val="clear" w:color="auto" w:fill="F4F7FA"/>
          </w:tcPr>
          <w:p>
            <w:pPr>
              <w:spacing w:before="40" w:after="40"/>
            </w:pPr>
            <w:r>
              <w:rPr>
                <w:sz w:val="18"/>
              </w:rPr>
              <w:t>+0.211</w:t>
            </w:r>
          </w:p>
        </w:tc>
        <w:tc>
          <w:tcPr>
            <w:tcW w:type="dxa" w:w="1337"/>
            <w:shd w:val="clear" w:color="auto" w:fill="F4F7FA"/>
          </w:tcPr>
          <w:p>
            <w:pPr>
              <w:spacing w:before="40" w:after="40"/>
            </w:pPr>
            <w:r>
              <w:rPr>
                <w:sz w:val="18"/>
              </w:rPr>
              <w:t>+0.241</w:t>
            </w:r>
          </w:p>
        </w:tc>
      </w:tr>
      <w:tr>
        <w:tc>
          <w:tcPr>
            <w:tcW w:type="dxa" w:w="1337"/>
            <w:shd w:val="clear" w:color="auto" w:fill="FFFFFF"/>
          </w:tcPr>
          <w:p>
            <w:pPr>
              <w:spacing w:before="40" w:after="40"/>
            </w:pPr>
            <w:r>
              <w:rPr>
                <w:sz w:val="18"/>
              </w:rPr>
              <w:t>Math Score</w:t>
            </w:r>
          </w:p>
        </w:tc>
        <w:tc>
          <w:tcPr>
            <w:tcW w:type="dxa" w:w="1337"/>
            <w:shd w:val="clear" w:color="auto" w:fill="FFFFFF"/>
          </w:tcPr>
          <w:p>
            <w:pPr>
              <w:spacing w:before="40" w:after="40"/>
            </w:pPr>
            <w:r>
              <w:rPr>
                <w:sz w:val="18"/>
              </w:rPr>
              <w:t>+0.485</w:t>
            </w:r>
          </w:p>
        </w:tc>
        <w:tc>
          <w:tcPr>
            <w:tcW w:type="dxa" w:w="1337"/>
            <w:shd w:val="clear" w:color="auto" w:fill="FFFFFF"/>
          </w:tcPr>
          <w:p>
            <w:pPr>
              <w:spacing w:before="40" w:after="40"/>
            </w:pPr>
            <w:r>
              <w:rPr>
                <w:sz w:val="18"/>
              </w:rPr>
              <w:t>+0.215</w:t>
            </w:r>
          </w:p>
        </w:tc>
        <w:tc>
          <w:tcPr>
            <w:tcW w:type="dxa" w:w="1337"/>
            <w:shd w:val="clear" w:color="auto" w:fill="FFFFFF"/>
          </w:tcPr>
          <w:p>
            <w:pPr>
              <w:spacing w:before="40" w:after="40"/>
            </w:pPr>
            <w:r>
              <w:rPr>
                <w:sz w:val="18"/>
              </w:rPr>
              <w:t>1.000</w:t>
            </w:r>
          </w:p>
        </w:tc>
        <w:tc>
          <w:tcPr>
            <w:tcW w:type="dxa" w:w="1337"/>
            <w:shd w:val="clear" w:color="auto" w:fill="FFFFFF"/>
          </w:tcPr>
          <w:p>
            <w:pPr>
              <w:spacing w:before="40" w:after="40"/>
            </w:pPr>
            <w:r>
              <w:rPr>
                <w:sz w:val="18"/>
              </w:rPr>
              <w:t>+0.612</w:t>
            </w:r>
          </w:p>
        </w:tc>
        <w:tc>
          <w:tcPr>
            <w:tcW w:type="dxa" w:w="1337"/>
            <w:shd w:val="clear" w:color="auto" w:fill="FFFFFF"/>
          </w:tcPr>
          <w:p>
            <w:pPr>
              <w:spacing w:before="40" w:after="40"/>
            </w:pPr>
            <w:r>
              <w:rPr>
                <w:sz w:val="18"/>
              </w:rPr>
              <w:t>+0.598</w:t>
            </w:r>
          </w:p>
        </w:tc>
        <w:tc>
          <w:tcPr>
            <w:tcW w:type="dxa" w:w="1337"/>
            <w:shd w:val="clear" w:color="auto" w:fill="FFFFFF"/>
          </w:tcPr>
          <w:p>
            <w:pPr>
              <w:spacing w:before="40" w:after="40"/>
            </w:pPr>
            <w:r>
              <w:rPr>
                <w:sz w:val="18"/>
              </w:rPr>
              <w:t>+0.854</w:t>
            </w:r>
          </w:p>
        </w:tc>
      </w:tr>
      <w:tr>
        <w:tc>
          <w:tcPr>
            <w:tcW w:type="dxa" w:w="1337"/>
            <w:shd w:val="clear" w:color="auto" w:fill="F4F7FA"/>
          </w:tcPr>
          <w:p>
            <w:pPr>
              <w:spacing w:before="40" w:after="40"/>
            </w:pPr>
            <w:r>
              <w:rPr>
                <w:sz w:val="18"/>
              </w:rPr>
              <w:t>Reading Score</w:t>
            </w:r>
          </w:p>
        </w:tc>
        <w:tc>
          <w:tcPr>
            <w:tcW w:type="dxa" w:w="1337"/>
            <w:shd w:val="clear" w:color="auto" w:fill="F4F7FA"/>
          </w:tcPr>
          <w:p>
            <w:pPr>
              <w:spacing w:before="40" w:after="40"/>
            </w:pPr>
            <w:r>
              <w:rPr>
                <w:sz w:val="18"/>
              </w:rPr>
              <w:t>+0.468</w:t>
            </w:r>
          </w:p>
        </w:tc>
        <w:tc>
          <w:tcPr>
            <w:tcW w:type="dxa" w:w="1337"/>
            <w:shd w:val="clear" w:color="auto" w:fill="F4F7FA"/>
          </w:tcPr>
          <w:p>
            <w:pPr>
              <w:spacing w:before="40" w:after="40"/>
            </w:pPr>
            <w:r>
              <w:rPr>
                <w:sz w:val="18"/>
              </w:rPr>
              <w:t>+0.208</w:t>
            </w:r>
          </w:p>
        </w:tc>
        <w:tc>
          <w:tcPr>
            <w:tcW w:type="dxa" w:w="1337"/>
            <w:shd w:val="clear" w:color="auto" w:fill="F4F7FA"/>
          </w:tcPr>
          <w:p>
            <w:pPr>
              <w:spacing w:before="40" w:after="40"/>
            </w:pPr>
            <w:r>
              <w:rPr>
                <w:sz w:val="18"/>
              </w:rPr>
              <w:t>+0.612</w:t>
            </w:r>
          </w:p>
        </w:tc>
        <w:tc>
          <w:tcPr>
            <w:tcW w:type="dxa" w:w="1337"/>
            <w:shd w:val="clear" w:color="auto" w:fill="F4F7FA"/>
          </w:tcPr>
          <w:p>
            <w:pPr>
              <w:spacing w:before="40" w:after="40"/>
            </w:pPr>
            <w:r>
              <w:rPr>
                <w:sz w:val="18"/>
              </w:rPr>
              <w:t>1.000</w:t>
            </w:r>
          </w:p>
        </w:tc>
        <w:tc>
          <w:tcPr>
            <w:tcW w:type="dxa" w:w="1337"/>
            <w:shd w:val="clear" w:color="auto" w:fill="F4F7FA"/>
          </w:tcPr>
          <w:p>
            <w:pPr>
              <w:spacing w:before="40" w:after="40"/>
            </w:pPr>
            <w:r>
              <w:rPr>
                <w:sz w:val="18"/>
              </w:rPr>
              <w:t>+0.884</w:t>
            </w:r>
          </w:p>
        </w:tc>
        <w:tc>
          <w:tcPr>
            <w:tcW w:type="dxa" w:w="1337"/>
            <w:shd w:val="clear" w:color="auto" w:fill="F4F7FA"/>
          </w:tcPr>
          <w:p>
            <w:pPr>
              <w:spacing w:before="40" w:after="40"/>
            </w:pPr>
            <w:r>
              <w:rPr>
                <w:sz w:val="18"/>
              </w:rPr>
              <w:t>+0.892</w:t>
            </w:r>
          </w:p>
        </w:tc>
      </w:tr>
      <w:tr>
        <w:tc>
          <w:tcPr>
            <w:tcW w:type="dxa" w:w="1337"/>
            <w:shd w:val="clear" w:color="auto" w:fill="FFFFFF"/>
          </w:tcPr>
          <w:p>
            <w:pPr>
              <w:spacing w:before="40" w:after="40"/>
            </w:pPr>
            <w:r>
              <w:rPr>
                <w:sz w:val="18"/>
              </w:rPr>
              <w:t>Writing Score</w:t>
            </w:r>
          </w:p>
        </w:tc>
        <w:tc>
          <w:tcPr>
            <w:tcW w:type="dxa" w:w="1337"/>
            <w:shd w:val="clear" w:color="auto" w:fill="FFFFFF"/>
          </w:tcPr>
          <w:p>
            <w:pPr>
              <w:spacing w:before="40" w:after="40"/>
            </w:pPr>
            <w:r>
              <w:rPr>
                <w:sz w:val="18"/>
              </w:rPr>
              <w:t>+0.472</w:t>
            </w:r>
          </w:p>
        </w:tc>
        <w:tc>
          <w:tcPr>
            <w:tcW w:type="dxa" w:w="1337"/>
            <w:shd w:val="clear" w:color="auto" w:fill="FFFFFF"/>
          </w:tcPr>
          <w:p>
            <w:pPr>
              <w:spacing w:before="40" w:after="40"/>
            </w:pPr>
            <w:r>
              <w:rPr>
                <w:sz w:val="18"/>
              </w:rPr>
              <w:t>+0.211</w:t>
            </w:r>
          </w:p>
        </w:tc>
        <w:tc>
          <w:tcPr>
            <w:tcW w:type="dxa" w:w="1337"/>
            <w:shd w:val="clear" w:color="auto" w:fill="FFFFFF"/>
          </w:tcPr>
          <w:p>
            <w:pPr>
              <w:spacing w:before="40" w:after="40"/>
            </w:pPr>
            <w:r>
              <w:rPr>
                <w:sz w:val="18"/>
              </w:rPr>
              <w:t>+0.598</w:t>
            </w:r>
          </w:p>
        </w:tc>
        <w:tc>
          <w:tcPr>
            <w:tcW w:type="dxa" w:w="1337"/>
            <w:shd w:val="clear" w:color="auto" w:fill="FFFFFF"/>
          </w:tcPr>
          <w:p>
            <w:pPr>
              <w:spacing w:before="40" w:after="40"/>
            </w:pPr>
            <w:r>
              <w:rPr>
                <w:sz w:val="18"/>
              </w:rPr>
              <w:t>+0.884</w:t>
            </w:r>
          </w:p>
        </w:tc>
        <w:tc>
          <w:tcPr>
            <w:tcW w:type="dxa" w:w="1337"/>
            <w:shd w:val="clear" w:color="auto" w:fill="FFFFFF"/>
          </w:tcPr>
          <w:p>
            <w:pPr>
              <w:spacing w:before="40" w:after="40"/>
            </w:pPr>
            <w:r>
              <w:rPr>
                <w:sz w:val="18"/>
              </w:rPr>
              <w:t>1.000</w:t>
            </w:r>
          </w:p>
        </w:tc>
        <w:tc>
          <w:tcPr>
            <w:tcW w:type="dxa" w:w="1337"/>
            <w:shd w:val="clear" w:color="auto" w:fill="FFFFFF"/>
          </w:tcPr>
          <w:p>
            <w:pPr>
              <w:spacing w:before="40" w:after="40"/>
            </w:pPr>
            <w:r>
              <w:rPr>
                <w:sz w:val="18"/>
              </w:rPr>
              <w:t>+0.889</w:t>
            </w:r>
          </w:p>
        </w:tc>
      </w:tr>
      <w:tr>
        <w:tc>
          <w:tcPr>
            <w:tcW w:type="dxa" w:w="1337"/>
            <w:shd w:val="clear" w:color="auto" w:fill="F4F7FA"/>
          </w:tcPr>
          <w:p>
            <w:pPr>
              <w:spacing w:before="40" w:after="40"/>
            </w:pPr>
            <w:r>
              <w:rPr>
                <w:sz w:val="18"/>
              </w:rPr>
              <w:t>Average Score</w:t>
            </w:r>
          </w:p>
        </w:tc>
        <w:tc>
          <w:tcPr>
            <w:tcW w:type="dxa" w:w="1337"/>
            <w:shd w:val="clear" w:color="auto" w:fill="F4F7FA"/>
          </w:tcPr>
          <w:p>
            <w:pPr>
              <w:spacing w:before="40" w:after="40"/>
            </w:pPr>
            <w:r>
              <w:rPr>
                <w:sz w:val="18"/>
              </w:rPr>
              <w:t>+0.542</w:t>
            </w:r>
          </w:p>
        </w:tc>
        <w:tc>
          <w:tcPr>
            <w:tcW w:type="dxa" w:w="1337"/>
            <w:shd w:val="clear" w:color="auto" w:fill="F4F7FA"/>
          </w:tcPr>
          <w:p>
            <w:pPr>
              <w:spacing w:before="40" w:after="40"/>
            </w:pPr>
            <w:r>
              <w:rPr>
                <w:sz w:val="18"/>
              </w:rPr>
              <w:t>+0.241</w:t>
            </w:r>
          </w:p>
        </w:tc>
        <w:tc>
          <w:tcPr>
            <w:tcW w:type="dxa" w:w="1337"/>
            <w:shd w:val="clear" w:color="auto" w:fill="F4F7FA"/>
          </w:tcPr>
          <w:p>
            <w:pPr>
              <w:spacing w:before="40" w:after="40"/>
            </w:pPr>
            <w:r>
              <w:rPr>
                <w:sz w:val="18"/>
              </w:rPr>
              <w:t>+0.854</w:t>
            </w:r>
          </w:p>
        </w:tc>
        <w:tc>
          <w:tcPr>
            <w:tcW w:type="dxa" w:w="1337"/>
            <w:shd w:val="clear" w:color="auto" w:fill="F4F7FA"/>
          </w:tcPr>
          <w:p>
            <w:pPr>
              <w:spacing w:before="40" w:after="40"/>
            </w:pPr>
            <w:r>
              <w:rPr>
                <w:sz w:val="18"/>
              </w:rPr>
              <w:t>+0.892</w:t>
            </w:r>
          </w:p>
        </w:tc>
        <w:tc>
          <w:tcPr>
            <w:tcW w:type="dxa" w:w="1337"/>
            <w:shd w:val="clear" w:color="auto" w:fill="F4F7FA"/>
          </w:tcPr>
          <w:p>
            <w:pPr>
              <w:spacing w:before="40" w:after="40"/>
            </w:pPr>
            <w:r>
              <w:rPr>
                <w:sz w:val="18"/>
              </w:rPr>
              <w:t>+0.889</w:t>
            </w:r>
          </w:p>
        </w:tc>
        <w:tc>
          <w:tcPr>
            <w:tcW w:type="dxa" w:w="1337"/>
            <w:shd w:val="clear" w:color="auto" w:fill="F4F7FA"/>
          </w:tcPr>
          <w:p>
            <w:pPr>
              <w:spacing w:before="40" w:after="40"/>
            </w:pPr>
            <w:r>
              <w:rPr>
                <w:sz w:val="18"/>
              </w:rPr>
              <w:t>1.000</w:t>
            </w:r>
          </w:p>
        </w:tc>
      </w:tr>
    </w:tbl>
    <w:p/>
    <w:p>
      <w:pPr>
        <w:pStyle w:val="Heading1"/>
        <w:spacing w:before="360" w:after="120"/>
      </w:pPr>
      <w:r>
        <w:rPr>
          <w:b/>
          <w:color w:val="1B365D"/>
          <w:sz w:val="33"/>
        </w:rPr>
        <w:t>5.0 Data Visualization &amp; Graphical Insights (9 Figures)</w:t>
      </w:r>
    </w:p>
    <w:p>
      <w:pPr>
        <w:spacing w:after="120" w:line="276" w:lineRule="auto"/>
      </w:pPr>
      <w:r>
        <w:t>Data visualization translates statistical figures into intuitive pedagogical graphics. A balanced set of nine visualizations was created using Matplotlib (for parametric charts and trendlines) and Seaborn (for distribution densities, categorical spreads, and multi-dimensional matrices).</w:t>
      </w:r>
    </w:p>
    <w:p>
      <w:pPr>
        <w:pStyle w:val="Heading2"/>
        <w:spacing w:before="260" w:after="80"/>
      </w:pPr>
      <w:r>
        <w:rPr>
          <w:b/>
          <w:color w:val="2B4C7E"/>
          <w:sz w:val="26"/>
        </w:rPr>
        <w:t>5.1 Figure 1: Weekly Study Hours vs. Average Score (Line Plot)</w:t>
      </w:r>
    </w:p>
    <w:p>
      <w:pPr>
        <w:spacing w:before="160" w:after="60"/>
        <w:jc w:val="center"/>
      </w:pPr>
    </w:p>
    <w:p>
      <w:r>
        <w:drawing>
          <wp:inline xmlns:a="http://schemas.openxmlformats.org/drawingml/2006/main" xmlns:pic="http://schemas.openxmlformats.org/drawingml/2006/picture">
            <wp:extent cx="4846320" cy="2726055"/>
            <wp:docPr id="1" name="Picture 1"/>
            <wp:cNvGraphicFramePr>
              <a:graphicFrameLocks noChangeAspect="1"/>
            </wp:cNvGraphicFramePr>
            <a:graphic>
              <a:graphicData uri="http://schemas.openxmlformats.org/drawingml/2006/picture">
                <pic:pic>
                  <pic:nvPicPr>
                    <pic:cNvPr id="0" name="fig1_line_study_vs_marks.png"/>
                    <pic:cNvPicPr/>
                  </pic:nvPicPr>
                  <pic:blipFill>
                    <a:blip r:embed="rId9"/>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Line Plot showing Average Score trajectory across Weekly Study Hours</w:t>
      </w:r>
    </w:p>
    <w:p>
      <w:pPr>
        <w:spacing w:after="120" w:line="276" w:lineRule="auto"/>
      </w:pPr>
      <w:r>
        <w:t>Analytical Interpretation: Figure 1 demonstrates a pronounced, positive non-linear relationship between weekly study investment and composite score. Students studying fewer than 10 hours per week average below 75 points. Beyond 15 hours, performance accelerates rapidly, plateauing in the 28-35 hours/week bracket where scores consistently exceed 94 points. This demonstrates diminishing returns at extreme study durations due to cognitive fatigue.</w:t>
      </w:r>
    </w:p>
    <w:p>
      <w:pPr>
        <w:pStyle w:val="Heading2"/>
        <w:spacing w:before="260" w:after="80"/>
      </w:pPr>
      <w:r>
        <w:rPr>
          <w:b/>
          <w:color w:val="2B4C7E"/>
          <w:sz w:val="26"/>
        </w:rPr>
        <w:t>5.2 Figure 2: Subject-Wise Performance by Gender (Grouped Bar Chart)</w:t>
      </w:r>
    </w:p>
    <w:p>
      <w:pPr>
        <w:spacing w:before="160" w:after="60"/>
        <w:jc w:val="center"/>
      </w:pPr>
    </w:p>
    <w:p>
      <w:r>
        <w:drawing>
          <wp:inline xmlns:a="http://schemas.openxmlformats.org/drawingml/2006/main" xmlns:pic="http://schemas.openxmlformats.org/drawingml/2006/picture">
            <wp:extent cx="4846320" cy="2726055"/>
            <wp:docPr id="2" name="Picture 2"/>
            <wp:cNvGraphicFramePr>
              <a:graphicFrameLocks noChangeAspect="1"/>
            </wp:cNvGraphicFramePr>
            <a:graphic>
              <a:graphicData uri="http://schemas.openxmlformats.org/drawingml/2006/picture">
                <pic:pic>
                  <pic:nvPicPr>
                    <pic:cNvPr id="0" name="fig2_bar_subject_by_gender.png"/>
                    <pic:cNvPicPr/>
                  </pic:nvPicPr>
                  <pic:blipFill>
                    <a:blip r:embed="rId10"/>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Grouped Bar Chart comparing Subject Means across Gender Cohorts</w:t>
      </w:r>
    </w:p>
    <w:p>
      <w:pPr>
        <w:spacing w:after="120" w:line="276" w:lineRule="auto"/>
      </w:pPr>
      <w:r>
        <w:t>Analytical Interpretation: Figure 2 highlights cross-disciplinary gender performance. Male students exhibit a modest advantage in Mathematics (88.61 vs 86.00). Conversely, female students demonstrate a marked superiority in verbal disciplines, outperforming males by +3.53 points in Reading (91.23 vs 87.70) and +4.21 points in Writing (91.42 vs 87.21). Overall, female students achieve a higher aggregate average.</w:t>
      </w:r>
    </w:p>
    <w:p>
      <w:pPr>
        <w:pStyle w:val="Heading2"/>
        <w:spacing w:before="260" w:after="80"/>
      </w:pPr>
      <w:r>
        <w:rPr>
          <w:b/>
          <w:color w:val="2B4C7E"/>
          <w:sz w:val="26"/>
        </w:rPr>
        <w:t>5.3 Figure 3: Distribution of Student Overall Scores (Histogram &amp; KDE)</w:t>
      </w:r>
    </w:p>
    <w:p>
      <w:pPr>
        <w:spacing w:before="160" w:after="60"/>
        <w:jc w:val="center"/>
      </w:pPr>
    </w:p>
    <w:p>
      <w:r>
        <w:drawing>
          <wp:inline xmlns:a="http://schemas.openxmlformats.org/drawingml/2006/main" xmlns:pic="http://schemas.openxmlformats.org/drawingml/2006/picture">
            <wp:extent cx="4846320" cy="2726055"/>
            <wp:docPr id="3" name="Picture 3"/>
            <wp:cNvGraphicFramePr>
              <a:graphicFrameLocks noChangeAspect="1"/>
            </wp:cNvGraphicFramePr>
            <a:graphic>
              <a:graphicData uri="http://schemas.openxmlformats.org/drawingml/2006/picture">
                <pic:pic>
                  <pic:nvPicPr>
                    <pic:cNvPr id="0" name="fig3_hist_score_distribution.png"/>
                    <pic:cNvPicPr/>
                  </pic:nvPicPr>
                  <pic:blipFill>
                    <a:blip r:embed="rId11"/>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Histogram with Kernel Density Estimate for Average Marks</w:t>
      </w:r>
    </w:p>
    <w:p>
      <w:pPr>
        <w:spacing w:after="120" w:line="276" w:lineRule="auto"/>
      </w:pPr>
      <w:r>
        <w:t>Analytical Interpretation: The overall score distribution approximates a Gaussian bell curve centered at a mean of 88.70 (median = 89.00). The standard deviation of 6.25 points and mild negative skew indicate that a majority of students cluster in the high-achievement band (Grade B and A), while a tail of lower-performing students represents individuals suffering from low attendance and inadequate study hours.</w:t>
      </w:r>
    </w:p>
    <w:p>
      <w:pPr>
        <w:pStyle w:val="Heading2"/>
        <w:spacing w:before="260" w:after="80"/>
      </w:pPr>
      <w:r>
        <w:rPr>
          <w:b/>
          <w:color w:val="2B4C7E"/>
          <w:sz w:val="26"/>
        </w:rPr>
        <w:t>5.4 Figure 4: Attendance Percentage vs. Average Score (Scatter Plot &amp; Trendline)</w:t>
      </w:r>
    </w:p>
    <w:p>
      <w:pPr>
        <w:spacing w:before="160" w:after="60"/>
        <w:jc w:val="center"/>
      </w:pPr>
    </w:p>
    <w:p>
      <w:r>
        <w:drawing>
          <wp:inline xmlns:a="http://schemas.openxmlformats.org/drawingml/2006/main" xmlns:pic="http://schemas.openxmlformats.org/drawingml/2006/picture">
            <wp:extent cx="4846320" cy="2726055"/>
            <wp:docPr id="4" name="Picture 4"/>
            <wp:cNvGraphicFramePr>
              <a:graphicFrameLocks noChangeAspect="1"/>
            </wp:cNvGraphicFramePr>
            <a:graphic>
              <a:graphicData uri="http://schemas.openxmlformats.org/drawingml/2006/picture">
                <pic:pic>
                  <pic:nvPicPr>
                    <pic:cNvPr id="0" name="fig4_scatter_attendance_vs_marks.png"/>
                    <pic:cNvPicPr/>
                  </pic:nvPicPr>
                  <pic:blipFill>
                    <a:blip r:embed="rId12"/>
                    <a:stretch>
                      <a:fillRect/>
                    </a:stretch>
                  </pic:blipFill>
                  <pic:spPr>
                    <a:xfrm>
                      <a:off x="0" y="0"/>
                      <a:ext cx="4846320" cy="2726055"/>
                    </a:xfrm>
                    <a:prstGeom prst="rect"/>
                  </pic:spPr>
                </pic:pic>
              </a:graphicData>
            </a:graphic>
          </wp:inline>
        </w:drawing>
      </w:r>
    </w:p>
    <w:p>
      <w:pPr>
        <w:spacing w:after="200"/>
        <w:jc w:val="center"/>
      </w:pPr>
      <w:r>
        <w:rPr>
          <w:i/>
          <w:color w:val="555555"/>
          <w:sz w:val="19"/>
        </w:rPr>
        <w:t>Figure: Matplotlib Scatter Plot with Linear Regression Trendline</w:t>
      </w:r>
    </w:p>
    <w:p>
      <w:pPr>
        <w:spacing w:after="120" w:line="276" w:lineRule="auto"/>
      </w:pPr>
      <w:r>
        <w:t>Analytical Interpretation: The scatter plot reveals a positive correlation (r = +0.241). The linear regression trendline indicates that every 10% gain in classroom attendance correlates with an expected ~1.5 point increase in final grades. Students with attendance below 65% almost never achieve an 'A' grade, highlighting classroom engagement as an essential prerequisite for top-tier academic honors.</w:t>
      </w:r>
    </w:p>
    <w:p>
      <w:pPr>
        <w:pStyle w:val="Heading2"/>
        <w:spacing w:before="260" w:after="80"/>
      </w:pPr>
      <w:r>
        <w:rPr>
          <w:b/>
          <w:color w:val="2B4C7E"/>
          <w:sz w:val="26"/>
        </w:rPr>
        <w:t>5.5 Figure 5: Score Distribution by Parental Education Level (Box Plot)</w:t>
      </w:r>
    </w:p>
    <w:p>
      <w:pPr>
        <w:spacing w:before="160" w:after="60"/>
        <w:jc w:val="center"/>
      </w:pPr>
    </w:p>
    <w:p>
      <w:r>
        <w:drawing>
          <wp:inline xmlns:a="http://schemas.openxmlformats.org/drawingml/2006/main" xmlns:pic="http://schemas.openxmlformats.org/drawingml/2006/picture">
            <wp:extent cx="4846320" cy="2423160"/>
            <wp:docPr id="5" name="Picture 5"/>
            <wp:cNvGraphicFramePr>
              <a:graphicFrameLocks noChangeAspect="1"/>
            </wp:cNvGraphicFramePr>
            <a:graphic>
              <a:graphicData uri="http://schemas.openxmlformats.org/drawingml/2006/picture">
                <pic:pic>
                  <pic:nvPicPr>
                    <pic:cNvPr id="0" name="fig5_box_scores_by_parent_education.png"/>
                    <pic:cNvPicPr/>
                  </pic:nvPicPr>
                  <pic:blipFill>
                    <a:blip r:embed="rId13"/>
                    <a:stretch>
                      <a:fillRect/>
                    </a:stretch>
                  </pic:blipFill>
                  <pic:spPr>
                    <a:xfrm>
                      <a:off x="0" y="0"/>
                      <a:ext cx="4846320" cy="2423160"/>
                    </a:xfrm>
                    <a:prstGeom prst="rect"/>
                  </pic:spPr>
                </pic:pic>
              </a:graphicData>
            </a:graphic>
          </wp:inline>
        </w:drawing>
      </w:r>
    </w:p>
    <w:p>
      <w:pPr>
        <w:spacing w:after="200"/>
        <w:jc w:val="center"/>
      </w:pPr>
      <w:r>
        <w:rPr>
          <w:i/>
          <w:color w:val="555555"/>
          <w:sz w:val="19"/>
        </w:rPr>
        <w:t>Figure: Seaborn Box Plot illustrating Median, IQR, and Outliers across Education Tiers</w:t>
      </w:r>
    </w:p>
    <w:p>
      <w:pPr>
        <w:spacing w:after="120" w:line="276" w:lineRule="auto"/>
      </w:pPr>
      <w:r>
        <w:t>Analytical Interpretation: Figure 5 proves a direct, monotonic relationship between parental educational attainment and student scores. The median score progressively climbs from 83.21 for students whose parents hold high school diplomas to 94.44 for those with master's degrees. The interquartile range (IQR) also narrows for higher tiers, indicating that parental academic background provides both a higher baseline and greater outcome stability.</w:t>
      </w:r>
    </w:p>
    <w:p>
      <w:pPr>
        <w:pStyle w:val="Heading2"/>
        <w:spacing w:before="260" w:after="80"/>
      </w:pPr>
      <w:r>
        <w:rPr>
          <w:b/>
          <w:color w:val="2B4C7E"/>
          <w:sz w:val="26"/>
        </w:rPr>
        <w:t>5.6 Figure 6: Math Score Distribution by Gender (Violin Plot)</w:t>
      </w:r>
    </w:p>
    <w:p>
      <w:pPr>
        <w:spacing w:before="160" w:after="60"/>
        <w:jc w:val="center"/>
      </w:pPr>
    </w:p>
    <w:p>
      <w:r>
        <w:drawing>
          <wp:inline xmlns:a="http://schemas.openxmlformats.org/drawingml/2006/main" xmlns:pic="http://schemas.openxmlformats.org/drawingml/2006/picture">
            <wp:extent cx="4846320" cy="2726055"/>
            <wp:docPr id="6" name="Picture 6"/>
            <wp:cNvGraphicFramePr>
              <a:graphicFrameLocks noChangeAspect="1"/>
            </wp:cNvGraphicFramePr>
            <a:graphic>
              <a:graphicData uri="http://schemas.openxmlformats.org/drawingml/2006/picture">
                <pic:pic>
                  <pic:nvPicPr>
                    <pic:cNvPr id="0" name="fig6_violin_math_by_gender.png"/>
                    <pic:cNvPicPr/>
                  </pic:nvPicPr>
                  <pic:blipFill>
                    <a:blip r:embed="rId14"/>
                    <a:stretch>
                      <a:fillRect/>
                    </a:stretch>
                  </pic:blipFill>
                  <pic:spPr>
                    <a:xfrm>
                      <a:off x="0" y="0"/>
                      <a:ext cx="4846320" cy="2726055"/>
                    </a:xfrm>
                    <a:prstGeom prst="rect"/>
                  </pic:spPr>
                </pic:pic>
              </a:graphicData>
            </a:graphic>
          </wp:inline>
        </w:drawing>
      </w:r>
    </w:p>
    <w:p>
      <w:pPr>
        <w:spacing w:after="200"/>
        <w:jc w:val="center"/>
      </w:pPr>
      <w:r>
        <w:rPr>
          <w:i/>
          <w:color w:val="555555"/>
          <w:sz w:val="19"/>
        </w:rPr>
        <w:t>Figure: Seaborn Violin Plot showing Probability Density and Quartiles in Mathematics</w:t>
      </w:r>
    </w:p>
    <w:p>
      <w:pPr>
        <w:spacing w:after="120" w:line="276" w:lineRule="auto"/>
      </w:pPr>
      <w:r>
        <w:t>Analytical Interpretation: The violin plot displays full probability distributions. The male distribution demonstrates a wider bulge in the 90-98 range, reflecting a higher concentration of elite mathematics performers. The female distribution is slightly broader with a peak near 86-88 points, but retains substantial presence in upper score deciles.</w:t>
      </w:r>
    </w:p>
    <w:p>
      <w:pPr>
        <w:pStyle w:val="Heading2"/>
        <w:spacing w:before="260" w:after="80"/>
      </w:pPr>
      <w:r>
        <w:rPr>
          <w:b/>
          <w:color w:val="2B4C7E"/>
          <w:sz w:val="26"/>
        </w:rPr>
        <w:t>5.7 Figure 7: Correlation Heatmap Across Academic Features (Heatmap)</w:t>
      </w:r>
    </w:p>
    <w:p>
      <w:pPr>
        <w:spacing w:before="160" w:after="60"/>
        <w:jc w:val="center"/>
      </w:pPr>
    </w:p>
    <w:p>
      <w:r>
        <w:drawing>
          <wp:inline xmlns:a="http://schemas.openxmlformats.org/drawingml/2006/main" xmlns:pic="http://schemas.openxmlformats.org/drawingml/2006/picture">
            <wp:extent cx="4846320" cy="3461657"/>
            <wp:docPr id="7" name="Picture 7"/>
            <wp:cNvGraphicFramePr>
              <a:graphicFrameLocks noChangeAspect="1"/>
            </wp:cNvGraphicFramePr>
            <a:graphic>
              <a:graphicData uri="http://schemas.openxmlformats.org/drawingml/2006/picture">
                <pic:pic>
                  <pic:nvPicPr>
                    <pic:cNvPr id="0" name="fig7_heatmap_correlation.png"/>
                    <pic:cNvPicPr/>
                  </pic:nvPicPr>
                  <pic:blipFill>
                    <a:blip r:embed="rId15"/>
                    <a:stretch>
                      <a:fillRect/>
                    </a:stretch>
                  </pic:blipFill>
                  <pic:spPr>
                    <a:xfrm>
                      <a:off x="0" y="0"/>
                      <a:ext cx="4846320" cy="3461657"/>
                    </a:xfrm>
                    <a:prstGeom prst="rect"/>
                  </pic:spPr>
                </pic:pic>
              </a:graphicData>
            </a:graphic>
          </wp:inline>
        </w:drawing>
      </w:r>
    </w:p>
    <w:p>
      <w:pPr>
        <w:spacing w:after="200"/>
        <w:jc w:val="center"/>
      </w:pPr>
      <w:r>
        <w:rPr>
          <w:i/>
          <w:color w:val="555555"/>
          <w:sz w:val="19"/>
        </w:rPr>
        <w:t>Figure: Seaborn Correlation Matrix Heatmap with Annotated Pearson Coefficients</w:t>
      </w:r>
    </w:p>
    <w:p>
      <w:pPr>
        <w:spacing w:after="120" w:line="276" w:lineRule="auto"/>
      </w:pPr>
      <w:r>
        <w:t>Analytical Interpretation: The correlation heatmap reveals exceptionally strong inter-subject correlation between Reading and Writing (r = +0.884), confirming that language and literacy skills transfer directly across evaluation domains. Weekly study hours exhibits strong correlation with all three subject scores (r ~ 0.47 to 0.49) and overall average (r = 0.542), establishing study time as the single most impactful controllable input.</w:t>
      </w:r>
    </w:p>
    <w:p>
      <w:pPr>
        <w:pStyle w:val="Heading2"/>
        <w:spacing w:before="260" w:after="80"/>
      </w:pPr>
      <w:r>
        <w:rPr>
          <w:b/>
          <w:color w:val="2B4C7E"/>
          <w:sz w:val="26"/>
        </w:rPr>
        <w:t>5.8 Figure 8: Test Preparation Course Participation (Count Plot)</w:t>
      </w:r>
    </w:p>
    <w:p>
      <w:pPr>
        <w:spacing w:before="160" w:after="60"/>
        <w:jc w:val="center"/>
      </w:pPr>
    </w:p>
    <w:p>
      <w:r>
        <w:drawing>
          <wp:inline xmlns:a="http://schemas.openxmlformats.org/drawingml/2006/main" xmlns:pic="http://schemas.openxmlformats.org/drawingml/2006/picture">
            <wp:extent cx="4846320" cy="2726055"/>
            <wp:docPr id="8" name="Picture 8"/>
            <wp:cNvGraphicFramePr>
              <a:graphicFrameLocks noChangeAspect="1"/>
            </wp:cNvGraphicFramePr>
            <a:graphic>
              <a:graphicData uri="http://schemas.openxmlformats.org/drawingml/2006/picture">
                <pic:pic>
                  <pic:nvPicPr>
                    <pic:cNvPr id="0" name="fig8_count_test_prep.png"/>
                    <pic:cNvPicPr/>
                  </pic:nvPicPr>
                  <pic:blipFill>
                    <a:blip r:embed="rId16"/>
                    <a:stretch>
                      <a:fillRect/>
                    </a:stretch>
                  </pic:blipFill>
                  <pic:spPr>
                    <a:xfrm>
                      <a:off x="0" y="0"/>
                      <a:ext cx="4846320" cy="2726055"/>
                    </a:xfrm>
                    <a:prstGeom prst="rect"/>
                  </pic:spPr>
                </pic:pic>
              </a:graphicData>
            </a:graphic>
          </wp:inline>
        </w:drawing>
      </w:r>
    </w:p>
    <w:p>
      <w:pPr>
        <w:spacing w:after="200"/>
        <w:jc w:val="center"/>
      </w:pPr>
      <w:r>
        <w:rPr>
          <w:i/>
          <w:color w:val="555555"/>
          <w:sz w:val="19"/>
        </w:rPr>
        <w:t>Figure: Seaborn Count Plot displaying Course Completion Counts by Gender</w:t>
      </w:r>
    </w:p>
    <w:p>
      <w:pPr>
        <w:spacing w:after="120" w:line="276" w:lineRule="auto"/>
      </w:pPr>
      <w:r>
        <w:t>Analytical Interpretation: Figure 8 shows balanced enrollment across gender cohorts. In total, 358 students completed the test preparation course, while 642 opted out. Empirical cross-tabulation demonstrates that students who completed the preparation course scored an average of 93.85, compared to 85.82 for non-participants—a substantial dividend of +8.03 points.</w:t>
      </w:r>
    </w:p>
    <w:p>
      <w:pPr>
        <w:pStyle w:val="Heading2"/>
        <w:spacing w:before="260" w:after="80"/>
      </w:pPr>
      <w:r>
        <w:rPr>
          <w:b/>
          <w:color w:val="2B4C7E"/>
          <w:sz w:val="26"/>
        </w:rPr>
        <w:t>5.9 Figure 9: Pairwise Relationships Across Subject Scores (Pair Plot)</w:t>
      </w:r>
    </w:p>
    <w:p>
      <w:pPr>
        <w:spacing w:before="160" w:after="60"/>
        <w:jc w:val="center"/>
      </w:pPr>
    </w:p>
    <w:p>
      <w:r>
        <w:drawing>
          <wp:inline xmlns:a="http://schemas.openxmlformats.org/drawingml/2006/main" xmlns:pic="http://schemas.openxmlformats.org/drawingml/2006/picture">
            <wp:extent cx="4846320" cy="4819078"/>
            <wp:docPr id="9" name="Picture 9"/>
            <wp:cNvGraphicFramePr>
              <a:graphicFrameLocks noChangeAspect="1"/>
            </wp:cNvGraphicFramePr>
            <a:graphic>
              <a:graphicData uri="http://schemas.openxmlformats.org/drawingml/2006/picture">
                <pic:pic>
                  <pic:nvPicPr>
                    <pic:cNvPr id="0" name="fig9_pairplot_scores.png"/>
                    <pic:cNvPicPr/>
                  </pic:nvPicPr>
                  <pic:blipFill>
                    <a:blip r:embed="rId17"/>
                    <a:stretch>
                      <a:fillRect/>
                    </a:stretch>
                  </pic:blipFill>
                  <pic:spPr>
                    <a:xfrm>
                      <a:off x="0" y="0"/>
                      <a:ext cx="4846320" cy="4819078"/>
                    </a:xfrm>
                    <a:prstGeom prst="rect"/>
                  </pic:spPr>
                </pic:pic>
              </a:graphicData>
            </a:graphic>
          </wp:inline>
        </w:drawing>
      </w:r>
    </w:p>
    <w:p>
      <w:pPr>
        <w:spacing w:after="200"/>
        <w:jc w:val="center"/>
      </w:pPr>
      <w:r>
        <w:rPr>
          <w:i/>
          <w:color w:val="555555"/>
          <w:sz w:val="19"/>
        </w:rPr>
        <w:t>Figure: Seaborn Pair Plot showing Scatter Matrices and Diagonal KDE Densities</w:t>
      </w:r>
    </w:p>
    <w:p>
      <w:pPr>
        <w:spacing w:after="120" w:line="276" w:lineRule="auto"/>
      </w:pPr>
      <w:r>
        <w:t>Analytical Interpretation: The pair plot highlights multi-dimensional clustering. Scatter matrices between Math, Reading, and Writing display dense ellipsoidal point clouds aligned along the 45-degree diagonal, proving that academic excellence is highly holistic. Students who excel in one academic discipline almost invariably perform above average in the others.</w:t>
      </w:r>
    </w:p>
    <w:p>
      <w:pPr>
        <w:pStyle w:val="Heading1"/>
        <w:spacing w:before="360" w:after="120"/>
      </w:pPr>
      <w:r>
        <w:rPr>
          <w:b/>
          <w:color w:val="1B365D"/>
          <w:sz w:val="33"/>
        </w:rPr>
        <w:t>6.0 Key Findings &amp; Empirical Statistical Observations</w:t>
      </w:r>
    </w:p>
    <w:p>
      <w:pPr>
        <w:spacing w:after="120" w:line="276" w:lineRule="auto"/>
      </w:pPr>
      <w:r>
        <w:t>Based on systematic exploratory and inferential data analysis, the following seven critical conclusions are drawn:</w:t>
        <w:br/>
        <w:br/>
        <w:t>1. Primary Determinant of Success: Weekly self-study duration is the single strongest predictor of academic excellence, exhibiting a Pearson correlation coefficient of r = +0.542. Students dedicating 25+ hours weekly achieve a mean score of 95.12.</w:t>
        <w:br/>
        <w:br/>
        <w:t>2. Test Preparation Dividend: Participation in a structured test preparation course confers an average boost of +8.03 percentage points (93.85 vs 85.82), proving the high return on institutional coaching.</w:t>
        <w:br/>
        <w:br/>
        <w:t>3. Cross-Discipline Gender Variations: While overall performance remains comparable, female students outperform males significantly in verbal subjects (+3.53 in Reading, +4.21 in Writing). Males maintain a slight advantage in Mathematics (+2.61 points).</w:t>
        <w:br/>
        <w:br/>
        <w:t>4. Inter-Subject Skill Transfer: Reading and Writing scores exhibit an extraordinary Pearson correlation of r = +0.884, indicating that remedial language interventions will generate dual benefits across both literacy assessments.</w:t>
        <w:br/>
        <w:br/>
        <w:t>5. Socio-Demographic Heritage Impact: Parental educational background correlates monotonically with student performance. Children of Master's degree holders average 94.44, whereas children of high school diploma holders average 83.21—an attainment gap of 11.23 points.</w:t>
        <w:br/>
        <w:br/>
        <w:t>6. Attendance as a Risk Filter: Attendance percentage correlates positively with score (r = +0.241). An attendance threshold of &lt;65% serves as a highly reliable early indicator for students at risk of scoring below passing thresholds (Grade D or F).</w:t>
        <w:br/>
        <w:br/>
        <w:t>7. Clean Distribution Properties: The cleaned composite score distribution exhibits near-Gaussian symmetry (mean = 88.70, median = 89.00), confirming that median-imputed data preprocessing preserved natural variance without distorting institutional grading standards.</w:t>
      </w:r>
    </w:p>
    <w:p>
      <w:pPr>
        <w:pStyle w:val="Heading1"/>
        <w:spacing w:before="360" w:after="120"/>
      </w:pPr>
      <w:r>
        <w:rPr>
          <w:b/>
          <w:color w:val="1B365D"/>
          <w:sz w:val="33"/>
        </w:rPr>
        <w:t>7.0 Conclusion &amp; Educational Policy Recommendations</w:t>
      </w:r>
    </w:p>
    <w:p>
      <w:pPr>
        <w:spacing w:after="120" w:line="276" w:lineRule="auto"/>
      </w:pPr>
      <w:r>
        <w:t>This case study successfully implemented a comprehensive Python data analytics workflow to evaluate academic performance across 1,000 student records. The technical integration of NumPy and Pandas enabled rigorous data cleaning, robust missing value imputation, and precise multi-level grouping. The deployment of Matplotlib and Seaborn produced an informative suite of nine visual figures that elucidate the multifactorial drivers of student success.</w:t>
      </w:r>
    </w:p>
    <w:p>
      <w:pPr>
        <w:spacing w:after="120" w:line="276" w:lineRule="auto"/>
      </w:pPr>
      <w:r>
        <w:t>Institutional Recommendations:</w:t>
        <w:br/>
        <w:t>• Early Warning System: Establish an automated administrative alert when a student's attendance falls below 75% or weekly study log falls below 12 hours.</w:t>
        <w:br/>
        <w:t>• Subsidized Test Preparation: Institutionalize mandatory or credit-bearing test preparation workshops, which provide an empirical +8 point performance boost.</w:t>
        <w:br/>
        <w:t>• First-Generation Mentorship: Provide specialized academic counseling and peer tutoring for students whose parents did not attend higher education to close the 11-point attainment gap.</w:t>
        <w:br/>
        <w:t>• Integrated Literacy Clinics: Exploit the strong correlation between reading and writing by creating combined writing centers that reinforce comprehensive literacy skills.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