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pPr>
      <w:r>
        <w:rPr>
          <w:rFonts w:ascii="Calibri" w:hAnsi="Calibri"/>
          <w:b/>
          <w:color w:val="007F9F"/>
          <w:sz w:val="20"/>
        </w:rPr>
        <w:t>IMPLEMENTATION SUMMARY</w:t>
      </w:r>
    </w:p>
    <w:p>
      <w:pPr>
        <w:keepNext/>
        <w:spacing w:after="160"/>
      </w:pPr>
      <w:r>
        <w:rPr>
          <w:rFonts w:ascii="Calibri" w:hAnsi="Calibri"/>
          <w:b/>
          <w:color w:val="181818"/>
          <w:sz w:val="62"/>
        </w:rPr>
        <w:t>Monster Application</w:t>
        <w:br/>
        <w:t>Renovation</w:t>
      </w:r>
    </w:p>
    <w:p>
      <w:pPr>
        <w:spacing w:after="440"/>
      </w:pPr>
      <w:r>
        <w:rPr>
          <w:rFonts w:ascii="Calibri" w:hAnsi="Calibri"/>
          <w:color w:val="5B6573"/>
          <w:sz w:val="28"/>
        </w:rPr>
        <w:t>Completed delivery, finalized interface specification, and prioritized next work</w:t>
      </w: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520"/>
        <w:gridCol w:w="2400"/>
        <w:gridCol w:w="1440"/>
      </w:tblGrid>
      <w:tr>
        <w:tc>
          <w:tcPr>
            <w:tcW w:type="dxa" w:w="5520"/>
            <w:vAlign w:val="center"/>
            <w:tcMar>
              <w:top w:w="75" w:type="dxa"/>
              <w:start w:w="0" w:type="dxa"/>
              <w:bottom w:w="75" w:type="dxa"/>
              <w:end w:w="0" w:type="dxa"/>
            </w:tcMar>
            <w:shd w:fill="181818"/>
          </w:tcPr>
          <w:p/>
        </w:tc>
        <w:tc>
          <w:tcPr>
            <w:tcW w:type="dxa" w:w="2400"/>
            <w:vAlign w:val="center"/>
            <w:tcMar>
              <w:top w:w="75" w:type="dxa"/>
              <w:start w:w="0" w:type="dxa"/>
              <w:bottom w:w="75" w:type="dxa"/>
              <w:end w:w="0" w:type="dxa"/>
            </w:tcMar>
            <w:shd w:fill="00C9FF"/>
          </w:tcPr>
          <w:p/>
        </w:tc>
        <w:tc>
          <w:tcPr>
            <w:tcW w:type="dxa" w:w="1440"/>
            <w:vAlign w:val="center"/>
            <w:tcMar>
              <w:top w:w="75" w:type="dxa"/>
              <w:start w:w="0" w:type="dxa"/>
              <w:bottom w:w="75" w:type="dxa"/>
              <w:end w:w="0" w:type="dxa"/>
            </w:tcMar>
            <w:shd w:fill="F4F900"/>
          </w:tcPr>
          <w:p/>
        </w:tc>
      </w:tr>
    </w:tbl>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900"/>
        <w:gridCol w:w="7460"/>
      </w:tblGrid>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PREPARED</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18 July 2026</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APPLICATION</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Monster Management Workspace</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TECHNOLOGY</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Laravel, React, Inertia, Tailwind CSS, Axios, MySQL</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DOCUMENT STATUS</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20"/>
              </w:rPr>
              <w:t>Current implementation handoff and forward roadmap</w:t>
            </w:r>
          </w:p>
        </w:tc>
      </w:tr>
    </w:tbl>
    <w:p>
      <w:pPr>
        <w:spacing w:after="200"/>
      </w:pPr>
    </w:p>
    <w:tbl>
      <w:tblPr>
        <w:tblW w:type="dxa" w:w="9360"/>
        <w:jc w:val="left"/>
        <w:tblLayout w:type="fixed"/>
        <w:tblLook w:firstColumn="1" w:firstRow="1" w:lastColumn="0" w:lastRow="0" w:noHBand="0" w:noVBand="1" w:val="04A0"/>
        <w:tblInd w:w="120" w:type="dxa"/>
        <w:tblBorders>
          <w:top w:val="single" w:sz="4" w:space="0" w:color="181818"/>
          <w:left w:val="single" w:sz="4" w:space="0" w:color="181818"/>
          <w:bottom w:val="single" w:sz="4" w:space="0" w:color="181818"/>
          <w:right w:val="single" w:sz="4" w:space="0" w:color="181818"/>
          <w:insideH w:val="single" w:sz="4" w:space="0" w:color="181818"/>
          <w:insideV w:val="single" w:sz="4" w:space="0" w:color="181818"/>
        </w:tblBorders>
      </w:tblPr>
      <w:tblGrid>
        <w:gridCol w:w="9360"/>
      </w:tblGrid>
      <w:tr>
        <w:tc>
          <w:tcPr>
            <w:tcW w:type="dxa" w:w="9360"/>
            <w:vAlign w:val="center"/>
            <w:tcMar>
              <w:top w:w="100" w:type="dxa"/>
              <w:start w:w="120" w:type="dxa"/>
              <w:bottom w:w="100" w:type="dxa"/>
              <w:end w:w="120" w:type="dxa"/>
            </w:tcMar>
            <w:shd w:fill="181818"/>
          </w:tcPr>
          <w:p>
            <w:pPr>
              <w:keepNext w:val="0"/>
              <w:keepLines/>
              <w:widowControl/>
              <w:spacing w:before="0" w:after="0" w:line="276" w:lineRule="auto"/>
            </w:pPr>
            <w:r>
              <w:rPr>
                <w:rFonts w:ascii="Calibri" w:hAnsi="Calibri"/>
                <w:b/>
                <w:color w:val="00C9FF"/>
                <w:sz w:val="19"/>
              </w:rPr>
              <w:t xml:space="preserve">CURRENT POSITION  </w:t>
            </w:r>
            <w:r>
              <w:rPr>
                <w:rFonts w:ascii="Calibri" w:hAnsi="Calibri"/>
                <w:color w:val="FFFFFF"/>
                <w:sz w:val="21"/>
              </w:rPr>
              <w:t>The application has moved from a mostly static redesign into an authenticated, API-connected management workspace with reusable records, station-aware data, resilient errors, Dockerized services, and a unified flat interface.</w:t>
            </w:r>
          </w:p>
        </w:tc>
      </w:tr>
    </w:tbl>
    <w:p>
      <w:pPr>
        <w:keepNext w:val="0"/>
        <w:keepLines/>
        <w:widowControl/>
        <w:spacing w:before="0" w:after="40" w:line="300" w:lineRule="auto"/>
      </w:pPr>
    </w:p>
    <w:p>
      <w:pPr>
        <w:spacing w:before="320" w:after="0"/>
      </w:pPr>
      <w:r>
        <w:rPr>
          <w:rFonts w:ascii="Calibri" w:hAnsi="Calibri"/>
          <w:b/>
          <w:color w:val="5B6573"/>
          <w:sz w:val="19"/>
        </w:rPr>
        <w:t xml:space="preserve">Scope note. </w:t>
      </w:r>
      <w:r>
        <w:rPr>
          <w:rFonts w:ascii="Calibri" w:hAnsi="Calibri"/>
          <w:color w:val="5B6573"/>
          <w:sz w:val="19"/>
        </w:rPr>
        <w:t>This report reflects the current working tree and runtime verification. It separates implemented work from proposed work; it does not imply that every legacy module has completed module-specific acceptance testing.</w:t>
      </w:r>
    </w:p>
    <w:p>
      <w:r>
        <w:br w:type="page"/>
      </w:r>
    </w:p>
    <w:p>
      <w:pPr>
        <w:pStyle w:val="Heading1"/>
        <w:keepNext/>
        <w:keepLines/>
        <w:widowControl/>
      </w:pPr>
      <w:r>
        <w:rPr>
          <w:b/>
        </w:rPr>
        <w:t>1. Executive delivery summary</w:t>
      </w:r>
    </w:p>
    <w:p>
      <w:pPr>
        <w:keepNext w:val="0"/>
        <w:keepLines/>
        <w:widowControl/>
        <w:spacing w:before="0" w:after="120" w:line="300" w:lineRule="auto"/>
      </w:pPr>
      <w:r>
        <w:rPr>
          <w:rFonts w:ascii="Calibri" w:hAnsi="Calibri"/>
          <w:color w:val="181818"/>
          <w:sz w:val="22"/>
        </w:rPr>
        <w:t>The renovation established a reusable application shell and data-management framework over the production-derived Monster database. Authentication is enabled, protected workspace routes are active, API requests use Sanctum-backed sessions, and the interface now loads live records rather than design-only placeholders.</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600"/>
        <w:gridCol w:w="1800"/>
        <w:gridCol w:w="4960"/>
      </w:tblGrid>
      <w:tr>
        <w:trPr>
          <w:tblHeader w:val="true"/>
        </w:trPr>
        <w:tc>
          <w:tcPr>
            <w:tcW w:type="dxa" w:w="26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Workstream</w:t>
            </w:r>
          </w:p>
        </w:tc>
        <w:tc>
          <w:tcPr>
            <w:tcW w:type="dxa" w:w="18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Status</w:t>
            </w:r>
          </w:p>
        </w:tc>
        <w:tc>
          <w:tcPr>
            <w:tcW w:type="dxa" w:w="496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Current result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Application shell</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Complete</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Responsive navigation, normal-flow top header, command search, dashboard, loading activity, and system status.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Design system</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Implemented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Poppins website typography, Monster blue/yellow palette, flat surfaces, smooth motion, and synchronized dark/light themes.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Authentication</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Email/password login, show-password control, logout, session regeneration, and authenticated web-to-API access.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Reusable records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Implemented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Schema-driven tables, search, sorting, pagination, create/edit/delete API operations, forms, and persistent modals.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Station handling</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Server-owned location, APP_CODE default, and permitted switching among mnl, cbu, and dav.</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Error experience</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Complete</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Stable JSON errors, user-readable database failures, notifications, status pages, and under-construction responses.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Docker and data</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Apache/PHP application container, MySQL 5.7 container, production dump mount, health checks, and live database connection.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Module acceptance</w:t>
            </w:r>
          </w:p>
        </w:tc>
        <w:tc>
          <w:tcPr>
            <w:tcW w:type="dxa" w:w="1800"/>
            <w:shd w:fill="FFF7D6"/>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8A6400"/>
                <w:sz w:val="19"/>
              </w:rPr>
              <w:t>Partial - next</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reusable framework covers 36 configured workspaces; each specialized workflow still needs module-by-module validation.</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007F9F"/>
          <w:left w:val="single" w:sz="4" w:space="0" w:color="007F9F"/>
          <w:bottom w:val="single" w:sz="4" w:space="0" w:color="007F9F"/>
          <w:right w:val="single" w:sz="4" w:space="0" w:color="007F9F"/>
          <w:insideH w:val="single" w:sz="4" w:space="0" w:color="007F9F"/>
          <w:insideV w:val="single" w:sz="4" w:space="0" w:color="007F9F"/>
        </w:tblBorders>
      </w:tblPr>
      <w:tblGrid>
        <w:gridCol w:w="9360"/>
      </w:tblGrid>
      <w:tr>
        <w:tc>
          <w:tcPr>
            <w:tcW w:type="dxa" w:w="9360"/>
            <w:vAlign w:val="center"/>
            <w:tcMar>
              <w:top w:w="100" w:type="dxa"/>
              <w:start w:w="120" w:type="dxa"/>
              <w:bottom w:w="100" w:type="dxa"/>
              <w:end w:w="120" w:type="dxa"/>
            </w:tcMar>
            <w:shd w:fill="007F9F"/>
          </w:tcPr>
          <w:p>
            <w:pPr>
              <w:keepNext w:val="0"/>
              <w:keepLines/>
              <w:widowControl/>
              <w:spacing w:before="0" w:after="0" w:line="276" w:lineRule="auto"/>
            </w:pPr>
            <w:r>
              <w:rPr>
                <w:rFonts w:ascii="Calibri" w:hAnsi="Calibri"/>
                <w:b/>
                <w:color w:val="F4F900"/>
                <w:sz w:val="19"/>
              </w:rPr>
              <w:t xml:space="preserve">DELIVERY PRINCIPLE  </w:t>
            </w:r>
            <w:r>
              <w:rPr>
                <w:rFonts w:ascii="Calibri" w:hAnsi="Calibri"/>
                <w:color w:val="FFFFFF"/>
                <w:sz w:val="21"/>
              </w:rPr>
              <w:t>Shared behavior is implemented once and reused across functional pages. Specialized workflows are added only where the module genuinely differs.</w:t>
            </w:r>
          </w:p>
        </w:tc>
      </w:tr>
    </w:tbl>
    <w:p>
      <w:pPr>
        <w:keepNext w:val="0"/>
        <w:keepLines/>
        <w:widowControl/>
        <w:spacing w:before="0" w:after="40" w:line="300" w:lineRule="auto"/>
      </w:pPr>
    </w:p>
    <w:p>
      <w:pPr>
        <w:pStyle w:val="Heading1"/>
        <w:keepNext/>
        <w:keepLines/>
        <w:widowControl/>
      </w:pPr>
      <w:r>
        <w:rPr>
          <w:b/>
        </w:rPr>
        <w:t>2. Project direction and architecture</w:t>
      </w:r>
    </w:p>
    <w:p>
      <w:pPr>
        <w:pStyle w:val="Heading2"/>
        <w:keepNext/>
        <w:keepLines/>
        <w:widowControl/>
      </w:pPr>
      <w:r>
        <w:rPr>
          <w:b/>
        </w:rPr>
        <w:t>2.1 Product direction</w:t>
      </w:r>
    </w:p>
    <w:p>
      <w:pPr>
        <w:pStyle w:val="ListBullet"/>
        <w:keepNext w:val="0"/>
        <w:keepLines/>
        <w:widowControl/>
        <w:spacing w:after="80" w:line="300" w:lineRule="auto"/>
        <w:ind w:left="540" w:hanging="271"/>
      </w:pPr>
      <w:r>
        <w:rPr>
          <w:rFonts w:ascii="Calibri" w:hAnsi="Calibri"/>
          <w:color w:val="181818"/>
          <w:sz w:val="22"/>
        </w:rPr>
        <w:t>Function-oriented naming replaces generic project naming in user-facing navigation and page context.</w:t>
      </w:r>
    </w:p>
    <w:p>
      <w:pPr>
        <w:pStyle w:val="ListBullet"/>
        <w:keepNext w:val="0"/>
        <w:keepLines/>
        <w:widowControl/>
        <w:spacing w:after="80" w:line="300" w:lineRule="auto"/>
        <w:ind w:left="540" w:hanging="271"/>
      </w:pPr>
      <w:r>
        <w:rPr>
          <w:rFonts w:ascii="Calibri" w:hAnsi="Calibri"/>
          <w:color w:val="181818"/>
          <w:sz w:val="22"/>
        </w:rPr>
        <w:t>The information architecture follows the legacy ../_cms navigation, preserving operational familiarity while replacing the legacy interface.</w:t>
      </w:r>
    </w:p>
    <w:p>
      <w:pPr>
        <w:pStyle w:val="ListBullet"/>
        <w:keepNext w:val="0"/>
        <w:keepLines/>
        <w:widowControl/>
        <w:spacing w:after="80" w:line="300" w:lineRule="auto"/>
        <w:ind w:left="540" w:hanging="271"/>
      </w:pPr>
      <w:r>
        <w:rPr>
          <w:rFonts w:ascii="Calibri" w:hAnsi="Calibri"/>
          <w:color w:val="181818"/>
          <w:sz w:val="22"/>
        </w:rPr>
        <w:t>Authentication remains enabled while content pages are designed and connected, preventing a design-only mode from becoming a permanent bypass.</w:t>
      </w:r>
    </w:p>
    <w:p>
      <w:pPr>
        <w:pStyle w:val="ListBullet"/>
        <w:keepNext w:val="0"/>
        <w:keepLines/>
        <w:widowControl/>
        <w:spacing w:after="80" w:line="300" w:lineRule="auto"/>
        <w:ind w:left="540" w:hanging="271"/>
      </w:pPr>
      <w:r>
        <w:rPr>
          <w:rFonts w:ascii="Calibri" w:hAnsi="Calibri"/>
          <w:color w:val="181818"/>
          <w:sz w:val="22"/>
        </w:rPr>
        <w:t>The application defaults to dark mode but supports explicit light, dark, and device-system preferences.</w:t>
      </w:r>
    </w:p>
    <w:p>
      <w:pPr>
        <w:pStyle w:val="Heading2"/>
        <w:keepNext/>
        <w:keepLines/>
        <w:widowControl/>
      </w:pPr>
      <w:r>
        <w:rPr>
          <w:b/>
        </w:rPr>
        <w:t>2.2 Current technical shape</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1900"/>
        <w:gridCol w:w="3000"/>
        <w:gridCol w:w="4460"/>
      </w:tblGrid>
      <w:tr>
        <w:trPr>
          <w:tblHeader w:val="true"/>
        </w:trPr>
        <w:tc>
          <w:tcPr>
            <w:tcW w:type="dxa" w:w="19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Layer</w:t>
            </w:r>
          </w:p>
        </w:tc>
        <w:tc>
          <w:tcPr>
            <w:tcW w:type="dxa" w:w="30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Current implementation</w:t>
            </w:r>
          </w:p>
        </w:tc>
        <w:tc>
          <w:tcPr>
            <w:tcW w:type="dxa" w:w="446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Responsibility</w:t>
            </w:r>
          </w:p>
        </w:tc>
      </w:tr>
      <w:tr>
        <w:tc>
          <w:tcPr>
            <w:tcW w:type="dxa" w:w="1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Browser interface</w:t>
            </w:r>
          </w:p>
        </w:tc>
        <w:tc>
          <w:tcPr>
            <w:tcW w:type="dxa" w:w="30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React + Inertia + Tailwind CSS</w:t>
            </w:r>
          </w:p>
        </w:tc>
        <w:tc>
          <w:tcPr>
            <w:tcW w:type="dxa" w:w="4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Layouts, dashboards, reusable records, modal forms, themes, and feedback.</w:t>
            </w:r>
          </w:p>
        </w:tc>
      </w:tr>
      <w:tr>
        <w:tc>
          <w:tcPr>
            <w:tcW w:type="dxa" w:w="1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Request client</w:t>
            </w:r>
          </w:p>
        </w:tc>
        <w:tc>
          <w:tcPr>
            <w:tcW w:type="dxa" w:w="30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Axios</w:t>
            </w:r>
          </w:p>
        </w:tc>
        <w:tc>
          <w:tcPr>
            <w:tcW w:type="dxa" w:w="4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Authenticated API calls, global activity tracking, success notices, and translated failures.</w:t>
            </w:r>
          </w:p>
        </w:tc>
      </w:tr>
      <w:tr>
        <w:tc>
          <w:tcPr>
            <w:tcW w:type="dxa" w:w="1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Application</w:t>
            </w:r>
          </w:p>
        </w:tc>
        <w:tc>
          <w:tcPr>
            <w:tcW w:type="dxa" w:w="30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Laravel + Breeze-style session authentication</w:t>
            </w:r>
          </w:p>
        </w:tc>
        <w:tc>
          <w:tcPr>
            <w:tcW w:type="dxa" w:w="4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Routes, authorization, validation, resource metadata, and JSON response contracts.</w:t>
            </w:r>
          </w:p>
        </w:tc>
      </w:tr>
      <w:tr>
        <w:tc>
          <w:tcPr>
            <w:tcW w:type="dxa" w:w="1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Data</w:t>
            </w:r>
          </w:p>
        </w:tc>
        <w:tc>
          <w:tcPr>
            <w:tcW w:type="dxa" w:w="30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MySQL 5.7</w:t>
            </w:r>
          </w:p>
        </w:tc>
        <w:tc>
          <w:tcPr>
            <w:tcW w:type="dxa" w:w="4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Production-derived content and station-scoped records.</w:t>
            </w:r>
          </w:p>
        </w:tc>
      </w:tr>
      <w:tr>
        <w:tc>
          <w:tcPr>
            <w:tcW w:type="dxa" w:w="1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Runtime</w:t>
            </w:r>
          </w:p>
        </w:tc>
        <w:tc>
          <w:tcPr>
            <w:tcW w:type="dxa" w:w="30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Docker Compose</w:t>
            </w:r>
          </w:p>
        </w:tc>
        <w:tc>
          <w:tcPr>
            <w:tcW w:type="dxa" w:w="4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PHP/Apache application service and persistent MySQL service on a shared network.</w:t>
            </w:r>
          </w:p>
        </w:tc>
      </w:tr>
      <w:tr>
        <w:tc>
          <w:tcPr>
            <w:tcW w:type="dxa" w:w="1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Quality</w:t>
            </w:r>
          </w:p>
        </w:tc>
        <w:tc>
          <w:tcPr>
            <w:tcW w:type="dxa" w:w="30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PHPUnit + SQLite isolation</w:t>
            </w:r>
          </w:p>
        </w:tc>
        <w:tc>
          <w:tcPr>
            <w:tcW w:type="dxa" w:w="4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Feature coverage without touching the operational MySQL database.</w:t>
            </w:r>
          </w:p>
        </w:tc>
      </w:tr>
    </w:tbl>
    <w:p>
      <w:pPr>
        <w:spacing w:after="20"/>
      </w:pPr>
    </w:p>
    <w:p>
      <w:pPr>
        <w:pStyle w:val="Heading1"/>
        <w:keepNext/>
        <w:keepLines/>
        <w:widowControl/>
      </w:pPr>
      <w:r>
        <w:rPr>
          <w:b/>
        </w:rPr>
        <w:t>3. Finalized interface changes</w:t>
      </w:r>
    </w:p>
    <w:p>
      <w:pPr>
        <w:keepNext w:val="0"/>
        <w:keepLines/>
        <w:widowControl/>
        <w:spacing w:before="0" w:after="120" w:line="300" w:lineRule="auto"/>
      </w:pPr>
      <w:r>
        <w:rPr>
          <w:rFonts w:ascii="Calibri" w:hAnsi="Calibri"/>
          <w:color w:val="181818"/>
          <w:sz w:val="22"/>
        </w:rPr>
        <w:t>The following items describe the current finalized implementation decisions. They are the visual and interaction baseline for all new functional pages.</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1700"/>
        <w:gridCol w:w="6160"/>
        <w:gridCol w:w="1500"/>
      </w:tblGrid>
      <w:tr>
        <w:trPr>
          <w:tblHeader w:val="true"/>
        </w:trPr>
        <w:tc>
          <w:tcPr>
            <w:tcW w:type="dxa" w:w="17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Area</w:t>
            </w:r>
          </w:p>
        </w:tc>
        <w:tc>
          <w:tcPr>
            <w:tcW w:type="dxa" w:w="616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Finalized behavior</w:t>
            </w:r>
          </w:p>
        </w:tc>
        <w:tc>
          <w:tcPr>
            <w:tcW w:type="dxa" w:w="15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State</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Typography</w:t>
            </w:r>
          </w:p>
        </w:tc>
        <w:tc>
          <w:tcPr>
            <w:tcW w:type="dxa" w:w="61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Poppins is the official website font for body copy, headings, controls, and navigation.</w:t>
            </w:r>
          </w:p>
        </w:tc>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Brand palette</w:t>
            </w:r>
          </w:p>
        </w:tc>
        <w:tc>
          <w:tcPr>
            <w:tcW w:type="dxa" w:w="61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Monster blue #00C9FF and Monster yellow #F4F900 are the primary accents over neutral charcoal, white, and gray surfaces.</w:t>
            </w:r>
          </w:p>
        </w:tc>
        <w:tc>
          <w:tcPr>
            <w:tcW w:type="dxa" w:w="1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Theme behavior</w:t>
            </w:r>
          </w:p>
        </w:tc>
        <w:tc>
          <w:tcPr>
            <w:tcW w:type="dxa" w:w="61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Dark is the default. Light and system modes are available, device preference changes are detected, and the sidebar uses the same theme tokens.</w:t>
            </w:r>
          </w:p>
        </w:tc>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Visual style</w:t>
            </w:r>
          </w:p>
        </w:tc>
        <w:tc>
          <w:tcPr>
            <w:tcW w:type="dxa" w:w="61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Flat-ish panels and controls use borders, restrained corner radii, minimal shadow, and smooth 200-300 ms transitions.</w:t>
            </w:r>
          </w:p>
        </w:tc>
        <w:tc>
          <w:tcPr>
            <w:tcW w:type="dxa" w:w="1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Navigation</w:t>
            </w:r>
          </w:p>
        </w:tc>
        <w:tc>
          <w:tcPr>
            <w:tcW w:type="dxa" w:w="61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left navigation is collapsible, responsive, theme-aware, and generated from the functional workspace configuration.</w:t>
            </w:r>
          </w:p>
        </w:tc>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Top header</w:t>
            </w:r>
          </w:p>
        </w:tc>
        <w:tc>
          <w:tcPr>
            <w:tcW w:type="dxa" w:w="61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header remains in normal document flow rather than fixed or sticky, preventing it from covering modal content.</w:t>
            </w:r>
          </w:p>
        </w:tc>
        <w:tc>
          <w:tcPr>
            <w:tcW w:type="dxa" w:w="1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 decision</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Forms</w:t>
            </w:r>
          </w:p>
        </w:tc>
        <w:tc>
          <w:tcPr>
            <w:tcW w:type="dxa" w:w="61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Inputs use floating labels: labels sit in the empty field and move upward on focus or when populated.</w:t>
            </w:r>
          </w:p>
        </w:tc>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Active controls</w:t>
            </w:r>
          </w:p>
        </w:tc>
        <w:tc>
          <w:tcPr>
            <w:tcW w:type="dxa" w:w="61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Focused inputs and open dropdowns use a Monster-blue border, label, and subtle blue surface highlight.</w:t>
            </w:r>
          </w:p>
        </w:tc>
        <w:tc>
          <w:tcPr>
            <w:tcW w:type="dxa" w:w="1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Dropdowns</w:t>
            </w:r>
          </w:p>
        </w:tc>
        <w:tc>
          <w:tcPr>
            <w:tcW w:type="dxa" w:w="61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Native selects were replaced by a reusable flat card menu rendered above modal clipping boundaries; large lists gain filtering.</w:t>
            </w:r>
          </w:p>
        </w:tc>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Modal editor</w:t>
            </w:r>
          </w:p>
        </w:tc>
        <w:tc>
          <w:tcPr>
            <w:tcW w:type="dxa" w:w="61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editor is centered, viewport-bounded, internally scrollable, and persistent. Unsaved changes are discarded only after the X-close confirmation.</w:t>
            </w:r>
          </w:p>
        </w:tc>
        <w:tc>
          <w:tcPr>
            <w:tcW w:type="dxa" w:w="1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Record tables</w:t>
            </w:r>
          </w:p>
        </w:tc>
        <w:tc>
          <w:tcPr>
            <w:tcW w:type="dxa" w:w="61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Reusable tables support loading/empty states, sorting, pagination, value formatting, and permission-aware edit/delete actions.</w:t>
            </w:r>
          </w:p>
        </w:tc>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Feedback</w:t>
            </w:r>
          </w:p>
        </w:tc>
        <w:tc>
          <w:tcPr>
            <w:tcW w:type="dxa" w:w="61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Global loading progress, success/error notifications, translated messages, and branded status pages provide consistent system feedback.</w:t>
            </w:r>
          </w:p>
        </w:tc>
        <w:tc>
          <w:tcPr>
            <w:tcW w:type="dxa" w:w="1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Implemented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Login</w:t>
            </w:r>
          </w:p>
        </w:tc>
        <w:tc>
          <w:tcPr>
            <w:tcW w:type="dxa" w:w="61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sign-in page uses the flat brand treatment and includes an explicit show/hide password control.</w:t>
            </w:r>
          </w:p>
        </w:tc>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Verified</w:t>
            </w:r>
          </w:p>
        </w:tc>
      </w:tr>
    </w:tbl>
    <w:p>
      <w:pPr>
        <w:spacing w:after="20"/>
      </w:pPr>
    </w:p>
    <w:p>
      <w:pPr>
        <w:pStyle w:val="Heading2"/>
        <w:keepNext/>
        <w:keepLines/>
        <w:widowControl/>
      </w:pPr>
      <w:r>
        <w:rPr>
          <w:b/>
        </w:rPr>
        <w:t>3.1 Reusable interface components</w:t>
      </w:r>
    </w:p>
    <w:p>
      <w:pPr>
        <w:pStyle w:val="ListBullet"/>
        <w:keepNext w:val="0"/>
        <w:keepLines/>
        <w:widowControl/>
        <w:spacing w:after="80" w:line="300" w:lineRule="auto"/>
        <w:ind w:left="540" w:hanging="271"/>
      </w:pPr>
      <w:r>
        <w:rPr>
          <w:rFonts w:ascii="Calibri" w:hAnsi="Calibri"/>
          <w:b/>
          <w:color w:val="181818"/>
          <w:sz w:val="22"/>
        </w:rPr>
        <w:t>AppShell:</w:t>
      </w:r>
      <w:r>
        <w:rPr>
          <w:rFonts w:ascii="Calibri" w:hAnsi="Calibri"/>
          <w:color w:val="181818"/>
          <w:sz w:val="22"/>
        </w:rPr>
        <w:t xml:space="preserve"> responsive page frame, navigation, normal-flow header, station selector, command palette, and request activity.</w:t>
      </w:r>
    </w:p>
    <w:p>
      <w:pPr>
        <w:pStyle w:val="ListBullet"/>
        <w:keepNext w:val="0"/>
        <w:keepLines/>
        <w:widowControl/>
        <w:spacing w:after="80" w:line="300" w:lineRule="auto"/>
        <w:ind w:left="540" w:hanging="271"/>
      </w:pPr>
      <w:r>
        <w:rPr>
          <w:rFonts w:ascii="Calibri" w:hAnsi="Calibri"/>
          <w:b/>
          <w:color w:val="181818"/>
          <w:sz w:val="22"/>
        </w:rPr>
        <w:t>ResourceDataTable:</w:t>
      </w:r>
      <w:r>
        <w:rPr>
          <w:rFonts w:ascii="Calibri" w:hAnsi="Calibri"/>
          <w:color w:val="181818"/>
          <w:sz w:val="22"/>
        </w:rPr>
        <w:t xml:space="preserve"> shared record display with sorting, pagination, value formatting, and actions.</w:t>
      </w:r>
    </w:p>
    <w:p>
      <w:pPr>
        <w:pStyle w:val="ListBullet"/>
        <w:keepNext w:val="0"/>
        <w:keepLines/>
        <w:widowControl/>
        <w:spacing w:after="80" w:line="300" w:lineRule="auto"/>
        <w:ind w:left="540" w:hanging="271"/>
      </w:pPr>
      <w:r>
        <w:rPr>
          <w:rFonts w:ascii="Calibri" w:hAnsi="Calibri"/>
          <w:b/>
          <w:color w:val="181818"/>
          <w:sz w:val="22"/>
        </w:rPr>
        <w:t>PersistentModal:</w:t>
      </w:r>
      <w:r>
        <w:rPr>
          <w:rFonts w:ascii="Calibri" w:hAnsi="Calibri"/>
          <w:color w:val="181818"/>
          <w:sz w:val="22"/>
        </w:rPr>
        <w:t xml:space="preserve"> portal-based editor with body-scroll lock and unsaved-change confirmation.</w:t>
      </w:r>
    </w:p>
    <w:p>
      <w:pPr>
        <w:pStyle w:val="ListBullet"/>
        <w:keepNext w:val="0"/>
        <w:keepLines/>
        <w:widowControl/>
        <w:spacing w:after="80" w:line="300" w:lineRule="auto"/>
        <w:ind w:left="540" w:hanging="271"/>
      </w:pPr>
      <w:r>
        <w:rPr>
          <w:rFonts w:ascii="Calibri" w:hAnsi="Calibri"/>
          <w:b/>
          <w:color w:val="181818"/>
          <w:sz w:val="22"/>
        </w:rPr>
        <w:t>ResourceForm:</w:t>
      </w:r>
      <w:r>
        <w:rPr>
          <w:rFonts w:ascii="Calibri" w:hAnsi="Calibri"/>
          <w:color w:val="181818"/>
          <w:sz w:val="22"/>
        </w:rPr>
        <w:t xml:space="preserve"> schema-driven floating-label inputs, checkboxes, dates, text areas, and relation dropdowns.</w:t>
      </w:r>
    </w:p>
    <w:p>
      <w:pPr>
        <w:pStyle w:val="ListBullet"/>
        <w:keepNext w:val="0"/>
        <w:keepLines/>
        <w:widowControl/>
        <w:spacing w:after="80" w:line="300" w:lineRule="auto"/>
        <w:ind w:left="540" w:hanging="271"/>
      </w:pPr>
      <w:r>
        <w:rPr>
          <w:rFonts w:ascii="Calibri" w:hAnsi="Calibri"/>
          <w:b/>
          <w:color w:val="181818"/>
          <w:sz w:val="22"/>
        </w:rPr>
        <w:t>CardDropdown:</w:t>
      </w:r>
      <w:r>
        <w:rPr>
          <w:rFonts w:ascii="Calibri" w:hAnsi="Calibri"/>
          <w:color w:val="181818"/>
          <w:sz w:val="22"/>
        </w:rPr>
        <w:t xml:space="preserve"> reusable option card with selected state, search for long lists, keyboard escape, outside-click close, and viewport-aware positioning.</w:t>
      </w:r>
    </w:p>
    <w:p>
      <w:pPr>
        <w:pStyle w:val="ListBullet"/>
        <w:keepNext w:val="0"/>
        <w:keepLines/>
        <w:widowControl/>
        <w:spacing w:after="80" w:line="300" w:lineRule="auto"/>
        <w:ind w:left="540" w:hanging="271"/>
      </w:pPr>
      <w:r>
        <w:rPr>
          <w:rFonts w:ascii="Calibri" w:hAnsi="Calibri"/>
          <w:b/>
          <w:color w:val="181818"/>
          <w:sz w:val="22"/>
        </w:rPr>
        <w:t>ThemeSwitcher and AppStateContext:</w:t>
      </w:r>
      <w:r>
        <w:rPr>
          <w:rFonts w:ascii="Calibri" w:hAnsi="Calibri"/>
          <w:color w:val="181818"/>
          <w:sz w:val="22"/>
        </w:rPr>
        <w:t xml:space="preserve"> persisted theme/navigation preferences, device theme tracking, notifications, and global request state.</w:t>
      </w:r>
    </w:p>
    <w:p>
      <w:pPr>
        <w:pStyle w:val="Heading1"/>
        <w:keepNext/>
        <w:keepLines/>
        <w:widowControl/>
      </w:pPr>
      <w:r>
        <w:rPr>
          <w:b/>
        </w:rPr>
        <w:t>4. Functional application changes</w:t>
      </w:r>
    </w:p>
    <w:p>
      <w:pPr>
        <w:pStyle w:val="Heading2"/>
        <w:keepNext/>
        <w:keepLines/>
        <w:widowControl/>
      </w:pPr>
      <w:r>
        <w:rPr>
          <w:b/>
        </w:rPr>
        <w:t>4.1 Live resource framework</w:t>
      </w:r>
    </w:p>
    <w:p>
      <w:pPr>
        <w:keepNext w:val="0"/>
        <w:keepLines/>
        <w:widowControl/>
        <w:spacing w:before="0" w:after="120" w:line="300" w:lineRule="auto"/>
      </w:pPr>
      <w:r>
        <w:rPr>
          <w:rFonts w:ascii="Calibri" w:hAnsi="Calibri"/>
          <w:color w:val="181818"/>
          <w:sz w:val="22"/>
        </w:rPr>
        <w:t>The static workspace was converted into a live, reusable records system. The backend inspects configured database tables, generates safe field metadata, applies validation and authorization, and serves the React workspace through a consistent API.</w:t>
      </w:r>
    </w:p>
    <w:p>
      <w:pPr>
        <w:pStyle w:val="ListBullet"/>
        <w:keepNext w:val="0"/>
        <w:keepLines/>
        <w:widowControl/>
        <w:spacing w:after="80" w:line="300" w:lineRule="auto"/>
        <w:ind w:left="540" w:hanging="271"/>
      </w:pPr>
      <w:r>
        <w:rPr>
          <w:rFonts w:ascii="Calibri" w:hAnsi="Calibri"/>
          <w:color w:val="181818"/>
          <w:sz w:val="22"/>
        </w:rPr>
        <w:t>List endpoints provide search, validated sorting, direction, page size, pagination metadata, and safe field definitions.</w:t>
      </w:r>
    </w:p>
    <w:p>
      <w:pPr>
        <w:pStyle w:val="ListBullet"/>
        <w:keepNext w:val="0"/>
        <w:keepLines/>
        <w:widowControl/>
        <w:spacing w:after="80" w:line="300" w:lineRule="auto"/>
        <w:ind w:left="540" w:hanging="271"/>
      </w:pPr>
      <w:r>
        <w:rPr>
          <w:rFonts w:ascii="Calibri" w:hAnsi="Calibri"/>
          <w:color w:val="181818"/>
          <w:sz w:val="22"/>
        </w:rPr>
        <w:t>Create, show, update, and delete operations use the same resource registry and stable JSON envelope.</w:t>
      </w:r>
    </w:p>
    <w:p>
      <w:pPr>
        <w:pStyle w:val="ListBullet"/>
        <w:keepNext w:val="0"/>
        <w:keepLines/>
        <w:widowControl/>
        <w:spacing w:after="80" w:line="300" w:lineRule="auto"/>
        <w:ind w:left="540" w:hanging="271"/>
      </w:pPr>
      <w:r>
        <w:rPr>
          <w:rFonts w:ascii="Calibri" w:hAnsi="Calibri"/>
          <w:color w:val="181818"/>
          <w:sz w:val="22"/>
        </w:rPr>
        <w:t>Relationship-style IDs are presented as reusable dropdown choices where mappings exist.</w:t>
      </w:r>
    </w:p>
    <w:p>
      <w:pPr>
        <w:pStyle w:val="ListBullet"/>
        <w:keepNext w:val="0"/>
        <w:keepLines/>
        <w:widowControl/>
        <w:spacing w:after="80" w:line="300" w:lineRule="auto"/>
        <w:ind w:left="540" w:hanging="271"/>
      </w:pPr>
      <w:r>
        <w:rPr>
          <w:rFonts w:ascii="Calibri" w:hAnsi="Calibri"/>
          <w:color w:val="181818"/>
          <w:sz w:val="22"/>
        </w:rPr>
        <w:t>Read-only resources and write-level restrictions are communicated to the interface.</w:t>
      </w:r>
    </w:p>
    <w:p>
      <w:pPr>
        <w:pStyle w:val="ListBullet"/>
        <w:keepNext w:val="0"/>
        <w:keepLines/>
        <w:widowControl/>
        <w:spacing w:after="80" w:line="300" w:lineRule="auto"/>
        <w:ind w:left="540" w:hanging="271"/>
      </w:pPr>
      <w:r>
        <w:rPr>
          <w:rFonts w:ascii="Calibri" w:hAnsi="Calibri"/>
          <w:color w:val="181818"/>
          <w:sz w:val="22"/>
        </w:rPr>
        <w:t>Photo/file fields are displayed but uploads remain intentionally disabled until the dedicated media workflow is implemented.</w:t>
      </w:r>
    </w:p>
    <w:p>
      <w:pPr>
        <w:pStyle w:val="Heading2"/>
        <w:keepNext/>
        <w:keepLines/>
        <w:widowControl/>
      </w:pPr>
      <w:r>
        <w:rPr>
          <w:b/>
        </w:rPr>
        <w:t>4.2 Configured functional coverage</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150"/>
        <w:gridCol w:w="5660"/>
        <w:gridCol w:w="1550"/>
      </w:tblGrid>
      <w:tr>
        <w:trPr>
          <w:tblHeader w:val="true"/>
        </w:trPr>
        <w:tc>
          <w:tcPr>
            <w:tcW w:type="dxa" w:w="21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Functional area</w:t>
            </w:r>
          </w:p>
        </w:tc>
        <w:tc>
          <w:tcPr>
            <w:tcW w:type="dxa" w:w="566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Configured workspaces</w:t>
            </w:r>
          </w:p>
        </w:tc>
        <w:tc>
          <w:tcPr>
            <w:tcW w:type="dxa" w:w="15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Current framework coverage</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Staff</w:t>
            </w:r>
          </w:p>
        </w:tc>
        <w:tc>
          <w:tcPr>
            <w:tcW w:type="dxa" w:w="56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Staffs, Designations, Jocks, Radio1 Batches, Student Jocks, Awards</w:t>
            </w:r>
          </w:p>
        </w:tc>
        <w:tc>
          <w:tcPr>
            <w:tcW w:type="dxa" w:w="15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6 resources</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Music</w:t>
            </w:r>
          </w:p>
        </w:tc>
        <w:tc>
          <w:tcPr>
            <w:tcW w:type="dxa" w:w="56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Artists, Albums, Songs, Genres, Station Chart, Daily Survey Top 5, Votes, Dropouts, Indieground Artists, Featured</w:t>
            </w:r>
          </w:p>
        </w:tc>
        <w:tc>
          <w:tcPr>
            <w:tcW w:type="dxa" w:w="15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10 resources</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Digital content and programs</w:t>
            </w:r>
          </w:p>
        </w:tc>
        <w:tc>
          <w:tcPr>
            <w:tcW w:type="dxa" w:w="56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Articles, Categories, Graphics, Mobile Application, Wallpapers, Music Awards, Shows, Timeslots, Podcasts</w:t>
            </w:r>
          </w:p>
        </w:tc>
        <w:tc>
          <w:tcPr>
            <w:tcW w:type="dxa" w:w="15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9 resources</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Events and scholarship</w:t>
            </w:r>
          </w:p>
        </w:tc>
        <w:tc>
          <w:tcPr>
            <w:tcW w:type="dxa" w:w="56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Schools, Gimik Board, Scholar Batches, Students, Sponsors</w:t>
            </w:r>
          </w:p>
        </w:tc>
        <w:tc>
          <w:tcPr>
            <w:tcW w:type="dxa" w:w="15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5 resources</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Promos</w:t>
            </w:r>
          </w:p>
        </w:tc>
        <w:tc>
          <w:tcPr>
            <w:tcW w:type="dxa" w:w="56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Giveaways, Contestants</w:t>
            </w:r>
          </w:p>
        </w:tc>
        <w:tc>
          <w:tcPr>
            <w:tcW w:type="dxa" w:w="15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2 resources</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Utilities</w:t>
            </w:r>
          </w:p>
        </w:tc>
        <w:tc>
          <w:tcPr>
            <w:tcW w:type="dxa" w:w="56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Users, Reports, Activity Logs, Archives</w:t>
            </w:r>
          </w:p>
        </w:tc>
        <w:tc>
          <w:tcPr>
            <w:tcW w:type="dxa" w:w="15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4 resources</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FFF7D6"/>
          <w:left w:val="single" w:sz="4" w:space="0" w:color="FFF7D6"/>
          <w:bottom w:val="single" w:sz="4" w:space="0" w:color="FFF7D6"/>
          <w:right w:val="single" w:sz="4" w:space="0" w:color="FFF7D6"/>
          <w:insideH w:val="single" w:sz="4" w:space="0" w:color="FFF7D6"/>
          <w:insideV w:val="single" w:sz="4" w:space="0" w:color="FFF7D6"/>
        </w:tblBorders>
      </w:tblPr>
      <w:tblGrid>
        <w:gridCol w:w="9360"/>
      </w:tblGrid>
      <w:tr>
        <w:tc>
          <w:tcPr>
            <w:tcW w:type="dxa" w:w="9360"/>
            <w:vAlign w:val="center"/>
            <w:tcMar>
              <w:top w:w="100" w:type="dxa"/>
              <w:start w:w="120" w:type="dxa"/>
              <w:bottom w:w="100" w:type="dxa"/>
              <w:end w:w="120" w:type="dxa"/>
            </w:tcMar>
            <w:shd w:fill="FFF7D6"/>
          </w:tcPr>
          <w:p>
            <w:pPr>
              <w:keepNext w:val="0"/>
              <w:keepLines/>
              <w:widowControl/>
              <w:spacing w:before="0" w:after="0" w:line="276" w:lineRule="auto"/>
            </w:pPr>
            <w:r>
              <w:rPr>
                <w:rFonts w:ascii="Calibri" w:hAnsi="Calibri"/>
                <w:b/>
                <w:color w:val="8A6400"/>
                <w:sz w:val="19"/>
              </w:rPr>
              <w:t xml:space="preserve">IMPORTANT  </w:t>
            </w:r>
            <w:r>
              <w:rPr>
                <w:rFonts w:ascii="Calibri" w:hAnsi="Calibri"/>
                <w:color w:val="181818"/>
                <w:sz w:val="21"/>
              </w:rPr>
              <w:t>Configured coverage means a page can use the reusable records framework. It does not yet mean every legacy business rule, compound workflow, upload, or editorial interaction has been recreated.</w:t>
            </w:r>
          </w:p>
        </w:tc>
      </w:tr>
    </w:tbl>
    <w:p>
      <w:pPr>
        <w:keepNext w:val="0"/>
        <w:keepLines/>
        <w:widowControl/>
        <w:spacing w:before="0" w:after="40" w:line="300" w:lineRule="auto"/>
      </w:pPr>
    </w:p>
    <w:p>
      <w:pPr>
        <w:pStyle w:val="Heading1"/>
        <w:keepNext/>
        <w:keepLines/>
        <w:widowControl/>
      </w:pPr>
      <w:r>
        <w:rPr>
          <w:b/>
        </w:rPr>
        <w:t>5. API, errors, authentication, and station rules</w:t>
      </w:r>
    </w:p>
    <w:p>
      <w:pPr>
        <w:pStyle w:val="Heading2"/>
        <w:keepNext/>
        <w:keepLines/>
        <w:widowControl/>
      </w:pPr>
      <w:r>
        <w:rPr>
          <w:b/>
        </w:rPr>
        <w:t>5.1 JSON and error contract</w:t>
      </w:r>
    </w:p>
    <w:p>
      <w:pPr>
        <w:keepNext w:val="0"/>
        <w:keepLines/>
        <w:widowControl/>
        <w:spacing w:before="0" w:after="120" w:line="300" w:lineRule="auto"/>
      </w:pPr>
      <w:r>
        <w:rPr>
          <w:rFonts w:ascii="Calibri" w:hAnsi="Calibri"/>
          <w:color w:val="181818"/>
          <w:sz w:val="22"/>
        </w:rPr>
        <w:t>API responses now use a predictable success/message/data envelope. Failures return success=false, a user-readable message, field errors where applicable, and a stable machine code.</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1900"/>
        <w:gridCol w:w="5080"/>
        <w:gridCol w:w="2380"/>
      </w:tblGrid>
      <w:tr>
        <w:trPr>
          <w:tblHeader w:val="true"/>
        </w:trPr>
        <w:tc>
          <w:tcPr>
            <w:tcW w:type="dxa" w:w="19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Failure class</w:t>
            </w:r>
          </w:p>
        </w:tc>
        <w:tc>
          <w:tcPr>
            <w:tcW w:type="dxa" w:w="508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User-facing treatment</w:t>
            </w:r>
          </w:p>
        </w:tc>
        <w:tc>
          <w:tcPr>
            <w:tcW w:type="dxa" w:w="238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Example code/status</w:t>
            </w:r>
          </w:p>
        </w:tc>
      </w:tr>
      <w:tr>
        <w:tc>
          <w:tcPr>
            <w:tcW w:type="dxa" w:w="1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Validation</w:t>
            </w:r>
          </w:p>
        </w:tc>
        <w:tc>
          <w:tcPr>
            <w:tcW w:type="dxa" w:w="50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Field-level guidance without exposing internals</w:t>
            </w:r>
          </w:p>
        </w:tc>
        <w:tc>
          <w:tcPr>
            <w:tcW w:type="dxa" w:w="23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VALIDATION_ERROR / 422</w:t>
            </w:r>
          </w:p>
        </w:tc>
      </w:tr>
      <w:tr>
        <w:tc>
          <w:tcPr>
            <w:tcW w:type="dxa" w:w="1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Authentication</w:t>
            </w:r>
          </w:p>
        </w:tc>
        <w:tc>
          <w:tcPr>
            <w:tcW w:type="dxa" w:w="50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Clear sign-in requirement</w:t>
            </w:r>
          </w:p>
        </w:tc>
        <w:tc>
          <w:tcPr>
            <w:tcW w:type="dxa" w:w="23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UNAUTHENTICATED / 401</w:t>
            </w:r>
          </w:p>
        </w:tc>
      </w:tr>
      <w:tr>
        <w:tc>
          <w:tcPr>
            <w:tcW w:type="dxa" w:w="1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Authorization</w:t>
            </w:r>
          </w:p>
        </w:tc>
        <w:tc>
          <w:tcPr>
            <w:tcW w:type="dxa" w:w="50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Permission-specific explanation</w:t>
            </w:r>
          </w:p>
        </w:tc>
        <w:tc>
          <w:tcPr>
            <w:tcW w:type="dxa" w:w="23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FORBIDDEN / 403</w:t>
            </w:r>
          </w:p>
        </w:tc>
      </w:tr>
      <w:tr>
        <w:tc>
          <w:tcPr>
            <w:tcW w:type="dxa" w:w="1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Missing content</w:t>
            </w:r>
          </w:p>
        </w:tc>
        <w:tc>
          <w:tcPr>
            <w:tcW w:type="dxa" w:w="50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Branded page or safe JSON response</w:t>
            </w:r>
          </w:p>
        </w:tc>
        <w:tc>
          <w:tcPr>
            <w:tcW w:type="dxa" w:w="23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NOT_FOUND / 404</w:t>
            </w:r>
          </w:p>
        </w:tc>
      </w:tr>
      <w:tr>
        <w:tc>
          <w:tcPr>
            <w:tcW w:type="dxa" w:w="1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Session expiry</w:t>
            </w:r>
          </w:p>
        </w:tc>
        <w:tc>
          <w:tcPr>
            <w:tcW w:type="dxa" w:w="50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Refresh-and-retry guidance</w:t>
            </w:r>
          </w:p>
        </w:tc>
        <w:tc>
          <w:tcPr>
            <w:tcW w:type="dxa" w:w="23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SESSION_EXPIRED / 419</w:t>
            </w:r>
          </w:p>
        </w:tc>
      </w:tr>
      <w:tr>
        <w:tc>
          <w:tcPr>
            <w:tcW w:type="dxa" w:w="1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Duplicate/constraint</w:t>
            </w:r>
          </w:p>
        </w:tc>
        <w:tc>
          <w:tcPr>
            <w:tcW w:type="dxa" w:w="50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Existing-content conflict message</w:t>
            </w:r>
          </w:p>
        </w:tc>
        <w:tc>
          <w:tcPr>
            <w:tcW w:type="dxa" w:w="23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DATA_CONFLICT / 409</w:t>
            </w:r>
          </w:p>
        </w:tc>
      </w:tr>
      <w:tr>
        <w:tc>
          <w:tcPr>
            <w:tcW w:type="dxa" w:w="1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Database connection</w:t>
            </w:r>
          </w:p>
        </w:tc>
        <w:tc>
          <w:tcPr>
            <w:tcW w:type="dxa" w:w="50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Temporary data-service unavailability</w:t>
            </w:r>
          </w:p>
        </w:tc>
        <w:tc>
          <w:tcPr>
            <w:tcW w:type="dxa" w:w="23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DATABASE_UNAVAILABLE / 503</w:t>
            </w:r>
          </w:p>
        </w:tc>
      </w:tr>
      <w:tr>
        <w:tc>
          <w:tcPr>
            <w:tcW w:type="dxa" w:w="1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Internal failure</w:t>
            </w:r>
          </w:p>
        </w:tc>
        <w:tc>
          <w:tcPr>
            <w:tcW w:type="dxa" w:w="50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Generic safe message; technical details remain server-side</w:t>
            </w:r>
          </w:p>
        </w:tc>
        <w:tc>
          <w:tcPr>
            <w:tcW w:type="dxa" w:w="23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SERVER_ERROR / 500</w:t>
            </w:r>
          </w:p>
        </w:tc>
      </w:tr>
    </w:tbl>
    <w:p>
      <w:pPr>
        <w:spacing w:after="20"/>
      </w:pPr>
    </w:p>
    <w:p>
      <w:pPr>
        <w:pStyle w:val="Heading2"/>
        <w:keepNext/>
        <w:keepLines/>
        <w:widowControl/>
      </w:pPr>
      <w:r>
        <w:rPr>
          <w:b/>
        </w:rPr>
        <w:t>5.2 Authentication</w:t>
      </w:r>
    </w:p>
    <w:p>
      <w:pPr>
        <w:pStyle w:val="ListBullet"/>
        <w:keepNext w:val="0"/>
        <w:keepLines/>
        <w:widowControl/>
        <w:spacing w:after="80" w:line="300" w:lineRule="auto"/>
        <w:ind w:left="540" w:hanging="271"/>
      </w:pPr>
      <w:r>
        <w:rPr>
          <w:rFonts w:ascii="Calibri" w:hAnsi="Calibri"/>
          <w:color w:val="181818"/>
          <w:sz w:val="22"/>
        </w:rPr>
        <w:t>Login and logout are active through Laravel web sessions.</w:t>
      </w:r>
    </w:p>
    <w:p>
      <w:pPr>
        <w:pStyle w:val="ListBullet"/>
        <w:keepNext w:val="0"/>
        <w:keepLines/>
        <w:widowControl/>
        <w:spacing w:after="80" w:line="300" w:lineRule="auto"/>
        <w:ind w:left="540" w:hanging="271"/>
      </w:pPr>
      <w:r>
        <w:rPr>
          <w:rFonts w:ascii="Calibri" w:hAnsi="Calibri"/>
          <w:color w:val="181818"/>
          <w:sz w:val="22"/>
        </w:rPr>
        <w:t>Sanctum recognizes stateful requests from the React interface, allowing authenticated API calls to share the web session.</w:t>
      </w:r>
    </w:p>
    <w:p>
      <w:pPr>
        <w:pStyle w:val="ListBullet"/>
        <w:keepNext w:val="0"/>
        <w:keepLines/>
        <w:widowControl/>
        <w:spacing w:after="80" w:line="300" w:lineRule="auto"/>
        <w:ind w:left="540" w:hanging="271"/>
      </w:pPr>
      <w:r>
        <w:rPr>
          <w:rFonts w:ascii="Calibri" w:hAnsi="Calibri"/>
          <w:color w:val="181818"/>
          <w:sz w:val="22"/>
        </w:rPr>
        <w:t>Login failures follow the JSON validation/error contract and the frontend translates them into field and global feedback.</w:t>
      </w:r>
    </w:p>
    <w:p>
      <w:pPr>
        <w:pStyle w:val="ListBullet"/>
        <w:keepNext w:val="0"/>
        <w:keepLines/>
        <w:widowControl/>
        <w:spacing w:after="80" w:line="300" w:lineRule="auto"/>
        <w:ind w:left="540" w:hanging="271"/>
      </w:pPr>
      <w:r>
        <w:rPr>
          <w:rFonts w:ascii="Calibri" w:hAnsi="Calibri"/>
          <w:color w:val="181818"/>
          <w:sz w:val="22"/>
        </w:rPr>
        <w:t>Registration, password reset, email verification, and profile management were removed from the active route surface because they are outside the current operational scope.</w:t>
      </w:r>
    </w:p>
    <w:p>
      <w:pPr>
        <w:pStyle w:val="Heading2"/>
        <w:keepNext/>
        <w:keepLines/>
        <w:widowControl/>
      </w:pPr>
      <w:r>
        <w:rPr>
          <w:b/>
        </w:rPr>
        <w:t>5.3 Station ownership</w:t>
      </w:r>
    </w:p>
    <w:p>
      <w:pPr>
        <w:pStyle w:val="ListBullet"/>
        <w:keepNext w:val="0"/>
        <w:keepLines/>
        <w:widowControl/>
        <w:spacing w:after="80" w:line="300" w:lineRule="auto"/>
        <w:ind w:left="540" w:hanging="271"/>
      </w:pPr>
      <w:r>
        <w:rPr>
          <w:rFonts w:ascii="Calibri" w:hAnsi="Calibri"/>
          <w:color w:val="181818"/>
          <w:sz w:val="22"/>
        </w:rPr>
        <w:t>The location field is not rendered in generic modal forms and is not accepted as a writable client field.</w:t>
      </w:r>
    </w:p>
    <w:p>
      <w:pPr>
        <w:pStyle w:val="ListBullet"/>
        <w:keepNext w:val="0"/>
        <w:keepLines/>
        <w:widowControl/>
        <w:spacing w:after="80" w:line="300" w:lineRule="auto"/>
        <w:ind w:left="540" w:hanging="271"/>
      </w:pPr>
      <w:r>
        <w:rPr>
          <w:rFonts w:ascii="Calibri" w:hAnsi="Calibri"/>
          <w:color w:val="181818"/>
          <w:sz w:val="22"/>
        </w:rPr>
        <w:t>The server assigns location from APP_CODE by default and applies the same station context to queries, writes, dashboard counts, legacy station helpers, and activity logs.</w:t>
      </w:r>
    </w:p>
    <w:p>
      <w:pPr>
        <w:pStyle w:val="ListBullet"/>
        <w:keepNext w:val="0"/>
        <w:keepLines/>
        <w:widowControl/>
        <w:spacing w:after="80" w:line="300" w:lineRule="auto"/>
        <w:ind w:left="540" w:hanging="271"/>
      </w:pPr>
      <w:r>
        <w:rPr>
          <w:rFonts w:ascii="Calibri" w:hAnsi="Calibri"/>
          <w:color w:val="181818"/>
          <w:sz w:val="22"/>
        </w:rPr>
        <w:t>Authorized Developer/Admin designation levels can switch the active session among mnl, cbu, and dav from the header.</w:t>
      </w:r>
    </w:p>
    <w:p>
      <w:pPr>
        <w:pStyle w:val="ListBullet"/>
        <w:keepNext w:val="0"/>
        <w:keepLines/>
        <w:widowControl/>
        <w:spacing w:after="80" w:line="300" w:lineRule="auto"/>
        <w:ind w:left="540" w:hanging="271"/>
      </w:pPr>
      <w:r>
        <w:rPr>
          <w:rFonts w:ascii="Calibri" w:hAnsi="Calibri"/>
          <w:color w:val="181818"/>
          <w:sz w:val="22"/>
        </w:rPr>
        <w:t>Unsupported station values and unauthorized switching are rejected server-side.</w:t>
      </w:r>
    </w:p>
    <w:p>
      <w:pPr>
        <w:pStyle w:val="Heading1"/>
        <w:keepNext/>
        <w:keepLines/>
        <w:widowControl/>
      </w:pPr>
      <w:r>
        <w:rPr>
          <w:b/>
        </w:rPr>
        <w:t>6. Docker, database, and developer workflow</w:t>
      </w:r>
    </w:p>
    <w:p>
      <w:pPr>
        <w:pStyle w:val="Heading2"/>
        <w:keepNext/>
        <w:keepLines/>
        <w:widowControl/>
      </w:pPr>
      <w:r>
        <w:rPr>
          <w:b/>
        </w:rPr>
        <w:t>6.1 Container setup</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1500"/>
        <w:gridCol w:w="2500"/>
        <w:gridCol w:w="5360"/>
      </w:tblGrid>
      <w:tr>
        <w:trPr>
          <w:tblHeader w:val="true"/>
        </w:trPr>
        <w:tc>
          <w:tcPr>
            <w:tcW w:type="dxa" w:w="15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Service</w:t>
            </w:r>
          </w:p>
        </w:tc>
        <w:tc>
          <w:tcPr>
            <w:tcW w:type="dxa" w:w="25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Purpose</w:t>
            </w:r>
          </w:p>
        </w:tc>
        <w:tc>
          <w:tcPr>
            <w:tcW w:type="dxa" w:w="536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Current behavior</w:t>
            </w:r>
          </w:p>
        </w:tc>
      </w:tr>
      <w:tr>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app</w:t>
            </w:r>
          </w:p>
        </w:tc>
        <w:tc>
          <w:tcPr>
            <w:tcW w:type="dxa" w:w="2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PHP 8.3 + Apache</w:t>
            </w:r>
          </w:p>
        </w:tc>
        <w:tc>
          <w:tcPr>
            <w:tcW w:type="dxa" w:w="53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Serves Laravel on localhost:9001; project files are bind-mounted for immediate backend refresh.</w:t>
            </w:r>
          </w:p>
        </w:tc>
      </w:tr>
      <w:tr>
        <w:tc>
          <w:tcPr>
            <w:tcW w:type="dxa" w:w="1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db</w:t>
            </w:r>
          </w:p>
        </w:tc>
        <w:tc>
          <w:tcPr>
            <w:tcW w:type="dxa" w:w="2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MySQL 5.7</w:t>
            </w:r>
          </w:p>
        </w:tc>
        <w:tc>
          <w:tcPr>
            <w:tcW w:type="dxa" w:w="53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Persists data in monster_cms_dbdata; exposes host port 3309; reports container health.</w:t>
            </w:r>
          </w:p>
        </w:tc>
      </w:tr>
      <w:tr>
        <w:tc>
          <w:tcPr>
            <w:tcW w:type="dxa" w:w="15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production dump</w:t>
            </w:r>
          </w:p>
        </w:tc>
        <w:tc>
          <w:tcPr>
            <w:tcW w:type="dxa" w:w="25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Initial data source</w:t>
            </w:r>
          </w:p>
        </w:tc>
        <w:tc>
          <w:tcPr>
            <w:tcW w:type="dxa" w:w="53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Mounted read-only under docker-entrypoint-initdb.d and automatically imported only for a new empty volume.</w:t>
            </w:r>
          </w:p>
        </w:tc>
      </w:tr>
      <w:tr>
        <w:tc>
          <w:tcPr>
            <w:tcW w:type="dxa" w:w="1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vendor/cache volumes</w:t>
            </w:r>
          </w:p>
        </w:tc>
        <w:tc>
          <w:tcPr>
            <w:tcW w:type="dxa" w:w="25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Runtime dependencies</w:t>
            </w:r>
          </w:p>
        </w:tc>
        <w:tc>
          <w:tcPr>
            <w:tcW w:type="dxa" w:w="53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Keep Composer packages and bootstrap cache inside named Docker volumes.</w:t>
            </w:r>
          </w:p>
        </w:tc>
      </w:tr>
    </w:tbl>
    <w:p>
      <w:pPr>
        <w:spacing w:after="20"/>
      </w:pPr>
    </w:p>
    <w:p>
      <w:pPr>
        <w:keepNext w:val="0"/>
        <w:keepLines/>
        <w:widowControl/>
        <w:spacing w:before="0" w:after="120" w:line="300" w:lineRule="auto"/>
      </w:pPr>
      <w:r>
        <w:rPr>
          <w:rFonts w:ascii="Calibri" w:hAnsi="Calibri"/>
          <w:color w:val="181818"/>
          <w:sz w:val="22"/>
        </w:rPr>
        <w:t>PHP, routes, Blade templates, and generated public assets are visible immediately through the bind mount. React and Tailwind source changes still require npm run watch or npm run production before the browser receives updated bundles.</w:t>
      </w:r>
    </w:p>
    <w:p>
      <w:pPr>
        <w:pStyle w:val="Heading2"/>
        <w:keepNext/>
        <w:keepLines/>
        <w:widowControl/>
      </w:pPr>
      <w:r>
        <w:rPr>
          <w:b/>
        </w:rPr>
        <w:t>6.2 Data restoration and test hardening</w:t>
      </w:r>
    </w:p>
    <w:p>
      <w:pPr>
        <w:keepNext w:val="0"/>
        <w:keepLines/>
        <w:widowControl/>
        <w:spacing w:before="0" w:after="120" w:line="300" w:lineRule="auto"/>
      </w:pPr>
      <w:r>
        <w:rPr>
          <w:rFonts w:ascii="Calibri" w:hAnsi="Calibri"/>
          <w:color w:val="181818"/>
          <w:sz w:val="22"/>
        </w:rPr>
        <w:t>During validation, the feature test suite exposed that RefreshDatabase was using the normal MySQL connection. The imported schema was restored from the existing 22 June 2026 dump, login throttling was cleared, and test execution was permanently isolated from operational data.</w:t>
      </w:r>
    </w:p>
    <w:p>
      <w:pPr>
        <w:pStyle w:val="ListBullet"/>
        <w:keepNext w:val="0"/>
        <w:keepLines/>
        <w:widowControl/>
        <w:spacing w:after="80" w:line="300" w:lineRule="auto"/>
        <w:ind w:left="540" w:hanging="271"/>
      </w:pPr>
      <w:r>
        <w:rPr>
          <w:rFonts w:ascii="Calibri" w:hAnsi="Calibri"/>
          <w:color w:val="181818"/>
          <w:sz w:val="22"/>
        </w:rPr>
        <w:t>phpunit.xml now forces APP_ENV=testing, DB_CONNECTION=sqlite, and DB_DATABASE=:memory:.</w:t>
      </w:r>
    </w:p>
    <w:p>
      <w:pPr>
        <w:pStyle w:val="ListBullet"/>
        <w:keepNext w:val="0"/>
        <w:keepLines/>
        <w:widowControl/>
        <w:spacing w:after="80" w:line="300" w:lineRule="auto"/>
        <w:ind w:left="540" w:hanging="271"/>
      </w:pPr>
      <w:r>
        <w:rPr>
          <w:rFonts w:ascii="Calibri" w:hAnsi="Calibri"/>
          <w:color w:val="181818"/>
          <w:sz w:val="22"/>
        </w:rPr>
        <w:t>The test bootstrap fails immediately unless it is using the isolated in-memory SQLite connection.</w:t>
      </w:r>
    </w:p>
    <w:p>
      <w:pPr>
        <w:pStyle w:val="ListBullet"/>
        <w:keepNext w:val="0"/>
        <w:keepLines/>
        <w:widowControl/>
        <w:spacing w:after="80" w:line="300" w:lineRule="auto"/>
        <w:ind w:left="540" w:hanging="271"/>
      </w:pPr>
      <w:r>
        <w:rPr>
          <w:rFonts w:ascii="Calibri" w:hAnsi="Calibri"/>
          <w:color w:val="181818"/>
          <w:sz w:val="22"/>
        </w:rPr>
        <w:t>After restoration, a full test run completed without changing the operational row counts.</w:t>
      </w:r>
    </w:p>
    <w:tbl>
      <w:tblPr>
        <w:tblW w:type="dxa" w:w="9360"/>
        <w:jc w:val="left"/>
        <w:tblLayout w:type="fixed"/>
        <w:tblLook w:firstColumn="1" w:firstRow="1" w:lastColumn="0" w:lastRow="0" w:noHBand="0" w:noVBand="1" w:val="04A0"/>
        <w:tblInd w:w="120" w:type="dxa"/>
        <w:tblBorders>
          <w:top w:val="single" w:sz="4" w:space="0" w:color="FCEAEA"/>
          <w:left w:val="single" w:sz="4" w:space="0" w:color="FCEAEA"/>
          <w:bottom w:val="single" w:sz="4" w:space="0" w:color="FCEAEA"/>
          <w:right w:val="single" w:sz="4" w:space="0" w:color="FCEAEA"/>
          <w:insideH w:val="single" w:sz="4" w:space="0" w:color="FCEAEA"/>
          <w:insideV w:val="single" w:sz="4" w:space="0" w:color="FCEAEA"/>
        </w:tblBorders>
      </w:tblPr>
      <w:tblGrid>
        <w:gridCol w:w="9360"/>
      </w:tblGrid>
      <w:tr>
        <w:tc>
          <w:tcPr>
            <w:tcW w:type="dxa" w:w="9360"/>
            <w:vAlign w:val="center"/>
            <w:tcMar>
              <w:top w:w="100" w:type="dxa"/>
              <w:start w:w="120" w:type="dxa"/>
              <w:bottom w:w="100" w:type="dxa"/>
              <w:end w:w="120" w:type="dxa"/>
            </w:tcMar>
            <w:shd w:fill="FCEAEA"/>
          </w:tcPr>
          <w:p>
            <w:pPr>
              <w:keepNext w:val="0"/>
              <w:keepLines/>
              <w:widowControl/>
              <w:spacing w:before="0" w:after="0" w:line="276" w:lineRule="auto"/>
            </w:pPr>
            <w:r>
              <w:rPr>
                <w:rFonts w:ascii="Calibri" w:hAnsi="Calibri"/>
                <w:b/>
                <w:color w:val="A12D2D"/>
                <w:sz w:val="19"/>
              </w:rPr>
              <w:t xml:space="preserve">SAFEGUARD  </w:t>
            </w:r>
            <w:r>
              <w:rPr>
                <w:rFonts w:ascii="Calibri" w:hAnsi="Calibri"/>
                <w:color w:val="181818"/>
                <w:sz w:val="21"/>
              </w:rPr>
              <w:t>Do not remove the SQLite test configuration or the bootstrap guard. They protect the imported MySQL database from destructive test traits.</w:t>
            </w:r>
          </w:p>
        </w:tc>
      </w:tr>
    </w:tbl>
    <w:p>
      <w:pPr>
        <w:keepNext w:val="0"/>
        <w:keepLines/>
        <w:widowControl/>
        <w:spacing w:before="0" w:after="40" w:line="300" w:lineRule="auto"/>
      </w:pPr>
    </w:p>
    <w:p>
      <w:pPr>
        <w:pStyle w:val="Heading1"/>
        <w:keepNext/>
        <w:keepLines/>
        <w:widowControl/>
      </w:pPr>
      <w:r>
        <w:rPr>
          <w:b/>
        </w:rPr>
        <w:t>7. Verification completed</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600"/>
        <w:gridCol w:w="1800"/>
        <w:gridCol w:w="4960"/>
      </w:tblGrid>
      <w:tr>
        <w:trPr>
          <w:tblHeader w:val="true"/>
        </w:trPr>
        <w:tc>
          <w:tcPr>
            <w:tcW w:type="dxa" w:w="26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Workstream</w:t>
            </w:r>
          </w:p>
        </w:tc>
        <w:tc>
          <w:tcPr>
            <w:tcW w:type="dxa" w:w="18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Status</w:t>
            </w:r>
          </w:p>
        </w:tc>
        <w:tc>
          <w:tcPr>
            <w:tcW w:type="dxa" w:w="496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Current result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Backend suite</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19 PHPUnit tests passed after SQLite isolation.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Frontend bundle</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npm run production compiled the React/Tailwind application successfully.</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PHP syntax</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Changed station, resource, controller, and logging classes passed syntax checks.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API routes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Authenticated resource CRUD and PUT /api/station are registered.</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Containers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Application and MySQL services are running; MySQL reports healthy.</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Health endpoint</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Application and database returned operational status on 18 July 2026.</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Restored data</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41 users, 78 employees, and 9 designations remained after the isolated test run.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Authenticated visual pass</w:t>
            </w:r>
          </w:p>
        </w:tc>
        <w:tc>
          <w:tcPr>
            <w:tcW w:type="dxa" w:w="1800"/>
            <w:shd w:fill="FFF7D6"/>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8A6400"/>
                <w:sz w:val="19"/>
              </w:rPr>
              <w:t>Pending - next</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Automated browser validation could only reach login because the isolated browser had no authenticated session.</w:t>
            </w:r>
          </w:p>
        </w:tc>
      </w:tr>
    </w:tbl>
    <w:p>
      <w:pPr>
        <w:spacing w:after="20"/>
      </w:pPr>
    </w:p>
    <w:p>
      <w:pPr>
        <w:pStyle w:val="Heading1"/>
        <w:keepNext/>
        <w:keepLines/>
        <w:widowControl/>
      </w:pPr>
      <w:r>
        <w:rPr>
          <w:b/>
        </w:rPr>
        <w:t>8. Soon to be made</w:t>
      </w:r>
    </w:p>
    <w:p>
      <w:pPr>
        <w:keepNext w:val="0"/>
        <w:keepLines/>
        <w:widowControl/>
        <w:spacing w:before="0" w:after="120" w:line="300" w:lineRule="auto"/>
      </w:pPr>
      <w:r>
        <w:rPr>
          <w:rFonts w:ascii="Calibri" w:hAnsi="Calibri"/>
          <w:color w:val="181818"/>
          <w:sz w:val="22"/>
        </w:rPr>
        <w:t>The following roadmap is proposed next scope. These items are not represented as completed delivery.</w:t>
      </w:r>
    </w:p>
    <w:p>
      <w:pPr>
        <w:pStyle w:val="Heading2"/>
        <w:keepNext/>
        <w:keepLines/>
        <w:widowControl/>
      </w:pPr>
      <w:r>
        <w:rPr>
          <w:b/>
        </w:rPr>
        <w:t>Priority 0 - stabilize and sign off</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900"/>
        <w:gridCol w:w="2250"/>
        <w:gridCol w:w="4330"/>
        <w:gridCol w:w="1880"/>
      </w:tblGrid>
      <w:tr>
        <w:trPr>
          <w:tblHeader w:val="true"/>
        </w:trPr>
        <w:tc>
          <w:tcPr>
            <w:tcW w:type="dxa" w:w="9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ID</w:t>
            </w:r>
          </w:p>
        </w:tc>
        <w:tc>
          <w:tcPr>
            <w:tcW w:type="dxa" w:w="22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Work item</w:t>
            </w:r>
          </w:p>
        </w:tc>
        <w:tc>
          <w:tcPr>
            <w:tcW w:type="dxa" w:w="433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Scope</w:t>
            </w:r>
          </w:p>
        </w:tc>
        <w:tc>
          <w:tcPr>
            <w:tcW w:type="dxa" w:w="188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Outcome</w:t>
            </w:r>
          </w:p>
        </w:tc>
      </w:tr>
      <w:tr>
        <w:tc>
          <w:tcPr>
            <w:tcW w:type="dxa" w:w="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6"/>
              </w:rPr>
              <w:t>P0.1</w:t>
            </w:r>
          </w:p>
        </w:tc>
        <w:tc>
          <w:tcPr>
            <w:tcW w:type="dxa" w:w="22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Authenticated end-to-end UI verification</w:t>
            </w:r>
          </w:p>
        </w:tc>
        <w:tc>
          <w:tcPr>
            <w:tcW w:type="dxa" w:w="433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Validate login, logout, theme persistence, sidebar behavior, station switching, table loading, create/edit/delete, modal discard, and error handling in a real authenticated browser session.</w:t>
            </w:r>
          </w:p>
        </w:tc>
        <w:tc>
          <w:tcPr>
            <w:tcW w:type="dxa" w:w="18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Acceptance evidence and regression tests</w:t>
            </w:r>
          </w:p>
        </w:tc>
      </w:tr>
      <w:tr>
        <w:tc>
          <w:tcPr>
            <w:tcW w:type="dxa" w:w="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6"/>
              </w:rPr>
              <w:t>P0.2</w:t>
            </w:r>
          </w:p>
        </w:tc>
        <w:tc>
          <w:tcPr>
            <w:tcW w:type="dxa" w:w="22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Module-by-module data validation</w:t>
            </w:r>
          </w:p>
        </w:tc>
        <w:tc>
          <w:tcPr>
            <w:tcW w:type="dxa" w:w="433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Open all 36 configured workspaces and confirm table mappings, station scope, relation labels, required fields, defaults, and write permissions against the imported schema.</w:t>
            </w:r>
          </w:p>
        </w:tc>
        <w:tc>
          <w:tcPr>
            <w:tcW w:type="dxa" w:w="18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Validated resource matrix</w:t>
            </w:r>
          </w:p>
        </w:tc>
      </w:tr>
      <w:tr>
        <w:tc>
          <w:tcPr>
            <w:tcW w:type="dxa" w:w="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6"/>
              </w:rPr>
              <w:t>P0.3</w:t>
            </w:r>
          </w:p>
        </w:tc>
        <w:tc>
          <w:tcPr>
            <w:tcW w:type="dxa" w:w="22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Repository cleanup and baseline commit</w:t>
            </w:r>
          </w:p>
        </w:tc>
        <w:tc>
          <w:tcPr>
            <w:tcW w:type="dxa" w:w="433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Review deleted Breeze features and stale copy files, separate intentional renovation changes from unrelated work, then establish a clean branch/commit baseline.</w:t>
            </w:r>
          </w:p>
        </w:tc>
        <w:tc>
          <w:tcPr>
            <w:tcW w:type="dxa" w:w="188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Reviewable source baseline</w:t>
            </w:r>
          </w:p>
        </w:tc>
      </w:tr>
      <w:tr>
        <w:tc>
          <w:tcPr>
            <w:tcW w:type="dxa" w:w="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6"/>
              </w:rPr>
              <w:t>P0.4</w:t>
            </w:r>
          </w:p>
        </w:tc>
        <w:tc>
          <w:tcPr>
            <w:tcW w:type="dxa" w:w="22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Authorization policy review</w:t>
            </w:r>
          </w:p>
        </w:tc>
        <w:tc>
          <w:tcPr>
            <w:tcW w:type="dxa" w:w="433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Replace broad designation-level checks with explicit policies/permissions where business rules require finer access.</w:t>
            </w:r>
          </w:p>
        </w:tc>
        <w:tc>
          <w:tcPr>
            <w:tcW w:type="dxa" w:w="188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6"/>
              </w:rPr>
              <w:t>Documented access matrix</w:t>
            </w:r>
          </w:p>
        </w:tc>
      </w:tr>
    </w:tbl>
    <w:p>
      <w:pPr>
        <w:spacing w:after="20"/>
      </w:pPr>
    </w:p>
    <w:p>
      <w:pPr>
        <w:pStyle w:val="Heading2"/>
        <w:keepNext/>
        <w:keepLines/>
        <w:widowControl/>
      </w:pPr>
      <w:r>
        <w:rPr>
          <w:b/>
        </w:rPr>
        <w:t>Priority 1 - complete operational workflows</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900"/>
        <w:gridCol w:w="2450"/>
        <w:gridCol w:w="6010"/>
      </w:tblGrid>
      <w:tr>
        <w:trPr>
          <w:tblHeader w:val="true"/>
        </w:trPr>
        <w:tc>
          <w:tcPr>
            <w:tcW w:type="dxa" w:w="9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ID</w:t>
            </w:r>
          </w:p>
        </w:tc>
        <w:tc>
          <w:tcPr>
            <w:tcW w:type="dxa" w:w="24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Work item</w:t>
            </w:r>
          </w:p>
        </w:tc>
        <w:tc>
          <w:tcPr>
            <w:tcW w:type="dxa" w:w="601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Scope</w:t>
            </w:r>
          </w:p>
        </w:tc>
      </w:tr>
      <w:tr>
        <w:tc>
          <w:tcPr>
            <w:tcW w:type="dxa" w:w="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P1.1</w:t>
            </w:r>
          </w:p>
        </w:tc>
        <w:tc>
          <w:tcPr>
            <w:tcW w:type="dxa" w:w="24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Photo and file uploads</w:t>
            </w:r>
          </w:p>
        </w:tc>
        <w:tc>
          <w:tcPr>
            <w:tcW w:type="dxa" w:w="60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Secure storage, validation, previews, replacement/removal, cleanup, and module-specific media paths.</w:t>
            </w:r>
          </w:p>
        </w:tc>
      </w:tr>
      <w:tr>
        <w:tc>
          <w:tcPr>
            <w:tcW w:type="dxa" w:w="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P1.2</w:t>
            </w:r>
          </w:p>
        </w:tc>
        <w:tc>
          <w:tcPr>
            <w:tcW w:type="dxa" w:w="24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Specialized forms</w:t>
            </w:r>
          </w:p>
        </w:tc>
        <w:tc>
          <w:tcPr>
            <w:tcW w:type="dxa" w:w="60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Purpose-built editors for articles, charts, schedules, shows, awards, promotions, and other workflows that exceed generic CRUD.</w:t>
            </w:r>
          </w:p>
        </w:tc>
      </w:tr>
      <w:tr>
        <w:tc>
          <w:tcPr>
            <w:tcW w:type="dxa" w:w="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P1.3</w:t>
            </w:r>
          </w:p>
        </w:tc>
        <w:tc>
          <w:tcPr>
            <w:tcW w:type="dxa" w:w="24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Advanced records</w:t>
            </w:r>
          </w:p>
        </w:tc>
        <w:tc>
          <w:tcPr>
            <w:tcW w:type="dxa" w:w="60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Filters, column selection, saved views, export, bulk actions, and stronger delete/archive recovery.</w:t>
            </w:r>
          </w:p>
        </w:tc>
      </w:tr>
      <w:tr>
        <w:tc>
          <w:tcPr>
            <w:tcW w:type="dxa" w:w="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P1.4</w:t>
            </w:r>
          </w:p>
        </w:tc>
        <w:tc>
          <w:tcPr>
            <w:tcW w:type="dxa" w:w="24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Auditability</w:t>
            </w:r>
          </w:p>
        </w:tc>
        <w:tc>
          <w:tcPr>
            <w:tcW w:type="dxa" w:w="60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Complete action logs for create/update/delete/station changes, with actor, station, record, timestamp, and correlation ID.</w:t>
            </w:r>
          </w:p>
        </w:tc>
      </w:tr>
      <w:tr>
        <w:tc>
          <w:tcPr>
            <w:tcW w:type="dxa" w:w="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P1.5</w:t>
            </w:r>
          </w:p>
        </w:tc>
        <w:tc>
          <w:tcPr>
            <w:tcW w:type="dxa" w:w="24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Accessibility and responsive QA</w:t>
            </w:r>
          </w:p>
        </w:tc>
        <w:tc>
          <w:tcPr>
            <w:tcW w:type="dxa" w:w="60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Keyboard-only operation, focus trapping, screen-reader labels, reduced motion, contrast, and mobile/tablet layouts.</w:t>
            </w:r>
          </w:p>
        </w:tc>
      </w:tr>
    </w:tbl>
    <w:p>
      <w:pPr>
        <w:spacing w:after="20"/>
      </w:pPr>
    </w:p>
    <w:p>
      <w:pPr>
        <w:pStyle w:val="Heading2"/>
        <w:keepNext/>
        <w:keepLines/>
        <w:widowControl/>
      </w:pPr>
      <w:r>
        <w:rPr>
          <w:b/>
        </w:rPr>
        <w:t>Priority 2 - production readiness</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900"/>
        <w:gridCol w:w="2450"/>
        <w:gridCol w:w="6010"/>
      </w:tblGrid>
      <w:tr>
        <w:trPr>
          <w:tblHeader w:val="true"/>
        </w:trPr>
        <w:tc>
          <w:tcPr>
            <w:tcW w:type="dxa" w:w="9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ID</w:t>
            </w:r>
          </w:p>
        </w:tc>
        <w:tc>
          <w:tcPr>
            <w:tcW w:type="dxa" w:w="24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Work item</w:t>
            </w:r>
          </w:p>
        </w:tc>
        <w:tc>
          <w:tcPr>
            <w:tcW w:type="dxa" w:w="601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Scope</w:t>
            </w:r>
          </w:p>
        </w:tc>
      </w:tr>
      <w:tr>
        <w:tc>
          <w:tcPr>
            <w:tcW w:type="dxa" w:w="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P2.1</w:t>
            </w:r>
          </w:p>
        </w:tc>
        <w:tc>
          <w:tcPr>
            <w:tcW w:type="dxa" w:w="24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Continuous integration</w:t>
            </w:r>
          </w:p>
        </w:tc>
        <w:tc>
          <w:tcPr>
            <w:tcW w:type="dxa" w:w="60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Run PHP tests, frontend build, lint/static checks, and artifact validation for every change.</w:t>
            </w:r>
          </w:p>
        </w:tc>
      </w:tr>
      <w:tr>
        <w:tc>
          <w:tcPr>
            <w:tcW w:type="dxa" w:w="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P2.2</w:t>
            </w:r>
          </w:p>
        </w:tc>
        <w:tc>
          <w:tcPr>
            <w:tcW w:type="dxa" w:w="24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Deployment profile</w:t>
            </w:r>
          </w:p>
        </w:tc>
        <w:tc>
          <w:tcPr>
            <w:tcW w:type="dxa" w:w="60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Separate development bind mounts from immutable production images; define environment secrets, HTTPS, queues, cron, and rollback.</w:t>
            </w:r>
          </w:p>
        </w:tc>
      </w:tr>
      <w:tr>
        <w:tc>
          <w:tcPr>
            <w:tcW w:type="dxa" w:w="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P2.3</w:t>
            </w:r>
          </w:p>
        </w:tc>
        <w:tc>
          <w:tcPr>
            <w:tcW w:type="dxa" w:w="24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Database lifecycle</w:t>
            </w:r>
          </w:p>
        </w:tc>
        <w:tc>
          <w:tcPr>
            <w:tcW w:type="dxa" w:w="60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Create a controlled migration/import strategy, automated backups, restore drills, and production-safe release checks.</w:t>
            </w:r>
          </w:p>
        </w:tc>
      </w:tr>
      <w:tr>
        <w:tc>
          <w:tcPr>
            <w:tcW w:type="dxa" w:w="9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P2.4</w:t>
            </w:r>
          </w:p>
        </w:tc>
        <w:tc>
          <w:tcPr>
            <w:tcW w:type="dxa" w:w="24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Observability</w:t>
            </w:r>
          </w:p>
        </w:tc>
        <w:tc>
          <w:tcPr>
            <w:tcW w:type="dxa" w:w="60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Structured logs, error correlation, health monitoring, request timing, and actionable alerts.</w:t>
            </w:r>
          </w:p>
        </w:tc>
      </w:tr>
      <w:tr>
        <w:tc>
          <w:tcPr>
            <w:tcW w:type="dxa" w:w="9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P2.5</w:t>
            </w:r>
          </w:p>
        </w:tc>
        <w:tc>
          <w:tcPr>
            <w:tcW w:type="dxa" w:w="245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Frontend development container</w:t>
            </w:r>
          </w:p>
        </w:tc>
        <w:tc>
          <w:tcPr>
            <w:tcW w:type="dxa" w:w="60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Optionally add a Node/Mix watcher service so local frontend compilation is part of Docker Compose.</w:t>
            </w:r>
          </w:p>
        </w:tc>
      </w:tr>
    </w:tbl>
    <w:p>
      <w:pPr>
        <w:spacing w:after="20"/>
      </w:pPr>
    </w:p>
    <w:p>
      <w:pPr>
        <w:pStyle w:val="Heading1"/>
        <w:keepNext/>
        <w:keepLines/>
        <w:widowControl/>
      </w:pPr>
      <w:r>
        <w:rPr>
          <w:b/>
        </w:rPr>
        <w:t>9. Recommended next delivery sequence</w:t>
      </w:r>
    </w:p>
    <w:p>
      <w:pPr>
        <w:pStyle w:val="ListNumber"/>
        <w:keepNext w:val="0"/>
        <w:keepLines/>
        <w:widowControl/>
        <w:spacing w:after="100" w:line="300" w:lineRule="auto"/>
        <w:ind w:left="540" w:hanging="271"/>
      </w:pPr>
      <w:r>
        <w:rPr>
          <w:rFonts w:ascii="Calibri" w:hAnsi="Calibri"/>
          <w:color w:val="181818"/>
          <w:sz w:val="22"/>
        </w:rPr>
        <w:t>Run one authenticated end-to-end pass on Staffs and Designations, including station switching and all modal interactions.</w:t>
      </w:r>
    </w:p>
    <w:p>
      <w:pPr>
        <w:pStyle w:val="ListNumber"/>
        <w:keepNext w:val="0"/>
        <w:keepLines/>
        <w:widowControl/>
        <w:spacing w:after="100" w:line="300" w:lineRule="auto"/>
        <w:ind w:left="540" w:hanging="271"/>
      </w:pPr>
      <w:r>
        <w:rPr>
          <w:rFonts w:ascii="Calibri" w:hAnsi="Calibri"/>
          <w:color w:val="181818"/>
          <w:sz w:val="22"/>
        </w:rPr>
        <w:t>Create the 36-workspace validation matrix and resolve broken table, relationship, authorization, or station mappings before adding new features.</w:t>
      </w:r>
    </w:p>
    <w:p>
      <w:pPr>
        <w:pStyle w:val="ListNumber"/>
        <w:keepNext w:val="0"/>
        <w:keepLines/>
        <w:widowControl/>
        <w:spacing w:after="100" w:line="300" w:lineRule="auto"/>
        <w:ind w:left="540" w:hanging="271"/>
      </w:pPr>
      <w:r>
        <w:rPr>
          <w:rFonts w:ascii="Calibri" w:hAnsi="Calibri"/>
          <w:color w:val="181818"/>
          <w:sz w:val="22"/>
        </w:rPr>
        <w:t>Implement the shared upload subsystem, then enable media modules one group at a time.</w:t>
      </w:r>
    </w:p>
    <w:p>
      <w:pPr>
        <w:pStyle w:val="ListNumber"/>
        <w:keepNext w:val="0"/>
        <w:keepLines/>
        <w:widowControl/>
        <w:spacing w:after="100" w:line="300" w:lineRule="auto"/>
        <w:ind w:left="540" w:hanging="271"/>
      </w:pPr>
      <w:r>
        <w:rPr>
          <w:rFonts w:ascii="Calibri" w:hAnsi="Calibri"/>
          <w:color w:val="181818"/>
          <w:sz w:val="22"/>
        </w:rPr>
        <w:t>Build specialized editors for the highest-value workflows: Articles, Station Chart, Shows/Timeslots, Promos, and Music Awards.</w:t>
      </w:r>
    </w:p>
    <w:p>
      <w:pPr>
        <w:pStyle w:val="ListNumber"/>
        <w:keepNext w:val="0"/>
        <w:keepLines/>
        <w:widowControl/>
        <w:spacing w:after="100" w:line="300" w:lineRule="auto"/>
        <w:ind w:left="540" w:hanging="271"/>
      </w:pPr>
      <w:r>
        <w:rPr>
          <w:rFonts w:ascii="Calibri" w:hAnsi="Calibri"/>
          <w:color w:val="181818"/>
          <w:sz w:val="22"/>
        </w:rPr>
        <w:t>Complete accessibility, responsive, audit, CI, backup, and production deployment gates before release.</w:t>
      </w:r>
    </w:p>
    <w:tbl>
      <w:tblPr>
        <w:tblW w:type="dxa" w:w="9360"/>
        <w:jc w:val="left"/>
        <w:tblLayout w:type="fixed"/>
        <w:tblLook w:firstColumn="1" w:firstRow="1" w:lastColumn="0" w:lastRow="0" w:noHBand="0" w:noVBand="1" w:val="04A0"/>
        <w:tblInd w:w="120" w:type="dxa"/>
        <w:tblBorders>
          <w:top w:val="single" w:sz="4" w:space="0" w:color="181818"/>
          <w:left w:val="single" w:sz="4" w:space="0" w:color="181818"/>
          <w:bottom w:val="single" w:sz="4" w:space="0" w:color="181818"/>
          <w:right w:val="single" w:sz="4" w:space="0" w:color="181818"/>
          <w:insideH w:val="single" w:sz="4" w:space="0" w:color="181818"/>
          <w:insideV w:val="single" w:sz="4" w:space="0" w:color="181818"/>
        </w:tblBorders>
      </w:tblPr>
      <w:tblGrid>
        <w:gridCol w:w="9360"/>
      </w:tblGrid>
      <w:tr>
        <w:tc>
          <w:tcPr>
            <w:tcW w:type="dxa" w:w="9360"/>
            <w:vAlign w:val="center"/>
            <w:tcMar>
              <w:top w:w="100" w:type="dxa"/>
              <w:start w:w="120" w:type="dxa"/>
              <w:bottom w:w="100" w:type="dxa"/>
              <w:end w:w="120" w:type="dxa"/>
            </w:tcMar>
            <w:shd w:fill="181818"/>
          </w:tcPr>
          <w:p>
            <w:pPr>
              <w:keepNext w:val="0"/>
              <w:keepLines/>
              <w:widowControl/>
              <w:spacing w:before="0" w:after="0" w:line="276" w:lineRule="auto"/>
            </w:pPr>
            <w:r>
              <w:rPr>
                <w:rFonts w:ascii="Calibri" w:hAnsi="Calibri"/>
                <w:b/>
                <w:color w:val="F4F900"/>
                <w:sz w:val="19"/>
              </w:rPr>
              <w:t xml:space="preserve">DEFINITION OF DONE  </w:t>
            </w:r>
            <w:r>
              <w:rPr>
                <w:rFonts w:ascii="Calibri" w:hAnsi="Calibri"/>
                <w:color w:val="FFFFFF"/>
                <w:sz w:val="21"/>
              </w:rPr>
              <w:t>A module is complete only when its live data, authorization, station scope, validation, create/edit/delete behavior, error states, responsive layout, and automated acceptance checks have all been verified.</w:t>
            </w:r>
          </w:p>
        </w:tc>
      </w:tr>
    </w:tbl>
    <w:p>
      <w:pPr>
        <w:keepNext w:val="0"/>
        <w:keepLines/>
        <w:widowControl/>
        <w:spacing w:before="0" w:after="40" w:line="300" w:lineRule="auto"/>
      </w:pPr>
    </w:p>
    <w:p>
      <w:pPr>
        <w:pStyle w:val="Heading1"/>
        <w:keepNext/>
        <w:keepLines/>
        <w:widowControl/>
      </w:pPr>
      <w:r>
        <w:rPr>
          <w:b/>
        </w:rPr>
        <w:t>Appendix A - primary implementation locations</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3150"/>
        <w:gridCol w:w="6210"/>
      </w:tblGrid>
      <w:tr>
        <w:trPr>
          <w:tblHeader w:val="true"/>
        </w:trPr>
        <w:tc>
          <w:tcPr>
            <w:tcW w:type="dxa" w:w="31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Concern</w:t>
            </w:r>
          </w:p>
        </w:tc>
        <w:tc>
          <w:tcPr>
            <w:tcW w:type="dxa" w:w="621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Primary location</w:t>
            </w:r>
          </w:p>
        </w:tc>
      </w:tr>
      <w:tr>
        <w:tc>
          <w:tcPr>
            <w:tcW w:type="dxa" w:w="3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Navigation and resource map</w:t>
            </w:r>
          </w:p>
        </w:tc>
        <w:tc>
          <w:tcPr>
            <w:tcW w:type="dxa" w:w="62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config/workspace.php</w:t>
            </w:r>
          </w:p>
        </w:tc>
      </w:tr>
      <w:tr>
        <w:tc>
          <w:tcPr>
            <w:tcW w:type="dxa" w:w="3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Application shell and station selector</w:t>
            </w:r>
          </w:p>
        </w:tc>
        <w:tc>
          <w:tcPr>
            <w:tcW w:type="dxa" w:w="62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resources/js/Components/AppShell.jsx</w:t>
            </w:r>
          </w:p>
        </w:tc>
      </w:tr>
      <w:tr>
        <w:tc>
          <w:tcPr>
            <w:tcW w:type="dxa" w:w="3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Theme and global request state</w:t>
            </w:r>
          </w:p>
        </w:tc>
        <w:tc>
          <w:tcPr>
            <w:tcW w:type="dxa" w:w="62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resources/js/Contexts/AppStateContext.jsx</w:t>
            </w:r>
          </w:p>
        </w:tc>
      </w:tr>
      <w:tr>
        <w:tc>
          <w:tcPr>
            <w:tcW w:type="dxa" w:w="3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Reusable records page</w:t>
            </w:r>
          </w:p>
        </w:tc>
        <w:tc>
          <w:tcPr>
            <w:tcW w:type="dxa" w:w="62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resources/js/Pages/Workspace.jsx</w:t>
            </w:r>
          </w:p>
        </w:tc>
      </w:tr>
      <w:tr>
        <w:tc>
          <w:tcPr>
            <w:tcW w:type="dxa" w:w="3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Data table</w:t>
            </w:r>
          </w:p>
        </w:tc>
        <w:tc>
          <w:tcPr>
            <w:tcW w:type="dxa" w:w="62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resources/js/Components/ResourceDataTable.jsx</w:t>
            </w:r>
          </w:p>
        </w:tc>
      </w:tr>
      <w:tr>
        <w:tc>
          <w:tcPr>
            <w:tcW w:type="dxa" w:w="3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Modal and form</w:t>
            </w:r>
          </w:p>
        </w:tc>
        <w:tc>
          <w:tcPr>
            <w:tcW w:type="dxa" w:w="62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resources/js/Components/PersistentModal.jsx; ResourceForm.jsx; CardDropdown.jsx</w:t>
            </w:r>
          </w:p>
        </w:tc>
      </w:tr>
      <w:tr>
        <w:tc>
          <w:tcPr>
            <w:tcW w:type="dxa" w:w="3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Error translation</w:t>
            </w:r>
          </w:p>
        </w:tc>
        <w:tc>
          <w:tcPr>
            <w:tcW w:type="dxa" w:w="62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resources/js/lib/errorTranslator.js; app/Exceptions/Handler.php</w:t>
            </w:r>
          </w:p>
        </w:tc>
      </w:tr>
      <w:tr>
        <w:tc>
          <w:tcPr>
            <w:tcW w:type="dxa" w:w="3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Resource API</w:t>
            </w:r>
          </w:p>
        </w:tc>
        <w:tc>
          <w:tcPr>
            <w:tcW w:type="dxa" w:w="62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app/Http/Controllers/Api/ResourceRecordController.php</w:t>
            </w:r>
          </w:p>
        </w:tc>
      </w:tr>
      <w:tr>
        <w:tc>
          <w:tcPr>
            <w:tcW w:type="dxa" w:w="3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Resource metadata</w:t>
            </w:r>
          </w:p>
        </w:tc>
        <w:tc>
          <w:tcPr>
            <w:tcW w:type="dxa" w:w="62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app/Support/ResourceDefinitionRegistry.php</w:t>
            </w:r>
          </w:p>
        </w:tc>
      </w:tr>
      <w:tr>
        <w:tc>
          <w:tcPr>
            <w:tcW w:type="dxa" w:w="3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Station context</w:t>
            </w:r>
          </w:p>
        </w:tc>
        <w:tc>
          <w:tcPr>
            <w:tcW w:type="dxa" w:w="62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app/Support/StationContext.php; Api/StationController.php</w:t>
            </w:r>
          </w:p>
        </w:tc>
      </w:tr>
      <w:tr>
        <w:tc>
          <w:tcPr>
            <w:tcW w:type="dxa" w:w="3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Routes</w:t>
            </w:r>
          </w:p>
        </w:tc>
        <w:tc>
          <w:tcPr>
            <w:tcW w:type="dxa" w:w="62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routes/web.php; routes/api.php; routes/auth.php</w:t>
            </w:r>
          </w:p>
        </w:tc>
      </w:tr>
      <w:tr>
        <w:tc>
          <w:tcPr>
            <w:tcW w:type="dxa" w:w="3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Docker runtime</w:t>
            </w:r>
          </w:p>
        </w:tc>
        <w:tc>
          <w:tcPr>
            <w:tcW w:type="dxa" w:w="62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compose.yaml; Dockerfile; docker/</w:t>
            </w:r>
          </w:p>
        </w:tc>
      </w:tr>
      <w:tr>
        <w:tc>
          <w:tcPr>
            <w:tcW w:type="dxa" w:w="3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Test isolation</w:t>
            </w:r>
          </w:p>
        </w:tc>
        <w:tc>
          <w:tcPr>
            <w:tcW w:type="dxa" w:w="62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phpunit.xml; tests/CreatesApplication.php</w:t>
            </w:r>
          </w:p>
        </w:tc>
      </w:tr>
    </w:tbl>
    <w:p>
      <w:pPr>
        <w:spacing w:after="20"/>
      </w:pPr>
    </w:p>
    <w:p>
      <w:pPr>
        <w:pStyle w:val="Heading1"/>
        <w:keepNext/>
        <w:keepLines/>
        <w:widowControl/>
      </w:pPr>
      <w:r>
        <w:rPr>
          <w:b/>
        </w:rPr>
        <w:t>Appendix B - handoff notes</w:t>
      </w:r>
    </w:p>
    <w:p>
      <w:pPr>
        <w:pStyle w:val="ListBullet"/>
        <w:keepNext w:val="0"/>
        <w:keepLines/>
        <w:widowControl/>
        <w:spacing w:after="80" w:line="300" w:lineRule="auto"/>
        <w:ind w:left="540" w:hanging="271"/>
      </w:pPr>
      <w:r>
        <w:rPr>
          <w:rFonts w:ascii="Calibri" w:hAnsi="Calibri"/>
          <w:color w:val="181818"/>
          <w:sz w:val="22"/>
        </w:rPr>
        <w:t>The working tree contains a large renovation set and has not yet been presented here as a clean commit or pull request.</w:t>
      </w:r>
    </w:p>
    <w:p>
      <w:pPr>
        <w:pStyle w:val="ListBullet"/>
        <w:keepNext w:val="0"/>
        <w:keepLines/>
        <w:widowControl/>
        <w:spacing w:after="80" w:line="300" w:lineRule="auto"/>
        <w:ind w:left="540" w:hanging="271"/>
      </w:pPr>
      <w:r>
        <w:rPr>
          <w:rFonts w:ascii="Calibri" w:hAnsi="Calibri"/>
          <w:color w:val="181818"/>
          <w:sz w:val="22"/>
        </w:rPr>
        <w:t>Generated frontend assets under public/ reflect the latest successful production build.</w:t>
      </w:r>
    </w:p>
    <w:p>
      <w:pPr>
        <w:pStyle w:val="ListBullet"/>
        <w:keepNext w:val="0"/>
        <w:keepLines/>
        <w:widowControl/>
        <w:spacing w:after="80" w:line="300" w:lineRule="auto"/>
        <w:ind w:left="540" w:hanging="271"/>
      </w:pPr>
      <w:r>
        <w:rPr>
          <w:rFonts w:ascii="Calibri" w:hAnsi="Calibri"/>
          <w:color w:val="181818"/>
          <w:sz w:val="22"/>
        </w:rPr>
        <w:t>The SQL dump initializer runs automatically only when the MySQL data volume is empty; changing the dump file does not refresh an existing volume.</w:t>
      </w:r>
    </w:p>
    <w:p>
      <w:pPr>
        <w:pStyle w:val="ListBullet"/>
        <w:keepNext w:val="0"/>
        <w:keepLines/>
        <w:widowControl/>
        <w:spacing w:after="80" w:line="300" w:lineRule="auto"/>
        <w:ind w:left="540" w:hanging="271"/>
      </w:pPr>
      <w:r>
        <w:rPr>
          <w:rFonts w:ascii="Calibri" w:hAnsi="Calibri"/>
          <w:color w:val="181818"/>
          <w:sz w:val="22"/>
        </w:rPr>
        <w:t>Backend source changes are visible on the next request through the bind mount. React/Tailwind source requires Mix compilation and a browser refresh.</w:t>
      </w:r>
    </w:p>
    <w:p>
      <w:pPr>
        <w:pStyle w:val="ListBullet"/>
        <w:keepNext w:val="0"/>
        <w:keepLines/>
        <w:widowControl/>
        <w:spacing w:after="80" w:line="300" w:lineRule="auto"/>
        <w:ind w:left="540" w:hanging="271"/>
      </w:pPr>
      <w:r>
        <w:rPr>
          <w:rFonts w:ascii="Calibri" w:hAnsi="Calibri"/>
          <w:color w:val="181818"/>
          <w:sz w:val="22"/>
        </w:rPr>
        <w:t>The present UI is the implementation baseline. Final authenticated visual acceptance remains a Priority 0 action because the isolated QA browser did not have a signed-in session.</w:t>
      </w:r>
    </w:p>
    <w:sectPr w:rsidR="00FC693F" w:rsidRPr="0006063C" w:rsidSect="00034616">
      <w:headerReference w:type="default" r:id="rId9"/>
      <w:footerReference w:type="default" r:id="rId10"/>
      <w:pgSz w:w="12240" w:h="15840"/>
      <w:pgMar w:top="1224"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360"/>
      <w:jc w:val="left"/>
      <w:tblLayout w:type="fixed"/>
      <w:tblLook w:firstColumn="1" w:firstRow="1" w:lastColumn="0" w:lastRow="0" w:noHBand="0" w:noVBand="1" w:val="04A0"/>
      <w:tblInd w:w="0" w:type="dxa"/>
    </w:tblPr>
    <w:tblGrid>
      <w:gridCol w:w="5200"/>
      <w:gridCol w:w="4160"/>
    </w:tblGrid>
    <w:tr>
      <w:tc>
        <w:tcPr>
          <w:tcW w:type="dxa" w:w="5200"/>
          <w:vAlign w:val="center"/>
          <w:tcMar>
            <w:top w:w="0" w:type="dxa"/>
            <w:start w:w="0" w:type="dxa"/>
            <w:bottom w:w="0" w:type="dxa"/>
            <w:end w:w="0" w:type="dxa"/>
          </w:tcMar>
        </w:tcPr>
        <w:p>
          <w:pPr>
            <w:jc w:val="left"/>
          </w:pPr>
          <w:r>
            <w:rPr>
              <w:rFonts w:ascii="Calibri" w:hAnsi="Calibri"/>
              <w:b/>
              <w:color w:val="007F9F"/>
              <w:sz w:val="16"/>
            </w:rPr>
            <w:t>MONSTER APPLICATION RENOVATION</w:t>
          </w:r>
        </w:p>
      </w:tc>
      <w:tc>
        <w:tcPr>
          <w:tcW w:type="dxa" w:w="4160"/>
          <w:vAlign w:val="center"/>
          <w:tcMar>
            <w:top w:w="0" w:type="dxa"/>
            <w:start w:w="0" w:type="dxa"/>
            <w:bottom w:w="0" w:type="dxa"/>
            <w:end w:w="0" w:type="dxa"/>
          </w:tcMar>
        </w:tcPr>
        <w:p>
          <w:pPr>
            <w:jc w:val="right"/>
          </w:pPr>
          <w:r>
            <w:rPr>
              <w:rFonts w:ascii="Calibri" w:hAnsi="Calibri"/>
              <w:b/>
              <w:color w:val="5B6573"/>
              <w:sz w:val="16"/>
            </w:rPr>
            <w:t>IMPLEMENTATION HANDOFF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818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7F9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7F9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18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Monster Application Renovation - Implementation Summary and Roadmap</dc:title>
  <dc:subject>Completed changes, finalized UI specification, verification, and next implementation roadmap</dc:subject>
  <dc:creator>Monster Application Project Team</dc:creator>
  <cp:keywords>Laravel, React, Tailwind, UI renovation, API, Docker, roadmap</cp:keywords>
  <dc:description>generated by python-docx</dc:description>
  <cp:lastModifiedBy/>
  <cp:revision>1</cp:revision>
  <dcterms:created xsi:type="dcterms:W3CDTF">2013-12-23T23:15:00Z</dcterms:created>
  <dcterms:modified xsi:type="dcterms:W3CDTF">2013-12-23T23:15:00Z</dcterms:modified>
  <cp:category/>
</cp:coreProperties>
</file>