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34399" w14:textId="77777777" w:rsidR="00B96D30" w:rsidRPr="00F644F1" w:rsidRDefault="00000000" w:rsidP="00F644F1">
      <w:pPr>
        <w:rPr>
          <w:rFonts w:asciiTheme="majorHAnsi" w:hAnsiTheme="majorHAnsi" w:cstheme="majorHAnsi"/>
          <w:sz w:val="30"/>
          <w:szCs w:val="30"/>
        </w:rPr>
      </w:pPr>
      <w:r w:rsidRPr="00F644F1">
        <w:rPr>
          <w:rFonts w:asciiTheme="majorHAnsi" w:hAnsiTheme="majorHAnsi" w:cstheme="majorHAnsi"/>
          <w:b/>
          <w:sz w:val="30"/>
          <w:szCs w:val="30"/>
        </w:rPr>
        <w:t>3.3 Detailed Non-Functional Requirements</w:t>
      </w:r>
    </w:p>
    <w:p w14:paraId="3BC54F0D" w14:textId="77777777" w:rsidR="00B96D30" w:rsidRPr="00F644F1" w:rsidRDefault="00000000">
      <w:pPr>
        <w:rPr>
          <w:rFonts w:asciiTheme="majorHAnsi" w:hAnsiTheme="majorHAnsi" w:cstheme="majorHAnsi"/>
          <w:sz w:val="25"/>
          <w:szCs w:val="25"/>
        </w:rPr>
      </w:pPr>
      <w:r w:rsidRPr="00F644F1">
        <w:rPr>
          <w:rFonts w:asciiTheme="majorHAnsi" w:hAnsiTheme="majorHAnsi" w:cstheme="majorHAnsi"/>
          <w:b/>
          <w:sz w:val="25"/>
          <w:szCs w:val="25"/>
        </w:rPr>
        <w:t>3.3.1 Logical Structure of the Data</w:t>
      </w:r>
    </w:p>
    <w:p w14:paraId="1B7672FA" w14:textId="6DE6C974" w:rsidR="00B96D30" w:rsidRPr="00154508" w:rsidRDefault="00000000" w:rsidP="00154508">
      <w:pPr>
        <w:spacing w:line="240" w:lineRule="auto"/>
        <w:jc w:val="both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 xml:space="preserve">The logical structure of the data </w:t>
      </w:r>
      <w:proofErr w:type="gramStart"/>
      <w:r w:rsidRPr="00154508">
        <w:rPr>
          <w:rFonts w:asciiTheme="majorHAnsi" w:hAnsiTheme="majorHAnsi" w:cstheme="majorHAnsi"/>
          <w:sz w:val="21"/>
          <w:szCs w:val="21"/>
        </w:rPr>
        <w:t>to</w:t>
      </w:r>
      <w:r w:rsidR="00F644F1" w:rsidRPr="00154508">
        <w:rPr>
          <w:rFonts w:asciiTheme="majorHAnsi" w:hAnsiTheme="majorHAnsi" w:cstheme="majorHAnsi"/>
          <w:sz w:val="21"/>
          <w:szCs w:val="21"/>
        </w:rPr>
        <w:t xml:space="preserve"> </w:t>
      </w:r>
      <w:r w:rsidRPr="00154508">
        <w:rPr>
          <w:rFonts w:asciiTheme="majorHAnsi" w:hAnsiTheme="majorHAnsi" w:cstheme="majorHAnsi"/>
          <w:sz w:val="21"/>
          <w:szCs w:val="21"/>
        </w:rPr>
        <w:t>be stored</w:t>
      </w:r>
      <w:proofErr w:type="gramEnd"/>
      <w:r w:rsidRPr="00154508">
        <w:rPr>
          <w:rFonts w:asciiTheme="majorHAnsi" w:hAnsiTheme="majorHAnsi" w:cstheme="majorHAnsi"/>
          <w:sz w:val="21"/>
          <w:szCs w:val="21"/>
        </w:rPr>
        <w:t xml:space="preserve"> in the NotifyHub database is described below. The database </w:t>
      </w:r>
      <w:proofErr w:type="gramStart"/>
      <w:r w:rsidRPr="00154508">
        <w:rPr>
          <w:rFonts w:asciiTheme="majorHAnsi" w:hAnsiTheme="majorHAnsi" w:cstheme="majorHAnsi"/>
          <w:sz w:val="21"/>
          <w:szCs w:val="21"/>
        </w:rPr>
        <w:t>shall</w:t>
      </w:r>
      <w:proofErr w:type="gramEnd"/>
      <w:r w:rsidRPr="00154508">
        <w:rPr>
          <w:rFonts w:asciiTheme="majorHAnsi" w:hAnsiTheme="majorHAnsi" w:cstheme="majorHAnsi"/>
          <w:sz w:val="21"/>
          <w:szCs w:val="21"/>
        </w:rPr>
        <w:t xml:space="preserve"> maintain information related to tenants, API keys, notification templates, notifications, delivery attempts, and webhook endpoints.</w:t>
      </w:r>
    </w:p>
    <w:p w14:paraId="2A259EB6" w14:textId="77777777" w:rsidR="00B96D30" w:rsidRPr="00F644F1" w:rsidRDefault="00000000" w:rsidP="00154508">
      <w:pPr>
        <w:pStyle w:val="NoSpacing"/>
        <w:rPr>
          <w:b/>
          <w:bCs/>
          <w:sz w:val="25"/>
          <w:szCs w:val="25"/>
        </w:rPr>
      </w:pPr>
      <w:r w:rsidRPr="00F644F1">
        <w:rPr>
          <w:b/>
          <w:bCs/>
          <w:sz w:val="25"/>
          <w:szCs w:val="25"/>
        </w:rPr>
        <w:t>Tenant Data Entity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96D30" w:rsidRPr="00F644F1" w14:paraId="64644A87" w14:textId="77777777" w:rsidTr="00F644F1">
        <w:trPr>
          <w:trHeight w:val="422"/>
          <w:jc w:val="center"/>
        </w:trPr>
        <w:tc>
          <w:tcPr>
            <w:tcW w:w="2520" w:type="dxa"/>
            <w:vAlign w:val="center"/>
          </w:tcPr>
          <w:p w14:paraId="0046874F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Data Item</w:t>
            </w:r>
          </w:p>
        </w:tc>
        <w:tc>
          <w:tcPr>
            <w:tcW w:w="2520" w:type="dxa"/>
            <w:vAlign w:val="center"/>
          </w:tcPr>
          <w:p w14:paraId="2CC19759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Type</w:t>
            </w:r>
          </w:p>
        </w:tc>
        <w:tc>
          <w:tcPr>
            <w:tcW w:w="2520" w:type="dxa"/>
            <w:vAlign w:val="center"/>
          </w:tcPr>
          <w:p w14:paraId="19D80D46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Description</w:t>
            </w:r>
          </w:p>
        </w:tc>
        <w:tc>
          <w:tcPr>
            <w:tcW w:w="2520" w:type="dxa"/>
            <w:vAlign w:val="center"/>
          </w:tcPr>
          <w:p w14:paraId="1081F36D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Comment</w:t>
            </w:r>
          </w:p>
        </w:tc>
      </w:tr>
      <w:tr w:rsidR="00B96D30" w:rsidRPr="00F644F1" w14:paraId="39ABFD48" w14:textId="77777777">
        <w:trPr>
          <w:jc w:val="center"/>
        </w:trPr>
        <w:tc>
          <w:tcPr>
            <w:tcW w:w="2520" w:type="dxa"/>
            <w:vAlign w:val="center"/>
          </w:tcPr>
          <w:p w14:paraId="768C0424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Tenant ID</w:t>
            </w:r>
          </w:p>
        </w:tc>
        <w:tc>
          <w:tcPr>
            <w:tcW w:w="2520" w:type="dxa"/>
            <w:vAlign w:val="center"/>
          </w:tcPr>
          <w:p w14:paraId="7487D6E1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UUID</w:t>
            </w:r>
          </w:p>
        </w:tc>
        <w:tc>
          <w:tcPr>
            <w:tcW w:w="2520" w:type="dxa"/>
            <w:vAlign w:val="center"/>
          </w:tcPr>
          <w:p w14:paraId="1A4B750B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Unique identifier of the tenant</w:t>
            </w:r>
          </w:p>
        </w:tc>
        <w:tc>
          <w:tcPr>
            <w:tcW w:w="2520" w:type="dxa"/>
            <w:vAlign w:val="center"/>
          </w:tcPr>
          <w:p w14:paraId="5BD5F1D9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Used as the primary key</w:t>
            </w:r>
          </w:p>
        </w:tc>
      </w:tr>
      <w:tr w:rsidR="00B96D30" w:rsidRPr="00F644F1" w14:paraId="5361BE1F" w14:textId="77777777">
        <w:trPr>
          <w:jc w:val="center"/>
        </w:trPr>
        <w:tc>
          <w:tcPr>
            <w:tcW w:w="2520" w:type="dxa"/>
            <w:vAlign w:val="center"/>
          </w:tcPr>
          <w:p w14:paraId="162078C4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Name</w:t>
            </w:r>
          </w:p>
        </w:tc>
        <w:tc>
          <w:tcPr>
            <w:tcW w:w="2520" w:type="dxa"/>
            <w:vAlign w:val="center"/>
          </w:tcPr>
          <w:p w14:paraId="76C5C739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Text</w:t>
            </w:r>
          </w:p>
        </w:tc>
        <w:tc>
          <w:tcPr>
            <w:tcW w:w="2520" w:type="dxa"/>
            <w:vAlign w:val="center"/>
          </w:tcPr>
          <w:p w14:paraId="1C78D59D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Name of the business or organization</w:t>
            </w:r>
          </w:p>
        </w:tc>
        <w:tc>
          <w:tcPr>
            <w:tcW w:w="2520" w:type="dxa"/>
            <w:vAlign w:val="center"/>
          </w:tcPr>
          <w:p w14:paraId="62A79DE8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Required</w:t>
            </w:r>
          </w:p>
        </w:tc>
      </w:tr>
      <w:tr w:rsidR="00B96D30" w:rsidRPr="00F644F1" w14:paraId="0E358CDB" w14:textId="77777777" w:rsidTr="00F644F1">
        <w:trPr>
          <w:trHeight w:val="503"/>
          <w:jc w:val="center"/>
        </w:trPr>
        <w:tc>
          <w:tcPr>
            <w:tcW w:w="2520" w:type="dxa"/>
            <w:vAlign w:val="center"/>
          </w:tcPr>
          <w:p w14:paraId="67C79A3A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Email</w:t>
            </w:r>
          </w:p>
        </w:tc>
        <w:tc>
          <w:tcPr>
            <w:tcW w:w="2520" w:type="dxa"/>
            <w:vAlign w:val="center"/>
          </w:tcPr>
          <w:p w14:paraId="6F74A3A5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Text</w:t>
            </w:r>
          </w:p>
        </w:tc>
        <w:tc>
          <w:tcPr>
            <w:tcW w:w="2520" w:type="dxa"/>
            <w:vAlign w:val="center"/>
          </w:tcPr>
          <w:p w14:paraId="68B6E574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Registered email address</w:t>
            </w:r>
          </w:p>
        </w:tc>
        <w:tc>
          <w:tcPr>
            <w:tcW w:w="2520" w:type="dxa"/>
            <w:vAlign w:val="center"/>
          </w:tcPr>
          <w:p w14:paraId="4B8D7E5D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Must be unique</w:t>
            </w:r>
          </w:p>
        </w:tc>
      </w:tr>
      <w:tr w:rsidR="00B96D30" w:rsidRPr="00F644F1" w14:paraId="2263C098" w14:textId="77777777">
        <w:trPr>
          <w:jc w:val="center"/>
        </w:trPr>
        <w:tc>
          <w:tcPr>
            <w:tcW w:w="2520" w:type="dxa"/>
            <w:vAlign w:val="center"/>
          </w:tcPr>
          <w:p w14:paraId="37696395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Created At</w:t>
            </w:r>
          </w:p>
        </w:tc>
        <w:tc>
          <w:tcPr>
            <w:tcW w:w="2520" w:type="dxa"/>
            <w:vAlign w:val="center"/>
          </w:tcPr>
          <w:p w14:paraId="611E238B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Date/Time</w:t>
            </w:r>
          </w:p>
        </w:tc>
        <w:tc>
          <w:tcPr>
            <w:tcW w:w="2520" w:type="dxa"/>
            <w:vAlign w:val="center"/>
          </w:tcPr>
          <w:p w14:paraId="5C467239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Date and time the tenant was created</w:t>
            </w:r>
          </w:p>
        </w:tc>
        <w:tc>
          <w:tcPr>
            <w:tcW w:w="2520" w:type="dxa"/>
            <w:vAlign w:val="center"/>
          </w:tcPr>
          <w:p w14:paraId="1598CFAC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Automatically generated</w:t>
            </w:r>
          </w:p>
        </w:tc>
      </w:tr>
      <w:tr w:rsidR="00B96D30" w:rsidRPr="00F644F1" w14:paraId="0484363D" w14:textId="77777777">
        <w:trPr>
          <w:jc w:val="center"/>
        </w:trPr>
        <w:tc>
          <w:tcPr>
            <w:tcW w:w="2520" w:type="dxa"/>
            <w:vAlign w:val="center"/>
          </w:tcPr>
          <w:p w14:paraId="67E04927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Status</w:t>
            </w:r>
          </w:p>
        </w:tc>
        <w:tc>
          <w:tcPr>
            <w:tcW w:w="2520" w:type="dxa"/>
            <w:vAlign w:val="center"/>
          </w:tcPr>
          <w:p w14:paraId="22635761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Text</w:t>
            </w:r>
          </w:p>
        </w:tc>
        <w:tc>
          <w:tcPr>
            <w:tcW w:w="2520" w:type="dxa"/>
            <w:vAlign w:val="center"/>
          </w:tcPr>
          <w:p w14:paraId="581BE187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Current status of the tenant</w:t>
            </w:r>
          </w:p>
        </w:tc>
        <w:tc>
          <w:tcPr>
            <w:tcW w:w="2520" w:type="dxa"/>
            <w:vAlign w:val="center"/>
          </w:tcPr>
          <w:p w14:paraId="40A7E836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Active/Suspended</w:t>
            </w:r>
          </w:p>
        </w:tc>
      </w:tr>
    </w:tbl>
    <w:p w14:paraId="5F2174BC" w14:textId="77777777" w:rsidR="00B96D30" w:rsidRPr="00F644F1" w:rsidRDefault="00B96D30" w:rsidP="00F644F1">
      <w:pPr>
        <w:pStyle w:val="NoSpacing"/>
      </w:pPr>
    </w:p>
    <w:p w14:paraId="21884171" w14:textId="77777777" w:rsidR="00B96D30" w:rsidRPr="00F644F1" w:rsidRDefault="00000000" w:rsidP="00F644F1">
      <w:pPr>
        <w:pStyle w:val="NoSpacing"/>
        <w:rPr>
          <w:sz w:val="25"/>
          <w:szCs w:val="25"/>
        </w:rPr>
      </w:pPr>
      <w:r w:rsidRPr="00F644F1">
        <w:rPr>
          <w:b/>
          <w:sz w:val="25"/>
          <w:szCs w:val="25"/>
        </w:rPr>
        <w:t>API Key Data Entity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96D30" w:rsidRPr="00F644F1" w14:paraId="65D46B9B" w14:textId="77777777" w:rsidTr="00F644F1">
        <w:trPr>
          <w:trHeight w:val="440"/>
          <w:jc w:val="center"/>
        </w:trPr>
        <w:tc>
          <w:tcPr>
            <w:tcW w:w="2520" w:type="dxa"/>
            <w:vAlign w:val="center"/>
          </w:tcPr>
          <w:p w14:paraId="03434A2C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Data Item</w:t>
            </w:r>
          </w:p>
        </w:tc>
        <w:tc>
          <w:tcPr>
            <w:tcW w:w="2520" w:type="dxa"/>
            <w:vAlign w:val="center"/>
          </w:tcPr>
          <w:p w14:paraId="47811D5A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Type</w:t>
            </w:r>
          </w:p>
        </w:tc>
        <w:tc>
          <w:tcPr>
            <w:tcW w:w="2520" w:type="dxa"/>
            <w:vAlign w:val="center"/>
          </w:tcPr>
          <w:p w14:paraId="3F4FD559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Description</w:t>
            </w:r>
          </w:p>
        </w:tc>
        <w:tc>
          <w:tcPr>
            <w:tcW w:w="2520" w:type="dxa"/>
            <w:vAlign w:val="center"/>
          </w:tcPr>
          <w:p w14:paraId="74B88508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Comment</w:t>
            </w:r>
          </w:p>
        </w:tc>
      </w:tr>
      <w:tr w:rsidR="00B96D30" w:rsidRPr="00F644F1" w14:paraId="208A3C65" w14:textId="77777777">
        <w:trPr>
          <w:jc w:val="center"/>
        </w:trPr>
        <w:tc>
          <w:tcPr>
            <w:tcW w:w="2520" w:type="dxa"/>
            <w:vAlign w:val="center"/>
          </w:tcPr>
          <w:p w14:paraId="21310223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API Key ID</w:t>
            </w:r>
          </w:p>
        </w:tc>
        <w:tc>
          <w:tcPr>
            <w:tcW w:w="2520" w:type="dxa"/>
            <w:vAlign w:val="center"/>
          </w:tcPr>
          <w:p w14:paraId="702BB09C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UUID</w:t>
            </w:r>
          </w:p>
        </w:tc>
        <w:tc>
          <w:tcPr>
            <w:tcW w:w="2520" w:type="dxa"/>
            <w:vAlign w:val="center"/>
          </w:tcPr>
          <w:p w14:paraId="57233DD7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Unique identifier of the API key</w:t>
            </w:r>
          </w:p>
        </w:tc>
        <w:tc>
          <w:tcPr>
            <w:tcW w:w="2520" w:type="dxa"/>
            <w:vAlign w:val="center"/>
          </w:tcPr>
          <w:p w14:paraId="7E0853F8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Used as the primary key</w:t>
            </w:r>
          </w:p>
        </w:tc>
      </w:tr>
      <w:tr w:rsidR="00B96D30" w:rsidRPr="00F644F1" w14:paraId="13E1D120" w14:textId="77777777" w:rsidTr="00F644F1">
        <w:trPr>
          <w:trHeight w:val="530"/>
          <w:jc w:val="center"/>
        </w:trPr>
        <w:tc>
          <w:tcPr>
            <w:tcW w:w="2520" w:type="dxa"/>
            <w:vAlign w:val="center"/>
          </w:tcPr>
          <w:p w14:paraId="723BA65C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Tenant ID</w:t>
            </w:r>
          </w:p>
        </w:tc>
        <w:tc>
          <w:tcPr>
            <w:tcW w:w="2520" w:type="dxa"/>
            <w:vAlign w:val="center"/>
          </w:tcPr>
          <w:p w14:paraId="756A160C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UUID</w:t>
            </w:r>
          </w:p>
        </w:tc>
        <w:tc>
          <w:tcPr>
            <w:tcW w:w="2520" w:type="dxa"/>
            <w:vAlign w:val="center"/>
          </w:tcPr>
          <w:p w14:paraId="01DCC9AB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Tenant that owns the key</w:t>
            </w:r>
          </w:p>
        </w:tc>
        <w:tc>
          <w:tcPr>
            <w:tcW w:w="2520" w:type="dxa"/>
            <w:vAlign w:val="center"/>
          </w:tcPr>
          <w:p w14:paraId="0E31499D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References Tenant entity</w:t>
            </w:r>
          </w:p>
        </w:tc>
      </w:tr>
      <w:tr w:rsidR="00B96D30" w:rsidRPr="00F644F1" w14:paraId="64CA2693" w14:textId="77777777">
        <w:trPr>
          <w:jc w:val="center"/>
        </w:trPr>
        <w:tc>
          <w:tcPr>
            <w:tcW w:w="2520" w:type="dxa"/>
            <w:vAlign w:val="center"/>
          </w:tcPr>
          <w:p w14:paraId="59206EDF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Key Hash</w:t>
            </w:r>
          </w:p>
        </w:tc>
        <w:tc>
          <w:tcPr>
            <w:tcW w:w="2520" w:type="dxa"/>
            <w:vAlign w:val="center"/>
          </w:tcPr>
          <w:p w14:paraId="4C4A4E55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Text</w:t>
            </w:r>
          </w:p>
        </w:tc>
        <w:tc>
          <w:tcPr>
            <w:tcW w:w="2520" w:type="dxa"/>
            <w:vAlign w:val="center"/>
          </w:tcPr>
          <w:p w14:paraId="59ABED3E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Securely stored API key value</w:t>
            </w:r>
          </w:p>
        </w:tc>
        <w:tc>
          <w:tcPr>
            <w:tcW w:w="2520" w:type="dxa"/>
            <w:vAlign w:val="center"/>
          </w:tcPr>
          <w:p w14:paraId="33B93F9D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Raw key shall not be stored</w:t>
            </w:r>
          </w:p>
        </w:tc>
      </w:tr>
      <w:tr w:rsidR="00B96D30" w:rsidRPr="00F644F1" w14:paraId="24851AF7" w14:textId="77777777">
        <w:trPr>
          <w:jc w:val="center"/>
        </w:trPr>
        <w:tc>
          <w:tcPr>
            <w:tcW w:w="2520" w:type="dxa"/>
            <w:vAlign w:val="center"/>
          </w:tcPr>
          <w:p w14:paraId="3A36CC9D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Created At</w:t>
            </w:r>
          </w:p>
        </w:tc>
        <w:tc>
          <w:tcPr>
            <w:tcW w:w="2520" w:type="dxa"/>
            <w:vAlign w:val="center"/>
          </w:tcPr>
          <w:p w14:paraId="63547C7F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Date/Time</w:t>
            </w:r>
          </w:p>
        </w:tc>
        <w:tc>
          <w:tcPr>
            <w:tcW w:w="2520" w:type="dxa"/>
            <w:vAlign w:val="center"/>
          </w:tcPr>
          <w:p w14:paraId="3B390FB2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Date and time the key was created</w:t>
            </w:r>
          </w:p>
        </w:tc>
        <w:tc>
          <w:tcPr>
            <w:tcW w:w="2520" w:type="dxa"/>
            <w:vAlign w:val="center"/>
          </w:tcPr>
          <w:p w14:paraId="171BE74C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Automatically generated</w:t>
            </w:r>
          </w:p>
        </w:tc>
      </w:tr>
      <w:tr w:rsidR="00B96D30" w:rsidRPr="00F644F1" w14:paraId="3F99D063" w14:textId="77777777">
        <w:trPr>
          <w:jc w:val="center"/>
        </w:trPr>
        <w:tc>
          <w:tcPr>
            <w:tcW w:w="2520" w:type="dxa"/>
            <w:vAlign w:val="center"/>
          </w:tcPr>
          <w:p w14:paraId="21682CBB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Revoked</w:t>
            </w:r>
          </w:p>
        </w:tc>
        <w:tc>
          <w:tcPr>
            <w:tcW w:w="2520" w:type="dxa"/>
            <w:vAlign w:val="center"/>
          </w:tcPr>
          <w:p w14:paraId="3488C1D9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Boolean</w:t>
            </w:r>
          </w:p>
        </w:tc>
        <w:tc>
          <w:tcPr>
            <w:tcW w:w="2520" w:type="dxa"/>
            <w:vAlign w:val="center"/>
          </w:tcPr>
          <w:p w14:paraId="7D817958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Indicates whether the key is active</w:t>
            </w:r>
          </w:p>
        </w:tc>
        <w:tc>
          <w:tcPr>
            <w:tcW w:w="2520" w:type="dxa"/>
            <w:vAlign w:val="center"/>
          </w:tcPr>
          <w:p w14:paraId="6B192B2A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Default is false</w:t>
            </w:r>
          </w:p>
        </w:tc>
      </w:tr>
    </w:tbl>
    <w:p w14:paraId="13E6D8AB" w14:textId="77777777" w:rsidR="00154508" w:rsidRDefault="00154508" w:rsidP="00F644F1">
      <w:pPr>
        <w:pStyle w:val="NoSpacing"/>
        <w:rPr>
          <w:b/>
          <w:bCs/>
          <w:sz w:val="25"/>
          <w:szCs w:val="25"/>
        </w:rPr>
      </w:pPr>
    </w:p>
    <w:p w14:paraId="3C1BAF71" w14:textId="0A3E5245" w:rsidR="00B96D30" w:rsidRPr="00F644F1" w:rsidRDefault="00000000" w:rsidP="00F644F1">
      <w:pPr>
        <w:pStyle w:val="NoSpacing"/>
        <w:rPr>
          <w:b/>
          <w:bCs/>
          <w:sz w:val="25"/>
          <w:szCs w:val="25"/>
        </w:rPr>
      </w:pPr>
      <w:r w:rsidRPr="00F644F1">
        <w:rPr>
          <w:b/>
          <w:bCs/>
          <w:sz w:val="25"/>
          <w:szCs w:val="25"/>
        </w:rPr>
        <w:t>Template Data Entity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96D30" w:rsidRPr="00F644F1" w14:paraId="23B08201" w14:textId="77777777" w:rsidTr="00F644F1">
        <w:trPr>
          <w:trHeight w:val="395"/>
          <w:jc w:val="center"/>
        </w:trPr>
        <w:tc>
          <w:tcPr>
            <w:tcW w:w="2520" w:type="dxa"/>
            <w:vAlign w:val="center"/>
          </w:tcPr>
          <w:p w14:paraId="0D26633C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Data Item</w:t>
            </w:r>
          </w:p>
        </w:tc>
        <w:tc>
          <w:tcPr>
            <w:tcW w:w="2520" w:type="dxa"/>
            <w:vAlign w:val="center"/>
          </w:tcPr>
          <w:p w14:paraId="14B9BED4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Type</w:t>
            </w:r>
          </w:p>
        </w:tc>
        <w:tc>
          <w:tcPr>
            <w:tcW w:w="2520" w:type="dxa"/>
            <w:vAlign w:val="center"/>
          </w:tcPr>
          <w:p w14:paraId="34DA902D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Description</w:t>
            </w:r>
          </w:p>
        </w:tc>
        <w:tc>
          <w:tcPr>
            <w:tcW w:w="2520" w:type="dxa"/>
            <w:vAlign w:val="center"/>
          </w:tcPr>
          <w:p w14:paraId="3FD9DAED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Comment</w:t>
            </w:r>
          </w:p>
        </w:tc>
      </w:tr>
      <w:tr w:rsidR="00B96D30" w:rsidRPr="00F644F1" w14:paraId="3C58D9AB" w14:textId="77777777">
        <w:trPr>
          <w:jc w:val="center"/>
        </w:trPr>
        <w:tc>
          <w:tcPr>
            <w:tcW w:w="2520" w:type="dxa"/>
            <w:vAlign w:val="center"/>
          </w:tcPr>
          <w:p w14:paraId="457813EA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Template ID</w:t>
            </w:r>
          </w:p>
        </w:tc>
        <w:tc>
          <w:tcPr>
            <w:tcW w:w="2520" w:type="dxa"/>
            <w:vAlign w:val="center"/>
          </w:tcPr>
          <w:p w14:paraId="2AA0D0A6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UUID</w:t>
            </w:r>
          </w:p>
        </w:tc>
        <w:tc>
          <w:tcPr>
            <w:tcW w:w="2520" w:type="dxa"/>
            <w:vAlign w:val="center"/>
          </w:tcPr>
          <w:p w14:paraId="76714592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Unique identifier of the template</w:t>
            </w:r>
          </w:p>
        </w:tc>
        <w:tc>
          <w:tcPr>
            <w:tcW w:w="2520" w:type="dxa"/>
            <w:vAlign w:val="center"/>
          </w:tcPr>
          <w:p w14:paraId="7286E700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Used as the primary key</w:t>
            </w:r>
          </w:p>
        </w:tc>
      </w:tr>
      <w:tr w:rsidR="00B96D30" w:rsidRPr="00F644F1" w14:paraId="72E79368" w14:textId="77777777">
        <w:trPr>
          <w:jc w:val="center"/>
        </w:trPr>
        <w:tc>
          <w:tcPr>
            <w:tcW w:w="2520" w:type="dxa"/>
            <w:vAlign w:val="center"/>
          </w:tcPr>
          <w:p w14:paraId="37A359E7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Tenant ID</w:t>
            </w:r>
          </w:p>
        </w:tc>
        <w:tc>
          <w:tcPr>
            <w:tcW w:w="2520" w:type="dxa"/>
            <w:vAlign w:val="center"/>
          </w:tcPr>
          <w:p w14:paraId="10BCB229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UUID</w:t>
            </w:r>
          </w:p>
        </w:tc>
        <w:tc>
          <w:tcPr>
            <w:tcW w:w="2520" w:type="dxa"/>
            <w:vAlign w:val="center"/>
          </w:tcPr>
          <w:p w14:paraId="320B8E0F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Tenant that owns the template</w:t>
            </w:r>
          </w:p>
        </w:tc>
        <w:tc>
          <w:tcPr>
            <w:tcW w:w="2520" w:type="dxa"/>
            <w:vAlign w:val="center"/>
          </w:tcPr>
          <w:p w14:paraId="0055B403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References Tenant entity</w:t>
            </w:r>
          </w:p>
        </w:tc>
      </w:tr>
      <w:tr w:rsidR="00B96D30" w:rsidRPr="00F644F1" w14:paraId="1F66B724" w14:textId="77777777">
        <w:trPr>
          <w:jc w:val="center"/>
        </w:trPr>
        <w:tc>
          <w:tcPr>
            <w:tcW w:w="2520" w:type="dxa"/>
            <w:vAlign w:val="center"/>
          </w:tcPr>
          <w:p w14:paraId="390EDF17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Name</w:t>
            </w:r>
          </w:p>
        </w:tc>
        <w:tc>
          <w:tcPr>
            <w:tcW w:w="2520" w:type="dxa"/>
            <w:vAlign w:val="center"/>
          </w:tcPr>
          <w:p w14:paraId="0A914336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Text</w:t>
            </w:r>
          </w:p>
        </w:tc>
        <w:tc>
          <w:tcPr>
            <w:tcW w:w="2520" w:type="dxa"/>
            <w:vAlign w:val="center"/>
          </w:tcPr>
          <w:p w14:paraId="01CC1788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Name of the notification template</w:t>
            </w:r>
          </w:p>
        </w:tc>
        <w:tc>
          <w:tcPr>
            <w:tcW w:w="2520" w:type="dxa"/>
            <w:vAlign w:val="center"/>
          </w:tcPr>
          <w:p w14:paraId="0DAF76A1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Required</w:t>
            </w:r>
          </w:p>
        </w:tc>
      </w:tr>
      <w:tr w:rsidR="00B96D30" w:rsidRPr="00F644F1" w14:paraId="7D74697F" w14:textId="77777777">
        <w:trPr>
          <w:jc w:val="center"/>
        </w:trPr>
        <w:tc>
          <w:tcPr>
            <w:tcW w:w="2520" w:type="dxa"/>
            <w:vAlign w:val="center"/>
          </w:tcPr>
          <w:p w14:paraId="428C907B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Channel</w:t>
            </w:r>
          </w:p>
        </w:tc>
        <w:tc>
          <w:tcPr>
            <w:tcW w:w="2520" w:type="dxa"/>
            <w:vAlign w:val="center"/>
          </w:tcPr>
          <w:p w14:paraId="258FA590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Text</w:t>
            </w:r>
          </w:p>
        </w:tc>
        <w:tc>
          <w:tcPr>
            <w:tcW w:w="2520" w:type="dxa"/>
            <w:vAlign w:val="center"/>
          </w:tcPr>
          <w:p w14:paraId="12CF47DA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Delivery channel</w:t>
            </w:r>
          </w:p>
        </w:tc>
        <w:tc>
          <w:tcPr>
            <w:tcW w:w="2520" w:type="dxa"/>
            <w:vAlign w:val="center"/>
          </w:tcPr>
          <w:p w14:paraId="35043510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Email/SMS/Webhook/In-App</w:t>
            </w:r>
          </w:p>
        </w:tc>
      </w:tr>
      <w:tr w:rsidR="00B96D30" w:rsidRPr="00F644F1" w14:paraId="775A8B7B" w14:textId="77777777">
        <w:trPr>
          <w:jc w:val="center"/>
        </w:trPr>
        <w:tc>
          <w:tcPr>
            <w:tcW w:w="2520" w:type="dxa"/>
            <w:vAlign w:val="center"/>
          </w:tcPr>
          <w:p w14:paraId="7600204C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Subject</w:t>
            </w:r>
          </w:p>
        </w:tc>
        <w:tc>
          <w:tcPr>
            <w:tcW w:w="2520" w:type="dxa"/>
            <w:vAlign w:val="center"/>
          </w:tcPr>
          <w:p w14:paraId="7DE40ADA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Text</w:t>
            </w:r>
          </w:p>
        </w:tc>
        <w:tc>
          <w:tcPr>
            <w:tcW w:w="2520" w:type="dxa"/>
            <w:vAlign w:val="center"/>
          </w:tcPr>
          <w:p w14:paraId="30814827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Subject of the notification</w:t>
            </w:r>
          </w:p>
        </w:tc>
        <w:tc>
          <w:tcPr>
            <w:tcW w:w="2520" w:type="dxa"/>
            <w:vAlign w:val="center"/>
          </w:tcPr>
          <w:p w14:paraId="6AB9DCDA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Mainly for email</w:t>
            </w:r>
          </w:p>
        </w:tc>
      </w:tr>
      <w:tr w:rsidR="00B96D30" w:rsidRPr="00F644F1" w14:paraId="3C85C897" w14:textId="77777777">
        <w:trPr>
          <w:jc w:val="center"/>
        </w:trPr>
        <w:tc>
          <w:tcPr>
            <w:tcW w:w="2520" w:type="dxa"/>
            <w:vAlign w:val="center"/>
          </w:tcPr>
          <w:p w14:paraId="67A5EA4A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Content</w:t>
            </w:r>
          </w:p>
        </w:tc>
        <w:tc>
          <w:tcPr>
            <w:tcW w:w="2520" w:type="dxa"/>
            <w:vAlign w:val="center"/>
          </w:tcPr>
          <w:p w14:paraId="6319F56B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Text</w:t>
            </w:r>
          </w:p>
        </w:tc>
        <w:tc>
          <w:tcPr>
            <w:tcW w:w="2520" w:type="dxa"/>
            <w:vAlign w:val="center"/>
          </w:tcPr>
          <w:p w14:paraId="75E8F038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Body/content of the notification</w:t>
            </w:r>
          </w:p>
        </w:tc>
        <w:tc>
          <w:tcPr>
            <w:tcW w:w="2520" w:type="dxa"/>
            <w:vAlign w:val="center"/>
          </w:tcPr>
          <w:p w14:paraId="04549932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May contain variables</w:t>
            </w:r>
          </w:p>
        </w:tc>
      </w:tr>
      <w:tr w:rsidR="00B96D30" w:rsidRPr="00F644F1" w14:paraId="1336804B" w14:textId="77777777">
        <w:trPr>
          <w:jc w:val="center"/>
        </w:trPr>
        <w:tc>
          <w:tcPr>
            <w:tcW w:w="2520" w:type="dxa"/>
            <w:vAlign w:val="center"/>
          </w:tcPr>
          <w:p w14:paraId="736D0FE2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lastRenderedPageBreak/>
              <w:t>Created At</w:t>
            </w:r>
          </w:p>
        </w:tc>
        <w:tc>
          <w:tcPr>
            <w:tcW w:w="2520" w:type="dxa"/>
            <w:vAlign w:val="center"/>
          </w:tcPr>
          <w:p w14:paraId="3A0758CC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Date/Time</w:t>
            </w:r>
          </w:p>
        </w:tc>
        <w:tc>
          <w:tcPr>
            <w:tcW w:w="2520" w:type="dxa"/>
            <w:vAlign w:val="center"/>
          </w:tcPr>
          <w:p w14:paraId="46E66226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Template creation time</w:t>
            </w:r>
          </w:p>
        </w:tc>
        <w:tc>
          <w:tcPr>
            <w:tcW w:w="2520" w:type="dxa"/>
            <w:vAlign w:val="center"/>
          </w:tcPr>
          <w:p w14:paraId="0F50360E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Automatically generated</w:t>
            </w:r>
          </w:p>
        </w:tc>
      </w:tr>
    </w:tbl>
    <w:p w14:paraId="033FAEFB" w14:textId="77777777" w:rsidR="00F644F1" w:rsidRDefault="00F644F1" w:rsidP="00F644F1">
      <w:pPr>
        <w:pStyle w:val="NoSpacing"/>
        <w:rPr>
          <w:b/>
          <w:bCs/>
          <w:sz w:val="25"/>
          <w:szCs w:val="25"/>
        </w:rPr>
      </w:pPr>
    </w:p>
    <w:p w14:paraId="556E7C3A" w14:textId="5EFF4D27" w:rsidR="00B96D30" w:rsidRPr="00F644F1" w:rsidRDefault="00000000" w:rsidP="00F644F1">
      <w:pPr>
        <w:pStyle w:val="NoSpacing"/>
        <w:rPr>
          <w:b/>
          <w:bCs/>
          <w:sz w:val="25"/>
          <w:szCs w:val="25"/>
        </w:rPr>
      </w:pPr>
      <w:r w:rsidRPr="00F644F1">
        <w:rPr>
          <w:b/>
          <w:bCs/>
          <w:sz w:val="25"/>
          <w:szCs w:val="25"/>
        </w:rPr>
        <w:t>Notification Data Entity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53"/>
        <w:gridCol w:w="2240"/>
        <w:gridCol w:w="2260"/>
        <w:gridCol w:w="3535"/>
      </w:tblGrid>
      <w:tr w:rsidR="00B96D30" w:rsidRPr="00F644F1" w14:paraId="180B3EEC" w14:textId="77777777" w:rsidTr="00154508">
        <w:tc>
          <w:tcPr>
            <w:tcW w:w="2153" w:type="dxa"/>
            <w:vAlign w:val="center"/>
          </w:tcPr>
          <w:p w14:paraId="0AA0AB38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Data Item</w:t>
            </w:r>
          </w:p>
        </w:tc>
        <w:tc>
          <w:tcPr>
            <w:tcW w:w="2240" w:type="dxa"/>
            <w:vAlign w:val="center"/>
          </w:tcPr>
          <w:p w14:paraId="50D53745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Type</w:t>
            </w:r>
          </w:p>
        </w:tc>
        <w:tc>
          <w:tcPr>
            <w:tcW w:w="2260" w:type="dxa"/>
            <w:vAlign w:val="center"/>
          </w:tcPr>
          <w:p w14:paraId="1EB62730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Description</w:t>
            </w:r>
          </w:p>
        </w:tc>
        <w:tc>
          <w:tcPr>
            <w:tcW w:w="3535" w:type="dxa"/>
            <w:vAlign w:val="center"/>
          </w:tcPr>
          <w:p w14:paraId="4D0A1D1A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Comment</w:t>
            </w:r>
          </w:p>
        </w:tc>
      </w:tr>
      <w:tr w:rsidR="00B96D30" w:rsidRPr="00F644F1" w14:paraId="3D054995" w14:textId="77777777" w:rsidTr="00154508">
        <w:tc>
          <w:tcPr>
            <w:tcW w:w="2153" w:type="dxa"/>
            <w:vAlign w:val="center"/>
          </w:tcPr>
          <w:p w14:paraId="02799A5C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Notification ID</w:t>
            </w:r>
          </w:p>
        </w:tc>
        <w:tc>
          <w:tcPr>
            <w:tcW w:w="2240" w:type="dxa"/>
            <w:vAlign w:val="center"/>
          </w:tcPr>
          <w:p w14:paraId="0E237EDC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UUID</w:t>
            </w:r>
          </w:p>
        </w:tc>
        <w:tc>
          <w:tcPr>
            <w:tcW w:w="2260" w:type="dxa"/>
            <w:vAlign w:val="center"/>
          </w:tcPr>
          <w:p w14:paraId="02C683B0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Unique notification identifier</w:t>
            </w:r>
          </w:p>
        </w:tc>
        <w:tc>
          <w:tcPr>
            <w:tcW w:w="3535" w:type="dxa"/>
            <w:vAlign w:val="center"/>
          </w:tcPr>
          <w:p w14:paraId="14B69F2D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Used as the primary key</w:t>
            </w:r>
          </w:p>
        </w:tc>
      </w:tr>
      <w:tr w:rsidR="00B96D30" w:rsidRPr="00F644F1" w14:paraId="71EB7BB5" w14:textId="77777777" w:rsidTr="00154508">
        <w:tc>
          <w:tcPr>
            <w:tcW w:w="2153" w:type="dxa"/>
            <w:vAlign w:val="center"/>
          </w:tcPr>
          <w:p w14:paraId="0EE4A782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Tenant ID</w:t>
            </w:r>
          </w:p>
        </w:tc>
        <w:tc>
          <w:tcPr>
            <w:tcW w:w="2240" w:type="dxa"/>
            <w:vAlign w:val="center"/>
          </w:tcPr>
          <w:p w14:paraId="74FAD98D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UUID</w:t>
            </w:r>
          </w:p>
        </w:tc>
        <w:tc>
          <w:tcPr>
            <w:tcW w:w="2260" w:type="dxa"/>
            <w:vAlign w:val="center"/>
          </w:tcPr>
          <w:p w14:paraId="5678E052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Tenant that created the notification</w:t>
            </w:r>
          </w:p>
        </w:tc>
        <w:tc>
          <w:tcPr>
            <w:tcW w:w="3535" w:type="dxa"/>
            <w:vAlign w:val="center"/>
          </w:tcPr>
          <w:p w14:paraId="76428B6B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References Tenant entity</w:t>
            </w:r>
          </w:p>
        </w:tc>
      </w:tr>
      <w:tr w:rsidR="00B96D30" w:rsidRPr="00F644F1" w14:paraId="712F0BBB" w14:textId="77777777" w:rsidTr="00154508">
        <w:tc>
          <w:tcPr>
            <w:tcW w:w="2153" w:type="dxa"/>
            <w:vAlign w:val="center"/>
          </w:tcPr>
          <w:p w14:paraId="71F5C80F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Template ID</w:t>
            </w:r>
          </w:p>
        </w:tc>
        <w:tc>
          <w:tcPr>
            <w:tcW w:w="2240" w:type="dxa"/>
            <w:vAlign w:val="center"/>
          </w:tcPr>
          <w:p w14:paraId="7D08EAA5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UUID</w:t>
            </w:r>
          </w:p>
        </w:tc>
        <w:tc>
          <w:tcPr>
            <w:tcW w:w="2260" w:type="dxa"/>
            <w:vAlign w:val="center"/>
          </w:tcPr>
          <w:p w14:paraId="5A1EBE3E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Template used for the notification</w:t>
            </w:r>
          </w:p>
        </w:tc>
        <w:tc>
          <w:tcPr>
            <w:tcW w:w="3535" w:type="dxa"/>
            <w:vAlign w:val="center"/>
          </w:tcPr>
          <w:p w14:paraId="68752591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References Template entity</w:t>
            </w:r>
          </w:p>
        </w:tc>
      </w:tr>
      <w:tr w:rsidR="00B96D30" w:rsidRPr="00F644F1" w14:paraId="6E1D01A5" w14:textId="77777777" w:rsidTr="00154508">
        <w:tc>
          <w:tcPr>
            <w:tcW w:w="2153" w:type="dxa"/>
            <w:vAlign w:val="center"/>
          </w:tcPr>
          <w:p w14:paraId="34E1FFE4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Channel</w:t>
            </w:r>
          </w:p>
        </w:tc>
        <w:tc>
          <w:tcPr>
            <w:tcW w:w="2240" w:type="dxa"/>
            <w:vAlign w:val="center"/>
          </w:tcPr>
          <w:p w14:paraId="5D22AA83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Text</w:t>
            </w:r>
          </w:p>
        </w:tc>
        <w:tc>
          <w:tcPr>
            <w:tcW w:w="2260" w:type="dxa"/>
            <w:vAlign w:val="center"/>
          </w:tcPr>
          <w:p w14:paraId="15F457E2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Channel used for delivery</w:t>
            </w:r>
          </w:p>
        </w:tc>
        <w:tc>
          <w:tcPr>
            <w:tcW w:w="3535" w:type="dxa"/>
            <w:vAlign w:val="center"/>
          </w:tcPr>
          <w:p w14:paraId="59DC28FB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Email/SMS/Webhook/In-App</w:t>
            </w:r>
          </w:p>
        </w:tc>
      </w:tr>
      <w:tr w:rsidR="00B96D30" w:rsidRPr="00F644F1" w14:paraId="5ED7EB7C" w14:textId="77777777" w:rsidTr="00154508">
        <w:tc>
          <w:tcPr>
            <w:tcW w:w="2153" w:type="dxa"/>
            <w:vAlign w:val="center"/>
          </w:tcPr>
          <w:p w14:paraId="69D4F653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Recipient</w:t>
            </w:r>
          </w:p>
        </w:tc>
        <w:tc>
          <w:tcPr>
            <w:tcW w:w="2240" w:type="dxa"/>
            <w:vAlign w:val="center"/>
          </w:tcPr>
          <w:p w14:paraId="29FAB0D6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Text</w:t>
            </w:r>
          </w:p>
        </w:tc>
        <w:tc>
          <w:tcPr>
            <w:tcW w:w="2260" w:type="dxa"/>
            <w:vAlign w:val="center"/>
          </w:tcPr>
          <w:p w14:paraId="115EBDB0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Destination of the notification</w:t>
            </w:r>
          </w:p>
        </w:tc>
        <w:tc>
          <w:tcPr>
            <w:tcW w:w="3535" w:type="dxa"/>
            <w:vAlign w:val="center"/>
          </w:tcPr>
          <w:p w14:paraId="7A9FC866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Email, phone, or URL</w:t>
            </w:r>
          </w:p>
        </w:tc>
      </w:tr>
      <w:tr w:rsidR="00B96D30" w:rsidRPr="00F644F1" w14:paraId="43CE560C" w14:textId="77777777" w:rsidTr="00154508">
        <w:tc>
          <w:tcPr>
            <w:tcW w:w="2153" w:type="dxa"/>
            <w:vAlign w:val="center"/>
          </w:tcPr>
          <w:p w14:paraId="1C71ECC2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Status</w:t>
            </w:r>
          </w:p>
        </w:tc>
        <w:tc>
          <w:tcPr>
            <w:tcW w:w="2240" w:type="dxa"/>
            <w:vAlign w:val="center"/>
          </w:tcPr>
          <w:p w14:paraId="599499DA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Text</w:t>
            </w:r>
          </w:p>
        </w:tc>
        <w:tc>
          <w:tcPr>
            <w:tcW w:w="2260" w:type="dxa"/>
            <w:vAlign w:val="center"/>
          </w:tcPr>
          <w:p w14:paraId="34DF360F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Current delivery status</w:t>
            </w:r>
          </w:p>
        </w:tc>
        <w:tc>
          <w:tcPr>
            <w:tcW w:w="3535" w:type="dxa"/>
            <w:vAlign w:val="center"/>
          </w:tcPr>
          <w:p w14:paraId="7229AC92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Pending/Processing/Delivered/Failed</w:t>
            </w:r>
          </w:p>
        </w:tc>
      </w:tr>
      <w:tr w:rsidR="00B96D30" w:rsidRPr="00F644F1" w14:paraId="2E4D8FC1" w14:textId="77777777" w:rsidTr="00154508">
        <w:tc>
          <w:tcPr>
            <w:tcW w:w="2153" w:type="dxa"/>
            <w:vAlign w:val="center"/>
          </w:tcPr>
          <w:p w14:paraId="5DC7F1AF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Created At</w:t>
            </w:r>
          </w:p>
        </w:tc>
        <w:tc>
          <w:tcPr>
            <w:tcW w:w="2240" w:type="dxa"/>
            <w:vAlign w:val="center"/>
          </w:tcPr>
          <w:p w14:paraId="5A8FB2EB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Date/Time</w:t>
            </w:r>
          </w:p>
        </w:tc>
        <w:tc>
          <w:tcPr>
            <w:tcW w:w="2260" w:type="dxa"/>
            <w:vAlign w:val="center"/>
          </w:tcPr>
          <w:p w14:paraId="55CFD43C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Time notification was created</w:t>
            </w:r>
          </w:p>
        </w:tc>
        <w:tc>
          <w:tcPr>
            <w:tcW w:w="3535" w:type="dxa"/>
            <w:vAlign w:val="center"/>
          </w:tcPr>
          <w:p w14:paraId="210DED19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Automatically generated</w:t>
            </w:r>
          </w:p>
        </w:tc>
      </w:tr>
    </w:tbl>
    <w:p w14:paraId="7090B760" w14:textId="77777777" w:rsidR="00B96D30" w:rsidRPr="00F644F1" w:rsidRDefault="00B96D30">
      <w:pPr>
        <w:rPr>
          <w:rFonts w:asciiTheme="majorHAnsi" w:hAnsiTheme="majorHAnsi" w:cstheme="majorHAnsi"/>
        </w:rPr>
      </w:pPr>
    </w:p>
    <w:p w14:paraId="7AD7DD06" w14:textId="77777777" w:rsidR="00B96D30" w:rsidRPr="00F644F1" w:rsidRDefault="00000000">
      <w:pPr>
        <w:rPr>
          <w:rFonts w:asciiTheme="majorHAnsi" w:hAnsiTheme="majorHAnsi" w:cstheme="majorHAnsi"/>
          <w:sz w:val="25"/>
          <w:szCs w:val="25"/>
        </w:rPr>
      </w:pPr>
      <w:r w:rsidRPr="00F644F1">
        <w:rPr>
          <w:rFonts w:asciiTheme="majorHAnsi" w:hAnsiTheme="majorHAnsi" w:cstheme="majorHAnsi"/>
          <w:b/>
          <w:sz w:val="25"/>
          <w:szCs w:val="25"/>
        </w:rPr>
        <w:t>Delivery Attempt Data Entity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96D30" w:rsidRPr="00F644F1" w14:paraId="3838BC67" w14:textId="77777777">
        <w:trPr>
          <w:jc w:val="center"/>
        </w:trPr>
        <w:tc>
          <w:tcPr>
            <w:tcW w:w="2520" w:type="dxa"/>
            <w:vAlign w:val="center"/>
          </w:tcPr>
          <w:p w14:paraId="464738D3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Data Item</w:t>
            </w:r>
          </w:p>
        </w:tc>
        <w:tc>
          <w:tcPr>
            <w:tcW w:w="2520" w:type="dxa"/>
            <w:vAlign w:val="center"/>
          </w:tcPr>
          <w:p w14:paraId="355BC40E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Type</w:t>
            </w:r>
          </w:p>
        </w:tc>
        <w:tc>
          <w:tcPr>
            <w:tcW w:w="2520" w:type="dxa"/>
            <w:vAlign w:val="center"/>
          </w:tcPr>
          <w:p w14:paraId="1C7D18EA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Description</w:t>
            </w:r>
          </w:p>
        </w:tc>
        <w:tc>
          <w:tcPr>
            <w:tcW w:w="2520" w:type="dxa"/>
            <w:vAlign w:val="center"/>
          </w:tcPr>
          <w:p w14:paraId="06319BF5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  <w:b/>
              </w:rPr>
              <w:t>Comment</w:t>
            </w:r>
          </w:p>
        </w:tc>
      </w:tr>
      <w:tr w:rsidR="00B96D30" w:rsidRPr="00F644F1" w14:paraId="66471118" w14:textId="77777777">
        <w:trPr>
          <w:jc w:val="center"/>
        </w:trPr>
        <w:tc>
          <w:tcPr>
            <w:tcW w:w="2520" w:type="dxa"/>
            <w:vAlign w:val="center"/>
          </w:tcPr>
          <w:p w14:paraId="73A0904F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Attempt ID</w:t>
            </w:r>
          </w:p>
        </w:tc>
        <w:tc>
          <w:tcPr>
            <w:tcW w:w="2520" w:type="dxa"/>
            <w:vAlign w:val="center"/>
          </w:tcPr>
          <w:p w14:paraId="71CD1F2E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UUID</w:t>
            </w:r>
          </w:p>
        </w:tc>
        <w:tc>
          <w:tcPr>
            <w:tcW w:w="2520" w:type="dxa"/>
            <w:vAlign w:val="center"/>
          </w:tcPr>
          <w:p w14:paraId="65322AE9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Unique identifier of the attempt</w:t>
            </w:r>
          </w:p>
        </w:tc>
        <w:tc>
          <w:tcPr>
            <w:tcW w:w="2520" w:type="dxa"/>
            <w:vAlign w:val="center"/>
          </w:tcPr>
          <w:p w14:paraId="50A50895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Primary key</w:t>
            </w:r>
          </w:p>
        </w:tc>
      </w:tr>
      <w:tr w:rsidR="00B96D30" w:rsidRPr="00F644F1" w14:paraId="45E66EAE" w14:textId="77777777">
        <w:trPr>
          <w:jc w:val="center"/>
        </w:trPr>
        <w:tc>
          <w:tcPr>
            <w:tcW w:w="2520" w:type="dxa"/>
            <w:vAlign w:val="center"/>
          </w:tcPr>
          <w:p w14:paraId="4F67C52C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Notification ID</w:t>
            </w:r>
          </w:p>
        </w:tc>
        <w:tc>
          <w:tcPr>
            <w:tcW w:w="2520" w:type="dxa"/>
            <w:vAlign w:val="center"/>
          </w:tcPr>
          <w:p w14:paraId="5B0401B3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UUID</w:t>
            </w:r>
          </w:p>
        </w:tc>
        <w:tc>
          <w:tcPr>
            <w:tcW w:w="2520" w:type="dxa"/>
            <w:vAlign w:val="center"/>
          </w:tcPr>
          <w:p w14:paraId="43C20C44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Notification being delivered</w:t>
            </w:r>
          </w:p>
        </w:tc>
        <w:tc>
          <w:tcPr>
            <w:tcW w:w="2520" w:type="dxa"/>
            <w:vAlign w:val="center"/>
          </w:tcPr>
          <w:p w14:paraId="065D5730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References Notification entity</w:t>
            </w:r>
          </w:p>
        </w:tc>
      </w:tr>
      <w:tr w:rsidR="00B96D30" w:rsidRPr="00F644F1" w14:paraId="28DC1C28" w14:textId="77777777">
        <w:trPr>
          <w:jc w:val="center"/>
        </w:trPr>
        <w:tc>
          <w:tcPr>
            <w:tcW w:w="2520" w:type="dxa"/>
            <w:vAlign w:val="center"/>
          </w:tcPr>
          <w:p w14:paraId="3430E36D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Attempt Number</w:t>
            </w:r>
          </w:p>
        </w:tc>
        <w:tc>
          <w:tcPr>
            <w:tcW w:w="2520" w:type="dxa"/>
            <w:vAlign w:val="center"/>
          </w:tcPr>
          <w:p w14:paraId="52919ABF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Integer</w:t>
            </w:r>
          </w:p>
        </w:tc>
        <w:tc>
          <w:tcPr>
            <w:tcW w:w="2520" w:type="dxa"/>
            <w:vAlign w:val="center"/>
          </w:tcPr>
          <w:p w14:paraId="36EA7C89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Number of delivery attempts</w:t>
            </w:r>
          </w:p>
        </w:tc>
        <w:tc>
          <w:tcPr>
            <w:tcW w:w="2520" w:type="dxa"/>
            <w:vAlign w:val="center"/>
          </w:tcPr>
          <w:p w14:paraId="5CB863DE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Starts from 1</w:t>
            </w:r>
          </w:p>
        </w:tc>
      </w:tr>
      <w:tr w:rsidR="00B96D30" w:rsidRPr="00F644F1" w14:paraId="5466E866" w14:textId="77777777">
        <w:trPr>
          <w:jc w:val="center"/>
        </w:trPr>
        <w:tc>
          <w:tcPr>
            <w:tcW w:w="2520" w:type="dxa"/>
            <w:vAlign w:val="center"/>
          </w:tcPr>
          <w:p w14:paraId="1F310293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Status</w:t>
            </w:r>
          </w:p>
        </w:tc>
        <w:tc>
          <w:tcPr>
            <w:tcW w:w="2520" w:type="dxa"/>
            <w:vAlign w:val="center"/>
          </w:tcPr>
          <w:p w14:paraId="363C854A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Text</w:t>
            </w:r>
          </w:p>
        </w:tc>
        <w:tc>
          <w:tcPr>
            <w:tcW w:w="2520" w:type="dxa"/>
            <w:vAlign w:val="center"/>
          </w:tcPr>
          <w:p w14:paraId="4AD23116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Result of the attempt</w:t>
            </w:r>
          </w:p>
        </w:tc>
        <w:tc>
          <w:tcPr>
            <w:tcW w:w="2520" w:type="dxa"/>
            <w:vAlign w:val="center"/>
          </w:tcPr>
          <w:p w14:paraId="7CB20496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Success/Failed</w:t>
            </w:r>
          </w:p>
        </w:tc>
      </w:tr>
      <w:tr w:rsidR="00B96D30" w:rsidRPr="00F644F1" w14:paraId="4C036AE4" w14:textId="77777777">
        <w:trPr>
          <w:jc w:val="center"/>
        </w:trPr>
        <w:tc>
          <w:tcPr>
            <w:tcW w:w="2520" w:type="dxa"/>
            <w:vAlign w:val="center"/>
          </w:tcPr>
          <w:p w14:paraId="0AEE7F47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Error Message</w:t>
            </w:r>
          </w:p>
        </w:tc>
        <w:tc>
          <w:tcPr>
            <w:tcW w:w="2520" w:type="dxa"/>
            <w:vAlign w:val="center"/>
          </w:tcPr>
          <w:p w14:paraId="7A9581AF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Text</w:t>
            </w:r>
          </w:p>
        </w:tc>
        <w:tc>
          <w:tcPr>
            <w:tcW w:w="2520" w:type="dxa"/>
            <w:vAlign w:val="center"/>
          </w:tcPr>
          <w:p w14:paraId="549D0DEF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Error returned when delivery fails</w:t>
            </w:r>
          </w:p>
        </w:tc>
        <w:tc>
          <w:tcPr>
            <w:tcW w:w="2520" w:type="dxa"/>
            <w:vAlign w:val="center"/>
          </w:tcPr>
          <w:p w14:paraId="282C714D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Null if successful</w:t>
            </w:r>
          </w:p>
        </w:tc>
      </w:tr>
      <w:tr w:rsidR="00B96D30" w:rsidRPr="00F644F1" w14:paraId="69357FF5" w14:textId="77777777">
        <w:trPr>
          <w:jc w:val="center"/>
        </w:trPr>
        <w:tc>
          <w:tcPr>
            <w:tcW w:w="2520" w:type="dxa"/>
            <w:vAlign w:val="center"/>
          </w:tcPr>
          <w:p w14:paraId="3A289774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Attempted At</w:t>
            </w:r>
          </w:p>
        </w:tc>
        <w:tc>
          <w:tcPr>
            <w:tcW w:w="2520" w:type="dxa"/>
            <w:vAlign w:val="center"/>
          </w:tcPr>
          <w:p w14:paraId="424702D3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Date/Time</w:t>
            </w:r>
          </w:p>
        </w:tc>
        <w:tc>
          <w:tcPr>
            <w:tcW w:w="2520" w:type="dxa"/>
            <w:vAlign w:val="center"/>
          </w:tcPr>
          <w:p w14:paraId="39442FA5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Time of delivery attempt</w:t>
            </w:r>
          </w:p>
        </w:tc>
        <w:tc>
          <w:tcPr>
            <w:tcW w:w="2520" w:type="dxa"/>
            <w:vAlign w:val="center"/>
          </w:tcPr>
          <w:p w14:paraId="07E4A25D" w14:textId="77777777" w:rsidR="00B96D30" w:rsidRPr="00F644F1" w:rsidRDefault="00000000">
            <w:pPr>
              <w:rPr>
                <w:rFonts w:asciiTheme="majorHAnsi" w:hAnsiTheme="majorHAnsi" w:cstheme="majorHAnsi"/>
              </w:rPr>
            </w:pPr>
            <w:r w:rsidRPr="00F644F1">
              <w:rPr>
                <w:rFonts w:asciiTheme="majorHAnsi" w:hAnsiTheme="majorHAnsi" w:cstheme="majorHAnsi"/>
              </w:rPr>
              <w:t>Automatically generated</w:t>
            </w:r>
          </w:p>
        </w:tc>
      </w:tr>
    </w:tbl>
    <w:p w14:paraId="447AC05B" w14:textId="77777777" w:rsidR="00B96D30" w:rsidRPr="00F644F1" w:rsidRDefault="00B96D30">
      <w:pPr>
        <w:rPr>
          <w:rFonts w:asciiTheme="majorHAnsi" w:hAnsiTheme="majorHAnsi" w:cstheme="majorHAnsi"/>
          <w:sz w:val="25"/>
          <w:szCs w:val="25"/>
        </w:rPr>
      </w:pPr>
    </w:p>
    <w:p w14:paraId="3432418B" w14:textId="77777777" w:rsidR="00B96D30" w:rsidRPr="00F644F1" w:rsidRDefault="00000000">
      <w:pPr>
        <w:rPr>
          <w:rFonts w:asciiTheme="majorHAnsi" w:hAnsiTheme="majorHAnsi" w:cstheme="majorHAnsi"/>
          <w:sz w:val="25"/>
          <w:szCs w:val="25"/>
        </w:rPr>
      </w:pPr>
      <w:r w:rsidRPr="00F644F1">
        <w:rPr>
          <w:rFonts w:asciiTheme="majorHAnsi" w:hAnsiTheme="majorHAnsi" w:cstheme="majorHAnsi"/>
          <w:b/>
          <w:sz w:val="25"/>
          <w:szCs w:val="25"/>
        </w:rPr>
        <w:t>3.3.2 Security</w:t>
      </w:r>
    </w:p>
    <w:p w14:paraId="6B06CBFB" w14:textId="77777777" w:rsidR="00154508" w:rsidRPr="00154508" w:rsidRDefault="00000000" w:rsidP="00154508">
      <w:pPr>
        <w:spacing w:line="240" w:lineRule="auto"/>
        <w:jc w:val="both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>The NotifyHub platform shall provide security mechanisms to prevent unauthorized access to tenant data and notification services.</w:t>
      </w:r>
      <w:r w:rsidR="00154508" w:rsidRPr="00154508">
        <w:rPr>
          <w:rFonts w:asciiTheme="majorHAnsi" w:hAnsiTheme="majorHAnsi" w:cstheme="majorHAnsi"/>
          <w:sz w:val="21"/>
          <w:szCs w:val="21"/>
        </w:rPr>
        <w:t xml:space="preserve"> </w:t>
      </w:r>
      <w:r w:rsidRPr="00154508">
        <w:rPr>
          <w:rFonts w:asciiTheme="majorHAnsi" w:hAnsiTheme="majorHAnsi" w:cstheme="majorHAnsi"/>
          <w:sz w:val="21"/>
          <w:szCs w:val="21"/>
        </w:rPr>
        <w:t>Each tenant shall be provided with a unique API key for accessing the NotifyHub API. API requests without a valid API key shall be rejected.</w:t>
      </w:r>
    </w:p>
    <w:p w14:paraId="60C988AA" w14:textId="1676EA4A" w:rsidR="00B96D30" w:rsidRPr="00154508" w:rsidRDefault="00000000" w:rsidP="00154508">
      <w:pPr>
        <w:spacing w:line="240" w:lineRule="auto"/>
        <w:jc w:val="both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>The system shall ensure that a tenant can only access its own resources, including notifications, templates, API keys, delivery logs, and webhook configurations. Tenant A shall not be permitted to view or modify data belonging to Tenant B.</w:t>
      </w:r>
    </w:p>
    <w:p w14:paraId="2E8CB95A" w14:textId="77777777" w:rsidR="00B96D30" w:rsidRPr="00154508" w:rsidRDefault="00000000" w:rsidP="00154508">
      <w:pPr>
        <w:spacing w:line="240" w:lineRule="auto"/>
        <w:jc w:val="both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>User passwords, where applicable, shall not be stored as plain text and shall be protected using a secure password-hashing mechanism.</w:t>
      </w:r>
    </w:p>
    <w:p w14:paraId="67AF7222" w14:textId="77777777" w:rsidR="00B96D30" w:rsidRPr="00154508" w:rsidRDefault="00000000" w:rsidP="00154508">
      <w:pPr>
        <w:spacing w:line="240" w:lineRule="auto"/>
        <w:jc w:val="both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>Communication between clients and the NotifyHub API shall use HTTPS to protect API keys and notification data during transmission.</w:t>
      </w:r>
    </w:p>
    <w:p w14:paraId="50BA6448" w14:textId="6D129377" w:rsidR="00B96D30" w:rsidRPr="00154508" w:rsidRDefault="00000000" w:rsidP="00154508">
      <w:pPr>
        <w:spacing w:line="240" w:lineRule="auto"/>
        <w:jc w:val="both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 xml:space="preserve">API keys </w:t>
      </w:r>
      <w:r w:rsidR="00154508">
        <w:rPr>
          <w:rFonts w:asciiTheme="majorHAnsi" w:hAnsiTheme="majorHAnsi" w:cstheme="majorHAnsi"/>
          <w:sz w:val="21"/>
          <w:szCs w:val="21"/>
        </w:rPr>
        <w:t>wi</w:t>
      </w:r>
      <w:r w:rsidRPr="00154508">
        <w:rPr>
          <w:rFonts w:asciiTheme="majorHAnsi" w:hAnsiTheme="majorHAnsi" w:cstheme="majorHAnsi"/>
          <w:sz w:val="21"/>
          <w:szCs w:val="21"/>
        </w:rPr>
        <w:t>ll be revocable. Once an API key is revoked, requests using that key shall no longer be accepted.</w:t>
      </w:r>
    </w:p>
    <w:p w14:paraId="19A60782" w14:textId="77777777" w:rsidR="00B96D30" w:rsidRPr="00F644F1" w:rsidRDefault="00000000">
      <w:pPr>
        <w:rPr>
          <w:rFonts w:asciiTheme="majorHAnsi" w:hAnsiTheme="majorHAnsi" w:cstheme="majorHAnsi"/>
          <w:sz w:val="25"/>
          <w:szCs w:val="25"/>
        </w:rPr>
      </w:pPr>
      <w:r w:rsidRPr="00F644F1">
        <w:rPr>
          <w:rFonts w:asciiTheme="majorHAnsi" w:hAnsiTheme="majorHAnsi" w:cstheme="majorHAnsi"/>
          <w:b/>
          <w:sz w:val="25"/>
          <w:szCs w:val="25"/>
        </w:rPr>
        <w:lastRenderedPageBreak/>
        <w:t>3.3.3 Performance</w:t>
      </w:r>
    </w:p>
    <w:p w14:paraId="117AC88B" w14:textId="77777777" w:rsidR="00B96D30" w:rsidRPr="00154508" w:rsidRDefault="00000000" w:rsidP="00154508">
      <w:pPr>
        <w:spacing w:line="240" w:lineRule="auto"/>
        <w:jc w:val="both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>The NotifyHub API shall respond to valid notification submission requests within 2 seconds under normal operating conditions.</w:t>
      </w:r>
    </w:p>
    <w:p w14:paraId="2E6C2675" w14:textId="77777777" w:rsidR="00B96D30" w:rsidRPr="00154508" w:rsidRDefault="00000000" w:rsidP="00154508">
      <w:pPr>
        <w:spacing w:line="240" w:lineRule="auto"/>
        <w:jc w:val="both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 xml:space="preserve">Notification delivery shall be performed asynchronously using a queue so that the API does not need to wait for the external email, SMS, or webhook service to </w:t>
      </w:r>
      <w:proofErr w:type="gramStart"/>
      <w:r w:rsidRPr="00154508">
        <w:rPr>
          <w:rFonts w:asciiTheme="majorHAnsi" w:hAnsiTheme="majorHAnsi" w:cstheme="majorHAnsi"/>
          <w:sz w:val="21"/>
          <w:szCs w:val="21"/>
        </w:rPr>
        <w:t>complete</w:t>
      </w:r>
      <w:proofErr w:type="gramEnd"/>
      <w:r w:rsidRPr="00154508">
        <w:rPr>
          <w:rFonts w:asciiTheme="majorHAnsi" w:hAnsiTheme="majorHAnsi" w:cstheme="majorHAnsi"/>
          <w:sz w:val="21"/>
          <w:szCs w:val="21"/>
        </w:rPr>
        <w:t>.</w:t>
      </w:r>
    </w:p>
    <w:p w14:paraId="060C258F" w14:textId="77777777" w:rsidR="00B96D30" w:rsidRPr="00154508" w:rsidRDefault="00000000" w:rsidP="00154508">
      <w:pPr>
        <w:spacing w:line="240" w:lineRule="auto"/>
        <w:jc w:val="both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 xml:space="preserve">The system </w:t>
      </w:r>
      <w:proofErr w:type="gramStart"/>
      <w:r w:rsidRPr="00154508">
        <w:rPr>
          <w:rFonts w:asciiTheme="majorHAnsi" w:hAnsiTheme="majorHAnsi" w:cstheme="majorHAnsi"/>
          <w:sz w:val="21"/>
          <w:szCs w:val="21"/>
        </w:rPr>
        <w:t>shall</w:t>
      </w:r>
      <w:proofErr w:type="gramEnd"/>
      <w:r w:rsidRPr="00154508">
        <w:rPr>
          <w:rFonts w:asciiTheme="majorHAnsi" w:hAnsiTheme="majorHAnsi" w:cstheme="majorHAnsi"/>
          <w:sz w:val="21"/>
          <w:szCs w:val="21"/>
        </w:rPr>
        <w:t xml:space="preserve"> support multiple background workers so that notification processing capacity can be increased when the number of notifications increases.</w:t>
      </w:r>
    </w:p>
    <w:p w14:paraId="1B098444" w14:textId="77777777" w:rsidR="00B96D30" w:rsidRPr="00F644F1" w:rsidRDefault="00000000">
      <w:pPr>
        <w:rPr>
          <w:rFonts w:asciiTheme="majorHAnsi" w:hAnsiTheme="majorHAnsi" w:cstheme="majorHAnsi"/>
          <w:sz w:val="25"/>
          <w:szCs w:val="25"/>
        </w:rPr>
      </w:pPr>
      <w:r w:rsidRPr="00F644F1">
        <w:rPr>
          <w:rFonts w:asciiTheme="majorHAnsi" w:hAnsiTheme="majorHAnsi" w:cstheme="majorHAnsi"/>
          <w:b/>
          <w:sz w:val="25"/>
          <w:szCs w:val="25"/>
        </w:rPr>
        <w:t>3.3.4 Reliability</w:t>
      </w:r>
    </w:p>
    <w:p w14:paraId="34420968" w14:textId="437721B9" w:rsidR="00B96D30" w:rsidRPr="00154508" w:rsidRDefault="00000000" w:rsidP="00154508">
      <w:pPr>
        <w:spacing w:line="240" w:lineRule="auto"/>
        <w:jc w:val="both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>The system shall automatically retry notification delivery when a temporary delivery failure occurs.</w:t>
      </w:r>
      <w:r w:rsidR="00154508" w:rsidRPr="00154508">
        <w:rPr>
          <w:rFonts w:asciiTheme="majorHAnsi" w:hAnsiTheme="majorHAnsi" w:cstheme="majorHAnsi"/>
          <w:sz w:val="21"/>
          <w:szCs w:val="21"/>
        </w:rPr>
        <w:t xml:space="preserve"> </w:t>
      </w:r>
      <w:r w:rsidRPr="00154508">
        <w:rPr>
          <w:rFonts w:asciiTheme="majorHAnsi" w:hAnsiTheme="majorHAnsi" w:cstheme="majorHAnsi"/>
          <w:sz w:val="21"/>
          <w:szCs w:val="21"/>
        </w:rPr>
        <w:t>A notification shall be retried a maximum of three times unless otherwise configured.</w:t>
      </w:r>
      <w:r w:rsidR="00154508" w:rsidRPr="00154508">
        <w:rPr>
          <w:rFonts w:asciiTheme="majorHAnsi" w:hAnsiTheme="majorHAnsi" w:cstheme="majorHAnsi"/>
          <w:sz w:val="21"/>
          <w:szCs w:val="21"/>
        </w:rPr>
        <w:t xml:space="preserve"> </w:t>
      </w:r>
      <w:r w:rsidRPr="00154508">
        <w:rPr>
          <w:rFonts w:asciiTheme="majorHAnsi" w:hAnsiTheme="majorHAnsi" w:cstheme="majorHAnsi"/>
          <w:sz w:val="21"/>
          <w:szCs w:val="21"/>
        </w:rPr>
        <w:t>Every delivery attempt shall be recorded in the database with its status, timestamp, and error information where applicable.</w:t>
      </w:r>
    </w:p>
    <w:p w14:paraId="646FB3F2" w14:textId="77777777" w:rsidR="00B96D30" w:rsidRPr="00154508" w:rsidRDefault="00000000" w:rsidP="00154508">
      <w:pPr>
        <w:spacing w:line="240" w:lineRule="auto"/>
        <w:jc w:val="both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>If all retry attempts fail, the notification shall be marked as Failed and the failure shall be recorded in the delivery logs.</w:t>
      </w:r>
    </w:p>
    <w:p w14:paraId="2C572A99" w14:textId="77777777" w:rsidR="00B96D30" w:rsidRPr="00154508" w:rsidRDefault="00000000" w:rsidP="00154508">
      <w:pPr>
        <w:spacing w:line="240" w:lineRule="auto"/>
        <w:jc w:val="both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>Failure of an external notification provider shall not cause the main NotifyHub API to become unavailable.</w:t>
      </w:r>
    </w:p>
    <w:p w14:paraId="270A07B3" w14:textId="77777777" w:rsidR="00B96D30" w:rsidRPr="00F644F1" w:rsidRDefault="00000000">
      <w:pPr>
        <w:rPr>
          <w:rFonts w:asciiTheme="majorHAnsi" w:hAnsiTheme="majorHAnsi" w:cstheme="majorHAnsi"/>
          <w:sz w:val="25"/>
          <w:szCs w:val="25"/>
        </w:rPr>
      </w:pPr>
      <w:r w:rsidRPr="00F644F1">
        <w:rPr>
          <w:rFonts w:asciiTheme="majorHAnsi" w:hAnsiTheme="majorHAnsi" w:cstheme="majorHAnsi"/>
          <w:b/>
          <w:sz w:val="25"/>
          <w:szCs w:val="25"/>
        </w:rPr>
        <w:t>3.3.5 Multi-Tenancy and Data Isolation</w:t>
      </w:r>
    </w:p>
    <w:p w14:paraId="745D1A61" w14:textId="6F12C511" w:rsidR="00B96D30" w:rsidRPr="00154508" w:rsidRDefault="00000000" w:rsidP="00154508">
      <w:pPr>
        <w:spacing w:line="240" w:lineRule="auto"/>
        <w:jc w:val="both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>NotifyHub shall support multiple independent tenants using the same application and database infrastructure.</w:t>
      </w:r>
      <w:r w:rsidR="00154508">
        <w:rPr>
          <w:rFonts w:asciiTheme="majorHAnsi" w:hAnsiTheme="majorHAnsi" w:cstheme="majorHAnsi"/>
          <w:sz w:val="21"/>
          <w:szCs w:val="21"/>
        </w:rPr>
        <w:t xml:space="preserve"> </w:t>
      </w:r>
      <w:r w:rsidRPr="00154508">
        <w:rPr>
          <w:rFonts w:asciiTheme="majorHAnsi" w:hAnsiTheme="majorHAnsi" w:cstheme="majorHAnsi"/>
          <w:sz w:val="21"/>
          <w:szCs w:val="21"/>
        </w:rPr>
        <w:t>Each tenant's resources shall be associated with a unique Tenant ID.</w:t>
      </w:r>
      <w:r w:rsidR="00154508">
        <w:rPr>
          <w:rFonts w:asciiTheme="majorHAnsi" w:hAnsiTheme="majorHAnsi" w:cstheme="majorHAnsi"/>
          <w:sz w:val="21"/>
          <w:szCs w:val="21"/>
        </w:rPr>
        <w:t xml:space="preserve"> </w:t>
      </w:r>
      <w:r w:rsidRPr="00154508">
        <w:rPr>
          <w:rFonts w:asciiTheme="majorHAnsi" w:hAnsiTheme="majorHAnsi" w:cstheme="majorHAnsi"/>
          <w:sz w:val="21"/>
          <w:szCs w:val="21"/>
        </w:rPr>
        <w:t>All queries involving tenant-owned resources shall be restricted to the authenticated tenant's ID.</w:t>
      </w:r>
      <w:r w:rsidR="00154508">
        <w:rPr>
          <w:rFonts w:asciiTheme="majorHAnsi" w:hAnsiTheme="majorHAnsi" w:cstheme="majorHAnsi"/>
          <w:sz w:val="21"/>
          <w:szCs w:val="21"/>
        </w:rPr>
        <w:t xml:space="preserve"> </w:t>
      </w:r>
      <w:r w:rsidRPr="00154508">
        <w:rPr>
          <w:rFonts w:asciiTheme="majorHAnsi" w:hAnsiTheme="majorHAnsi" w:cstheme="majorHAnsi"/>
          <w:sz w:val="21"/>
          <w:szCs w:val="21"/>
        </w:rPr>
        <w:t>The system shall prevent one tenant from accessing, modifying, or deleting another tenant's data.</w:t>
      </w:r>
    </w:p>
    <w:p w14:paraId="32C9FB24" w14:textId="77777777" w:rsidR="00B96D30" w:rsidRPr="00F644F1" w:rsidRDefault="00000000">
      <w:pPr>
        <w:rPr>
          <w:rFonts w:asciiTheme="majorHAnsi" w:hAnsiTheme="majorHAnsi" w:cstheme="majorHAnsi"/>
          <w:sz w:val="25"/>
          <w:szCs w:val="25"/>
        </w:rPr>
      </w:pPr>
      <w:r w:rsidRPr="00F644F1">
        <w:rPr>
          <w:rFonts w:asciiTheme="majorHAnsi" w:hAnsiTheme="majorHAnsi" w:cstheme="majorHAnsi"/>
          <w:b/>
          <w:sz w:val="25"/>
          <w:szCs w:val="25"/>
        </w:rPr>
        <w:t>3.3.6 Rate Limiting</w:t>
      </w:r>
    </w:p>
    <w:p w14:paraId="09B47052" w14:textId="77777777" w:rsidR="00B96D30" w:rsidRPr="00154508" w:rsidRDefault="00000000" w:rsidP="00154508">
      <w:pPr>
        <w:spacing w:line="240" w:lineRule="auto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>The system shall limit the number of API requests that a tenant can make within a specified period.</w:t>
      </w:r>
    </w:p>
    <w:p w14:paraId="6A459DE7" w14:textId="77777777" w:rsidR="00B96D30" w:rsidRPr="00154508" w:rsidRDefault="00000000" w:rsidP="00154508">
      <w:pPr>
        <w:spacing w:line="240" w:lineRule="auto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>For example, a tenant may initially be limited to 100 notification requests per minute.</w:t>
      </w:r>
    </w:p>
    <w:p w14:paraId="0BC795E4" w14:textId="77777777" w:rsidR="00B96D30" w:rsidRPr="00154508" w:rsidRDefault="00000000" w:rsidP="00154508">
      <w:pPr>
        <w:spacing w:line="240" w:lineRule="auto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>When the limit is exceeded, the system shall reject additional requests and return an appropriate rate-limit response.</w:t>
      </w:r>
    </w:p>
    <w:p w14:paraId="02CDFFAF" w14:textId="77777777" w:rsidR="00B96D30" w:rsidRPr="00154508" w:rsidRDefault="00000000" w:rsidP="00154508">
      <w:pPr>
        <w:spacing w:line="240" w:lineRule="auto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>Rate limits shall be applied independently to each tenant/API key.</w:t>
      </w:r>
    </w:p>
    <w:p w14:paraId="33D6845D" w14:textId="77777777" w:rsidR="00B96D30" w:rsidRPr="00F644F1" w:rsidRDefault="00000000">
      <w:pPr>
        <w:rPr>
          <w:rFonts w:asciiTheme="majorHAnsi" w:hAnsiTheme="majorHAnsi" w:cstheme="majorHAnsi"/>
          <w:sz w:val="25"/>
          <w:szCs w:val="25"/>
        </w:rPr>
      </w:pPr>
      <w:r w:rsidRPr="00F644F1">
        <w:rPr>
          <w:rFonts w:asciiTheme="majorHAnsi" w:hAnsiTheme="majorHAnsi" w:cstheme="majorHAnsi"/>
          <w:b/>
          <w:sz w:val="25"/>
          <w:szCs w:val="25"/>
        </w:rPr>
        <w:t>3.3.7 Maintainability</w:t>
      </w:r>
    </w:p>
    <w:p w14:paraId="47A0A892" w14:textId="77777777" w:rsidR="00B96D30" w:rsidRPr="00154508" w:rsidRDefault="00000000" w:rsidP="00154508">
      <w:pPr>
        <w:spacing w:line="240" w:lineRule="auto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 xml:space="preserve">The system </w:t>
      </w:r>
      <w:proofErr w:type="gramStart"/>
      <w:r w:rsidRPr="00154508">
        <w:rPr>
          <w:rFonts w:asciiTheme="majorHAnsi" w:hAnsiTheme="majorHAnsi" w:cstheme="majorHAnsi"/>
          <w:sz w:val="21"/>
          <w:szCs w:val="21"/>
        </w:rPr>
        <w:t>shall</w:t>
      </w:r>
      <w:proofErr w:type="gramEnd"/>
      <w:r w:rsidRPr="00154508">
        <w:rPr>
          <w:rFonts w:asciiTheme="majorHAnsi" w:hAnsiTheme="majorHAnsi" w:cstheme="majorHAnsi"/>
          <w:sz w:val="21"/>
          <w:szCs w:val="21"/>
        </w:rPr>
        <w:t xml:space="preserve"> use modular components so that new notification channels can be added without significantly modifying existing channel implementations.</w:t>
      </w:r>
    </w:p>
    <w:p w14:paraId="796FD023" w14:textId="77777777" w:rsidR="00B96D30" w:rsidRPr="00154508" w:rsidRDefault="00000000" w:rsidP="00154508">
      <w:pPr>
        <w:spacing w:line="240" w:lineRule="auto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 xml:space="preserve">The notification </w:t>
      </w:r>
      <w:proofErr w:type="gramStart"/>
      <w:r w:rsidRPr="00154508">
        <w:rPr>
          <w:rFonts w:asciiTheme="majorHAnsi" w:hAnsiTheme="majorHAnsi" w:cstheme="majorHAnsi"/>
          <w:sz w:val="21"/>
          <w:szCs w:val="21"/>
        </w:rPr>
        <w:t>channels shall</w:t>
      </w:r>
      <w:proofErr w:type="gramEnd"/>
      <w:r w:rsidRPr="00154508">
        <w:rPr>
          <w:rFonts w:asciiTheme="majorHAnsi" w:hAnsiTheme="majorHAnsi" w:cstheme="majorHAnsi"/>
          <w:sz w:val="21"/>
          <w:szCs w:val="21"/>
        </w:rPr>
        <w:t xml:space="preserve"> follow a common interface, allowing Email, SMS, Webhook, and In-App channels to be implemented independently.</w:t>
      </w:r>
    </w:p>
    <w:p w14:paraId="5190CC85" w14:textId="77777777" w:rsidR="00B96D30" w:rsidRPr="00154508" w:rsidRDefault="00000000" w:rsidP="00154508">
      <w:pPr>
        <w:spacing w:line="240" w:lineRule="auto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 xml:space="preserve">The system </w:t>
      </w:r>
      <w:proofErr w:type="gramStart"/>
      <w:r w:rsidRPr="00154508">
        <w:rPr>
          <w:rFonts w:asciiTheme="majorHAnsi" w:hAnsiTheme="majorHAnsi" w:cstheme="majorHAnsi"/>
          <w:sz w:val="21"/>
          <w:szCs w:val="21"/>
        </w:rPr>
        <w:t>shall</w:t>
      </w:r>
      <w:proofErr w:type="gramEnd"/>
      <w:r w:rsidRPr="00154508">
        <w:rPr>
          <w:rFonts w:asciiTheme="majorHAnsi" w:hAnsiTheme="majorHAnsi" w:cstheme="majorHAnsi"/>
          <w:sz w:val="21"/>
          <w:szCs w:val="21"/>
        </w:rPr>
        <w:t xml:space="preserve"> use appropriate OOP principles and design patterns, including Strategy, Factory, Decorator, and Repository patterns where appropriate.</w:t>
      </w:r>
    </w:p>
    <w:p w14:paraId="3B02E342" w14:textId="77777777" w:rsidR="00B96D30" w:rsidRDefault="00000000" w:rsidP="00154508">
      <w:pPr>
        <w:spacing w:line="240" w:lineRule="auto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>The source code shall be accompanied by appropriate documentation and automated tests.</w:t>
      </w:r>
    </w:p>
    <w:p w14:paraId="0B26B994" w14:textId="77777777" w:rsidR="00154508" w:rsidRDefault="00154508" w:rsidP="00154508">
      <w:pPr>
        <w:spacing w:line="240" w:lineRule="auto"/>
        <w:rPr>
          <w:rFonts w:asciiTheme="majorHAnsi" w:hAnsiTheme="majorHAnsi" w:cstheme="majorHAnsi"/>
          <w:sz w:val="21"/>
          <w:szCs w:val="21"/>
        </w:rPr>
      </w:pPr>
    </w:p>
    <w:p w14:paraId="00CE3519" w14:textId="77777777" w:rsidR="00154508" w:rsidRPr="00154508" w:rsidRDefault="00154508" w:rsidP="00154508">
      <w:pPr>
        <w:spacing w:line="240" w:lineRule="auto"/>
        <w:rPr>
          <w:rFonts w:asciiTheme="majorHAnsi" w:hAnsiTheme="majorHAnsi" w:cstheme="majorHAnsi"/>
          <w:sz w:val="21"/>
          <w:szCs w:val="21"/>
        </w:rPr>
      </w:pPr>
    </w:p>
    <w:p w14:paraId="78D525C0" w14:textId="77777777" w:rsidR="00B96D30" w:rsidRPr="00F644F1" w:rsidRDefault="00000000">
      <w:pPr>
        <w:rPr>
          <w:rFonts w:asciiTheme="majorHAnsi" w:hAnsiTheme="majorHAnsi" w:cstheme="majorHAnsi"/>
          <w:sz w:val="25"/>
          <w:szCs w:val="25"/>
        </w:rPr>
      </w:pPr>
      <w:r w:rsidRPr="00F644F1">
        <w:rPr>
          <w:rFonts w:asciiTheme="majorHAnsi" w:hAnsiTheme="majorHAnsi" w:cstheme="majorHAnsi"/>
          <w:b/>
          <w:sz w:val="25"/>
          <w:szCs w:val="25"/>
        </w:rPr>
        <w:lastRenderedPageBreak/>
        <w:t>3.3.8 Availability and Monitoring</w:t>
      </w:r>
    </w:p>
    <w:p w14:paraId="00F572CD" w14:textId="0EA11485" w:rsidR="00B96D30" w:rsidRPr="00154508" w:rsidRDefault="00000000" w:rsidP="00154508">
      <w:pPr>
        <w:spacing w:line="240" w:lineRule="auto"/>
        <w:rPr>
          <w:rFonts w:asciiTheme="majorHAnsi" w:hAnsiTheme="majorHAnsi" w:cstheme="majorHAnsi"/>
          <w:sz w:val="21"/>
          <w:szCs w:val="21"/>
        </w:rPr>
      </w:pPr>
      <w:r w:rsidRPr="00154508">
        <w:rPr>
          <w:rFonts w:asciiTheme="majorHAnsi" w:hAnsiTheme="majorHAnsi" w:cstheme="majorHAnsi"/>
          <w:sz w:val="21"/>
          <w:szCs w:val="21"/>
        </w:rPr>
        <w:t>The NotifyHub API, queue, worker, and database services shall provide health checks to allow service availability to be monitored.</w:t>
      </w:r>
      <w:r w:rsidR="00154508">
        <w:rPr>
          <w:rFonts w:asciiTheme="majorHAnsi" w:hAnsiTheme="majorHAnsi" w:cstheme="majorHAnsi"/>
          <w:sz w:val="21"/>
          <w:szCs w:val="21"/>
        </w:rPr>
        <w:t xml:space="preserve"> </w:t>
      </w:r>
      <w:r w:rsidRPr="00154508">
        <w:rPr>
          <w:rFonts w:asciiTheme="majorHAnsi" w:hAnsiTheme="majorHAnsi" w:cstheme="majorHAnsi"/>
          <w:sz w:val="21"/>
          <w:szCs w:val="21"/>
        </w:rPr>
        <w:t>The system shall maintain logs for API requests, notification processing, delivery attempts, failures, and retries.</w:t>
      </w:r>
      <w:r w:rsidR="00154508">
        <w:rPr>
          <w:rFonts w:asciiTheme="majorHAnsi" w:hAnsiTheme="majorHAnsi" w:cstheme="majorHAnsi"/>
          <w:sz w:val="21"/>
          <w:szCs w:val="21"/>
        </w:rPr>
        <w:t xml:space="preserve"> </w:t>
      </w:r>
      <w:r w:rsidRPr="00154508">
        <w:rPr>
          <w:rFonts w:asciiTheme="majorHAnsi" w:hAnsiTheme="majorHAnsi" w:cstheme="majorHAnsi"/>
          <w:sz w:val="21"/>
          <w:szCs w:val="21"/>
        </w:rPr>
        <w:t>Monitoring shall allow administrators to identify failures in the API, queue, workers, database, and external notification providers.</w:t>
      </w:r>
    </w:p>
    <w:sectPr w:rsidR="00B96D30" w:rsidRPr="00154508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9996547">
    <w:abstractNumId w:val="8"/>
  </w:num>
  <w:num w:numId="2" w16cid:durableId="836193580">
    <w:abstractNumId w:val="6"/>
  </w:num>
  <w:num w:numId="3" w16cid:durableId="401487873">
    <w:abstractNumId w:val="5"/>
  </w:num>
  <w:num w:numId="4" w16cid:durableId="219250124">
    <w:abstractNumId w:val="4"/>
  </w:num>
  <w:num w:numId="5" w16cid:durableId="686298048">
    <w:abstractNumId w:val="7"/>
  </w:num>
  <w:num w:numId="6" w16cid:durableId="2040006550">
    <w:abstractNumId w:val="3"/>
  </w:num>
  <w:num w:numId="7" w16cid:durableId="394621395">
    <w:abstractNumId w:val="2"/>
  </w:num>
  <w:num w:numId="8" w16cid:durableId="474833169">
    <w:abstractNumId w:val="1"/>
  </w:num>
  <w:num w:numId="9" w16cid:durableId="66986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508"/>
    <w:rsid w:val="0029639D"/>
    <w:rsid w:val="00326F90"/>
    <w:rsid w:val="00AA1D8D"/>
    <w:rsid w:val="00AC36B0"/>
    <w:rsid w:val="00B47730"/>
    <w:rsid w:val="00B96D30"/>
    <w:rsid w:val="00CB0664"/>
    <w:rsid w:val="00F644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A0472"/>
  <w14:defaultImageDpi w14:val="300"/>
  <w15:docId w15:val="{4A180073-727E-4D4C-8F86-AB3683F66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Rohan</cp:lastModifiedBy>
  <cp:revision>2</cp:revision>
  <dcterms:created xsi:type="dcterms:W3CDTF">2013-12-23T23:15:00Z</dcterms:created>
  <dcterms:modified xsi:type="dcterms:W3CDTF">2026-08-20T09:08:00Z</dcterms:modified>
  <cp:category/>
</cp:coreProperties>
</file>