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jp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hAnsi="Times New Roman"/>
          <w:sz w:val="24"/>
        </w:rPr>
        <w:t>Submission Deadline: 25 October 2026, 07:59:59 MYT (UTC+8)</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rPr>
          <w:cantSplit/>
        </w:trPr>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cantSplit/>
          <w:tblHeader/>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pPr>
              <w:spacing w:before="40" w:after="60"/>
            </w:pPr>
            <w:r>
              <w:rPr>
                <w:rFonts w:ascii="Times New Roman" w:hAnsi="Times New Roman"/>
                <w:sz w:val="24"/>
              </w:rPr>
              <w:t>gravity</w:t>
            </w:r>
          </w:p>
        </w:tc>
      </w:tr>
      <w:tr w:rsidR="00D151A5" w14:paraId="2DE66B6E" w14:textId="77777777">
        <w:trPr>
          <w:trHeight w:val="520"/>
          <w:cantSplit/>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pPr>
              <w:spacing w:before="40" w:after="60"/>
            </w:pPr>
            <w:r>
              <w:rPr>
                <w:rFonts w:ascii="Times New Roman" w:hAnsi="Times New Roman"/>
                <w:sz w:val="24"/>
              </w:rPr>
              <w:t>repath</w:t>
            </w:r>
          </w:p>
        </w:tc>
      </w:tr>
      <w:tr w:rsidR="00D151A5" w14:paraId="1871AD3B" w14:textId="77777777">
        <w:trPr>
          <w:trHeight w:val="520"/>
          <w:cantSplit/>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before="40" w:after="60"/>
            </w:pPr>
            <w:r>
              <w:rPr>
                <w:rFonts w:ascii="Times New Roman" w:hAnsi="Times New Roman"/>
                <w:sz w:val="24"/>
              </w:rPr>
              <w:t>WU TONG</w:t>
            </w:r>
          </w:p>
        </w:tc>
      </w:tr>
      <w:tr w:rsidR="00D151A5" w14:paraId="0459FBA0" w14:textId="77777777">
        <w:trPr>
          <w:trHeight w:val="520"/>
          <w:cantSplit/>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before="40" w:after="60"/>
            </w:pPr>
            <w:r>
              <w:rPr>
                <w:rFonts w:ascii="Times New Roman" w:hAnsi="Times New Roman"/>
                <w:sz w:val="24"/>
              </w:rPr>
              <w:t>MAT2609046@xmu.edu.my</w:t>
              <w:br/>
              <w:t>+601117563424</w:t>
            </w:r>
          </w:p>
        </w:tc>
      </w:tr>
      <w:tr w:rsidR="00D151A5" w14:paraId="5F6F9DB8" w14:textId="77777777">
        <w:trPr>
          <w:trHeight w:val="520"/>
          <w:cantSplit/>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pPr>
              <w:spacing w:before="40" w:after="60"/>
            </w:pPr>
            <w:r>
              <w:rPr>
                <w:rFonts w:ascii="Times New Roman" w:hAnsi="Times New Roman"/>
                <w:sz w:val="24"/>
              </w:rPr>
              <w:t>Xiamen University Malaysia (XMUM)</w:t>
            </w:r>
          </w:p>
        </w:tc>
      </w:tr>
      <w:tr w:rsidR="00D151A5" w14:paraId="14B06AEC" w14:textId="77777777">
        <w:trPr>
          <w:trHeight w:val="520"/>
          <w:cantSplit/>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r/>
            <w:hyperlink r:id="rId20">
              <w:r>
                <w:rPr>
                  <w:sz w:val="21"/>
                  <w:color w:val="0563C1"/>
                  <w:u w:val="single"/>
                </w:rPr>
                <w:t>https://repath-ai-0-2.lianghuihu.chatgpt.site/</w:t>
              </w:r>
            </w:hyperlink>
          </w:p>
        </w:tc>
      </w:tr>
      <w:tr w:rsidR="00D151A5" w14:paraId="4A210E37" w14:textId="77777777">
        <w:trPr>
          <w:trHeight w:val="520"/>
          <w:cantSplit/>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r/>
            <w:hyperlink r:id="rId19">
              <w:r>
                <w:rPr>
                  <w:sz w:val="21"/>
                  <w:color w:val="0563C1"/>
                  <w:u w:val="single"/>
                </w:rPr>
                <w:t>https://github.com/mont365789/SDC-hackathon-2026-gravity</w:t>
              </w:r>
            </w:hyperlink>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cantSplit/>
        </w:trPr>
        <w:tc>
          <w:tcPr>
            <w:tcW w:w="9360" w:type="dxa"/>
            <w:tcMar>
              <w:top w:w="140" w:type="dxa"/>
              <w:left w:w="160" w:type="dxa"/>
              <w:bottom w:w="140" w:type="dxa"/>
              <w:right w:w="160" w:type="dxa"/>
            </w:tcMar>
          </w:tcPr>
          <w:p>
            <w:pPr>
              <w:spacing w:before="40" w:after="60"/>
            </w:pPr>
            <w:r>
              <w:rPr>
                <w:rFonts w:ascii="Times New Roman" w:hAnsi="Times New Roman"/>
                <w:sz w:val="21"/>
              </w:rPr>
              <w:t>RePath 0.2 is a static web prototype hosted through ChatGPT Sites. HTML, CSS, native JavaScript ES modules and SVG provide the interface. JavaScript rules calculate personal career matches and action plans; no GenAI model or API is called at runtime. Profiles and learning records remain in browser localStorage. The application reads saved DOSM quarterly excerpts and selected O*NET occupation/task records, links to the WEF report, and supports arXiv RSS refresh. DOSM informs market observations and local-trend sorting; WEF and arXiv do not affect personal matching scores. Google Fonts optionally supplies DM Sans and Noto Sans SC, with system-font fallback. Learning resources link to Microsoft Learn and OpenLearn. Local serving requires Node.js 20 or later; the source has no external npm dependencies. Original application code is Apache-2.0. ChatGPT, Codex, image_gen and Replit support development and review.</w:t>
            </w:r>
          </w:p>
        </w:tc>
      </w:tr>
    </w:tbl>
    <w:p w14:paraId="75389926" w14:textId="77777777" w:rsidR="00D151A5" w:rsidRDefault="00D151A5">
      <w:pPr>
        <w:spacing w:after="120"/>
        <w:jc w:val="both"/>
      </w:pPr>
    </w:p>
    <w:p w14:paraId="17582D76" w14:textId="77777777" w:rsidR="00D151A5" w:rsidRDefault="00000000">
      <w:pPr>
        <w:pStyle w:val="Heading2"/>
        <w:pageBreakBefore/>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cantSplit/>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pPr>
              <w:spacing w:before="40" w:after="60"/>
            </w:pPr>
            <w:r>
              <w:rPr>
                <w:rFonts w:ascii="Times New Roman" w:hAnsi="Times New Roman"/>
                <w:sz w:val="21"/>
              </w:rPr>
              <w:t>HTML and CSS</w:t>
            </w:r>
          </w:p>
        </w:tc>
        <w:tc>
          <w:tcPr>
            <w:tcW w:w="3960" w:type="dxa"/>
            <w:tcMar>
              <w:top w:w="100" w:type="dxa"/>
              <w:left w:w="140" w:type="dxa"/>
              <w:bottom w:w="100" w:type="dxa"/>
              <w:right w:w="100" w:type="dxa"/>
            </w:tcMar>
          </w:tcPr>
          <w:p>
            <w:r>
              <w:rPr>
                <w:rFonts w:ascii="Times New Roman" w:hAnsi="Times New Roman"/>
                <w:sz w:val="21"/>
              </w:rPr>
              <w:t>Page structure, layout and styling. No pre-existing website templates, open-source projects or copied third-party code snippets were incorporated.</w:t>
            </w:r>
          </w:p>
        </w:tc>
        <w:tc>
          <w:tcPr>
            <w:tcW w:w="2100" w:type="dxa"/>
            <w:tcMar>
              <w:top w:w="100" w:type="dxa"/>
              <w:left w:w="140" w:type="dxa"/>
              <w:bottom w:w="100" w:type="dxa"/>
              <w:right w:w="100" w:type="dxa"/>
            </w:tcMar>
          </w:tcPr>
          <w:p>
            <w:pPr>
              <w:spacing w:before="40" w:after="60"/>
            </w:pPr>
            <w:r>
              <w:rPr>
                <w:rFonts w:ascii="Times New Roman" w:hAnsi="Times New Roman"/>
                <w:sz w:val="21"/>
              </w:rPr>
              <w:t>Web standards; no separate third-party library.</w:t>
            </w:r>
          </w:p>
        </w:tc>
      </w:tr>
      <w:tr>
        <w:trPr>
          <w:cantSplit/>
        </w:trPr>
        <w:tc>
          <w:tcPr>
            <w:tcW w:type="dxa" w:w="3300"/>
          </w:tcPr>
          <w:p>
            <w:pPr>
              <w:spacing w:before="40" w:after="60"/>
            </w:pPr>
            <w:r>
              <w:rPr>
                <w:rFonts w:ascii="Times New Roman" w:hAnsi="Times New Roman"/>
                <w:sz w:val="21"/>
              </w:rPr>
              <w:t>JavaScript ES modules; localStorage and Fetch</w:t>
            </w:r>
          </w:p>
        </w:tc>
        <w:tc>
          <w:tcPr>
            <w:tcW w:type="dxa" w:w="3960"/>
          </w:tcPr>
          <w:p>
            <w:pPr>
              <w:spacing w:before="40" w:after="60"/>
            </w:pPr>
            <w:r>
              <w:rPr>
                <w:rFonts w:ascii="Times New Roman" w:hAnsi="Times New Roman"/>
                <w:sz w:val="21"/>
              </w:rPr>
              <w:t>Client-side interactions, matching rules, action plans, browser storage and remote-data retrieval.</w:t>
            </w:r>
          </w:p>
        </w:tc>
        <w:tc>
          <w:tcPr>
            <w:tcW w:type="dxa" w:w="2100"/>
          </w:tcPr>
          <w:p>
            <w:pPr>
              <w:spacing w:before="40" w:after="60"/>
            </w:pPr>
            <w:r>
              <w:rPr>
                <w:rFonts w:ascii="Times New Roman" w:hAnsi="Times New Roman"/>
                <w:sz w:val="21"/>
              </w:rPr>
              <w:t>Web standards and built-in browser APIs.</w:t>
            </w:r>
          </w:p>
        </w:tc>
      </w:tr>
      <w:tr>
        <w:trPr>
          <w:cantSplit/>
        </w:trPr>
        <w:tc>
          <w:tcPr>
            <w:tcW w:type="dxa" w:w="3300"/>
          </w:tcPr>
          <w:p>
            <w:pPr>
              <w:spacing w:before="40" w:after="60"/>
            </w:pPr>
            <w:r>
              <w:rPr>
                <w:rFonts w:ascii="Times New Roman" w:hAnsi="Times New Roman"/>
                <w:sz w:val="21"/>
              </w:rPr>
              <w:t>SVG; JSON and RSS</w:t>
            </w:r>
          </w:p>
        </w:tc>
        <w:tc>
          <w:tcPr>
            <w:tcW w:type="dxa" w:w="3960"/>
          </w:tcPr>
          <w:p>
            <w:pPr>
              <w:spacing w:before="40" w:after="60"/>
            </w:pPr>
            <w:r>
              <w:rPr>
                <w:rFonts w:ascii="Times New Roman" w:hAnsi="Times New Roman"/>
                <w:sz w:val="21"/>
              </w:rPr>
              <w:t>Vector assets, stored data and research-feed formats.</w:t>
            </w:r>
          </w:p>
        </w:tc>
        <w:tc>
          <w:tcPr>
            <w:tcW w:type="dxa" w:w="2100"/>
          </w:tcPr>
          <w:p>
            <w:pPr>
              <w:spacing w:before="40" w:after="60"/>
            </w:pPr>
            <w:r>
              <w:rPr>
                <w:rFonts w:ascii="Times New Roman" w:hAnsi="Times New Roman"/>
                <w:sz w:val="21"/>
              </w:rPr>
              <w:t>Web/data standards; source terms apply to content.</w:t>
            </w:r>
          </w:p>
        </w:tc>
      </w:tr>
      <w:tr>
        <w:trPr>
          <w:cantSplit/>
        </w:trPr>
        <w:tc>
          <w:tcPr>
            <w:tcW w:type="dxa" w:w="3300"/>
          </w:tcPr>
          <w:p>
            <w:pPr>
              <w:spacing w:before="40" w:after="60"/>
            </w:pPr>
            <w:r>
              <w:rPr>
                <w:rFonts w:ascii="Times New Roman" w:hAnsi="Times New Roman"/>
                <w:sz w:val="21"/>
              </w:rPr>
              <w:t>Node.js &gt;=20</w:t>
              <w:br/>
              <w:t>Replit preset: nodejs-22</w:t>
              <w:br/>
              <w:t>Python 3 and PowerShell</w:t>
              <w:br/>
              <w:t>Exact local utility builds unrecorded</w:t>
            </w:r>
          </w:p>
        </w:tc>
        <w:tc>
          <w:tcPr>
            <w:tcW w:type="dxa" w:w="3960"/>
          </w:tcPr>
          <w:p>
            <w:pPr>
              <w:spacing w:before="40" w:after="60"/>
            </w:pPr>
            <w:r>
              <w:rPr>
                <w:rFonts w:ascii="Times New Roman" w:hAnsi="Times New Roman"/>
                <w:sz w:val="21"/>
              </w:rPr>
              <w:t>Local serving, development scripts, the existing Node test runner, data processing and shell commands. Utility binaries are not redistributed.</w:t>
            </w:r>
          </w:p>
        </w:tc>
        <w:tc>
          <w:tcPr>
            <w:tcW w:type="dxa" w:w="2100"/>
          </w:tcPr>
          <w:p>
            <w:pPr>
              <w:spacing w:before="40" w:after="60"/>
            </w:pPr>
            <w:r>
              <w:rPr>
                <w:rFonts w:ascii="Times New Roman" w:hAnsi="Times New Roman"/>
                <w:sz w:val="21"/>
              </w:rPr>
              <w:t>Node.js: MIT plus bundled notices. Python: PSF License v2. PowerShell: licence for the installed edition; open-source editions use MIT.</w:t>
            </w:r>
            <w:r>
              <w:br/>
            </w:r>
            <w:hyperlink r:id="rId21">
              <w:r>
                <w:rPr>
                  <w:sz w:val="20"/>
                  <w:color w:val="0563C1"/>
                  <w:u w:val="single"/>
                </w:rPr>
                <w:t>Node.js licence</w:t>
              </w:r>
            </w:hyperlink>
            <w:r>
              <w:br/>
            </w:r>
            <w:hyperlink r:id="rId22">
              <w:r>
                <w:rPr>
                  <w:sz w:val="20"/>
                  <w:color w:val="0563C1"/>
                  <w:u w:val="single"/>
                </w:rPr>
                <w:t>Python licence</w:t>
              </w:r>
            </w:hyperlink>
            <w:r>
              <w:br/>
            </w:r>
            <w:hyperlink r:id="rId23">
              <w:r>
                <w:rPr>
                  <w:sz w:val="20"/>
                  <w:color w:val="0563C1"/>
                  <w:u w:val="single"/>
                </w:rPr>
                <w:t>PowerShell licence</w:t>
              </w:r>
            </w:hyperlink>
          </w:p>
        </w:tc>
      </w:tr>
      <w:tr>
        <w:trPr>
          <w:cantSplit/>
        </w:trPr>
        <w:tc>
          <w:tcPr>
            <w:tcW w:type="dxa" w:w="3300"/>
          </w:tcPr>
          <w:p>
            <w:pPr>
              <w:spacing w:before="40" w:after="60"/>
            </w:pPr>
            <w:r>
              <w:rPr>
                <w:rFonts w:ascii="Times New Roman" w:hAnsi="Times New Roman"/>
                <w:sz w:val="21"/>
              </w:rPr>
              <w:t>Git</w:t>
              <w:br/>
              <w:t>Version unrecorded</w:t>
              <w:br/>
              <w:t>GitHub Pro managed service</w:t>
            </w:r>
          </w:p>
        </w:tc>
        <w:tc>
          <w:tcPr>
            <w:tcW w:type="dxa" w:w="3960"/>
          </w:tcPr>
          <w:p>
            <w:pPr>
              <w:spacing w:before="40" w:after="60"/>
            </w:pPr>
            <w:r>
              <w:rPr>
                <w:rFonts w:ascii="Times New Roman" w:hAnsi="Times New Roman"/>
                <w:sz w:val="21"/>
              </w:rPr>
              <w:t>Version control and project-source repository.</w:t>
            </w:r>
          </w:p>
        </w:tc>
        <w:tc>
          <w:tcPr>
            <w:tcW w:type="dxa" w:w="2100"/>
          </w:tcPr>
          <w:p>
            <w:pPr>
              <w:spacing w:before="40" w:after="60"/>
            </w:pPr>
            <w:r>
              <w:rPr>
                <w:rFonts w:ascii="Times New Roman" w:hAnsi="Times New Roman"/>
                <w:sz w:val="21"/>
              </w:rPr>
              <w:t>Git: GNU GPL v2. GitHub: service terms.</w:t>
            </w:r>
            <w:r>
              <w:br/>
            </w:r>
            <w:hyperlink r:id="rId24">
              <w:r>
                <w:rPr>
                  <w:sz w:val="20"/>
                  <w:color w:val="0563C1"/>
                  <w:u w:val="single"/>
                </w:rPr>
                <w:t>Git licence</w:t>
              </w:r>
            </w:hyperlink>
            <w:r>
              <w:br/>
            </w:r>
            <w:hyperlink r:id="rId25">
              <w:r>
                <w:rPr>
                  <w:sz w:val="20"/>
                  <w:color w:val="0563C1"/>
                  <w:u w:val="single"/>
                </w:rPr>
                <w:t>GitHub terms</w:t>
              </w:r>
            </w:hyperlink>
          </w:p>
        </w:tc>
      </w:tr>
      <w:tr>
        <w:trPr>
          <w:cantSplit/>
        </w:trPr>
        <w:tc>
          <w:tcPr>
            <w:tcW w:type="dxa" w:w="3300"/>
          </w:tcPr>
          <w:p>
            <w:pPr>
              <w:spacing w:before="40" w:after="60"/>
            </w:pPr>
            <w:r>
              <w:rPr>
                <w:rFonts w:ascii="Times New Roman" w:hAnsi="Times New Roman"/>
                <w:sz w:val="21"/>
              </w:rPr>
              <w:t>CUA and Playwright</w:t>
              <w:br/>
              <w:t>Managed tooling; exact builds unrecorded</w:t>
            </w:r>
          </w:p>
        </w:tc>
        <w:tc>
          <w:tcPr>
            <w:tcW w:type="dxa" w:w="3960"/>
          </w:tcPr>
          <w:p>
            <w:pPr>
              <w:spacing w:before="40" w:after="60"/>
            </w:pPr>
            <w:r>
              <w:rPr>
                <w:rFonts w:ascii="Times New Roman" w:hAnsi="Times New Roman"/>
                <w:sz w:val="21"/>
              </w:rPr>
              <w:t>Browser automation and interface testing.</w:t>
            </w:r>
          </w:p>
        </w:tc>
        <w:tc>
          <w:tcPr>
            <w:tcW w:type="dxa" w:w="2100"/>
          </w:tcPr>
          <w:p>
            <w:pPr>
              <w:spacing w:before="40" w:after="60"/>
            </w:pPr>
            <w:r>
              <w:rPr>
                <w:rFonts w:ascii="Times New Roman" w:hAnsi="Times New Roman"/>
                <w:sz w:val="21"/>
              </w:rPr>
              <w:t>CUA: OpenAI service terms. Playwright: Apache License 2.0.</w:t>
            </w:r>
            <w:r>
              <w:br/>
            </w:r>
            <w:hyperlink r:id="rId26">
              <w:r>
                <w:rPr>
                  <w:sz w:val="20"/>
                  <w:color w:val="0563C1"/>
                  <w:u w:val="single"/>
                </w:rPr>
                <w:t>OpenAI policies</w:t>
              </w:r>
            </w:hyperlink>
            <w:r>
              <w:br/>
            </w:r>
            <w:hyperlink r:id="rId27">
              <w:r>
                <w:rPr>
                  <w:sz w:val="20"/>
                  <w:color w:val="0563C1"/>
                  <w:u w:val="single"/>
                </w:rPr>
                <w:t>Playwright licence</w:t>
              </w:r>
            </w:hyperlink>
          </w:p>
        </w:tc>
      </w:tr>
      <w:tr>
        <w:trPr>
          <w:cantSplit/>
        </w:trPr>
        <w:tc>
          <w:tcPr>
            <w:tcW w:type="dxa" w:w="3300"/>
          </w:tcPr>
          <w:p>
            <w:pPr>
              <w:spacing w:before="40" w:after="60"/>
            </w:pPr>
            <w:r>
              <w:rPr>
                <w:rFonts w:ascii="Times New Roman" w:hAnsi="Times New Roman"/>
                <w:sz w:val="21"/>
              </w:rPr>
              <w:t>DM Sans and Noto Sans SC</w:t>
              <w:br/>
              <w:t>Google Fonts hosted releases</w:t>
            </w:r>
          </w:p>
        </w:tc>
        <w:tc>
          <w:tcPr>
            <w:tcW w:type="dxa" w:w="3960"/>
          </w:tcPr>
          <w:p>
            <w:pPr>
              <w:spacing w:before="40" w:after="60"/>
            </w:pPr>
            <w:r>
              <w:rPr>
                <w:rFonts w:ascii="Times New Roman" w:hAnsi="Times New Roman"/>
                <w:sz w:val="21"/>
              </w:rPr>
              <w:t>Optional interface fonts, delivered remotely. System fonts provide fallback; no font binaries are included in the source export.</w:t>
            </w:r>
          </w:p>
        </w:tc>
        <w:tc>
          <w:tcPr>
            <w:tcW w:type="dxa" w:w="2100"/>
          </w:tcPr>
          <w:p>
            <w:pPr>
              <w:spacing w:before="40" w:after="60"/>
            </w:pPr>
            <w:r>
              <w:rPr>
                <w:rFonts w:ascii="Times New Roman" w:hAnsi="Times New Roman"/>
                <w:sz w:val="21"/>
              </w:rPr>
              <w:t>SIL Open Font License 1.1.</w:t>
            </w:r>
            <w:r>
              <w:br/>
            </w:r>
            <w:hyperlink r:id="rId28">
              <w:r>
                <w:rPr>
                  <w:sz w:val="20"/>
                  <w:color w:val="0563C1"/>
                  <w:u w:val="single"/>
                </w:rPr>
                <w:t>DM Sans licence</w:t>
              </w:r>
            </w:hyperlink>
            <w:r>
              <w:br/>
            </w:r>
            <w:hyperlink r:id="rId29">
              <w:r>
                <w:rPr>
                  <w:sz w:val="20"/>
                  <w:color w:val="0563C1"/>
                  <w:u w:val="single"/>
                </w:rPr>
                <w:t>Noto Sans SC licence</w:t>
              </w:r>
            </w:hyperlink>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cantSplit/>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pPr>
              <w:spacing w:before="40" w:after="60"/>
            </w:pPr>
            <w:r>
              <w:rPr>
                <w:rFonts w:ascii="Times New Roman" w:hAnsi="Times New Roman"/>
                <w:sz w:val="21"/>
              </w:rPr>
              <w:t>arXiv cs.AI RSS</w:t>
            </w:r>
          </w:p>
        </w:tc>
        <w:tc>
          <w:tcPr>
            <w:tcW w:w="3860" w:type="dxa"/>
            <w:tcMar>
              <w:top w:w="100" w:type="dxa"/>
              <w:left w:w="140" w:type="dxa"/>
              <w:bottom w:w="100" w:type="dxa"/>
              <w:right w:w="100" w:type="dxa"/>
            </w:tcMar>
          </w:tcPr>
          <w:p>
            <w:pPr>
              <w:spacing w:before="40" w:after="60"/>
            </w:pPr>
            <w:r>
              <w:rPr>
                <w:rFonts w:ascii="Times New Roman" w:hAnsi="Times New Roman"/>
                <w:sz w:val="21"/>
              </w:rPr>
              <w:t>Retrieves AI research feed entries and supports manual refresh. The current published cache contains 0 papers and displays a no-new-entries message.</w:t>
            </w:r>
          </w:p>
        </w:tc>
        <w:tc>
          <w:tcPr>
            <w:tcW w:w="2500" w:type="dxa"/>
            <w:tcMar>
              <w:top w:w="100" w:type="dxa"/>
              <w:left w:w="140" w:type="dxa"/>
              <w:bottom w:w="100" w:type="dxa"/>
              <w:right w:w="100" w:type="dxa"/>
            </w:tcMar>
          </w:tcPr>
          <w:p>
            <w:pPr>
              <w:spacing w:before="40" w:after="60"/>
            </w:pPr>
            <w:r>
              <w:rPr>
                <w:rFonts w:ascii="Times New Roman" w:hAnsi="Times New Roman"/>
                <w:sz w:val="21"/>
              </w:rPr>
              <w:t>Free public RSS</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cantSplit/>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pPr>
              <w:spacing w:before="40" w:after="60"/>
            </w:pPr>
            <w:r>
              <w:rPr>
                <w:rFonts w:ascii="Times New Roman" w:hAnsi="Times New Roman"/>
                <w:sz w:val="21"/>
              </w:rPr>
              <w:t>Sites / OpenAI</w:t>
            </w:r>
          </w:p>
        </w:tc>
        <w:tc>
          <w:tcPr>
            <w:tcW w:w="3860" w:type="dxa"/>
            <w:tcMar>
              <w:top w:w="100" w:type="dxa"/>
              <w:left w:w="140" w:type="dxa"/>
              <w:bottom w:w="100" w:type="dxa"/>
              <w:right w:w="100" w:type="dxa"/>
            </w:tcMar>
          </w:tcPr>
          <w:p>
            <w:pPr>
              <w:spacing w:before="40" w:after="60"/>
            </w:pPr>
            <w:r>
              <w:rPr>
                <w:rFonts w:ascii="Times New Roman" w:hAnsi="Times New Roman"/>
                <w:sz w:val="21"/>
              </w:rPr>
              <w:t>Saved website versions, publication and hosting of the static prototype.</w:t>
            </w:r>
          </w:p>
        </w:tc>
        <w:tc>
          <w:tcPr>
            <w:tcW w:w="2500" w:type="dxa"/>
            <w:tcMar>
              <w:top w:w="100" w:type="dxa"/>
              <w:left w:w="140" w:type="dxa"/>
              <w:bottom w:w="100" w:type="dxa"/>
              <w:right w:w="100" w:type="dxa"/>
            </w:tcMar>
          </w:tcPr>
          <w:p>
            <w:pPr>
              <w:spacing w:before="40" w:after="60"/>
            </w:pPr>
            <w:r>
              <w:rPr>
                <w:rFonts w:ascii="Times New Roman" w:hAnsi="Times New Roman"/>
                <w:sz w:val="21"/>
              </w:rPr>
              <w:t>ChatGPT built-in publishing and hosting; no separately purchased hosting plan. Deployment region not specified by the team.</w:t>
            </w:r>
          </w:p>
        </w:tc>
      </w:tr>
      <w:tr>
        <w:trPr>
          <w:cantSplit/>
        </w:trPr>
        <w:tc>
          <w:tcPr>
            <w:tcW w:type="dxa" w:w="3000"/>
          </w:tcPr>
          <w:p>
            <w:pPr>
              <w:spacing w:before="40" w:after="60"/>
            </w:pPr>
            <w:r>
              <w:rPr>
                <w:rFonts w:ascii="Times New Roman" w:hAnsi="Times New Roman"/>
                <w:sz w:val="21"/>
              </w:rPr>
              <w:t>GitHub</w:t>
            </w:r>
          </w:p>
        </w:tc>
        <w:tc>
          <w:tcPr>
            <w:tcW w:type="dxa" w:w="3860"/>
          </w:tcPr>
          <w:p>
            <w:pPr>
              <w:spacing w:before="40" w:after="60"/>
            </w:pPr>
            <w:r>
              <w:rPr>
                <w:rFonts w:ascii="Times New Roman" w:hAnsi="Times New Roman"/>
                <w:sz w:val="21"/>
              </w:rPr>
              <w:t>Project-source repository for submission and judge review.</w:t>
            </w:r>
          </w:p>
        </w:tc>
        <w:tc>
          <w:tcPr>
            <w:tcW w:type="dxa" w:w="2500"/>
          </w:tcPr>
          <w:p>
            <w:pPr>
              <w:spacing w:before="40" w:after="60"/>
            </w:pPr>
            <w:r>
              <w:rPr>
                <w:rFonts w:ascii="Times New Roman" w:hAnsi="Times New Roman"/>
                <w:sz w:val="21"/>
              </w:rPr>
              <w:t>GitHub Pro - paid plan</w:t>
            </w:r>
          </w:p>
        </w:tc>
      </w:tr>
      <w:tr>
        <w:trPr>
          <w:cantSplit/>
        </w:trPr>
        <w:tc>
          <w:tcPr>
            <w:tcW w:type="dxa" w:w="3000"/>
          </w:tcPr>
          <w:p>
            <w:pPr>
              <w:spacing w:before="40" w:after="60"/>
            </w:pPr>
            <w:r>
              <w:rPr>
                <w:rFonts w:ascii="Times New Roman" w:hAnsi="Times New Roman"/>
                <w:sz w:val="21"/>
              </w:rPr>
              <w:t>Google Fonts / Google</w:t>
            </w:r>
          </w:p>
        </w:tc>
        <w:tc>
          <w:tcPr>
            <w:tcW w:type="dxa" w:w="3860"/>
          </w:tcPr>
          <w:p>
            <w:pPr>
              <w:spacing w:before="40" w:after="60"/>
            </w:pPr>
            <w:r>
              <w:rPr>
                <w:rFonts w:ascii="Times New Roman" w:hAnsi="Times New Roman"/>
                <w:sz w:val="21"/>
              </w:rPr>
              <w:t>Optional remote delivery of DM Sans and Noto Sans SC.</w:t>
            </w:r>
          </w:p>
        </w:tc>
        <w:tc>
          <w:tcPr>
            <w:tcW w:type="dxa" w:w="2500"/>
          </w:tcPr>
          <w:p>
            <w:pPr>
              <w:spacing w:before="40" w:after="60"/>
            </w:pPr>
            <w:r>
              <w:rPr>
                <w:rFonts w:ascii="Times New Roman" w:hAnsi="Times New Roman"/>
                <w:sz w:val="21"/>
              </w:rPr>
              <w:t>Public hosted font service; no separately purchased plan.</w:t>
            </w:r>
          </w:p>
        </w:tc>
      </w:tr>
      <w:tr>
        <w:trPr>
          <w:cantSplit/>
        </w:trPr>
        <w:tc>
          <w:tcPr>
            <w:tcW w:type="dxa" w:w="3000"/>
          </w:tcPr>
          <w:p>
            <w:pPr>
              <w:spacing w:before="40" w:after="60"/>
            </w:pPr>
            <w:r>
              <w:rPr>
                <w:rFonts w:ascii="Times New Roman" w:hAnsi="Times New Roman"/>
                <w:sz w:val="21"/>
              </w:rPr>
              <w:t>Replit</w:t>
            </w:r>
          </w:p>
        </w:tc>
        <w:tc>
          <w:tcPr>
            <w:tcW w:type="dxa" w:w="3860"/>
          </w:tcPr>
          <w:p>
            <w:pPr>
              <w:spacing w:before="40" w:after="60"/>
            </w:pPr>
            <w:r>
              <w:rPr>
                <w:rFonts w:ascii="Times New Roman" w:hAnsi="Times New Roman"/>
                <w:sz w:val="21"/>
              </w:rPr>
              <w:t>Cloud development assistance, prototype review and refinements.</w:t>
            </w:r>
          </w:p>
        </w:tc>
        <w:tc>
          <w:tcPr>
            <w:tcW w:type="dxa" w:w="2500"/>
          </w:tcPr>
          <w:p>
            <w:pPr>
              <w:spacing w:before="40" w:after="60"/>
            </w:pPr>
            <w:r>
              <w:rPr>
                <w:rFonts w:ascii="Times New Roman" w:hAnsi="Times New Roman"/>
                <w:sz w:val="21"/>
              </w:rPr>
              <w:t>Official competition-provided credits; deployment region not selected by the team.</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cantSplit/>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pPr>
              <w:spacing w:before="40" w:after="60"/>
            </w:pPr>
            <w:r>
              <w:rPr>
                <w:rFonts w:ascii="Times New Roman" w:hAnsi="Times New Roman"/>
                <w:sz w:val="21"/>
              </w:rPr>
              <w:t>None</w:t>
            </w:r>
          </w:p>
        </w:tc>
        <w:tc>
          <w:tcPr>
            <w:tcW w:w="2200" w:type="dxa"/>
            <w:tcMar>
              <w:top w:w="100" w:type="dxa"/>
              <w:left w:w="140" w:type="dxa"/>
              <w:bottom w:w="100" w:type="dxa"/>
              <w:right w:w="100" w:type="dxa"/>
            </w:tcMar>
          </w:tcPr>
          <w:p>
            <w:pPr>
              <w:spacing w:before="40" w:after="60"/>
            </w:pPr>
            <w:r>
              <w:rPr>
                <w:rFonts w:ascii="Times New Roman" w:hAnsi="Times New Roman"/>
                <w:sz w:val="21"/>
              </w:rPr>
              <w:t>Not applicable</w:t>
            </w:r>
          </w:p>
        </w:tc>
        <w:tc>
          <w:tcPr>
            <w:tcW w:w="2700" w:type="dxa"/>
            <w:tcMar>
              <w:top w:w="100" w:type="dxa"/>
              <w:left w:w="140" w:type="dxa"/>
              <w:bottom w:w="100" w:type="dxa"/>
              <w:right w:w="100" w:type="dxa"/>
            </w:tcMar>
          </w:tcPr>
          <w:p>
            <w:pPr>
              <w:spacing w:before="40" w:after="60"/>
            </w:pPr>
            <w:r>
              <w:rPr>
                <w:rFonts w:ascii="Times New Roman" w:hAnsi="Times New Roman"/>
                <w:sz w:val="21"/>
              </w:rPr>
              <w:t>No model embedded or called at runtime; matching and action plans use rules.</w:t>
            </w:r>
          </w:p>
        </w:tc>
        <w:tc>
          <w:tcPr>
            <w:tcW w:w="2060" w:type="dxa"/>
            <w:tcMar>
              <w:top w:w="100" w:type="dxa"/>
              <w:left w:w="140" w:type="dxa"/>
              <w:bottom w:w="100" w:type="dxa"/>
              <w:right w:w="100" w:type="dxa"/>
            </w:tcMar>
          </w:tcPr>
          <w:p>
            <w:pPr>
              <w:spacing w:before="40" w:after="60"/>
            </w:pPr>
            <w:r>
              <w:rPr>
                <w:rFonts w:ascii="Times New Roman" w:hAnsi="Times New Roman"/>
                <w:sz w:val="21"/>
              </w:rPr>
              <w:t>Not applicable</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cantSplit/>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pPr>
              <w:spacing w:before="40" w:after="60"/>
            </w:pPr>
            <w:r>
              <w:rPr>
                <w:rFonts w:ascii="Times New Roman" w:hAnsi="Times New Roman"/>
                <w:sz w:val="21"/>
              </w:rPr>
              <w:t>DOSM Job Market Insights</w:t>
              <w:br/>
              <w:t>2026 Q1 and Q2</w:t>
              <w:br/>
              <w:t>Five job-advertisement categories</w:t>
            </w:r>
          </w:p>
        </w:tc>
        <w:tc>
          <w:tcPr>
            <w:tcW w:w="2300" w:type="dxa"/>
            <w:tcMar>
              <w:top w:w="100" w:type="dxa"/>
              <w:left w:w="140" w:type="dxa"/>
              <w:bottom w:w="100" w:type="dxa"/>
              <w:right w:w="100" w:type="dxa"/>
            </w:tcMar>
          </w:tcPr>
          <w:p>
            <w:r/>
            <w:hyperlink r:id="rId14">
              <w:r>
                <w:rPr>
                  <w:sz w:val="21"/>
                  <w:color w:val="0563C1"/>
                  <w:u w:val="single"/>
                </w:rPr>
                <w:t>DOSM 2026 Q1</w:t>
              </w:r>
            </w:hyperlink>
            <w:r>
              <w:br/>
            </w:r>
            <w:hyperlink r:id="rId15">
              <w:r>
                <w:rPr>
                  <w:sz w:val="21"/>
                  <w:color w:val="0563C1"/>
                  <w:u w:val="single"/>
                </w:rPr>
                <w:t>DOSM 2026 Q2</w:t>
              </w:r>
            </w:hyperlink>
          </w:p>
        </w:tc>
        <w:tc>
          <w:tcPr>
            <w:tcW w:w="2260" w:type="dxa"/>
            <w:tcMar>
              <w:top w:w="100" w:type="dxa"/>
              <w:left w:w="140" w:type="dxa"/>
              <w:bottom w:w="100" w:type="dxa"/>
              <w:right w:w="100" w:type="dxa"/>
            </w:tcMar>
          </w:tcPr>
          <w:p>
            <w:pPr>
              <w:spacing w:before="40" w:after="60"/>
            </w:pPr>
            <w:r>
              <w:rPr>
                <w:rFonts w:ascii="Times New Roman" w:hAnsi="Times New Roman"/>
                <w:sz w:val="21"/>
              </w:rPr>
              <w:t>Public aggregate statistics</w:t>
              <w:br/>
              <w:t>Saved excerpt</w:t>
            </w:r>
          </w:p>
        </w:tc>
        <w:tc>
          <w:tcPr>
            <w:tcW w:w="1700" w:type="dxa"/>
            <w:tcMar>
              <w:top w:w="100" w:type="dxa"/>
              <w:left w:w="140" w:type="dxa"/>
              <w:bottom w:w="100" w:type="dxa"/>
              <w:right w:w="100" w:type="dxa"/>
            </w:tcMar>
          </w:tcPr>
          <w:p>
            <w:pPr>
              <w:spacing w:before="40" w:after="60"/>
            </w:pPr>
            <w:r>
              <w:rPr>
                <w:rFonts w:ascii="Times New Roman" w:hAnsi="Times New Roman"/>
                <w:sz w:val="21"/>
              </w:rPr>
              <w:t>DOSM / Government Open Data Terms of Use 1.0. Credit DOSM and the quarter; avoid implied endorsement.</w:t>
            </w:r>
            <w:r>
              <w:br/>
            </w:r>
            <w:hyperlink r:id="rId30">
              <w:r>
                <w:rPr>
                  <w:sz w:val="20"/>
                  <w:color w:val="0563C1"/>
                  <w:u w:val="single"/>
                </w:rPr>
                <w:t>DOSM data terms</w:t>
              </w:r>
            </w:hyperlink>
          </w:p>
        </w:tc>
        <w:tc>
          <w:tcPr>
            <w:tcW w:w="1100" w:type="dxa"/>
            <w:tcMar>
              <w:top w:w="100" w:type="dxa"/>
              <w:left w:w="140" w:type="dxa"/>
              <w:bottom w:w="100" w:type="dxa"/>
              <w:right w:w="100" w:type="dxa"/>
            </w:tcMar>
          </w:tcPr>
          <w:p>
            <w:pPr>
              <w:spacing w:before="40" w:after="60"/>
            </w:pPr>
            <w:r>
              <w:rPr>
                <w:rFonts w:ascii="Times New Roman" w:hAnsi="Times New Roman"/>
                <w:sz w:val="21"/>
              </w:rPr>
              <w:t>N</w:t>
            </w:r>
          </w:p>
        </w:tc>
      </w:tr>
      <w:tr w:rsidR="00D151A5" w14:paraId="0BE0E19A" w14:textId="77777777">
        <w:trPr>
          <w:cantSplit/>
          <w:trHeight w:val="520"/>
        </w:trPr>
        <w:tc>
          <w:tcPr>
            <w:tcW w:w="2000" w:type="dxa"/>
            <w:tcMar>
              <w:top w:w="100" w:type="dxa"/>
              <w:left w:w="140" w:type="dxa"/>
              <w:bottom w:w="100" w:type="dxa"/>
              <w:right w:w="100" w:type="dxa"/>
            </w:tcMar>
          </w:tcPr>
          <w:p>
            <w:pPr>
              <w:spacing w:before="40" w:after="60"/>
            </w:pPr>
            <w:r>
              <w:rPr>
                <w:rFonts w:ascii="Times New Roman" w:hAnsi="Times New Roman"/>
                <w:sz w:val="21"/>
              </w:rPr>
              <w:t>O*NET Database 31.0</w:t>
              <w:br/>
              <w:t>Occupation and task tables</w:t>
              <w:br/>
              <w:t>8 occupations; 3 tasks each</w:t>
            </w:r>
          </w:p>
        </w:tc>
        <w:tc>
          <w:tcPr>
            <w:tcW w:w="2300" w:type="dxa"/>
            <w:tcMar>
              <w:top w:w="100" w:type="dxa"/>
              <w:left w:w="140" w:type="dxa"/>
              <w:bottom w:w="100" w:type="dxa"/>
              <w:right w:w="100" w:type="dxa"/>
            </w:tcMar>
          </w:tcPr>
          <w:p>
            <w:r/>
            <w:hyperlink r:id="rId16">
              <w:r>
                <w:rPr>
                  <w:sz w:val="21"/>
                  <w:color w:val="0563C1"/>
                  <w:u w:val="single"/>
                </w:rPr>
                <w:t>O*NET database</w:t>
              </w:r>
            </w:hyperlink>
          </w:p>
        </w:tc>
        <w:tc>
          <w:tcPr>
            <w:tcW w:w="2260" w:type="dxa"/>
            <w:tcMar>
              <w:top w:w="100" w:type="dxa"/>
              <w:left w:w="140" w:type="dxa"/>
              <w:bottom w:w="100" w:type="dxa"/>
              <w:right w:w="100" w:type="dxa"/>
            </w:tcMar>
          </w:tcPr>
          <w:p>
            <w:pPr>
              <w:spacing w:before="40" w:after="60"/>
            </w:pPr>
            <w:r>
              <w:rPr>
                <w:rFonts w:ascii="Times New Roman" w:hAnsi="Times New Roman"/>
                <w:sz w:val="21"/>
              </w:rPr>
              <w:t>Public occupational reference</w:t>
              <w:br/>
              <w:t>Selected subset</w:t>
            </w:r>
          </w:p>
        </w:tc>
        <w:tc>
          <w:tcPr>
            <w:tcW w:w="1700" w:type="dxa"/>
            <w:tcMar>
              <w:top w:w="100" w:type="dxa"/>
              <w:left w:w="140" w:type="dxa"/>
              <w:bottom w:w="100" w:type="dxa"/>
              <w:right w:w="100" w:type="dxa"/>
            </w:tcMar>
          </w:tcPr>
          <w:p>
            <w:pPr>
              <w:spacing w:before="40" w:after="60"/>
            </w:pPr>
            <w:r>
              <w:rPr>
                <w:rFonts w:ascii="Times New Roman" w:hAnsi="Times New Roman"/>
                <w:sz w:val="21"/>
              </w:rPr>
              <w:t>CC BY 4.0. Credit O*NET 31.0 and USDOL/ETA. Identify label edits and custom skill mappings.</w:t>
            </w:r>
            <w:r>
              <w:br/>
            </w:r>
            <w:hyperlink r:id="rId31">
              <w:r>
                <w:rPr>
                  <w:sz w:val="20"/>
                  <w:color w:val="0563C1"/>
                  <w:u w:val="single"/>
                </w:rPr>
                <w:t>O*NET licence</w:t>
              </w:r>
            </w:hyperlink>
            <w:r>
              <w:br/>
            </w:r>
            <w:hyperlink r:id="rId32">
              <w:r>
                <w:rPr>
                  <w:sz w:val="20"/>
                  <w:color w:val="0563C1"/>
                  <w:u w:val="single"/>
                </w:rPr>
                <w:t>CC BY 4.0</w:t>
              </w:r>
            </w:hyperlink>
          </w:p>
        </w:tc>
        <w:tc>
          <w:tcPr>
            <w:tcW w:w="1100" w:type="dxa"/>
            <w:tcMar>
              <w:top w:w="100" w:type="dxa"/>
              <w:left w:w="140" w:type="dxa"/>
              <w:bottom w:w="100" w:type="dxa"/>
              <w:right w:w="100" w:type="dxa"/>
            </w:tcMar>
          </w:tcPr>
          <w:p>
            <w:pPr>
              <w:spacing w:before="40" w:after="60"/>
            </w:pPr>
            <w:r>
              <w:rPr>
                <w:rFonts w:ascii="Times New Roman" w:hAnsi="Times New Roman"/>
                <w:sz w:val="21"/>
              </w:rPr>
              <w:t>N</w:t>
            </w:r>
          </w:p>
        </w:tc>
      </w:tr>
      <w:tr w:rsidR="00D151A5" w14:paraId="03D6BB9A" w14:textId="77777777">
        <w:trPr>
          <w:cantSplit/>
          <w:trHeight w:val="520"/>
        </w:trPr>
        <w:tc>
          <w:tcPr>
            <w:tcW w:w="2000" w:type="dxa"/>
            <w:tcMar>
              <w:top w:w="100" w:type="dxa"/>
              <w:left w:w="140" w:type="dxa"/>
              <w:bottom w:w="100" w:type="dxa"/>
              <w:right w:w="100" w:type="dxa"/>
            </w:tcMar>
          </w:tcPr>
          <w:p>
            <w:pPr>
              <w:spacing w:before="40" w:after="60"/>
            </w:pPr>
            <w:r>
              <w:rPr>
                <w:rFonts w:ascii="Times New Roman" w:hAnsi="Times New Roman"/>
                <w:sz w:val="21"/>
              </w:rPr>
              <w:t>WEF The Future of Jobs Report 2025</w:t>
              <w:br/>
              <w:t>Reference only; report dataset is not ingested</w:t>
            </w:r>
          </w:p>
        </w:tc>
        <w:tc>
          <w:tcPr>
            <w:tcW w:w="2300" w:type="dxa"/>
            <w:tcMar>
              <w:top w:w="100" w:type="dxa"/>
              <w:left w:w="140" w:type="dxa"/>
              <w:bottom w:w="100" w:type="dxa"/>
              <w:right w:w="100" w:type="dxa"/>
            </w:tcMar>
          </w:tcPr>
          <w:p>
            <w:r/>
            <w:hyperlink r:id="rId17">
              <w:r>
                <w:rPr>
                  <w:sz w:val="21"/>
                  <w:color w:val="0563C1"/>
                  <w:u w:val="single"/>
                </w:rPr>
                <w:t>WEF report</w:t>
              </w:r>
            </w:hyperlink>
          </w:p>
        </w:tc>
        <w:tc>
          <w:tcPr>
            <w:tcW w:w="2260" w:type="dxa"/>
            <w:tcMar>
              <w:top w:w="100" w:type="dxa"/>
              <w:left w:w="140" w:type="dxa"/>
              <w:bottom w:w="100" w:type="dxa"/>
              <w:right w:w="100" w:type="dxa"/>
            </w:tcMar>
          </w:tcPr>
          <w:p>
            <w:pPr>
              <w:spacing w:before="40" w:after="60"/>
            </w:pPr>
            <w:r>
              <w:rPr>
                <w:rFonts w:ascii="Times New Roman" w:hAnsi="Times New Roman"/>
                <w:sz w:val="21"/>
              </w:rPr>
              <w:t>Public report reference</w:t>
              <w:br/>
              <w:t>Static metadata and link</w:t>
            </w:r>
          </w:p>
        </w:tc>
        <w:tc>
          <w:tcPr>
            <w:tcW w:w="1700" w:type="dxa"/>
            <w:tcMar>
              <w:top w:w="100" w:type="dxa"/>
              <w:left w:w="140" w:type="dxa"/>
              <w:bottom w:w="100" w:type="dxa"/>
              <w:right w:w="100" w:type="dxa"/>
            </w:tcMar>
          </w:tcPr>
          <w:p>
            <w:pPr>
              <w:spacing w:before="40" w:after="60"/>
            </w:pPr>
            <w:r>
              <w:rPr>
                <w:rFonts w:ascii="Times New Roman" w:hAnsi="Times New Roman"/>
                <w:sz w:val="21"/>
              </w:rPr>
              <w:t>WEF terms; CC BY-NC-ND 4.0 unless specified. Citation/link only; no report redistribution.</w:t>
            </w:r>
            <w:r>
              <w:br/>
            </w:r>
            <w:hyperlink r:id="rId33">
              <w:r>
                <w:rPr>
                  <w:sz w:val="20"/>
                  <w:color w:val="0563C1"/>
                  <w:u w:val="single"/>
                </w:rPr>
                <w:t>WEF licence</w:t>
              </w:r>
            </w:hyperlink>
          </w:p>
        </w:tc>
        <w:tc>
          <w:tcPr>
            <w:tcW w:w="1100" w:type="dxa"/>
            <w:tcMar>
              <w:top w:w="100" w:type="dxa"/>
              <w:left w:w="140" w:type="dxa"/>
              <w:bottom w:w="100" w:type="dxa"/>
              <w:right w:w="100" w:type="dxa"/>
            </w:tcMar>
          </w:tcPr>
          <w:p>
            <w:pPr>
              <w:spacing w:before="40" w:after="60"/>
            </w:pPr>
            <w:r>
              <w:rPr>
                <w:rFonts w:ascii="Times New Roman" w:hAnsi="Times New Roman"/>
                <w:sz w:val="21"/>
              </w:rPr>
              <w:t>N</w:t>
            </w:r>
          </w:p>
        </w:tc>
      </w:tr>
      <w:tr w:rsidR="00D151A5" w14:paraId="3E490F8A" w14:textId="77777777">
        <w:trPr>
          <w:cantSplit/>
          <w:trHeight w:val="520"/>
        </w:trPr>
        <w:tc>
          <w:tcPr>
            <w:tcW w:w="2000" w:type="dxa"/>
            <w:tcMar>
              <w:top w:w="100" w:type="dxa"/>
              <w:left w:w="140" w:type="dxa"/>
              <w:bottom w:w="100" w:type="dxa"/>
              <w:right w:w="100" w:type="dxa"/>
            </w:tcMar>
          </w:tcPr>
          <w:p>
            <w:pPr>
              <w:spacing w:before="40" w:after="60"/>
            </w:pPr>
            <w:r>
              <w:rPr>
                <w:rFonts w:ascii="Times New Roman" w:hAnsi="Times New Roman"/>
                <w:sz w:val="21"/>
              </w:rPr>
              <w:t>arXiv cs.AI RSS</w:t>
              <w:br/>
              <w:t>Research feed</w:t>
              <w:br/>
              <w:t>Current cache: 0 papers</w:t>
            </w:r>
          </w:p>
        </w:tc>
        <w:tc>
          <w:tcPr>
            <w:tcW w:w="2300" w:type="dxa"/>
            <w:tcMar>
              <w:top w:w="100" w:type="dxa"/>
              <w:left w:w="140" w:type="dxa"/>
              <w:bottom w:w="100" w:type="dxa"/>
              <w:right w:w="100" w:type="dxa"/>
            </w:tcMar>
          </w:tcPr>
          <w:p>
            <w:r/>
            <w:hyperlink r:id="rId18">
              <w:r>
                <w:rPr>
                  <w:sz w:val="21"/>
                  <w:color w:val="0563C1"/>
                  <w:u w:val="single"/>
                </w:rPr>
                <w:t>arXiv cs.AI RSS</w:t>
              </w:r>
            </w:hyperlink>
          </w:p>
        </w:tc>
        <w:tc>
          <w:tcPr>
            <w:tcW w:w="2260" w:type="dxa"/>
            <w:tcMar>
              <w:top w:w="100" w:type="dxa"/>
              <w:left w:w="140" w:type="dxa"/>
              <w:bottom w:w="100" w:type="dxa"/>
              <w:right w:w="100" w:type="dxa"/>
            </w:tcMar>
          </w:tcPr>
          <w:p>
            <w:pPr>
              <w:spacing w:before="40" w:after="60"/>
            </w:pPr>
            <w:r>
              <w:rPr>
                <w:rFonts w:ascii="Times New Roman" w:hAnsi="Times New Roman"/>
                <w:sz w:val="21"/>
              </w:rPr>
              <w:t>Public research feed</w:t>
              <w:br/>
              <w:t>Cached response</w:t>
            </w:r>
          </w:p>
        </w:tc>
        <w:tc>
          <w:tcPr>
            <w:tcW w:w="1700" w:type="dxa"/>
            <w:tcMar>
              <w:top w:w="100" w:type="dxa"/>
              <w:left w:w="140" w:type="dxa"/>
              <w:bottom w:w="100" w:type="dxa"/>
              <w:right w:w="100" w:type="dxa"/>
            </w:tcMar>
          </w:tcPr>
          <w:p>
            <w:pPr>
              <w:spacing w:before="40" w:after="60"/>
            </w:pPr>
            <w:r>
              <w:rPr>
                <w:rFonts w:ascii="Times New Roman" w:hAnsi="Times New Roman"/>
                <w:sz w:val="21"/>
              </w:rPr>
              <w:t>CC0 1.0 for metadata; API/RSS terms apply. No paper text redistributed.</w:t>
            </w:r>
            <w:r>
              <w:br/>
            </w:r>
            <w:hyperlink r:id="rId34">
              <w:r>
                <w:rPr>
                  <w:sz w:val="20"/>
                  <w:color w:val="0563C1"/>
                  <w:u w:val="single"/>
                </w:rPr>
                <w:t>arXiv API terms</w:t>
              </w:r>
            </w:hyperlink>
          </w:p>
        </w:tc>
        <w:tc>
          <w:tcPr>
            <w:tcW w:w="1100" w:type="dxa"/>
            <w:tcMar>
              <w:top w:w="100" w:type="dxa"/>
              <w:left w:w="140" w:type="dxa"/>
              <w:bottom w:w="100" w:type="dxa"/>
              <w:right w:w="100" w:type="dxa"/>
            </w:tcMar>
          </w:tcPr>
          <w:p>
            <w:pPr>
              <w:spacing w:before="40" w:after="60"/>
            </w:pPr>
            <w:r>
              <w:rPr>
                <w:rFonts w:ascii="Times New Roman" w:hAnsi="Times New Roman"/>
                <w:sz w:val="21"/>
              </w:rPr>
              <w:t>N</w:t>
            </w:r>
          </w:p>
        </w:tc>
      </w:tr>
      <w:tr>
        <w:trPr>
          <w:cantSplit/>
        </w:trPr>
        <w:tc>
          <w:tcPr>
            <w:tcW w:type="dxa" w:w="2000"/>
          </w:tcPr>
          <w:p>
            <w:pPr>
              <w:spacing w:before="40" w:after="60"/>
            </w:pPr>
            <w:r>
              <w:rPr>
                <w:rFonts w:ascii="Times New Roman" w:hAnsi="Times New Roman"/>
                <w:sz w:val="21"/>
              </w:rPr>
              <w:t>Synthetic test profiles</w:t>
            </w:r>
          </w:p>
        </w:tc>
        <w:tc>
          <w:tcPr>
            <w:tcW w:type="dxa" w:w="2300"/>
          </w:tcPr>
          <w:p>
            <w:pPr>
              <w:spacing w:before="40" w:after="60"/>
            </w:pPr>
            <w:r>
              <w:rPr>
                <w:rFonts w:ascii="Times New Roman" w:hAnsi="Times New Roman"/>
                <w:sz w:val="21"/>
              </w:rPr>
              <w:t>Created by the team for demo testing</w:t>
            </w:r>
          </w:p>
        </w:tc>
        <w:tc>
          <w:tcPr>
            <w:tcW w:type="dxa" w:w="2260"/>
          </w:tcPr>
          <w:p>
            <w:pPr>
              <w:spacing w:before="40" w:after="60"/>
            </w:pPr>
            <w:r>
              <w:rPr>
                <w:rFonts w:ascii="Times New Roman" w:hAnsi="Times New Roman"/>
                <w:sz w:val="21"/>
              </w:rPr>
              <w:t>Synthetic fictional people and work histories</w:t>
            </w:r>
          </w:p>
        </w:tc>
        <w:tc>
          <w:tcPr>
            <w:tcW w:type="dxa" w:w="1700"/>
          </w:tcPr>
          <w:p>
            <w:pPr>
              <w:spacing w:before="40" w:after="60"/>
            </w:pPr>
            <w:r>
              <w:rPr>
                <w:rFonts w:ascii="Times New Roman" w:hAnsi="Times New Roman"/>
                <w:sz w:val="21"/>
              </w:rPr>
              <w:t>Team-created synthetic test material; no third-party dataset license.</w:t>
            </w:r>
          </w:p>
        </w:tc>
        <w:tc>
          <w:tcPr>
            <w:tcW w:type="dxa" w:w="1100"/>
          </w:tcPr>
          <w:p>
            <w:pPr>
              <w:spacing w:before="40" w:after="60"/>
            </w:pPr>
            <w:r>
              <w:rPr>
                <w:rFonts w:ascii="Times New Roman" w:hAnsi="Times New Roman"/>
                <w:sz w:val="21"/>
              </w:rPr>
              <w:t>N</w:t>
            </w:r>
          </w:p>
        </w:tc>
      </w:tr>
    </w:tbl>
    <w:p>
      <w:pPr>
        <w:keepNext w:val="0"/>
        <w:spacing w:before="120" w:after="120"/>
      </w:pPr>
      <w:r>
        <w:rPr>
          <w:rFonts w:ascii="Times New Roman" w:hAnsi="Times New Roman"/>
          <w:sz w:val="21"/>
        </w:rPr>
        <w:t>Source use: DOSM provides saved Q1/Q2 counts, quarterly changes and selected market references, and supports the local-trend sort. O*NET supplies occupation names and task evidence; the demo defines its own skill mappings and matching weights. WEF is a static reference showing the report title, publication date, brief description and official link. arXiv supports research-feed display and manual refresh. Personal match scores are calculated using demo rules. WEF and arXiv do not contribute to matching scores.</w:t>
      </w:r>
    </w:p>
    <w:p>
      <w:pPr>
        <w:spacing w:before="80" w:after="120"/>
      </w:pPr>
      <w:r>
        <w:rPr>
          <w:rFonts w:ascii="Times New Roman" w:hAnsi="Times New Roman"/>
          <w:sz w:val="21"/>
        </w:rPr>
        <w:t>Data source: Department of Statistics Malaysia. Occupational reference: O*NET® 31.0 Database, U.S. Department of Labor, Employment and Training Administration, under CC BY 4.0. Label changes and independent skill mappings are by gravity and do not indicate agency endorsement. Report reference: World Economic Forum, The Future of Jobs Report 2025.</w:t>
      </w:r>
    </w:p>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t>☒ Yes   ☐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cantSplit/>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pPr>
              <w:spacing w:before="40" w:after="60"/>
            </w:pPr>
            <w:r>
              <w:rPr>
                <w:rFonts w:ascii="Times New Roman" w:hAnsi="Times New Roman"/>
                <w:sz w:val="21"/>
              </w:rPr>
              <w:t>ChatGPT</w:t>
              <w:br/>
              <w:t>GPT-6.1 SOL</w:t>
            </w:r>
          </w:p>
        </w:tc>
        <w:tc>
          <w:tcPr>
            <w:tcW w:w="3860" w:type="dxa"/>
            <w:tcMar>
              <w:top w:w="100" w:type="dxa"/>
              <w:left w:w="140" w:type="dxa"/>
              <w:bottom w:w="100" w:type="dxa"/>
              <w:right w:w="100" w:type="dxa"/>
            </w:tcMar>
          </w:tcPr>
          <w:p>
            <w:pPr>
              <w:spacing w:before="40" w:after="60"/>
            </w:pPr>
            <w:r>
              <w:rPr>
                <w:rFonts w:ascii="Times New Roman" w:hAnsi="Times New Roman"/>
                <w:sz w:val="21"/>
              </w:rPr>
              <w:t>Project ideation, requirements clarification, submission documents and initial demo generation.</w:t>
            </w:r>
          </w:p>
        </w:tc>
        <w:tc>
          <w:tcPr>
            <w:tcW w:w="2500" w:type="dxa"/>
            <w:tcMar>
              <w:top w:w="100" w:type="dxa"/>
              <w:left w:w="140" w:type="dxa"/>
              <w:bottom w:w="100" w:type="dxa"/>
              <w:right w:w="100" w:type="dxa"/>
            </w:tcMar>
          </w:tcPr>
          <w:p>
            <w:pPr>
              <w:spacing w:before="40" w:after="60"/>
            </w:pPr>
            <w:r>
              <w:rPr>
                <w:rFonts w:ascii="Times New Roman" w:hAnsi="Times New Roman"/>
                <w:sz w:val="21"/>
              </w:rPr>
              <w:t>Major</w:t>
            </w:r>
          </w:p>
        </w:tc>
      </w:tr>
      <w:tr w:rsidR="00D151A5" w14:paraId="69A988BB" w14:textId="77777777">
        <w:trPr>
          <w:cantSplit/>
          <w:trHeight w:val="520"/>
        </w:trPr>
        <w:tc>
          <w:tcPr>
            <w:tcW w:w="3000" w:type="dxa"/>
            <w:tcMar>
              <w:top w:w="100" w:type="dxa"/>
              <w:left w:w="140" w:type="dxa"/>
              <w:bottom w:w="100" w:type="dxa"/>
              <w:right w:w="100" w:type="dxa"/>
            </w:tcMar>
          </w:tcPr>
          <w:p>
            <w:pPr>
              <w:spacing w:before="40" w:after="60"/>
            </w:pPr>
            <w:r>
              <w:rPr>
                <w:rFonts w:ascii="Times New Roman" w:hAnsi="Times New Roman"/>
                <w:sz w:val="21"/>
              </w:rPr>
              <w:t>OpenAI Codex</w:t>
              <w:br/>
              <w:t>GPT-6 series</w:t>
            </w:r>
          </w:p>
        </w:tc>
        <w:tc>
          <w:tcPr>
            <w:tcW w:w="3860" w:type="dxa"/>
            <w:tcMar>
              <w:top w:w="100" w:type="dxa"/>
              <w:left w:w="140" w:type="dxa"/>
              <w:bottom w:w="100" w:type="dxa"/>
              <w:right w:w="100" w:type="dxa"/>
            </w:tcMar>
          </w:tcPr>
          <w:p>
            <w:pPr>
              <w:spacing w:before="40" w:after="60"/>
            </w:pPr>
            <w:r>
              <w:rPr>
                <w:rFonts w:ascii="Times New Roman" w:hAnsi="Times New Roman"/>
                <w:sz w:val="21"/>
              </w:rPr>
              <w:t>Page design, source-code generation, interactions, data integration and fixes.</w:t>
            </w:r>
          </w:p>
        </w:tc>
        <w:tc>
          <w:tcPr>
            <w:tcW w:w="2500" w:type="dxa"/>
            <w:tcMar>
              <w:top w:w="100" w:type="dxa"/>
              <w:left w:w="140" w:type="dxa"/>
              <w:bottom w:w="100" w:type="dxa"/>
              <w:right w:w="100" w:type="dxa"/>
            </w:tcMar>
          </w:tcPr>
          <w:p>
            <w:pPr>
              <w:spacing w:before="40" w:after="60"/>
            </w:pPr>
            <w:r>
              <w:rPr>
                <w:rFonts w:ascii="Times New Roman" w:hAnsi="Times New Roman"/>
                <w:sz w:val="21"/>
              </w:rPr>
              <w:t>Major</w:t>
            </w:r>
          </w:p>
        </w:tc>
      </w:tr>
      <w:tr>
        <w:trPr>
          <w:cantSplit/>
        </w:trPr>
        <w:tc>
          <w:tcPr>
            <w:tcW w:type="dxa" w:w="3000"/>
          </w:tcPr>
          <w:p>
            <w:pPr>
              <w:spacing w:before="40" w:after="60"/>
            </w:pPr>
            <w:r>
              <w:rPr>
                <w:rFonts w:ascii="Times New Roman" w:hAnsi="Times New Roman"/>
                <w:sz w:val="21"/>
              </w:rPr>
              <w:t>OpenAI image_gen</w:t>
              <w:br/>
              <w:t>GPT Image 2</w:t>
            </w:r>
          </w:p>
        </w:tc>
        <w:tc>
          <w:tcPr>
            <w:tcW w:type="dxa" w:w="3860"/>
          </w:tcPr>
          <w:p>
            <w:pPr>
              <w:spacing w:before="40" w:after="60"/>
            </w:pPr>
            <w:r>
              <w:rPr>
                <w:rFonts w:ascii="Times New Roman" w:hAnsi="Times New Roman"/>
                <w:sz w:val="21"/>
              </w:rPr>
              <w:t>Logo editing and transparent-background asset preparation.</w:t>
            </w:r>
          </w:p>
        </w:tc>
        <w:tc>
          <w:tcPr>
            <w:tcW w:type="dxa" w:w="2500"/>
          </w:tcPr>
          <w:p>
            <w:pPr>
              <w:spacing w:before="40" w:after="60"/>
            </w:pPr>
            <w:r>
              <w:rPr>
                <w:rFonts w:ascii="Times New Roman" w:hAnsi="Times New Roman"/>
                <w:sz w:val="21"/>
              </w:rPr>
              <w:t>Minor</w:t>
            </w:r>
          </w:p>
        </w:tc>
      </w:tr>
      <w:tr>
        <w:trPr>
          <w:cantSplit/>
        </w:trPr>
        <w:tc>
          <w:tcPr>
            <w:tcW w:type="dxa" w:w="3000"/>
          </w:tcPr>
          <w:p>
            <w:pPr>
              <w:spacing w:before="40" w:after="60"/>
            </w:pPr>
            <w:r>
              <w:rPr>
                <w:rFonts w:ascii="Times New Roman" w:hAnsi="Times New Roman"/>
                <w:sz w:val="21"/>
              </w:rPr>
              <w:t>Replit</w:t>
            </w:r>
          </w:p>
        </w:tc>
        <w:tc>
          <w:tcPr>
            <w:tcW w:type="dxa" w:w="3860"/>
          </w:tcPr>
          <w:p>
            <w:pPr>
              <w:spacing w:before="40" w:after="60"/>
            </w:pPr>
            <w:r>
              <w:rPr>
                <w:rFonts w:ascii="Times New Roman" w:hAnsi="Times New Roman"/>
                <w:sz w:val="21"/>
              </w:rPr>
              <w:t>Reviewing the existing prototype and assisting with product refinements and additions, using official competition-provided credits.</w:t>
            </w:r>
          </w:p>
        </w:tc>
        <w:tc>
          <w:tcPr>
            <w:tcW w:type="dxa" w:w="2500"/>
          </w:tcPr>
          <w:p>
            <w:pPr>
              <w:spacing w:before="40" w:after="60"/>
            </w:pPr>
            <w:r>
              <w:rPr>
                <w:rFonts w:ascii="Times New Roman" w:hAnsi="Times New Roman"/>
                <w:sz w:val="21"/>
              </w:rPr>
              <w:t>Minor</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cantSplit/>
        </w:trPr>
        <w:tc>
          <w:tcPr>
            <w:tcW w:w="9360" w:type="dxa"/>
            <w:tcMar>
              <w:top w:w="140" w:type="dxa"/>
              <w:left w:w="160" w:type="dxa"/>
              <w:bottom w:w="140" w:type="dxa"/>
              <w:right w:w="160" w:type="dxa"/>
            </w:tcMar>
          </w:tcPr>
          <w:p>
            <w:pPr>
              <w:spacing w:before="40" w:after="60"/>
            </w:pPr>
            <w:r>
              <w:rPr>
                <w:rFonts w:ascii="Times New Roman" w:hAnsi="Times New Roman"/>
                <w:sz w:val="21"/>
              </w:rPr>
              <w:t>The team manually tested experience entry, career matches and improvement suggestions and reported smooth use. We checked source provenance and cached evidence against the declared roles of DOSM, O*NET, WEF and arXiv. The supplied 0.2 source export passed all 29 existing automated tests, covering matching, plans, records, quarterly comparisons and empty/offline RSS handling. A targeted scan of 54 text files in that export found no common credential patterns; Git history was outside the scan.</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t>☒ Yes   ☐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cantSplit/>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pPr>
              <w:spacing w:before="40" w:after="60"/>
            </w:pPr>
            <w:r>
              <w:rPr>
                <w:rFonts w:ascii="Times New Roman" w:hAnsi="Times New Roman"/>
                <w:sz w:val="21"/>
              </w:rPr>
              <w:t>SDC Hackathon organizers</w:t>
            </w:r>
          </w:p>
        </w:tc>
        <w:tc>
          <w:tcPr>
            <w:tcW w:w="3200" w:type="dxa"/>
            <w:tcMar>
              <w:top w:w="100" w:type="dxa"/>
              <w:left w:w="140" w:type="dxa"/>
              <w:bottom w:w="100" w:type="dxa"/>
              <w:right w:w="100" w:type="dxa"/>
            </w:tcMar>
          </w:tcPr>
          <w:p>
            <w:pPr>
              <w:spacing w:before="40" w:after="60"/>
            </w:pPr>
            <w:r>
              <w:rPr>
                <w:rFonts w:ascii="Times New Roman" w:hAnsi="Times New Roman"/>
                <w:sz w:val="21"/>
              </w:rPr>
              <w:t>Official one-to-one mentor session</w:t>
              <w:br/>
              <w:t>23 October 2026</w:t>
            </w:r>
          </w:p>
        </w:tc>
        <w:tc>
          <w:tcPr>
            <w:tcW w:w="3960" w:type="dxa"/>
            <w:tcMar>
              <w:top w:w="100" w:type="dxa"/>
              <w:left w:w="140" w:type="dxa"/>
              <w:bottom w:w="100" w:type="dxa"/>
              <w:right w:w="100" w:type="dxa"/>
            </w:tcMar>
          </w:tcPr>
          <w:p>
            <w:pPr>
              <w:spacing w:before="40" w:after="60"/>
            </w:pPr>
            <w:r>
              <w:rPr>
                <w:rFonts w:ascii="Times New Roman" w:hAnsi="Times New Roman"/>
                <w:sz w:val="21"/>
              </w:rPr>
              <w:t>Advice on target-user focus, differentiation, validating needs, the business model and preparing a demo.</w:t>
            </w:r>
          </w:p>
        </w:tc>
      </w:tr>
      <w:tr>
        <w:trPr>
          <w:cantSplit/>
        </w:trPr>
        <w:tc>
          <w:tcPr>
            <w:tcW w:type="dxa" w:w="2200"/>
          </w:tcPr>
          <w:p>
            <w:pPr>
              <w:spacing w:before="40" w:after="60"/>
            </w:pPr>
            <w:r>
              <w:rPr>
                <w:rFonts w:ascii="Times New Roman" w:hAnsi="Times New Roman"/>
                <w:sz w:val="21"/>
              </w:rPr>
              <w:t>SDC Hackathon official resource allocation</w:t>
            </w:r>
          </w:p>
        </w:tc>
        <w:tc>
          <w:tcPr>
            <w:tcW w:type="dxa" w:w="3200"/>
          </w:tcPr>
          <w:p>
            <w:pPr>
              <w:spacing w:before="40" w:after="60"/>
            </w:pPr>
            <w:r>
              <w:rPr>
                <w:rFonts w:ascii="Times New Roman" w:hAnsi="Times New Roman"/>
                <w:sz w:val="21"/>
              </w:rPr>
              <w:t>Replit AI-tool credits provided through the competition</w:t>
            </w:r>
          </w:p>
        </w:tc>
        <w:tc>
          <w:tcPr>
            <w:tcW w:type="dxa" w:w="3960"/>
          </w:tcPr>
          <w:p>
            <w:pPr>
              <w:spacing w:before="40" w:after="60"/>
            </w:pPr>
            <w:r>
              <w:rPr>
                <w:rFonts w:ascii="Times New Roman" w:hAnsi="Times New Roman"/>
                <w:sz w:val="21"/>
              </w:rPr>
              <w:t>The team used the official credits to review the existing product and assist with refinements and additions.</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cantSplit/>
        </w:trPr>
        <w:tc>
          <w:tcPr>
            <w:tcW w:w="9360" w:type="dxa"/>
            <w:tcMar>
              <w:top w:w="140" w:type="dxa"/>
              <w:left w:w="160" w:type="dxa"/>
              <w:bottom w:w="140" w:type="dxa"/>
              <w:right w:w="160" w:type="dxa"/>
            </w:tcMar>
          </w:tcPr>
          <w:p>
            <w:pPr>
              <w:spacing w:before="40" w:after="60"/>
            </w:pPr>
            <w:r>
              <w:rPr>
                <w:rFonts w:ascii="Times New Roman" w:hAnsi="Times New Roman"/>
                <w:sz w:val="21"/>
              </w:rPr>
              <w:t>Official mentoring informed project positioning, user validation and demo priorities. Competition-provided Replit credits supported product review and refinement during development. These resources supported the development process rather than acting as runtime dependencies. The submitted prototype can run independently of the mentor session and without spending Replit AI credits. Other development tools could provide comparable review assistance.</w:t>
            </w:r>
          </w:p>
        </w:tc>
      </w:tr>
    </w:tbl>
    <w:p>
      <w:pPr>
        <w:spacing w:before="100" w:after="60"/>
      </w:pPr>
      <w:r>
        <w:rPr>
          <w:rFonts w:ascii="Times New Roman" w:hAnsi="Times New Roman"/>
          <w:b/>
          <w:sz w:val="21"/>
        </w:rPr>
        <w:t>Replit usage evidence</w:t>
      </w:r>
    </w:p>
    <w:p>
      <w:pPr>
        <w:spacing w:before="100" w:after="60"/>
      </w:pPr>
      <w:r>
        <w:rPr>
          <w:rFonts w:ascii="Times New Roman" w:hAnsi="Times New Roman"/>
          <w:b w:val="0"/>
          <w:sz w:val="21"/>
        </w:rPr>
        <w:t>Replit project history or deployment URL: __________________________________</w:t>
      </w:r>
    </w:p>
    <w:p>
      <w:pPr>
        <w:spacing w:before="100" w:after="60"/>
      </w:pPr>
      <w:r>
        <w:rPr>
          <w:rFonts w:ascii="Times New Roman" w:hAnsi="Times New Roman"/>
          <w:b w:val="0"/>
          <w:sz w:val="21"/>
        </w:rPr>
        <w:t>Alternatively, attach a credit-use record identifying the team's own account and project, as required by the Participant Handbook, Section 10.6.</w:t>
      </w:r>
    </w:p>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cantSplit/>
        </w:trPr>
        <w:tc>
          <w:tcPr>
            <w:tcW w:w="9360" w:type="dxa"/>
            <w:tcMar>
              <w:top w:w="140" w:type="dxa"/>
              <w:left w:w="160" w:type="dxa"/>
              <w:bottom w:w="140" w:type="dxa"/>
              <w:right w:w="160" w:type="dxa"/>
            </w:tcMar>
          </w:tcPr>
          <w:p>
            <w:pPr>
              <w:spacing w:before="40" w:after="60"/>
            </w:pPr>
            <w:r>
              <w:rPr>
                <w:rFonts w:ascii="Times New Roman" w:hAnsi="Times New Roman"/>
                <w:sz w:val="21"/>
              </w:rPr>
              <w:t>Testing used fictional people and work histories; no real resumes were used. Profiles and learning records remain in the current browser localStorage, without application-level encryption, until the user clears them. Users can delete records in Record Management using Clear Data, or clear browser site data. Profile contents are not uploaded to a server or AI service, and no GenAI API is called. Requests for optional Google Fonts and the arXiv feed can disclose ordinary connection metadata, such as IP address and browser headers, to those providers. External learning links open provider websites under their own privacy terms.</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cantSplit/>
        </w:trPr>
        <w:tc>
          <w:tcPr>
            <w:tcW w:w="9360" w:type="dxa"/>
            <w:tcMar>
              <w:top w:w="140" w:type="dxa"/>
              <w:left w:w="160" w:type="dxa"/>
              <w:bottom w:w="140" w:type="dxa"/>
              <w:right w:w="160" w:type="dxa"/>
            </w:tcMar>
          </w:tcPr>
          <w:p>
            <w:pPr>
              <w:spacing w:before="40" w:after="60"/>
            </w:pPr>
            <w:r>
              <w:rPr>
                <w:rFonts w:ascii="Times New Roman" w:hAnsi="Times New Roman"/>
                <w:sz w:val="21"/>
              </w:rPr>
              <w:t>Personal match scores use demo-defined rules and weights; they are not validated hiring probabilities. DOSM covers a limited excerpt of online job advertisements and does not establish AI-driven job losses. O*NET is a US occupational reference; this demo retains only eight occupations with three tasks each and uses its own skill mappings. WEF is a static report reference. arXiv may return no entries; the current published cache contains zero papers and the interface reports this state. WEF and arXiv do not affect matching scores.</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rPr>
          <w:cantSplit/>
          <w:tblHeader/>
        </w:trPr>
        <w:tc>
          <w:tcPr>
            <w:tcW w:w="500" w:type="dxa"/>
            <w:tcBorders>
              <w:top w:val="nil"/>
              <w:left w:val="nil"/>
              <w:bottom w:val="nil"/>
              <w:right w:val="nil"/>
            </w:tcBorders>
            <w:tcMar>
              <w:top w:w="60" w:type="dxa"/>
              <w:left w:w="0" w:type="dxa"/>
              <w:bottom w:w="60" w:type="dxa"/>
              <w:right w:w="60" w:type="dxa"/>
            </w:tcMar>
          </w:tcPr>
          <w:p>
            <w:pPr>
              <w:spacing w:before="40" w:after="60"/>
            </w:pPr>
            <w:r>
              <w:rPr>
                <w:rFonts w:ascii="Times New Roman" w:hAnsi="Times New Roman"/>
                <w:sz w:val="24"/>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rPr>
          <w:cantSplit/>
        </w:trPr>
        <w:tc>
          <w:tcPr>
            <w:tcW w:w="500" w:type="dxa"/>
            <w:tcBorders>
              <w:top w:val="nil"/>
              <w:left w:val="nil"/>
              <w:bottom w:val="nil"/>
              <w:right w:val="nil"/>
            </w:tcBorders>
            <w:tcMar>
              <w:top w:w="60" w:type="dxa"/>
              <w:left w:w="0" w:type="dxa"/>
              <w:bottom w:w="60" w:type="dxa"/>
              <w:right w:w="60" w:type="dxa"/>
            </w:tcMar>
          </w:tcPr>
          <w:p>
            <w:pPr>
              <w:spacing w:before="40" w:after="60"/>
            </w:pPr>
            <w:r>
              <w:rPr>
                <w:rFonts w:ascii="Times New Roman" w:hAnsi="Times New Roman"/>
                <w:sz w:val="24"/>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rPr>
          <w:cantSplit/>
        </w:trPr>
        <w:tc>
          <w:tcPr>
            <w:tcW w:w="500" w:type="dxa"/>
            <w:tcBorders>
              <w:top w:val="nil"/>
              <w:left w:val="nil"/>
              <w:bottom w:val="nil"/>
              <w:right w:val="nil"/>
            </w:tcBorders>
            <w:tcMar>
              <w:top w:w="60" w:type="dxa"/>
              <w:left w:w="0" w:type="dxa"/>
              <w:bottom w:w="60" w:type="dxa"/>
              <w:right w:w="60" w:type="dxa"/>
            </w:tcMar>
          </w:tcPr>
          <w:p>
            <w:pPr>
              <w:spacing w:before="40" w:after="60"/>
            </w:pPr>
            <w:r>
              <w:rPr>
                <w:rFonts w:ascii="Times New Roman" w:hAnsi="Times New Roman"/>
                <w:sz w:val="24"/>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rPr>
          <w:cantSplit/>
        </w:trPr>
        <w:tc>
          <w:tcPr>
            <w:tcW w:w="500" w:type="dxa"/>
            <w:tcBorders>
              <w:top w:val="nil"/>
              <w:left w:val="nil"/>
              <w:bottom w:val="nil"/>
              <w:right w:val="nil"/>
            </w:tcBorders>
            <w:tcMar>
              <w:top w:w="60" w:type="dxa"/>
              <w:left w:w="0" w:type="dxa"/>
              <w:bottom w:w="60" w:type="dxa"/>
              <w:right w:w="60" w:type="dxa"/>
            </w:tcMar>
          </w:tcPr>
          <w:p>
            <w:pPr>
              <w:spacing w:before="40" w:after="60"/>
            </w:pPr>
            <w:r>
              <w:rPr>
                <w:rFonts w:ascii="Times New Roman" w:hAnsi="Times New Roman"/>
                <w:sz w:val="24"/>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rPr>
          <w:cantSplit/>
        </w:trPr>
        <w:tc>
          <w:tcPr>
            <w:tcW w:w="500" w:type="dxa"/>
            <w:tcBorders>
              <w:top w:val="nil"/>
              <w:left w:val="nil"/>
              <w:bottom w:val="nil"/>
              <w:right w:val="nil"/>
            </w:tcBorders>
            <w:tcMar>
              <w:top w:w="60" w:type="dxa"/>
              <w:left w:w="0" w:type="dxa"/>
              <w:bottom w:w="60" w:type="dxa"/>
              <w:right w:w="60" w:type="dxa"/>
            </w:tcMar>
          </w:tcPr>
          <w:p>
            <w:pPr>
              <w:spacing w:before="40" w:after="60"/>
            </w:pPr>
            <w:r>
              <w:rPr>
                <w:rFonts w:ascii="Times New Roman" w:hAnsi="Times New Roman"/>
                <w:sz w:val="21"/>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rPr>
          <w:cantSplit/>
        </w:trPr>
        <w:tc>
          <w:tcPr>
            <w:tcW w:w="500" w:type="dxa"/>
            <w:tcBorders>
              <w:top w:val="nil"/>
              <w:left w:val="nil"/>
              <w:bottom w:val="nil"/>
              <w:right w:val="nil"/>
            </w:tcBorders>
            <w:tcMar>
              <w:top w:w="60" w:type="dxa"/>
              <w:left w:w="0" w:type="dxa"/>
              <w:bottom w:w="60" w:type="dxa"/>
              <w:right w:w="60" w:type="dxa"/>
            </w:tcMar>
          </w:tcPr>
          <w:p>
            <w:pPr>
              <w:spacing w:before="40" w:after="60"/>
            </w:pPr>
            <w:r>
              <w:rPr>
                <w:rFonts w:ascii="Times New Roman" w:hAnsi="Times New Roman"/>
                <w:sz w:val="24"/>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rPr>
          <w:cantSplit/>
        </w:trPr>
        <w:tc>
          <w:tcPr>
            <w:tcW w:w="500" w:type="dxa"/>
            <w:tcBorders>
              <w:top w:val="nil"/>
              <w:left w:val="nil"/>
              <w:bottom w:val="nil"/>
              <w:right w:val="nil"/>
            </w:tcBorders>
            <w:tcMar>
              <w:top w:w="60" w:type="dxa"/>
              <w:left w:w="0" w:type="dxa"/>
              <w:bottom w:w="60" w:type="dxa"/>
              <w:right w:w="60" w:type="dxa"/>
            </w:tcMar>
          </w:tcPr>
          <w:p>
            <w:pPr>
              <w:spacing w:before="40" w:after="60"/>
            </w:pPr>
            <w:r>
              <w:rPr>
                <w:rFonts w:ascii="Times New Roman" w:hAnsi="Times New Roman"/>
                <w:sz w:val="24"/>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keepLines/>
        <w:spacing w:after="160" w:before="160"/>
        <w:jc w:val="left"/>
      </w:pPr>
      <w:r>
        <w:rPr>
          <w:rFonts w:ascii="Times New Roman" w:hAnsi="Times New Roman"/>
          <w:sz w:val="24"/>
        </w:rPr>
        <w:t xml:space="preserve">Team leader signature:  </w:t>
      </w:r>
      <w:r>
        <w:rPr>
          <w:rFonts w:ascii="Times New Roman" w:hAnsi="Times New Roman"/>
          <w:sz w:val="24"/>
        </w:rPr>
        <w:drawing>
          <wp:inline xmlns:a="http://schemas.openxmlformats.org/drawingml/2006/main" xmlns:pic="http://schemas.openxmlformats.org/drawingml/2006/picture">
            <wp:extent cx="914400" cy="741731"/>
            <wp:docPr id="1" name="Picture 1" descr="Handwritten signature supplied by WU TONG"/>
            <wp:cNvGraphicFramePr>
              <a:graphicFrameLocks noChangeAspect="1"/>
            </wp:cNvGraphicFramePr>
            <a:graphic>
              <a:graphicData uri="http://schemas.openxmlformats.org/drawingml/2006/picture">
                <pic:pic>
                  <pic:nvPicPr>
                    <pic:cNvPr id="0" name="_cgi-bin_mmwebwx-bin_webwxgetmsgimg__&amp;MsgID=7385750860802140299&amp;skey=@crypt_183e68e7_6d0f2d0000534cd91421b6e5c48508ad&amp;mmweb_appid=wx_webfilehelper.jpg"/>
                    <pic:cNvPicPr/>
                  </pic:nvPicPr>
                  <pic:blipFill>
                    <a:blip r:embed="rId35"/>
                    <a:srcRect l="19287" t="14551" r="32617" b="46436"/>
                    <a:stretch>
                      <a:fillRect/>
                    </a:stretch>
                  </pic:blipFill>
                  <pic:spPr>
                    <a:xfrm>
                      <a:off x="0" y="0"/>
                      <a:ext cx="914400" cy="741731"/>
                    </a:xfrm>
                    <a:prstGeom prst="rect"/>
                  </pic:spPr>
                </pic:pic>
              </a:graphicData>
            </a:graphic>
          </wp:inline>
        </w:drawing>
      </w:r>
      <w:r>
        <w:rPr>
          <w:rFonts w:ascii="Times New Roman" w:hAnsi="Times New Roman"/>
          <w:sz w:val="24"/>
        </w:rPr>
        <w:br/>
        <w:t>Printed name: WU TONG</w:t>
      </w:r>
    </w:p>
    <w:p w14:paraId="5A229A6D" w14:textId="77777777" w:rsidR="00D151A5" w:rsidRDefault="00000000">
      <w:pPr>
        <w:jc w:val="left"/>
      </w:pPr>
      <w:r>
        <w:rPr>
          <w:rFonts w:ascii="Times New Roman" w:hAnsi="Times New Roman"/>
          <w:sz w:val="24"/>
        </w:rPr>
        <w:t>Document date: 25 October 2026</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www.dosm.gov.my/portal-main/release-content/big-data-analytics-job-market-insights-q12026" TargetMode="External"/><Relationship Id="rId15" Type="http://schemas.openxmlformats.org/officeDocument/2006/relationships/hyperlink" Target="https://www.dosm.gov.my/portal-main/release-content/big-data-analytics-job-market-insights-q22026" TargetMode="External"/><Relationship Id="rId16" Type="http://schemas.openxmlformats.org/officeDocument/2006/relationships/hyperlink" Target="https://www.onetcenter.org/database.html" TargetMode="External"/><Relationship Id="rId17" Type="http://schemas.openxmlformats.org/officeDocument/2006/relationships/hyperlink" Target="https://www.weforum.org/publications/the-future-of-jobs-report-2025/" TargetMode="External"/><Relationship Id="rId18" Type="http://schemas.openxmlformats.org/officeDocument/2006/relationships/hyperlink" Target="https://rss.arxiv.org/rss/cs.AI" TargetMode="External"/><Relationship Id="rId19" Type="http://schemas.openxmlformats.org/officeDocument/2006/relationships/hyperlink" Target="https://github.com/mont365789/SDC-hackathon-2026-gravity" TargetMode="External"/><Relationship Id="rId20" Type="http://schemas.openxmlformats.org/officeDocument/2006/relationships/hyperlink" Target="https://repath-ai-0-2.lianghuihu.chatgpt.site/" TargetMode="External"/><Relationship Id="rId21" Type="http://schemas.openxmlformats.org/officeDocument/2006/relationships/hyperlink" Target="https://github.com/nodejs/node/blob/main/LICENSE" TargetMode="External"/><Relationship Id="rId22" Type="http://schemas.openxmlformats.org/officeDocument/2006/relationships/hyperlink" Target="https://docs.python.org/3/license.html" TargetMode="External"/><Relationship Id="rId23" Type="http://schemas.openxmlformats.org/officeDocument/2006/relationships/hyperlink" Target="https://github.com/PowerShell/PowerShell/blob/master/LICENSE.txt" TargetMode="External"/><Relationship Id="rId24" Type="http://schemas.openxmlformats.org/officeDocument/2006/relationships/hyperlink" Target="https://git-scm.com/about" TargetMode="External"/><Relationship Id="rId25" Type="http://schemas.openxmlformats.org/officeDocument/2006/relationships/hyperlink" Target="https://docs.github.com/en/site-policy/github-terms/github-terms-of-service" TargetMode="External"/><Relationship Id="rId26" Type="http://schemas.openxmlformats.org/officeDocument/2006/relationships/hyperlink" Target="https://openai.com/policies/" TargetMode="External"/><Relationship Id="rId27" Type="http://schemas.openxmlformats.org/officeDocument/2006/relationships/hyperlink" Target="https://github.com/microsoft/playwright/blob/main/LICENSE" TargetMode="External"/><Relationship Id="rId28" Type="http://schemas.openxmlformats.org/officeDocument/2006/relationships/hyperlink" Target="https://github.com/google/fonts/blob/main/ofl/dmsans/OFL.txt" TargetMode="External"/><Relationship Id="rId29" Type="http://schemas.openxmlformats.org/officeDocument/2006/relationships/hyperlink" Target="https://github.com/google/fonts/blob/main/ofl/notosanssc/OFL.txt" TargetMode="External"/><Relationship Id="rId30" Type="http://schemas.openxmlformats.org/officeDocument/2006/relationships/hyperlink" Target="https://www.dosm.gov.my/portal-main/article/term-of-use" TargetMode="External"/><Relationship Id="rId31" Type="http://schemas.openxmlformats.org/officeDocument/2006/relationships/hyperlink" Target="https://www.onetcenter.org/license_db.html" TargetMode="External"/><Relationship Id="rId32" Type="http://schemas.openxmlformats.org/officeDocument/2006/relationships/hyperlink" Target="https://creativecommons.org/licenses/by/4.0/" TargetMode="External"/><Relationship Id="rId33" Type="http://schemas.openxmlformats.org/officeDocument/2006/relationships/hyperlink" Target="https://www.weforum.org/about/licence-terms-on-the-use-of-forum-publications-and-materials" TargetMode="External"/><Relationship Id="rId34" Type="http://schemas.openxmlformats.org/officeDocument/2006/relationships/hyperlink" Target="https://info.arxiv.org/help/api/tou.html" TargetMode="External"/><Relationship Id="rId35"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