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81df0b1972765a021c9d44d94da020833e4d2b9"/>
    <w:p>
      <w:pPr>
        <w:pStyle w:val="Heading1"/>
      </w:pPr>
      <w:r>
        <w:t xml:space="preserve">Н. Абакелия, «Символ и ритуал в грузинской культуре»: конспект для игры</w:t>
      </w:r>
    </w:p>
    <w:p>
      <w:pPr>
        <w:pStyle w:val="FirstParagraph"/>
      </w:pPr>
      <w:r>
        <w:rPr>
          <w:bCs/>
          <w:b/>
        </w:rPr>
        <w:t xml:space="preserve">Источник:</w:t>
      </w:r>
      <w:r>
        <w:t xml:space="preserve"> </w:t>
      </w:r>
      <w:hyperlink r:id="rId20">
        <w:r>
          <w:rPr>
            <w:rStyle w:val="Hyperlink"/>
          </w:rPr>
          <w:t xml:space="preserve">ghss.ug.edu.ge</w:t>
        </w:r>
      </w:hyperlink>
      <w:r>
        <w:t xml:space="preserve">, печатные страницы 187–213.</w:t>
      </w:r>
    </w:p>
    <w:p>
      <w:pPr>
        <w:numPr>
          <w:ilvl w:val="0"/>
          <w:numId w:val="1001"/>
        </w:numPr>
        <w:pStyle w:val="Compact"/>
      </w:pPr>
      <w:r>
        <w:t xml:space="preserve">Это расширенное резюме одноимённой монографии.</w:t>
      </w:r>
    </w:p>
    <w:p>
      <w:pPr>
        <w:numPr>
          <w:ilvl w:val="0"/>
          <w:numId w:val="1001"/>
        </w:numPr>
        <w:pStyle w:val="Compact"/>
      </w:pPr>
      <w:r>
        <w:t xml:space="preserve">Прочитано по сканам целиком.</w:t>
      </w:r>
    </w:p>
    <w:p>
      <w:pPr>
        <w:numPr>
          <w:ilvl w:val="0"/>
          <w:numId w:val="1001"/>
        </w:numPr>
        <w:pStyle w:val="Compact"/>
      </w:pPr>
      <w:r>
        <w:t xml:space="preserve">Подробностей мало, библиографии нет.</w:t>
      </w:r>
    </w:p>
    <w:p>
      <w:pPr>
        <w:pStyle w:val="FirstParagraph"/>
      </w:pPr>
      <w:r>
        <w:rPr>
          <w:bCs/>
          <w:b/>
        </w:rPr>
        <w:t xml:space="preserve">Тезис.</w:t>
      </w:r>
      <w:r>
        <w:t xml:space="preserve"> </w:t>
      </w:r>
      <w:r>
        <w:t xml:space="preserve">Грузинская культура — место, где встречаются архаичное и христианское мышление. Древние мифы продолжают жить в обрядах, а символ понимается «по Элиаде», как шифр космоса.</w:t>
      </w:r>
    </w:p>
    <w:p>
      <w:r>
        <w:pict>
          <v:rect style="width:0;height:1.5pt" o:hralign="center" o:hrstd="t" o:hr="t"/>
        </w:pict>
      </w:r>
    </w:p>
    <w:bookmarkStart w:id="28" w:name="главное-для-нас"/>
    <w:p>
      <w:pPr>
        <w:pStyle w:val="Heading2"/>
      </w:pPr>
      <w:r>
        <w:t xml:space="preserve">Главное для нас</w:t>
      </w:r>
    </w:p>
    <w:bookmarkStart w:id="21" w:name="волки-прямая-опора-лора"/>
    <w:p>
      <w:pPr>
        <w:pStyle w:val="Heading3"/>
      </w:pPr>
      <w:r>
        <w:t xml:space="preserve">1. Волки: прямая опора лора</w:t>
      </w:r>
    </w:p>
    <w:p>
      <w:pPr>
        <w:pStyle w:val="BlockText"/>
      </w:pPr>
      <w:r>
        <w:t xml:space="preserve">«Волки сперва помощники „Мориге Гмерти“ (Верховного Бога), позже — волки св. Георгия» (с. 198).</w:t>
      </w:r>
    </w:p>
    <w:p>
      <w:pPr>
        <w:pStyle w:val="FirstParagraph"/>
      </w:pPr>
      <w:r>
        <w:rPr>
          <w:bCs/>
          <w:b/>
        </w:rPr>
        <w:t xml:space="preserve">Это подтверждает схему мира, к которой мы пришли:</w:t>
      </w:r>
    </w:p>
    <w:p>
      <w:pPr>
        <w:numPr>
          <w:ilvl w:val="0"/>
          <w:numId w:val="1002"/>
        </w:numPr>
        <w:pStyle w:val="Compact"/>
      </w:pPr>
      <w:r>
        <w:t xml:space="preserve">Волки — древние слуги верховного бога, и святой Георгий их</w:t>
      </w:r>
      <w:r>
        <w:t xml:space="preserve"> </w:t>
      </w:r>
      <w:r>
        <w:rPr>
          <w:bCs/>
          <w:b/>
        </w:rPr>
        <w:t xml:space="preserve">унаследовал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Вместе с хевсурской строкой «Георгий волчьей масти» у Кикнадзе получаются уже два грузинских источника.</w:t>
      </w:r>
    </w:p>
    <w:p>
      <w:pPr>
        <w:pStyle w:val="FirstParagraph"/>
      </w:pPr>
      <w:r>
        <w:rPr>
          <w:bCs/>
          <w:b/>
        </w:rPr>
        <w:t xml:space="preserve">Ещё о волке и собаке</w:t>
      </w:r>
      <w:r>
        <w:t xml:space="preserve"> </w:t>
      </w:r>
      <w:r>
        <w:t xml:space="preserve">(с. 197–198):</w:t>
      </w:r>
    </w:p>
    <w:p>
      <w:pPr>
        <w:numPr>
          <w:ilvl w:val="0"/>
          <w:numId w:val="1003"/>
        </w:numPr>
        <w:pStyle w:val="Compact"/>
      </w:pPr>
      <w:r>
        <w:t xml:space="preserve">Волк и собака сливаются в один образ.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Небесная собака</w:t>
      </w:r>
      <w:r>
        <w:t xml:space="preserve"> </w:t>
      </w:r>
      <w:r>
        <w:t xml:space="preserve">— олицетворение молнии.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Собака потустороннего мира</w:t>
      </w:r>
      <w:r>
        <w:t xml:space="preserve"> </w:t>
      </w:r>
      <w:r>
        <w:t xml:space="preserve">— проводник душ (психопомп).</w:t>
      </w:r>
    </w:p>
    <w:p>
      <w:pPr>
        <w:numPr>
          <w:ilvl w:val="0"/>
          <w:numId w:val="1003"/>
        </w:numPr>
        <w:pStyle w:val="Compact"/>
      </w:pPr>
      <w:r>
        <w:t xml:space="preserve">Волк и собака как</w:t>
      </w:r>
      <w:r>
        <w:t xml:space="preserve"> </w:t>
      </w:r>
      <w:r>
        <w:rPr>
          <w:bCs/>
          <w:b/>
        </w:rPr>
        <w:t xml:space="preserve">стражи</w:t>
      </w:r>
      <w:r>
        <w:t xml:space="preserve"> </w:t>
      </w:r>
      <w:r>
        <w:t xml:space="preserve">относятся к «обитателям подземелья».</w:t>
      </w:r>
    </w:p>
    <w:p>
      <w:pPr>
        <w:pStyle w:val="FirstParagraph"/>
      </w:pPr>
      <w:r>
        <w:rPr>
          <w:bCs/>
          <w:b/>
        </w:rPr>
        <w:t xml:space="preserve">Для игры:</w:t>
      </w:r>
    </w:p>
    <w:p>
      <w:pPr>
        <w:numPr>
          <w:ilvl w:val="0"/>
          <w:numId w:val="1004"/>
        </w:numPr>
        <w:pStyle w:val="Compact"/>
      </w:pPr>
      <w:r>
        <w:t xml:space="preserve">Стая Вахтанга — стражи порога и проводники в квесквнели.</w:t>
      </w:r>
    </w:p>
    <w:p>
      <w:pPr>
        <w:numPr>
          <w:ilvl w:val="0"/>
          <w:numId w:val="1004"/>
        </w:numPr>
        <w:pStyle w:val="Compact"/>
      </w:pPr>
      <w:r>
        <w:t xml:space="preserve">«Небесный пёс-молния» может стать умением стаи.</w:t>
      </w:r>
    </w:p>
    <w:bookmarkEnd w:id="21"/>
    <w:bookmarkStart w:id="22" w:name="дали-и-охота-с.-198199-202"/>
    <w:p>
      <w:pPr>
        <w:pStyle w:val="Heading3"/>
      </w:pPr>
      <w:r>
        <w:t xml:space="preserve">2. Дали и охота (с. 198–199, 202)</w:t>
      </w:r>
    </w:p>
    <w:p>
      <w:pPr>
        <w:numPr>
          <w:ilvl w:val="0"/>
          <w:numId w:val="1005"/>
        </w:numPr>
        <w:pStyle w:val="Compact"/>
      </w:pPr>
      <w:r>
        <w:t xml:space="preserve">Религиозная основа охотничьего эпоса —</w:t>
      </w:r>
      <w:r>
        <w:t xml:space="preserve"> </w:t>
      </w:r>
      <w:r>
        <w:rPr>
          <w:bCs/>
          <w:b/>
        </w:rPr>
        <w:t xml:space="preserve">любовь богини охоты к смертному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Через</w:t>
      </w:r>
      <w:r>
        <w:t xml:space="preserve"> </w:t>
      </w:r>
      <w:r>
        <w:rPr>
          <w:bCs/>
          <w:b/>
        </w:rPr>
        <w:t xml:space="preserve">собаку</w:t>
      </w:r>
      <w:r>
        <w:t xml:space="preserve"> </w:t>
      </w:r>
      <w:r>
        <w:t xml:space="preserve">богиня награждает или карает охотника.</w:t>
      </w:r>
    </w:p>
    <w:p>
      <w:pPr>
        <w:numPr>
          <w:ilvl w:val="0"/>
          <w:numId w:val="1005"/>
        </w:numPr>
        <w:pStyle w:val="Compact"/>
      </w:pPr>
      <w:r>
        <w:t xml:space="preserve">Сама она является в облике</w:t>
      </w:r>
      <w:r>
        <w:t xml:space="preserve"> </w:t>
      </w:r>
      <w:r>
        <w:rPr>
          <w:bCs/>
          <w:b/>
        </w:rPr>
        <w:t xml:space="preserve">тура или серны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Тёмная сторона:</w:t>
      </w:r>
      <w:r>
        <w:t xml:space="preserve"> </w:t>
      </w:r>
      <w:r>
        <w:t xml:space="preserve">охотник висит вниз головой на скале и на рассвете падает в пропасть. Скала, пещера и пропасть — «женское» место нового рождения. Здесь Дали — «вызывающая страх мать», богиня подземелья и смерти.</w:t>
      </w:r>
    </w:p>
    <w:p>
      <w:pPr>
        <w:pStyle w:val="FirstParagraph"/>
      </w:pPr>
      <w:r>
        <w:t xml:space="preserve">Автор сравнивает эту сцену с Одином, которому приносили в жертву волков, и сама ставит знак вопроса: «мучительная инициация?».</w:t>
      </w:r>
    </w:p>
    <w:p>
      <w:pPr>
        <w:pStyle w:val="BodyText"/>
      </w:pPr>
      <w:r>
        <w:rPr>
          <w:bCs/>
          <w:b/>
        </w:rPr>
        <w:t xml:space="preserve">Для игры:</w:t>
      </w:r>
      <w:r>
        <w:t xml:space="preserve"> </w:t>
      </w:r>
      <w:r>
        <w:t xml:space="preserve">встреча Вахтанга с Дали под Казбеком — это инициация через страх и падение, а не только дар удачи.</w:t>
      </w:r>
    </w:p>
    <w:bookmarkEnd w:id="22"/>
    <w:bookmarkStart w:id="23" w:name="X223bc93388b92adaabb98c6321f8bb2e984c51d"/>
    <w:p>
      <w:pPr>
        <w:pStyle w:val="Heading3"/>
      </w:pPr>
      <w:r>
        <w:t xml:space="preserve">3. Инициация мальчиков: «курати» и «бери» (с. 192–196)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Курати</w:t>
      </w:r>
      <w:r>
        <w:t xml:space="preserve"> </w:t>
      </w:r>
      <w:r>
        <w:t xml:space="preserve">— некладеный бычок, лучшая жертва святому.</w:t>
      </w:r>
      <w:r>
        <w:t xml:space="preserve"> </w:t>
      </w:r>
      <w:r>
        <w:rPr>
          <w:bCs/>
          <w:b/>
        </w:rPr>
        <w:t xml:space="preserve">Бери</w:t>
      </w:r>
      <w:r>
        <w:t xml:space="preserve"> </w:t>
      </w:r>
      <w:r>
        <w:t xml:space="preserve">— «сын», а ещё так называли младенца до первого причастия.</w:t>
      </w:r>
    </w:p>
    <w:p>
      <w:pPr>
        <w:numPr>
          <w:ilvl w:val="0"/>
          <w:numId w:val="1006"/>
        </w:numPr>
        <w:pStyle w:val="Compact"/>
      </w:pPr>
      <w:r>
        <w:t xml:space="preserve">Мальчика посвящают, когда</w:t>
      </w:r>
      <w:r>
        <w:t xml:space="preserve"> </w:t>
      </w:r>
      <w:r>
        <w:rPr>
          <w:bCs/>
          <w:b/>
        </w:rPr>
        <w:t xml:space="preserve">болен ребёнок или в семье нет детей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Схема из трёх частей:</w:t>
      </w:r>
    </w:p>
    <w:p>
      <w:pPr>
        <w:numPr>
          <w:ilvl w:val="1"/>
          <w:numId w:val="1007"/>
        </w:numPr>
        <w:pStyle w:val="Compact"/>
      </w:pPr>
      <w:r>
        <w:t xml:space="preserve">Ребёнка забирают из семьи.</w:t>
      </w:r>
    </w:p>
    <w:p>
      <w:pPr>
        <w:numPr>
          <w:ilvl w:val="1"/>
          <w:numId w:val="1007"/>
        </w:numPr>
        <w:pStyle w:val="Compact"/>
      </w:pPr>
      <w:r>
        <w:t xml:space="preserve">Пограничный период длится от нескольких дней до нескольких лет.</w:t>
      </w:r>
    </w:p>
    <w:p>
      <w:pPr>
        <w:numPr>
          <w:ilvl w:val="1"/>
          <w:numId w:val="1007"/>
        </w:numPr>
        <w:pStyle w:val="Compact"/>
      </w:pPr>
      <w:r>
        <w:t xml:space="preserve">Мальчик возвращается в новом статусе.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Имя не произносят</w:t>
      </w:r>
      <w:r>
        <w:t xml:space="preserve">, ребёнка зовут «курати» или «бери». Он приравнен к жертвенному животному:</w:t>
      </w:r>
      <w:r>
        <w:t xml:space="preserve"> </w:t>
      </w:r>
      <w:r>
        <w:rPr>
          <w:iCs/>
          <w:i/>
        </w:rPr>
        <w:t xml:space="preserve">«как жертвенное животное должно быть заклано, так и юноша-неофит должен перенести и прочувствовать „убиение“»</w:t>
      </w:r>
      <w:r>
        <w:t xml:space="preserve"> </w:t>
      </w:r>
      <w:r>
        <w:t xml:space="preserve">(с. 194).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«Прохождение сквозь бера»</w:t>
      </w:r>
      <w:r>
        <w:t xml:space="preserve"> </w:t>
      </w:r>
      <w:r>
        <w:t xml:space="preserve">— ритуальная порка-испытание.</w:t>
      </w:r>
    </w:p>
    <w:p>
      <w:pPr>
        <w:numPr>
          <w:ilvl w:val="0"/>
          <w:numId w:val="1006"/>
        </w:numPr>
        <w:pStyle w:val="Compact"/>
      </w:pPr>
      <w:r>
        <w:t xml:space="preserve">Отсюда же праздник</w:t>
      </w:r>
      <w:r>
        <w:t xml:space="preserve"> </w:t>
      </w:r>
      <w:r>
        <w:rPr>
          <w:bCs/>
          <w:b/>
        </w:rPr>
        <w:t xml:space="preserve">Берикаоба</w:t>
      </w:r>
      <w:r>
        <w:t xml:space="preserve">: ряженые, шутовской король, ритуальная свадьба и пахота, «убиение берика».</w:t>
      </w:r>
    </w:p>
    <w:p>
      <w:pPr>
        <w:pStyle w:val="FirstParagraph"/>
      </w:pPr>
      <w:r>
        <w:rPr>
          <w:bCs/>
          <w:b/>
        </w:rPr>
        <w:t xml:space="preserve">Для игры:</w:t>
      </w:r>
    </w:p>
    <w:p>
      <w:pPr>
        <w:numPr>
          <w:ilvl w:val="0"/>
          <w:numId w:val="1008"/>
        </w:numPr>
        <w:pStyle w:val="Compact"/>
      </w:pPr>
      <w:r>
        <w:t xml:space="preserve">Зима Вахтанга со стаей — это и есть его посвящение «курати».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Мальчик без имени</w:t>
      </w:r>
      <w:r>
        <w:t xml:space="preserve">: в эти главы в интерфейсе стоит «Бери».</w:t>
      </w:r>
    </w:p>
    <w:p>
      <w:pPr>
        <w:numPr>
          <w:ilvl w:val="0"/>
          <w:numId w:val="1008"/>
        </w:numPr>
        <w:pStyle w:val="Compact"/>
      </w:pPr>
      <w:r>
        <w:t xml:space="preserve">Берикаоба — праздник в поселении. Среди ряженых прячется кудиани или оборотень.</w:t>
      </w:r>
    </w:p>
    <w:bookmarkEnd w:id="23"/>
    <w:bookmarkStart w:id="24" w:name="змей-вешапи-и-бог-грозы-с.-191192"/>
    <w:p>
      <w:pPr>
        <w:pStyle w:val="Heading3"/>
      </w:pPr>
      <w:r>
        <w:t xml:space="preserve">4. Змей-вешапи и «Бог грозы» (с. 191–192)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Змей-вешапи — хозяин воды.</w:t>
      </w:r>
    </w:p>
    <w:p>
      <w:pPr>
        <w:numPr>
          <w:ilvl w:val="0"/>
          <w:numId w:val="1009"/>
        </w:numPr>
        <w:pStyle w:val="Compact"/>
      </w:pPr>
      <w:r>
        <w:t xml:space="preserve">У источников стоят</w:t>
      </w:r>
      <w:r>
        <w:t xml:space="preserve"> </w:t>
      </w:r>
      <w:r>
        <w:rPr>
          <w:bCs/>
          <w:b/>
        </w:rPr>
        <w:t xml:space="preserve">каменные вешапи</w:t>
      </w:r>
      <w:r>
        <w:t xml:space="preserve"> </w:t>
      </w:r>
      <w:r>
        <w:t xml:space="preserve">(вишапи), часто с изображением быка или бычьей шкуры.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Источник — «центр вселенной» и «поле космической битвы»</w:t>
      </w:r>
      <w:r>
        <w:t xml:space="preserve"> </w:t>
      </w:r>
      <w:r>
        <w:t xml:space="preserve">Бога грозы с подземным противником.</w:t>
      </w:r>
    </w:p>
    <w:p>
      <w:pPr>
        <w:pStyle w:val="FirstParagraph"/>
      </w:pPr>
      <w:r>
        <w:rPr>
          <w:bCs/>
          <w:b/>
        </w:rPr>
        <w:t xml:space="preserve">Для игры:</w:t>
      </w:r>
      <w:r>
        <w:t xml:space="preserve"> </w:t>
      </w:r>
      <w:r>
        <w:t xml:space="preserve">каменные вишапи у источников — места силы и арены для боссов-гвелешапи.</w:t>
      </w:r>
    </w:p>
    <w:bookmarkEnd w:id="24"/>
    <w:bookmarkStart w:id="25" w:name="вепрь-зверь-святого-георгия-с.-199201"/>
    <w:p>
      <w:pPr>
        <w:pStyle w:val="Heading3"/>
      </w:pPr>
      <w:r>
        <w:t xml:space="preserve">5. Вепрь — зверь святого Георгия (с. 199–201)</w:t>
      </w:r>
    </w:p>
    <w:p>
      <w:pPr>
        <w:numPr>
          <w:ilvl w:val="0"/>
          <w:numId w:val="1010"/>
        </w:numPr>
        <w:pStyle w:val="Compact"/>
      </w:pPr>
      <w:r>
        <w:t xml:space="preserve">Вепрь — сакральный зверь</w:t>
      </w:r>
      <w:r>
        <w:t xml:space="preserve"> </w:t>
      </w:r>
      <w:r>
        <w:rPr>
          <w:bCs/>
          <w:b/>
        </w:rPr>
        <w:t xml:space="preserve">святого Георгия Стреловержца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Клык вепря = молния = рога полумесяца = солнечный луч.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Некреси:</w:t>
      </w:r>
      <w:r>
        <w:t xml:space="preserve"> </w:t>
      </w:r>
      <w:r>
        <w:t xml:space="preserve">жители спустили свиней на горцев-набежчиков и обратили их в бегство. В память об этом на Рождество в жертву приносили свинью.</w:t>
      </w:r>
    </w:p>
    <w:p>
      <w:pPr>
        <w:pStyle w:val="FirstParagraph"/>
      </w:pPr>
      <w:r>
        <w:t xml:space="preserve">Это противоположно горному запрету: у Кикнадзе от визга свиней святость улетает. Получаем готовый конфликт равнины и гор.</w:t>
      </w:r>
    </w:p>
    <w:bookmarkEnd w:id="25"/>
    <w:bookmarkStart w:id="26" w:name="древо-мира-дом-и-марани-с.-202210"/>
    <w:p>
      <w:pPr>
        <w:pStyle w:val="Heading3"/>
      </w:pPr>
      <w:r>
        <w:t xml:space="preserve">6. Древо мира, дом и марани (с. 202–210)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Дом — микрокосм:</w:t>
      </w:r>
    </w:p>
    <w:p>
      <w:pPr>
        <w:numPr>
          <w:ilvl w:val="1"/>
          <w:numId w:val="1012"/>
        </w:numPr>
        <w:pStyle w:val="Compact"/>
      </w:pPr>
      <w:r>
        <w:t xml:space="preserve">центральный столб</w:t>
      </w:r>
      <w:r>
        <w:t xml:space="preserve"> </w:t>
      </w:r>
      <w:r>
        <w:rPr>
          <w:bCs/>
          <w:b/>
        </w:rPr>
        <w:t xml:space="preserve">дедабодзи</w:t>
      </w:r>
      <w:r>
        <w:t xml:space="preserve"> </w:t>
      </w:r>
      <w:r>
        <w:t xml:space="preserve">(«мать-столп») — ось мира;</w:t>
      </w:r>
    </w:p>
    <w:p>
      <w:pPr>
        <w:numPr>
          <w:ilvl w:val="1"/>
          <w:numId w:val="1012"/>
        </w:numPr>
        <w:pStyle w:val="Compact"/>
      </w:pPr>
      <w:r>
        <w:t xml:space="preserve">потолок — небо;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очаг — вход в подземный мир.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У Божьих врат растёт чудесное древо-алва</w:t>
      </w:r>
      <w:r>
        <w:t xml:space="preserve"> </w:t>
      </w:r>
      <w:r>
        <w:t xml:space="preserve">с гроздьями. Супруги, согрешившие перед ним, гибнут.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Рай — «Солнечный сад», виноградник.</w:t>
      </w:r>
    </w:p>
    <w:p>
      <w:pPr>
        <w:numPr>
          <w:ilvl w:val="0"/>
          <w:numId w:val="1011"/>
        </w:numPr>
        <w:pStyle w:val="Compact"/>
      </w:pPr>
      <w:r>
        <w:t xml:space="preserve">В винном погребе-</w:t>
      </w:r>
      <w:r>
        <w:rPr>
          <w:bCs/>
          <w:b/>
        </w:rPr>
        <w:t xml:space="preserve">марани</w:t>
      </w:r>
      <w:r>
        <w:t xml:space="preserve"> </w:t>
      </w:r>
      <w:r>
        <w:t xml:space="preserve">крестили и венчали.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Квеври «зедаше»</w:t>
      </w:r>
      <w:r>
        <w:t xml:space="preserve"> </w:t>
      </w:r>
      <w:r>
        <w:t xml:space="preserve">посвящены святым, их вскрывают раз в год.</w:t>
      </w:r>
      <w:r>
        <w:t xml:space="preserve"> </w:t>
      </w:r>
      <w:r>
        <w:rPr>
          <w:bCs/>
          <w:b/>
        </w:rPr>
        <w:t xml:space="preserve">Чаша-таси</w:t>
      </w:r>
      <w:r>
        <w:t xml:space="preserve"> </w:t>
      </w:r>
      <w:r>
        <w:t xml:space="preserve">сравнивается с Граалем.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Ложная клятва</w:t>
      </w:r>
      <w:r>
        <w:t xml:space="preserve"> </w:t>
      </w:r>
      <w:r>
        <w:t xml:space="preserve">перед иконой святого Георгия приводит к болезни, болезнь — к искупительному обряду, после которого чужак становится «своим».</w:t>
      </w:r>
    </w:p>
    <w:p>
      <w:pPr>
        <w:pStyle w:val="FirstParagraph"/>
      </w:pPr>
      <w:r>
        <w:rPr>
          <w:bCs/>
          <w:b/>
        </w:rPr>
        <w:t xml:space="preserve">Для игры:</w:t>
      </w:r>
    </w:p>
    <w:p>
      <w:pPr>
        <w:numPr>
          <w:ilvl w:val="0"/>
          <w:numId w:val="1013"/>
        </w:numPr>
        <w:pStyle w:val="Compact"/>
      </w:pPr>
      <w:r>
        <w:t xml:space="preserve">Очаг как вход вниз: в мифе у Кикнадзе ясень вырастает прямо в очаге.</w:t>
      </w:r>
    </w:p>
    <w:p>
      <w:pPr>
        <w:numPr>
          <w:ilvl w:val="0"/>
          <w:numId w:val="1013"/>
        </w:numPr>
        <w:pStyle w:val="Compact"/>
      </w:pPr>
      <w:r>
        <w:t xml:space="preserve">Марани — убежище и место клятв.</w:t>
      </w:r>
    </w:p>
    <w:p>
      <w:pPr>
        <w:numPr>
          <w:ilvl w:val="0"/>
          <w:numId w:val="1013"/>
        </w:numPr>
        <w:pStyle w:val="Compact"/>
      </w:pPr>
      <w:r>
        <w:t xml:space="preserve">Механика «ложная клятва → болезнь → искупление» для репутации.</w:t>
      </w:r>
    </w:p>
    <w:bookmarkEnd w:id="26"/>
    <w:bookmarkStart w:id="27" w:name="реалии-v-века-с.-188189"/>
    <w:p>
      <w:pPr>
        <w:pStyle w:val="Heading3"/>
      </w:pPr>
      <w:r>
        <w:t xml:space="preserve">7. Реалии V века (с. 188–189)</w:t>
      </w:r>
    </w:p>
    <w:p>
      <w:pPr>
        <w:numPr>
          <w:ilvl w:val="0"/>
          <w:numId w:val="1014"/>
        </w:numPr>
        <w:pStyle w:val="Compact"/>
      </w:pPr>
      <w:r>
        <w:t xml:space="preserve">К V веку уже существуют грузинские Евангелия и Псалтирь.</w:t>
      </w:r>
    </w:p>
    <w:p>
      <w:pPr>
        <w:numPr>
          <w:ilvl w:val="0"/>
          <w:numId w:val="1014"/>
        </w:numPr>
        <w:pStyle w:val="Compact"/>
      </w:pPr>
      <w:r>
        <w:t xml:space="preserve">Почитаются</w:t>
      </w:r>
      <w:r>
        <w:t xml:space="preserve"> </w:t>
      </w:r>
      <w:r>
        <w:rPr>
          <w:bCs/>
          <w:b/>
        </w:rPr>
        <w:t xml:space="preserve">Животворящий столп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цепи мученицы Шушаник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Для эпилога первой игры или квеста реликвий во второй.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литература-для-следующего-шага"/>
    <w:p>
      <w:pPr>
        <w:pStyle w:val="Heading2"/>
      </w:pPr>
      <w:r>
        <w:t xml:space="preserve">Литература для следующего шага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Н. Абакелия</w:t>
      </w:r>
      <w:r>
        <w:t xml:space="preserve">, «Миф и ритуал в Западной Грузии» (Тбилиси, 1991) — Великая Мать, Дали, Медея.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Е. Вирсаладзе</w:t>
      </w:r>
      <w:r>
        <w:t xml:space="preserve"> </w:t>
      </w:r>
      <w:r>
        <w:t xml:space="preserve">— грузинский охотничий эпос, богиня охоты и собака.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В. Бардавелидзе</w:t>
      </w:r>
      <w:r>
        <w:t xml:space="preserve"> </w:t>
      </w:r>
      <w:r>
        <w:t xml:space="preserve">— Древо жизни.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Полная монография Абакелии</w:t>
      </w:r>
      <w:r>
        <w:t xml:space="preserve"> </w:t>
      </w:r>
      <w:r>
        <w:t xml:space="preserve">«Символ и ритуал в грузинской культуре».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hss.ug.edu.ge/storage/themes/January2026/PsZVpRc2EXS488tDxx4a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hss.ug.edu.ge/storage/themes/January2026/PsZVpRc2EXS488tDxx4a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2026-10-17T06:21:22Z</dcterms:created>
  <dcterms:modified xsi:type="dcterms:W3CDTF">2026-10-17T06:21:22Z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