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712"/>
            </w:pPr>
          </w:p>
          <w:p>
            <w:pPr>
              <w:pBdr>
                <w:bottom w:val="single" w:color="37DCF2" w:sz="6" w:space="8"/>
              </w:pBdr>
              <w:spacing w:after="500"/>
              <w:ind w:left="1200" w:right="800"/>
            </w:pPr>
            <w:r>
              <w:rPr>
                <w:rFonts w:ascii="Calibri"/>
                <w:color w:val="37DCF2"/>
                <w:spacing w:val="40"/>
                <w:sz w:val="18"/>
                <w:szCs w:val="18"/>
              </w:rPr>
              <w:t xml:space="preserve">S  O  F  T  W  A  R  E     R  E  Q  U  I  R  E  M  E  N  T  S     S  P  E  C  I  F  I  C  A  T  I  O  N     A  N  D     S  Y  S  T  E  M     D  E  S  I  G  N     D  O  C  U  M  E  N  T</w:t>
            </w:r>
          </w:p>
          <w:p>
            <w:pPr>
              <w:spacing w:after="100" w:line="828" w:lineRule="atLeast"/>
              <w:ind w:left="1200"/>
            </w:pPr>
            <w:r>
              <w:rPr>
                <w:rFonts w:ascii="Arial"/>
                <w:b/>
                <w:bCs/>
                <w:color w:val="FFFFFF"/>
                <w:sz w:val="72"/>
                <w:szCs w:val="72"/>
              </w:rPr>
              <w:t xml:space="preserve">TurfCare BD:</w:t>
            </w:r>
          </w:p>
          <w:p>
            <w:pPr>
              <w:spacing w:after="100" w:line="828" w:lineRule="atLeast"/>
              <w:ind w:left="1200"/>
            </w:pPr>
            <w:r>
              <w:rPr>
                <w:rFonts w:ascii="Arial"/>
                <w:b/>
                <w:bCs/>
                <w:color w:val="FFFFFF"/>
                <w:sz w:val="72"/>
                <w:szCs w:val="72"/>
              </w:rPr>
              <w:t xml:space="preserve">Turf Management</w:t>
            </w:r>
          </w:p>
          <w:p>
            <w:pPr>
              <w:spacing w:after="300" w:line="828" w:lineRule="atLeast"/>
              <w:ind w:left="1200"/>
            </w:pPr>
            <w:r>
              <w:rPr>
                <w:rFonts w:ascii="Arial"/>
                <w:b/>
                <w:bCs/>
                <w:color w:val="FFFFFF"/>
                <w:sz w:val="72"/>
                <w:szCs w:val="72"/>
              </w:rPr>
              <w:t xml:space="preserve">System</w:t>
            </w:r>
          </w:p>
          <w:p>
            <w:pPr>
              <w:spacing w:after="800"/>
              <w:ind w:left="1200"/>
            </w:pPr>
            <w:r>
              <w:rPr>
                <w:rFonts w:ascii="Arial"/>
                <w:color w:val="B0B8C0"/>
                <w:sz w:val="24"/>
                <w:szCs w:val="24"/>
              </w:rPr>
              <w:t xml:space="preserve">Requirements and Design Document - MERN Stack SaaS Platform for Bangladesh Sports Field Inspection</w:t>
            </w:r>
          </w:p>
          <w:p>
            <w:pPr>
              <w:pBdr>
                <w:left w:val="single" w:color="37DCF2" w:sz="8" w:space="12"/>
              </w:pBdr>
              <w:spacing w:after="80"/>
              <w:ind w:left="1400"/>
            </w:pPr>
            <w:r>
              <w:rPr>
                <w:rFonts w:ascii="Arial"/>
                <w:color w:val="90989F"/>
                <w:sz w:val="24"/>
                <w:szCs w:val="24"/>
              </w:rPr>
              <w:t xml:space="preserve">Version 1.0  |  August 2026</w:t>
            </w:r>
          </w:p>
          <w:p>
            <w:pPr>
              <w:pBdr>
                <w:left w:val="single" w:color="37DCF2" w:sz="8" w:space="12"/>
              </w:pBdr>
              <w:spacing w:after="80"/>
              <w:ind w:left="1400"/>
            </w:pPr>
            <w:r>
              <w:rPr>
                <w:rFonts w:ascii="Arial"/>
                <w:color w:val="90989F"/>
                <w:sz w:val="24"/>
                <w:szCs w:val="24"/>
              </w:rPr>
              <w:t xml:space="preserve">Technology Stack: MongoDB, Express.js, React, Node.js</w:t>
            </w:r>
          </w:p>
          <w:p>
            <w:pPr>
              <w:pBdr>
                <w:left w:val="single" w:color="37DCF2" w:sz="8" w:space="12"/>
              </w:pBdr>
              <w:spacing w:after="80"/>
              <w:ind w:left="1400"/>
            </w:pPr>
            <w:r>
              <w:rPr>
                <w:rFonts w:ascii="Arial"/>
                <w:color w:val="90989F"/>
                <w:sz w:val="24"/>
                <w:szCs w:val="24"/>
              </w:rPr>
              <w:t xml:space="preserve">Platform Type: Multi-Tenant SaaS</w:t>
            </w:r>
          </w:p>
          <w:p>
            <w:pPr>
              <w:pBdr>
                <w:left w:val="single" w:color="37DCF2" w:sz="8" w:space="12"/>
              </w:pBdr>
              <w:spacing w:after="80"/>
              <w:ind w:left="1400"/>
            </w:pPr>
            <w:r>
              <w:rPr>
                <w:rFonts w:ascii="Arial"/>
                <w:color w:val="90989F"/>
                <w:sz w:val="24"/>
                <w:szCs w:val="24"/>
              </w:rPr>
              <w:t xml:space="preserve">Target Market: Bangladesh Sports Infrastructure</w:t>
            </w:r>
          </w:p>
          <w:p>
            <w:pPr>
              <w:spacing w:before="3712"/>
            </w:pPr>
          </w:p>
          <w:p>
            <w:pPr>
              <w:pBdr>
                <w:top w:val="single" w:color="37DCF2"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TurfCare BD</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PART I: SOFTWARE REQUIREMENTS SPECIFICATION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 Introduction and Project Overview</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1.1 Purpose</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1.2 Scope</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1.3 Definitions and Acronyms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 References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 System Objectives and Goals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 Stakeholder Analysis and User Personas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3.1 System Administrator (Super Admin)</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3.2 Organization Admin</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3.3 Inspector / Field Officer</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3.4 Turf Manager / Groundskeeper</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3.5 Athlete / Coach (View-Only)</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 Functional Requirements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4.1 User Management and Multi-Tenancy</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4.2 Organization and Workspace Management</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4.3 Turf Field Registration and Management</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4.4 Inspection Management</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4.5 Pitch Quality Scoring Engine</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4.6 Maintenance Scheduling and Work Orders</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4.7 Reporting and Analytics Dashboard</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4.8 SaaS Billing and Subscription</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4.9 Notifications and Alerts</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4.10 Admin Panel</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 Non-Functional Requirements</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5.1 Performance</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5.2 Security</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5.3 Scalability</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5.4 Availability and Reliability</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5.5 Localization (Bangla and English)</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5.6 Accessibility</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 Bangladesh Regulatory Compliance</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6.1 BIDA and ICT Division</w:t>
            </w:r>
            <w:r>
              <w:tab/>
            </w:r>
            <w:r>
              <w:fldChar w:fldCharType="begin"/>
            </w:r>
            <w:r>
              <w:instrText xml:space="preserve"> PAGEREF _Toc100033 \h </w:instrText>
            </w:r>
            <w:r>
              <w:fldChar w:fldCharType="separate"/>
            </w:r>
            <w:r>
              <w:t>13</w:t>
            </w:r>
            <w:r>
              <w:fldChar w:fldCharType="end"/>
            </w:r>
          </w:hyperlink>
        </w:p>
        <w:p>
          <w:pPr>
            <w:pStyle w:val="12"/>
            <w:ind w:left="720"/>
            <w:tabs>
              <w:tab w:val="right" w:leader="dot" w:pos="9026"/>
            </w:tabs>
            <w:spacing w:before="120" w:after="60"/>
          </w:pPr>
          <w:hyperlink w:anchor="_Toc100034" w:history="1">
            <w:r>
              <w:rPr>
                <w:rStyle w:val="Hyperlink"/>
              </w:rPr>
              <w:t>6.2 Data Protection Act 2023 and Data Localization</w:t>
            </w:r>
            <w:r>
              <w:tab/>
            </w:r>
            <w:r>
              <w:fldChar w:fldCharType="begin"/>
            </w:r>
            <w:r>
              <w:instrText xml:space="preserve"> PAGEREF _Toc100034 \h </w:instrText>
            </w:r>
            <w:r>
              <w:fldChar w:fldCharType="separate"/>
            </w:r>
            <w:r>
              <w:t>13</w:t>
            </w:r>
            <w:r>
              <w:fldChar w:fldCharType="end"/>
            </w:r>
          </w:hyperlink>
        </w:p>
        <w:p>
          <w:pPr>
            <w:pStyle w:val="12"/>
            <w:ind w:left="720"/>
            <w:tabs>
              <w:tab w:val="right" w:leader="dot" w:pos="9026"/>
            </w:tabs>
            <w:spacing w:before="120" w:after="60"/>
          </w:pPr>
          <w:hyperlink w:anchor="_Toc100035" w:history="1">
            <w:r>
              <w:rPr>
                <w:rStyle w:val="Hyperlink"/>
              </w:rPr>
              <w:t>6.3 Digital Bangladesh Vision 2041</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 User Roles and Permission Matrix</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8. Data Requirements and Domain Model</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9. Use Case Scenarios</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9.1 Cricket Pitch Pre-Match Inspection</w:t>
            </w:r>
            <w:r>
              <w:tab/>
            </w:r>
            <w:r>
              <w:fldChar w:fldCharType="begin"/>
            </w:r>
            <w:r>
              <w:instrText xml:space="preserve"> PAGEREF _Toc100039 \h </w:instrText>
            </w:r>
            <w:r>
              <w:fldChar w:fldCharType="separate"/>
            </w:r>
            <w:r>
              <w:t>15</w:t>
            </w:r>
            <w:r>
              <w:fldChar w:fldCharType="end"/>
            </w:r>
          </w:hyperlink>
        </w:p>
        <w:p>
          <w:pPr>
            <w:pStyle w:val="12"/>
            <w:ind w:left="720"/>
            <w:tabs>
              <w:tab w:val="right" w:leader="dot" w:pos="9026"/>
            </w:tabs>
            <w:spacing w:before="120" w:after="60"/>
          </w:pPr>
          <w:hyperlink w:anchor="_Toc100040" w:history="1">
            <w:r>
              <w:rPr>
                <w:rStyle w:val="Hyperlink"/>
              </w:rPr>
              <w:t>9.2 Maintenance Work Order Lifecycle</w:t>
            </w:r>
            <w:r>
              <w:tab/>
            </w:r>
            <w:r>
              <w:fldChar w:fldCharType="begin"/>
            </w:r>
            <w:r>
              <w:instrText xml:space="preserve"> PAGEREF _Toc100040 \h </w:instrText>
            </w:r>
            <w:r>
              <w:fldChar w:fldCharType="separate"/>
            </w:r>
            <w:r>
              <w:t>15</w:t>
            </w:r>
            <w:r>
              <w:fldChar w:fldCharType="end"/>
            </w:r>
          </w:hyperlink>
        </w:p>
        <w:p>
          <w:pPr>
            <w:pStyle w:val="9"/>
            <w:tabs>
              <w:tab w:val="right" w:leader="dot" w:pos="9026"/>
            </w:tabs>
            <w:spacing w:before="120" w:after="60"/>
          </w:pPr>
          <w:hyperlink w:anchor="_Toc100041" w:history="1">
            <w:r>
              <w:rPr>
                <w:rStyle w:val="Hyperlink"/>
              </w:rPr>
              <w:t>PART II: SYSTEM DESIGN DOCUMENT</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10. System Architecture (High-Level Design)</w:t>
            </w:r>
            <w:r>
              <w:tab/>
            </w:r>
            <w:r>
              <w:fldChar w:fldCharType="begin"/>
            </w:r>
            <w:r>
              <w:instrText xml:space="preserve"> PAGEREF _Toc100042 \h </w:instrText>
            </w:r>
            <w:r>
              <w:fldChar w:fldCharType="separate"/>
            </w:r>
            <w:r>
              <w:t>15</w:t>
            </w:r>
            <w:r>
              <w:fldChar w:fldCharType="end"/>
            </w:r>
          </w:hyperlink>
        </w:p>
        <w:p>
          <w:pPr>
            <w:pStyle w:val="12"/>
            <w:ind w:left="720"/>
            <w:tabs>
              <w:tab w:val="right" w:leader="dot" w:pos="9026"/>
            </w:tabs>
            <w:spacing w:before="120" w:after="60"/>
          </w:pPr>
          <w:hyperlink w:anchor="_Toc100043" w:history="1">
            <w:r>
              <w:rPr>
                <w:rStyle w:val="Hyperlink"/>
              </w:rPr>
              <w:t>10.1 Architecture Overview</w:t>
            </w:r>
            <w:r>
              <w:tab/>
            </w:r>
            <w:r>
              <w:fldChar w:fldCharType="begin"/>
            </w:r>
            <w:r>
              <w:instrText xml:space="preserve"> PAGEREF _Toc100043 \h </w:instrText>
            </w:r>
            <w:r>
              <w:fldChar w:fldCharType="separate"/>
            </w:r>
            <w:r>
              <w:t>15</w:t>
            </w:r>
            <w:r>
              <w:fldChar w:fldCharType="end"/>
            </w:r>
          </w:hyperlink>
        </w:p>
        <w:p>
          <w:pPr>
            <w:pStyle w:val="12"/>
            <w:ind w:left="720"/>
            <w:tabs>
              <w:tab w:val="right" w:leader="dot" w:pos="9026"/>
            </w:tabs>
            <w:spacing w:before="120" w:after="60"/>
          </w:pPr>
          <w:hyperlink w:anchor="_Toc100044" w:history="1">
            <w:r>
              <w:rPr>
                <w:rStyle w:val="Hyperlink"/>
              </w:rPr>
              <w:t>10.2 Technology Stack (MERN)</w:t>
            </w:r>
            <w:r>
              <w:tab/>
            </w:r>
            <w:r>
              <w:fldChar w:fldCharType="begin"/>
            </w:r>
            <w:r>
              <w:instrText xml:space="preserve"> PAGEREF _Toc100044 \h </w:instrText>
            </w:r>
            <w:r>
              <w:fldChar w:fldCharType="separate"/>
            </w:r>
            <w:r>
              <w:t>16</w:t>
            </w:r>
            <w:r>
              <w:fldChar w:fldCharType="end"/>
            </w:r>
          </w:hyperlink>
        </w:p>
        <w:p>
          <w:pPr>
            <w:pStyle w:val="12"/>
            <w:ind w:left="720"/>
            <w:tabs>
              <w:tab w:val="right" w:leader="dot" w:pos="9026"/>
            </w:tabs>
            <w:spacing w:before="120" w:after="60"/>
          </w:pPr>
          <w:hyperlink w:anchor="_Toc100045" w:history="1">
            <w:r>
              <w:rPr>
                <w:rStyle w:val="Hyperlink"/>
              </w:rPr>
              <w:t>10.3 System Component Diagram</w:t>
            </w:r>
            <w:r>
              <w:tab/>
            </w:r>
            <w:r>
              <w:fldChar w:fldCharType="begin"/>
            </w:r>
            <w:r>
              <w:instrText xml:space="preserve"> PAGEREF _Toc100045 \h </w:instrText>
            </w:r>
            <w:r>
              <w:fldChar w:fldCharType="separate"/>
            </w:r>
            <w:r>
              <w:t>16</w:t>
            </w:r>
            <w:r>
              <w:fldChar w:fldCharType="end"/>
            </w:r>
          </w:hyperlink>
        </w:p>
        <w:p>
          <w:pPr>
            <w:pStyle w:val="12"/>
            <w:ind w:left="720"/>
            <w:tabs>
              <w:tab w:val="right" w:leader="dot" w:pos="9026"/>
            </w:tabs>
            <w:spacing w:before="120" w:after="60"/>
          </w:pPr>
          <w:hyperlink w:anchor="_Toc100046" w:history="1">
            <w:r>
              <w:rPr>
                <w:rStyle w:val="Hyperlink"/>
              </w:rPr>
              <w:t>10.4 Multi-Tenancy Architecture</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11. Database Design (Low-Level Design)</w:t>
            </w:r>
            <w:r>
              <w:tab/>
            </w:r>
            <w:r>
              <w:fldChar w:fldCharType="begin"/>
            </w:r>
            <w:r>
              <w:instrText xml:space="preserve"> PAGEREF _Toc100047 \h </w:instrText>
            </w:r>
            <w:r>
              <w:fldChar w:fldCharType="separate"/>
            </w:r>
            <w:r>
              <w:t>17</w:t>
            </w:r>
            <w:r>
              <w:fldChar w:fldCharType="end"/>
            </w:r>
          </w:hyperlink>
        </w:p>
        <w:p>
          <w:pPr>
            <w:pStyle w:val="12"/>
            <w:ind w:left="720"/>
            <w:tabs>
              <w:tab w:val="right" w:leader="dot" w:pos="9026"/>
            </w:tabs>
            <w:spacing w:before="120" w:after="60"/>
          </w:pPr>
          <w:hyperlink w:anchor="_Toc100048" w:history="1">
            <w:r>
              <w:rPr>
                <w:rStyle w:val="Hyperlink"/>
              </w:rPr>
              <w:t>11.1 MongoDB Collections and Schema</w:t>
            </w:r>
            <w:r>
              <w:tab/>
            </w:r>
            <w:r>
              <w:fldChar w:fldCharType="begin"/>
            </w:r>
            <w:r>
              <w:instrText xml:space="preserve"> PAGEREF _Toc100048 \h </w:instrText>
            </w:r>
            <w:r>
              <w:fldChar w:fldCharType="separate"/>
            </w:r>
            <w:r>
              <w:t>17</w:t>
            </w:r>
            <w:r>
              <w:fldChar w:fldCharType="end"/>
            </w:r>
          </w:hyperlink>
        </w:p>
        <w:p>
          <w:pPr>
            <w:pStyle w:val="12"/>
            <w:ind w:left="720"/>
            <w:tabs>
              <w:tab w:val="right" w:leader="dot" w:pos="9026"/>
            </w:tabs>
            <w:spacing w:before="120" w:after="60"/>
          </w:pPr>
          <w:hyperlink w:anchor="_Toc100049" w:history="1">
            <w:r>
              <w:rPr>
                <w:rStyle w:val="Hyperlink"/>
              </w:rPr>
              <w:t>11.2 Entity Relationship Diagram</w:t>
            </w:r>
            <w:r>
              <w:tab/>
            </w:r>
            <w:r>
              <w:fldChar w:fldCharType="begin"/>
            </w:r>
            <w:r>
              <w:instrText xml:space="preserve"> PAGEREF _Toc100049 \h </w:instrText>
            </w:r>
            <w:r>
              <w:fldChar w:fldCharType="separate"/>
            </w:r>
            <w:r>
              <w:t>18</w:t>
            </w:r>
            <w:r>
              <w:fldChar w:fldCharType="end"/>
            </w:r>
          </w:hyperlink>
        </w:p>
        <w:p>
          <w:pPr>
            <w:pStyle w:val="12"/>
            <w:ind w:left="720"/>
            <w:tabs>
              <w:tab w:val="right" w:leader="dot" w:pos="9026"/>
            </w:tabs>
            <w:spacing w:before="120" w:after="60"/>
          </w:pPr>
          <w:hyperlink w:anchor="_Toc100050" w:history="1">
            <w:r>
              <w:rPr>
                <w:rStyle w:val="Hyperlink"/>
              </w:rPr>
              <w:t>11.3 Indexing Strategy</w:t>
            </w:r>
            <w:r>
              <w:tab/>
            </w:r>
            <w:r>
              <w:fldChar w:fldCharType="begin"/>
            </w:r>
            <w:r>
              <w:instrText xml:space="preserve"> PAGEREF _Toc100050 \h </w:instrText>
            </w:r>
            <w:r>
              <w:fldChar w:fldCharType="separate"/>
            </w:r>
            <w:r>
              <w:t>18</w:t>
            </w:r>
            <w:r>
              <w:fldChar w:fldCharType="end"/>
            </w:r>
          </w:hyperlink>
        </w:p>
        <w:p>
          <w:pPr>
            <w:pStyle w:val="12"/>
            <w:ind w:left="720"/>
            <w:tabs>
              <w:tab w:val="right" w:leader="dot" w:pos="9026"/>
            </w:tabs>
            <w:spacing w:before="120" w:after="60"/>
          </w:pPr>
          <w:hyperlink w:anchor="_Toc100051" w:history="1">
            <w:r>
              <w:rPr>
                <w:rStyle w:val="Hyperlink"/>
              </w:rPr>
              <w:t>11.4 Data Migration Strategy</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12. API Design</w:t>
            </w:r>
            <w:r>
              <w:tab/>
            </w:r>
            <w:r>
              <w:fldChar w:fldCharType="begin"/>
            </w:r>
            <w:r>
              <w:instrText xml:space="preserve"> PAGEREF _Toc100052 \h </w:instrText>
            </w:r>
            <w:r>
              <w:fldChar w:fldCharType="separate"/>
            </w:r>
            <w:r>
              <w:t>19</w:t>
            </w:r>
            <w:r>
              <w:fldChar w:fldCharType="end"/>
            </w:r>
          </w:hyperlink>
        </w:p>
        <w:p>
          <w:pPr>
            <w:pStyle w:val="12"/>
            <w:ind w:left="720"/>
            <w:tabs>
              <w:tab w:val="right" w:leader="dot" w:pos="9026"/>
            </w:tabs>
            <w:spacing w:before="120" w:after="60"/>
          </w:pPr>
          <w:hyperlink w:anchor="_Toc100053" w:history="1">
            <w:r>
              <w:rPr>
                <w:rStyle w:val="Hyperlink"/>
              </w:rPr>
              <w:t>12.1 RESTful API Standards</w:t>
            </w:r>
            <w:r>
              <w:tab/>
            </w:r>
            <w:r>
              <w:fldChar w:fldCharType="begin"/>
            </w:r>
            <w:r>
              <w:instrText xml:space="preserve"> PAGEREF _Toc100053 \h </w:instrText>
            </w:r>
            <w:r>
              <w:fldChar w:fldCharType="separate"/>
            </w:r>
            <w:r>
              <w:t>19</w:t>
            </w:r>
            <w:r>
              <w:fldChar w:fldCharType="end"/>
            </w:r>
          </w:hyperlink>
        </w:p>
        <w:p>
          <w:pPr>
            <w:pStyle w:val="12"/>
            <w:ind w:left="720"/>
            <w:tabs>
              <w:tab w:val="right" w:leader="dot" w:pos="9026"/>
            </w:tabs>
            <w:spacing w:before="120" w:after="60"/>
          </w:pPr>
          <w:hyperlink w:anchor="_Toc100054" w:history="1">
            <w:r>
              <w:rPr>
                <w:rStyle w:val="Hyperlink"/>
              </w:rPr>
              <w:t>12.2 Authentication and Authorization APIs</w:t>
            </w:r>
            <w:r>
              <w:tab/>
            </w:r>
            <w:r>
              <w:fldChar w:fldCharType="begin"/>
            </w:r>
            <w:r>
              <w:instrText xml:space="preserve"> PAGEREF _Toc100054 \h </w:instrText>
            </w:r>
            <w:r>
              <w:fldChar w:fldCharType="separate"/>
            </w:r>
            <w:r>
              <w:t>19</w:t>
            </w:r>
            <w:r>
              <w:fldChar w:fldCharType="end"/>
            </w:r>
          </w:hyperlink>
        </w:p>
        <w:p>
          <w:pPr>
            <w:pStyle w:val="12"/>
            <w:ind w:left="720"/>
            <w:tabs>
              <w:tab w:val="right" w:leader="dot" w:pos="9026"/>
            </w:tabs>
            <w:spacing w:before="120" w:after="60"/>
          </w:pPr>
          <w:hyperlink w:anchor="_Toc100055" w:history="1">
            <w:r>
              <w:rPr>
                <w:rStyle w:val="Hyperlink"/>
              </w:rPr>
              <w:t>12.3 Core API Endpoints</w:t>
            </w:r>
            <w:r>
              <w:tab/>
            </w:r>
            <w:r>
              <w:fldChar w:fldCharType="begin"/>
            </w:r>
            <w:r>
              <w:instrText xml:space="preserve"> PAGEREF _Toc100055 \h </w:instrText>
            </w:r>
            <w:r>
              <w:fldChar w:fldCharType="separate"/>
            </w:r>
            <w:r>
              <w:t>19</w:t>
            </w:r>
            <w:r>
              <w:fldChar w:fldCharType="end"/>
            </w:r>
          </w:hyperlink>
        </w:p>
        <w:p>
          <w:pPr>
            <w:pStyle w:val="12"/>
            <w:ind w:left="720"/>
            <w:tabs>
              <w:tab w:val="right" w:leader="dot" w:pos="9026"/>
            </w:tabs>
            <w:spacing w:before="120" w:after="60"/>
          </w:pPr>
          <w:hyperlink w:anchor="_Toc100056" w:history="1">
            <w:r>
              <w:rPr>
                <w:rStyle w:val="Hyperlink"/>
              </w:rPr>
              <w:t>12.4 API Versioning Strategy</w:t>
            </w:r>
            <w:r>
              <w:tab/>
            </w:r>
            <w:r>
              <w:fldChar w:fldCharType="begin"/>
            </w:r>
            <w:r>
              <w:instrText xml:space="preserve"> PAGEREF _Toc100056 \h </w:instrText>
            </w:r>
            <w:r>
              <w:fldChar w:fldCharType="separate"/>
            </w:r>
            <w:r>
              <w:t>20</w:t>
            </w:r>
            <w:r>
              <w:fldChar w:fldCharType="end"/>
            </w:r>
          </w:hyperlink>
        </w:p>
        <w:p>
          <w:pPr>
            <w:pStyle w:val="12"/>
            <w:ind w:left="720"/>
            <w:tabs>
              <w:tab w:val="right" w:leader="dot" w:pos="9026"/>
            </w:tabs>
            <w:spacing w:before="120" w:after="60"/>
          </w:pPr>
          <w:hyperlink w:anchor="_Toc100057" w:history="1">
            <w:r>
              <w:rPr>
                <w:rStyle w:val="Hyperlink"/>
              </w:rPr>
              <w:t>12.5 Error Handling Standards</w:t>
            </w:r>
            <w:r>
              <w:tab/>
            </w:r>
            <w:r>
              <w:fldChar w:fldCharType="begin"/>
            </w:r>
            <w:r>
              <w:instrText xml:space="preserve"> PAGEREF _Toc100057 \h </w:instrText>
            </w:r>
            <w:r>
              <w:fldChar w:fldCharType="separate"/>
            </w:r>
            <w:r>
              <w:t>20</w:t>
            </w:r>
            <w:r>
              <w:fldChar w:fldCharType="end"/>
            </w:r>
          </w:hyperlink>
        </w:p>
        <w:p>
          <w:pPr>
            <w:pStyle w:val="11"/>
            <w:ind w:left="360"/>
            <w:tabs>
              <w:tab w:val="right" w:leader="dot" w:pos="9026"/>
            </w:tabs>
            <w:spacing w:before="120" w:after="60"/>
          </w:pPr>
          <w:hyperlink w:anchor="_Toc100058" w:history="1">
            <w:r>
              <w:rPr>
                <w:rStyle w:val="Hyperlink"/>
              </w:rPr>
              <w:t>13. Frontend Architecture</w:t>
            </w:r>
            <w:r>
              <w:tab/>
            </w:r>
            <w:r>
              <w:fldChar w:fldCharType="begin"/>
            </w:r>
            <w:r>
              <w:instrText xml:space="preserve"> PAGEREF _Toc100058 \h </w:instrText>
            </w:r>
            <w:r>
              <w:fldChar w:fldCharType="separate"/>
            </w:r>
            <w:r>
              <w:t>20</w:t>
            </w:r>
            <w:r>
              <w:fldChar w:fldCharType="end"/>
            </w:r>
          </w:hyperlink>
        </w:p>
        <w:p>
          <w:pPr>
            <w:pStyle w:val="12"/>
            <w:ind w:left="720"/>
            <w:tabs>
              <w:tab w:val="right" w:leader="dot" w:pos="9026"/>
            </w:tabs>
            <w:spacing w:before="120" w:after="60"/>
          </w:pPr>
          <w:hyperlink w:anchor="_Toc100059" w:history="1">
            <w:r>
              <w:rPr>
                <w:rStyle w:val="Hyperlink"/>
              </w:rPr>
              <w:t>13.1 React Application Structure</w:t>
            </w:r>
            <w:r>
              <w:tab/>
            </w:r>
            <w:r>
              <w:fldChar w:fldCharType="begin"/>
            </w:r>
            <w:r>
              <w:instrText xml:space="preserve"> PAGEREF _Toc100059 \h </w:instrText>
            </w:r>
            <w:r>
              <w:fldChar w:fldCharType="separate"/>
            </w:r>
            <w:r>
              <w:t>21</w:t>
            </w:r>
            <w:r>
              <w:fldChar w:fldCharType="end"/>
            </w:r>
          </w:hyperlink>
        </w:p>
        <w:p>
          <w:pPr>
            <w:pStyle w:val="12"/>
            <w:ind w:left="720"/>
            <w:tabs>
              <w:tab w:val="right" w:leader="dot" w:pos="9026"/>
            </w:tabs>
            <w:spacing w:before="120" w:after="60"/>
          </w:pPr>
          <w:hyperlink w:anchor="_Toc100060" w:history="1">
            <w:r>
              <w:rPr>
                <w:rStyle w:val="Hyperlink"/>
              </w:rPr>
              <w:t>13.2 Component Hierarchy</w:t>
            </w:r>
            <w:r>
              <w:tab/>
            </w:r>
            <w:r>
              <w:fldChar w:fldCharType="begin"/>
            </w:r>
            <w:r>
              <w:instrText xml:space="preserve"> PAGEREF _Toc100060 \h </w:instrText>
            </w:r>
            <w:r>
              <w:fldChar w:fldCharType="separate"/>
            </w:r>
            <w:r>
              <w:t>21</w:t>
            </w:r>
            <w:r>
              <w:fldChar w:fldCharType="end"/>
            </w:r>
          </w:hyperlink>
        </w:p>
        <w:p>
          <w:pPr>
            <w:pStyle w:val="12"/>
            <w:ind w:left="720"/>
            <w:tabs>
              <w:tab w:val="right" w:leader="dot" w:pos="9026"/>
            </w:tabs>
            <w:spacing w:before="120" w:after="60"/>
          </w:pPr>
          <w:hyperlink w:anchor="_Toc100061" w:history="1">
            <w:r>
              <w:rPr>
                <w:rStyle w:val="Hyperlink"/>
              </w:rPr>
              <w:t>13.3 State Management (Redux Toolkit)</w:t>
            </w:r>
            <w:r>
              <w:tab/>
            </w:r>
            <w:r>
              <w:fldChar w:fldCharType="begin"/>
            </w:r>
            <w:r>
              <w:instrText xml:space="preserve"> PAGEREF _Toc100061 \h </w:instrText>
            </w:r>
            <w:r>
              <w:fldChar w:fldCharType="separate"/>
            </w:r>
            <w:r>
              <w:t>21</w:t>
            </w:r>
            <w:r>
              <w:fldChar w:fldCharType="end"/>
            </w:r>
          </w:hyperlink>
        </w:p>
        <w:p>
          <w:pPr>
            <w:pStyle w:val="12"/>
            <w:ind w:left="720"/>
            <w:tabs>
              <w:tab w:val="right" w:leader="dot" w:pos="9026"/>
            </w:tabs>
            <w:spacing w:before="120" w:after="60"/>
          </w:pPr>
          <w:hyperlink w:anchor="_Toc100062" w:history="1">
            <w:r>
              <w:rPr>
                <w:rStyle w:val="Hyperlink"/>
              </w:rPr>
              <w:t>13.4 Routing Architecture</w:t>
            </w:r>
            <w:r>
              <w:tab/>
            </w:r>
            <w:r>
              <w:fldChar w:fldCharType="begin"/>
            </w:r>
            <w:r>
              <w:instrText xml:space="preserve"> PAGEREF _Toc100062 \h </w:instrText>
            </w:r>
            <w:r>
              <w:fldChar w:fldCharType="separate"/>
            </w:r>
            <w:r>
              <w:t>21</w:t>
            </w:r>
            <w:r>
              <w:fldChar w:fldCharType="end"/>
            </w:r>
          </w:hyperlink>
        </w:p>
        <w:p>
          <w:pPr>
            <w:pStyle w:val="12"/>
            <w:ind w:left="720"/>
            <w:tabs>
              <w:tab w:val="right" w:leader="dot" w:pos="9026"/>
            </w:tabs>
            <w:spacing w:before="120" w:after="60"/>
          </w:pPr>
          <w:hyperlink w:anchor="_Toc100063" w:history="1">
            <w:r>
              <w:rPr>
                <w:rStyle w:val="Hyperlink"/>
              </w:rPr>
              <w:t>13.5 UI/UX Design Specifications</w:t>
            </w:r>
            <w:r>
              <w:tab/>
            </w:r>
            <w:r>
              <w:fldChar w:fldCharType="begin"/>
            </w:r>
            <w:r>
              <w:instrText xml:space="preserve"> PAGEREF _Toc100063 \h </w:instrText>
            </w:r>
            <w:r>
              <w:fldChar w:fldCharType="separate"/>
            </w:r>
            <w:r>
              <w:t>22</w:t>
            </w:r>
            <w:r>
              <w:fldChar w:fldCharType="end"/>
            </w:r>
          </w:hyperlink>
        </w:p>
        <w:p>
          <w:pPr>
            <w:pStyle w:val="11"/>
            <w:ind w:left="360"/>
            <w:tabs>
              <w:tab w:val="right" w:leader="dot" w:pos="9026"/>
            </w:tabs>
            <w:spacing w:before="120" w:after="60"/>
          </w:pPr>
          <w:hyperlink w:anchor="_Toc100064" w:history="1">
            <w:r>
              <w:rPr>
                <w:rStyle w:val="Hyperlink"/>
              </w:rPr>
              <w:t>14. Authentication and Authorization Design</w:t>
            </w:r>
            <w:r>
              <w:tab/>
            </w:r>
            <w:r>
              <w:fldChar w:fldCharType="begin"/>
            </w:r>
            <w:r>
              <w:instrText xml:space="preserve"> PAGEREF _Toc100064 \h </w:instrText>
            </w:r>
            <w:r>
              <w:fldChar w:fldCharType="separate"/>
            </w:r>
            <w:r>
              <w:t>22</w:t>
            </w:r>
            <w:r>
              <w:fldChar w:fldCharType="end"/>
            </w:r>
          </w:hyperlink>
        </w:p>
        <w:p>
          <w:pPr>
            <w:pStyle w:val="12"/>
            <w:ind w:left="720"/>
            <w:tabs>
              <w:tab w:val="right" w:leader="dot" w:pos="9026"/>
            </w:tabs>
            <w:spacing w:before="120" w:after="60"/>
          </w:pPr>
          <w:hyperlink w:anchor="_Toc100065" w:history="1">
            <w:r>
              <w:rPr>
                <w:rStyle w:val="Hyperlink"/>
              </w:rPr>
              <w:t>14.1 JWT-Based Authentication Flow</w:t>
            </w:r>
            <w:r>
              <w:tab/>
            </w:r>
            <w:r>
              <w:fldChar w:fldCharType="begin"/>
            </w:r>
            <w:r>
              <w:instrText xml:space="preserve"> PAGEREF _Toc100065 \h </w:instrText>
            </w:r>
            <w:r>
              <w:fldChar w:fldCharType="separate"/>
            </w:r>
            <w:r>
              <w:t>22</w:t>
            </w:r>
            <w:r>
              <w:fldChar w:fldCharType="end"/>
            </w:r>
          </w:hyperlink>
        </w:p>
        <w:p>
          <w:pPr>
            <w:pStyle w:val="12"/>
            <w:ind w:left="720"/>
            <w:tabs>
              <w:tab w:val="right" w:leader="dot" w:pos="9026"/>
            </w:tabs>
            <w:spacing w:before="120" w:after="60"/>
          </w:pPr>
          <w:hyperlink w:anchor="_Toc100066" w:history="1">
            <w:r>
              <w:rPr>
                <w:rStyle w:val="Hyperlink"/>
              </w:rPr>
              <w:t>14.2 Role-Based Access Control (RBAC)</w:t>
            </w:r>
            <w:r>
              <w:tab/>
            </w:r>
            <w:r>
              <w:fldChar w:fldCharType="begin"/>
            </w:r>
            <w:r>
              <w:instrText xml:space="preserve"> PAGEREF _Toc100066 \h </w:instrText>
            </w:r>
            <w:r>
              <w:fldChar w:fldCharType="separate"/>
            </w:r>
            <w:r>
              <w:t>22</w:t>
            </w:r>
            <w:r>
              <w:fldChar w:fldCharType="end"/>
            </w:r>
          </w:hyperlink>
        </w:p>
        <w:p>
          <w:pPr>
            <w:pStyle w:val="12"/>
            <w:ind w:left="720"/>
            <w:tabs>
              <w:tab w:val="right" w:leader="dot" w:pos="9026"/>
            </w:tabs>
            <w:spacing w:before="120" w:after="60"/>
          </w:pPr>
          <w:hyperlink w:anchor="_Toc100067" w:history="1">
            <w:r>
              <w:rPr>
                <w:rStyle w:val="Hyperlink"/>
              </w:rPr>
              <w:t>14.3 Multi-Tenancy Isolation</w:t>
            </w:r>
            <w:r>
              <w:tab/>
            </w:r>
            <w:r>
              <w:fldChar w:fldCharType="begin"/>
            </w:r>
            <w:r>
              <w:instrText xml:space="preserve"> PAGEREF _Toc100067 \h </w:instrText>
            </w:r>
            <w:r>
              <w:fldChar w:fldCharType="separate"/>
            </w:r>
            <w:r>
              <w:t>23</w:t>
            </w:r>
            <w:r>
              <w:fldChar w:fldCharType="end"/>
            </w:r>
          </w:hyperlink>
        </w:p>
        <w:p>
          <w:pPr>
            <w:pStyle w:val="11"/>
            <w:ind w:left="360"/>
            <w:tabs>
              <w:tab w:val="right" w:leader="dot" w:pos="9026"/>
            </w:tabs>
            <w:spacing w:before="120" w:after="60"/>
          </w:pPr>
          <w:hyperlink w:anchor="_Toc100068" w:history="1">
            <w:r>
              <w:rPr>
                <w:rStyle w:val="Hyperlink"/>
              </w:rPr>
              <w:t>15. SaaS Billing and Subscription Design</w:t>
            </w:r>
            <w:r>
              <w:tab/>
            </w:r>
            <w:r>
              <w:fldChar w:fldCharType="begin"/>
            </w:r>
            <w:r>
              <w:instrText xml:space="preserve"> PAGEREF _Toc100068 \h </w:instrText>
            </w:r>
            <w:r>
              <w:fldChar w:fldCharType="separate"/>
            </w:r>
            <w:r>
              <w:t>23</w:t>
            </w:r>
            <w:r>
              <w:fldChar w:fldCharType="end"/>
            </w:r>
          </w:hyperlink>
        </w:p>
        <w:p>
          <w:pPr>
            <w:pStyle w:val="12"/>
            <w:ind w:left="720"/>
            <w:tabs>
              <w:tab w:val="right" w:leader="dot" w:pos="9026"/>
            </w:tabs>
            <w:spacing w:before="120" w:after="60"/>
          </w:pPr>
          <w:hyperlink w:anchor="_Toc100069" w:history="1">
            <w:r>
              <w:rPr>
                <w:rStyle w:val="Hyperlink"/>
              </w:rPr>
              <w:t>15.1 Subscription Tiers</w:t>
            </w:r>
            <w:r>
              <w:tab/>
            </w:r>
            <w:r>
              <w:fldChar w:fldCharType="begin"/>
            </w:r>
            <w:r>
              <w:instrText xml:space="preserve"> PAGEREF _Toc100069 \h </w:instrText>
            </w:r>
            <w:r>
              <w:fldChar w:fldCharType="separate"/>
            </w:r>
            <w:r>
              <w:t>23</w:t>
            </w:r>
            <w:r>
              <w:fldChar w:fldCharType="end"/>
            </w:r>
          </w:hyperlink>
        </w:p>
        <w:p>
          <w:pPr>
            <w:pStyle w:val="12"/>
            <w:ind w:left="720"/>
            <w:tabs>
              <w:tab w:val="right" w:leader="dot" w:pos="9026"/>
            </w:tabs>
            <w:spacing w:before="120" w:after="60"/>
          </w:pPr>
          <w:hyperlink w:anchor="_Toc100070" w:history="1">
            <w:r>
              <w:rPr>
                <w:rStyle w:val="Hyperlink"/>
              </w:rPr>
              <w:t>15.2 Pay-Per-Inspection Model</w:t>
            </w:r>
            <w:r>
              <w:tab/>
            </w:r>
            <w:r>
              <w:fldChar w:fldCharType="begin"/>
            </w:r>
            <w:r>
              <w:instrText xml:space="preserve"> PAGEREF _Toc100070 \h </w:instrText>
            </w:r>
            <w:r>
              <w:fldChar w:fldCharType="separate"/>
            </w:r>
            <w:r>
              <w:t>23</w:t>
            </w:r>
            <w:r>
              <w:fldChar w:fldCharType="end"/>
            </w:r>
          </w:hyperlink>
        </w:p>
        <w:p>
          <w:pPr>
            <w:pStyle w:val="12"/>
            <w:ind w:left="720"/>
            <w:tabs>
              <w:tab w:val="right" w:leader="dot" w:pos="9026"/>
            </w:tabs>
            <w:spacing w:before="120" w:after="60"/>
          </w:pPr>
          <w:hyperlink w:anchor="_Toc100071" w:history="1">
            <w:r>
              <w:rPr>
                <w:rStyle w:val="Hyperlink"/>
              </w:rPr>
              <w:t>15.3 Enterprise Custom Plans</w:t>
            </w:r>
            <w:r>
              <w:tab/>
            </w:r>
            <w:r>
              <w:fldChar w:fldCharType="begin"/>
            </w:r>
            <w:r>
              <w:instrText xml:space="preserve"> PAGEREF _Toc100071 \h </w:instrText>
            </w:r>
            <w:r>
              <w:fldChar w:fldCharType="separate"/>
            </w:r>
            <w:r>
              <w:t>23</w:t>
            </w:r>
            <w:r>
              <w:fldChar w:fldCharType="end"/>
            </w:r>
          </w:hyperlink>
        </w:p>
        <w:p>
          <w:pPr>
            <w:pStyle w:val="12"/>
            <w:ind w:left="720"/>
            <w:tabs>
              <w:tab w:val="right" w:leader="dot" w:pos="9026"/>
            </w:tabs>
            <w:spacing w:before="120" w:after="60"/>
          </w:pPr>
          <w:hyperlink w:anchor="_Toc100072" w:history="1">
            <w:r>
              <w:rPr>
                <w:rStyle w:val="Hyperlink"/>
              </w:rPr>
              <w:t>15.4 Payment Gateway Integration (bKash/Nagad/SSLCommerz)</w:t>
            </w:r>
            <w:r>
              <w:tab/>
            </w:r>
            <w:r>
              <w:fldChar w:fldCharType="begin"/>
            </w:r>
            <w:r>
              <w:instrText xml:space="preserve"> PAGEREF _Toc100072 \h </w:instrText>
            </w:r>
            <w:r>
              <w:fldChar w:fldCharType="separate"/>
            </w:r>
            <w:r>
              <w:t>24</w:t>
            </w:r>
            <w:r>
              <w:fldChar w:fldCharType="end"/>
            </w:r>
          </w:hyperlink>
        </w:p>
        <w:p>
          <w:pPr>
            <w:pStyle w:val="11"/>
            <w:ind w:left="360"/>
            <w:tabs>
              <w:tab w:val="right" w:leader="dot" w:pos="9026"/>
            </w:tabs>
            <w:spacing w:before="120" w:after="60"/>
          </w:pPr>
          <w:hyperlink w:anchor="_Toc100073" w:history="1">
            <w:r>
              <w:rPr>
                <w:rStyle w:val="Hyperlink"/>
              </w:rPr>
              <w:t>16. Deployment Architecture</w:t>
            </w:r>
            <w:r>
              <w:tab/>
            </w:r>
            <w:r>
              <w:fldChar w:fldCharType="begin"/>
            </w:r>
            <w:r>
              <w:instrText xml:space="preserve"> PAGEREF _Toc100073 \h </w:instrText>
            </w:r>
            <w:r>
              <w:fldChar w:fldCharType="separate"/>
            </w:r>
            <w:r>
              <w:t>24</w:t>
            </w:r>
            <w:r>
              <w:fldChar w:fldCharType="end"/>
            </w:r>
          </w:hyperlink>
        </w:p>
        <w:p>
          <w:pPr>
            <w:pStyle w:val="12"/>
            <w:ind w:left="720"/>
            <w:tabs>
              <w:tab w:val="right" w:leader="dot" w:pos="9026"/>
            </w:tabs>
            <w:spacing w:before="120" w:after="60"/>
          </w:pPr>
          <w:hyperlink w:anchor="_Toc100074" w:history="1">
            <w:r>
              <w:rPr>
                <w:rStyle w:val="Hyperlink"/>
              </w:rPr>
              <w:t>16.1 Infrastructure Overview</w:t>
            </w:r>
            <w:r>
              <w:tab/>
            </w:r>
            <w:r>
              <w:fldChar w:fldCharType="begin"/>
            </w:r>
            <w:r>
              <w:instrText xml:space="preserve"> PAGEREF _Toc100074 \h </w:instrText>
            </w:r>
            <w:r>
              <w:fldChar w:fldCharType="separate"/>
            </w:r>
            <w:r>
              <w:t>24</w:t>
            </w:r>
            <w:r>
              <w:fldChar w:fldCharType="end"/>
            </w:r>
          </w:hyperlink>
        </w:p>
        <w:p>
          <w:pPr>
            <w:pStyle w:val="12"/>
            <w:ind w:left="720"/>
            <w:tabs>
              <w:tab w:val="right" w:leader="dot" w:pos="9026"/>
            </w:tabs>
            <w:spacing w:before="120" w:after="60"/>
          </w:pPr>
          <w:hyperlink w:anchor="_Toc100075" w:history="1">
            <w:r>
              <w:rPr>
                <w:rStyle w:val="Hyperlink"/>
              </w:rPr>
              <w:t>16.2 CI/CD Pipeline</w:t>
            </w:r>
            <w:r>
              <w:tab/>
            </w:r>
            <w:r>
              <w:fldChar w:fldCharType="begin"/>
            </w:r>
            <w:r>
              <w:instrText xml:space="preserve"> PAGEREF _Toc100075 \h </w:instrText>
            </w:r>
            <w:r>
              <w:fldChar w:fldCharType="separate"/>
            </w:r>
            <w:r>
              <w:t>24</w:t>
            </w:r>
            <w:r>
              <w:fldChar w:fldCharType="end"/>
            </w:r>
          </w:hyperlink>
        </w:p>
        <w:p>
          <w:pPr>
            <w:pStyle w:val="12"/>
            <w:ind w:left="720"/>
            <w:tabs>
              <w:tab w:val="right" w:leader="dot" w:pos="9026"/>
            </w:tabs>
            <w:spacing w:before="120" w:after="60"/>
          </w:pPr>
          <w:hyperlink w:anchor="_Toc100076" w:history="1">
            <w:r>
              <w:rPr>
                <w:rStyle w:val="Hyperlink"/>
              </w:rPr>
              <w:t>16.3 Environment Strategy</w:t>
            </w:r>
            <w:r>
              <w:tab/>
            </w:r>
            <w:r>
              <w:fldChar w:fldCharType="begin"/>
            </w:r>
            <w:r>
              <w:instrText xml:space="preserve"> PAGEREF _Toc100076 \h </w:instrText>
            </w:r>
            <w:r>
              <w:fldChar w:fldCharType="separate"/>
            </w:r>
            <w:r>
              <w:t>25</w:t>
            </w:r>
            <w:r>
              <w:fldChar w:fldCharType="end"/>
            </w:r>
          </w:hyperlink>
        </w:p>
        <w:p>
          <w:pPr>
            <w:pStyle w:val="12"/>
            <w:ind w:left="720"/>
            <w:tabs>
              <w:tab w:val="right" w:leader="dot" w:pos="9026"/>
            </w:tabs>
            <w:spacing w:before="120" w:after="60"/>
          </w:pPr>
          <w:hyperlink w:anchor="_Toc100077" w:history="1">
            <w:r>
              <w:rPr>
                <w:rStyle w:val="Hyperlink"/>
              </w:rPr>
              <w:t>16.4 Monitoring and Logging</w:t>
            </w:r>
            <w:r>
              <w:tab/>
            </w:r>
            <w:r>
              <w:fldChar w:fldCharType="begin"/>
            </w:r>
            <w:r>
              <w:instrText xml:space="preserve"> PAGEREF _Toc100077 \h </w:instrText>
            </w:r>
            <w:r>
              <w:fldChar w:fldCharType="separate"/>
            </w:r>
            <w:r>
              <w:t>25</w:t>
            </w:r>
            <w:r>
              <w:fldChar w:fldCharType="end"/>
            </w:r>
          </w:hyperlink>
        </w:p>
        <w:p>
          <w:pPr>
            <w:pStyle w:val="11"/>
            <w:ind w:left="360"/>
            <w:tabs>
              <w:tab w:val="right" w:leader="dot" w:pos="9026"/>
            </w:tabs>
            <w:spacing w:before="120" w:after="60"/>
          </w:pPr>
          <w:hyperlink w:anchor="_Toc100078" w:history="1">
            <w:r>
              <w:rPr>
                <w:rStyle w:val="Hyperlink"/>
              </w:rPr>
              <w:t>17. Security Design</w:t>
            </w:r>
            <w:r>
              <w:tab/>
            </w:r>
            <w:r>
              <w:fldChar w:fldCharType="begin"/>
            </w:r>
            <w:r>
              <w:instrText xml:space="preserve"> PAGEREF _Toc100078 \h </w:instrText>
            </w:r>
            <w:r>
              <w:fldChar w:fldCharType="separate"/>
            </w:r>
            <w:r>
              <w:t>25</w:t>
            </w:r>
            <w:r>
              <w:fldChar w:fldCharType="end"/>
            </w:r>
          </w:hyperlink>
        </w:p>
        <w:p>
          <w:pPr>
            <w:pStyle w:val="12"/>
            <w:ind w:left="720"/>
            <w:tabs>
              <w:tab w:val="right" w:leader="dot" w:pos="9026"/>
            </w:tabs>
            <w:spacing w:before="120" w:after="60"/>
          </w:pPr>
          <w:hyperlink w:anchor="_Toc100079" w:history="1">
            <w:r>
              <w:rPr>
                <w:rStyle w:val="Hyperlink"/>
              </w:rPr>
              <w:t>17.1 Application Security</w:t>
            </w:r>
            <w:r>
              <w:tab/>
            </w:r>
            <w:r>
              <w:fldChar w:fldCharType="begin"/>
            </w:r>
            <w:r>
              <w:instrText xml:space="preserve"> PAGEREF _Toc100079 \h </w:instrText>
            </w:r>
            <w:r>
              <w:fldChar w:fldCharType="separate"/>
            </w:r>
            <w:r>
              <w:t>25</w:t>
            </w:r>
            <w:r>
              <w:fldChar w:fldCharType="end"/>
            </w:r>
          </w:hyperlink>
        </w:p>
        <w:p>
          <w:pPr>
            <w:pStyle w:val="12"/>
            <w:ind w:left="720"/>
            <w:tabs>
              <w:tab w:val="right" w:leader="dot" w:pos="9026"/>
            </w:tabs>
            <w:spacing w:before="120" w:after="60"/>
          </w:pPr>
          <w:hyperlink w:anchor="_Toc100080" w:history="1">
            <w:r>
              <w:rPr>
                <w:rStyle w:val="Hyperlink"/>
              </w:rPr>
              <w:t>17.2 Data Security</w:t>
            </w:r>
            <w:r>
              <w:tab/>
            </w:r>
            <w:r>
              <w:fldChar w:fldCharType="begin"/>
            </w:r>
            <w:r>
              <w:instrText xml:space="preserve"> PAGEREF _Toc100080 \h </w:instrText>
            </w:r>
            <w:r>
              <w:fldChar w:fldCharType="separate"/>
            </w:r>
            <w:r>
              <w:t>25</w:t>
            </w:r>
            <w:r>
              <w:fldChar w:fldCharType="end"/>
            </w:r>
          </w:hyperlink>
        </w:p>
        <w:p>
          <w:pPr>
            <w:pStyle w:val="12"/>
            <w:ind w:left="720"/>
            <w:tabs>
              <w:tab w:val="right" w:leader="dot" w:pos="9026"/>
            </w:tabs>
            <w:spacing w:before="120" w:after="60"/>
          </w:pPr>
          <w:hyperlink w:anchor="_Toc100081" w:history="1">
            <w:r>
              <w:rPr>
                <w:rStyle w:val="Hyperlink"/>
              </w:rPr>
              <w:t>17.3 API Security</w:t>
            </w:r>
            <w:r>
              <w:tab/>
            </w:r>
            <w:r>
              <w:fldChar w:fldCharType="begin"/>
            </w:r>
            <w:r>
              <w:instrText xml:space="preserve"> PAGEREF _Toc100081 \h </w:instrText>
            </w:r>
            <w:r>
              <w:fldChar w:fldCharType="separate"/>
            </w:r>
            <w:r>
              <w:t>26</w:t>
            </w:r>
            <w:r>
              <w:fldChar w:fldCharType="end"/>
            </w:r>
          </w:hyperlink>
        </w:p>
        <w:p>
          <w:pPr>
            <w:pStyle w:val="11"/>
            <w:ind w:left="360"/>
            <w:tabs>
              <w:tab w:val="right" w:leader="dot" w:pos="9026"/>
            </w:tabs>
            <w:spacing w:before="120" w:after="60"/>
          </w:pPr>
          <w:hyperlink w:anchor="_Toc100082" w:history="1">
            <w:r>
              <w:rPr>
                <w:rStyle w:val="Hyperlink"/>
              </w:rPr>
              <w:t>18. Testing Strategy</w:t>
            </w:r>
            <w:r>
              <w:tab/>
            </w:r>
            <w:r>
              <w:fldChar w:fldCharType="begin"/>
            </w:r>
            <w:r>
              <w:instrText xml:space="preserve"> PAGEREF _Toc100082 \h </w:instrText>
            </w:r>
            <w:r>
              <w:fldChar w:fldCharType="separate"/>
            </w:r>
            <w:r>
              <w:t>26</w:t>
            </w:r>
            <w:r>
              <w:fldChar w:fldCharType="end"/>
            </w:r>
          </w:hyperlink>
        </w:p>
        <w:p>
          <w:pPr>
            <w:pStyle w:val="12"/>
            <w:ind w:left="720"/>
            <w:tabs>
              <w:tab w:val="right" w:leader="dot" w:pos="9026"/>
            </w:tabs>
            <w:spacing w:before="120" w:after="60"/>
          </w:pPr>
          <w:hyperlink w:anchor="_Toc100083" w:history="1">
            <w:r>
              <w:rPr>
                <w:rStyle w:val="Hyperlink"/>
              </w:rPr>
              <w:t>18.1 Unit Testing</w:t>
            </w:r>
            <w:r>
              <w:tab/>
            </w:r>
            <w:r>
              <w:fldChar w:fldCharType="begin"/>
            </w:r>
            <w:r>
              <w:instrText xml:space="preserve"> PAGEREF _Toc100083 \h </w:instrText>
            </w:r>
            <w:r>
              <w:fldChar w:fldCharType="separate"/>
            </w:r>
            <w:r>
              <w:t>26</w:t>
            </w:r>
            <w:r>
              <w:fldChar w:fldCharType="end"/>
            </w:r>
          </w:hyperlink>
        </w:p>
        <w:p>
          <w:pPr>
            <w:pStyle w:val="12"/>
            <w:ind w:left="720"/>
            <w:tabs>
              <w:tab w:val="right" w:leader="dot" w:pos="9026"/>
            </w:tabs>
            <w:spacing w:before="120" w:after="60"/>
          </w:pPr>
          <w:hyperlink w:anchor="_Toc100084" w:history="1">
            <w:r>
              <w:rPr>
                <w:rStyle w:val="Hyperlink"/>
              </w:rPr>
              <w:t>18.2 Integration Testing</w:t>
            </w:r>
            <w:r>
              <w:tab/>
            </w:r>
            <w:r>
              <w:fldChar w:fldCharType="begin"/>
            </w:r>
            <w:r>
              <w:instrText xml:space="preserve"> PAGEREF _Toc100084 \h </w:instrText>
            </w:r>
            <w:r>
              <w:fldChar w:fldCharType="separate"/>
            </w:r>
            <w:r>
              <w:t>26</w:t>
            </w:r>
            <w:r>
              <w:fldChar w:fldCharType="end"/>
            </w:r>
          </w:hyperlink>
        </w:p>
        <w:p>
          <w:pPr>
            <w:pStyle w:val="12"/>
            <w:ind w:left="720"/>
            <w:tabs>
              <w:tab w:val="right" w:leader="dot" w:pos="9026"/>
            </w:tabs>
            <w:spacing w:before="120" w:after="60"/>
          </w:pPr>
          <w:hyperlink w:anchor="_Toc100085" w:history="1">
            <w:r>
              <w:rPr>
                <w:rStyle w:val="Hyperlink"/>
              </w:rPr>
              <w:t>18.3 E2E Testing</w:t>
            </w:r>
            <w:r>
              <w:tab/>
            </w:r>
            <w:r>
              <w:fldChar w:fldCharType="begin"/>
            </w:r>
            <w:r>
              <w:instrText xml:space="preserve"> PAGEREF _Toc100085 \h </w:instrText>
            </w:r>
            <w:r>
              <w:fldChar w:fldCharType="separate"/>
            </w:r>
            <w:r>
              <w:t>27</w:t>
            </w:r>
            <w:r>
              <w:fldChar w:fldCharType="end"/>
            </w:r>
          </w:hyperlink>
        </w:p>
        <w:p>
          <w:pPr>
            <w:pStyle w:val="12"/>
            <w:ind w:left="720"/>
            <w:tabs>
              <w:tab w:val="right" w:leader="dot" w:pos="9026"/>
            </w:tabs>
            <w:spacing w:before="120" w:after="60"/>
          </w:pPr>
          <w:hyperlink w:anchor="_Toc100086" w:history="1">
            <w:r>
              <w:rPr>
                <w:rStyle w:val="Hyperlink"/>
              </w:rPr>
              <w:t>18.4 Performance Testing</w:t>
            </w:r>
            <w:r>
              <w:tab/>
            </w:r>
            <w:r>
              <w:fldChar w:fldCharType="begin"/>
            </w:r>
            <w:r>
              <w:instrText xml:space="preserve"> PAGEREF _Toc100086 \h </w:instrText>
            </w:r>
            <w:r>
              <w:fldChar w:fldCharType="separate"/>
            </w:r>
            <w:r>
              <w:t>27</w:t>
            </w:r>
            <w:r>
              <w:fldChar w:fldCharType="end"/>
            </w:r>
          </w:hyperlink>
        </w:p>
        <w:p>
          <w:pPr>
            <w:pStyle w:val="11"/>
            <w:ind w:left="360"/>
            <w:tabs>
              <w:tab w:val="right" w:leader="dot" w:pos="9026"/>
            </w:tabs>
            <w:spacing w:before="120" w:after="60"/>
          </w:pPr>
          <w:hyperlink w:anchor="_Toc100087" w:history="1">
            <w:r>
              <w:rPr>
                <w:rStyle w:val="Hyperlink"/>
              </w:rPr>
              <w:t>19. Development Roadmap and Milestones</w:t>
            </w:r>
            <w:r>
              <w:tab/>
            </w:r>
            <w:r>
              <w:fldChar w:fldCharType="begin"/>
            </w:r>
            <w:r>
              <w:instrText xml:space="preserve"> PAGEREF _Toc100087 \h </w:instrText>
            </w:r>
            <w:r>
              <w:fldChar w:fldCharType="separate"/>
            </w:r>
            <w:r>
              <w:t>27</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A1628"/>
          <w:sz w:val="32"/>
          <w:szCs w:val="32"/>
        </w:rPr>
        <w:t xml:space="preserve">Executive Summary</w:t>
      </w:r>
      <w:bookmarkEnd w:id="100000"/>
    </w:p>
    <w:p>
      <w:pPr>
        <w:spacing w:after="120" w:line="312"/>
        <w:jc w:val="both"/>
      </w:pPr>
      <w:r>
        <w:rPr>
          <w:rFonts w:ascii="Times New Roman"/>
          <w:color w:val="000000"/>
          <w:sz w:val="24"/>
          <w:szCs w:val="24"/>
        </w:rPr>
        <w:t xml:space="preserve">This document defines the complete Software Requirements Specification (SRS) and System Design Document for the TurfCare BD platform, a fully Software-as-a-Service (SaaS) product designed to digitize and streamline turf inspection and management for sports fields across Bangladesh. The platform specifically targets cricket grounds, football pitches, and multi-sport facilities that require systematic quality assessment, maintenance scheduling, and compliance reporting under Bangladesh cricket and football federation standards.</w:t>
      </w:r>
    </w:p>
    <w:p>
      <w:pPr>
        <w:spacing w:after="120" w:line="312"/>
        <w:jc w:val="both"/>
      </w:pPr>
      <w:r>
        <w:rPr>
          <w:rFonts w:ascii="Times New Roman"/>
          <w:color w:val="000000"/>
          <w:sz w:val="24"/>
          <w:szCs w:val="24"/>
        </w:rPr>
        <w:t xml:space="preserve">Built on the MERN stack (MongoDB, Express.js, React, Node.js), the system adopts a multi-tenant architecture to serve organizations ranging from local sports clubs to national stadiums. The platform provides a comprehensive inspection engine that evaluates pitch conditions across multiple parameters including soil compaction, grass cover density, surface evenness, drainage efficiency, and soil moisture content. Each inspection generates a standardized quality score on a 0-100 scale, enabling objective comparison across venues and over time.</w:t>
      </w:r>
    </w:p>
    <w:p>
      <w:pPr>
        <w:spacing w:after="120" w:line="312"/>
        <w:jc w:val="both"/>
      </w:pPr>
      <w:r>
        <w:rPr>
          <w:rFonts w:ascii="Times New Roman"/>
          <w:color w:val="000000"/>
          <w:sz w:val="24"/>
          <w:szCs w:val="24"/>
        </w:rPr>
        <w:t xml:space="preserve">The SaaS model supports both subscription-based tiers (Free, Basic, Professional, Enterprise) and a pay-per-inspection billing approach, with custom enterprise white-label solutions for large sports organizations. Payment integration is designed for the Bangladesh market, supporting bKash, Nagad, SSLCommerz, and bank transfers. The system enforces data localization as required by the Bangladesh Data Protection Act 2023, with all primary data stored on servers physically located within Bangladesh.</w:t>
      </w:r>
    </w:p>
    <w:p>
      <w:pPr>
        <w:spacing w:after="120" w:line="312"/>
        <w:jc w:val="both"/>
      </w:pPr>
      <w:r>
        <w:rPr>
          <w:rFonts w:ascii="Times New Roman"/>
          <w:color w:val="000000"/>
          <w:sz w:val="24"/>
          <w:szCs w:val="24"/>
        </w:rPr>
        <w:t xml:space="preserve">This document is structured in two parts: Part I covers all functional and non-functional requirements, user roles, regulatory compliance, and domain modeling. Part II provides the complete technical design including system architecture, MongoDB schemas, RESTful API specifications, React component hierarchy, authentication flows, CI/CD pipeline design, and deployment architecture. The development team can use this document as the single source of truth to begin implementation immediately.</w:t>
      </w:r>
    </w:p>
    <w:p>
      <w:pPr>
        <w:pStyle w:val="Heading1"/>
        <w:spacing w:after="200" w:before="480" w:line="312"/>
      </w:pPr>
      <w:bookmarkStart w:id="100001" w:name="_Toc100001"/>
      <w:r>
        <w:rPr>
          <w:rFonts w:ascii="Times New Roman"/>
          <w:b/>
          <w:bCs/>
          <w:color w:val="0A1628"/>
          <w:sz w:val="32"/>
          <w:szCs w:val="32"/>
        </w:rPr>
        <w:t xml:space="preserve">PART I: SOFTWARE REQUIREMENTS SPECIFICATION</w:t>
      </w:r>
      <w:bookmarkEnd w:id="100001"/>
    </w:p>
    <w:p>
      <w:pPr>
        <w:pStyle w:val="Heading2"/>
        <w:spacing w:after="160" w:before="360" w:line="312"/>
      </w:pPr>
      <w:bookmarkStart w:id="100002" w:name="_Toc100002"/>
      <w:r>
        <w:rPr>
          <w:rFonts w:ascii="Times New Roman"/>
          <w:b/>
          <w:bCs/>
          <w:color w:val="0A1628"/>
          <w:sz w:val="28"/>
          <w:szCs w:val="28"/>
        </w:rPr>
        <w:t xml:space="preserve">1. Introduction and Project Overview</w:t>
      </w:r>
      <w:bookmarkEnd w:id="100002"/>
    </w:p>
    <w:p>
      <w:pPr>
        <w:pStyle w:val="Heading3"/>
        <w:spacing w:after="120" w:before="240" w:line="312"/>
      </w:pPr>
      <w:bookmarkStart w:id="100003" w:name="_Toc100003"/>
      <w:r>
        <w:rPr>
          <w:rFonts w:ascii="Times New Roman"/>
          <w:b/>
          <w:bCs/>
          <w:color w:val="0A1628"/>
          <w:sz w:val="24"/>
          <w:szCs w:val="24"/>
        </w:rPr>
        <w:t xml:space="preserve">1.1 Purpose</w:t>
      </w:r>
      <w:bookmarkEnd w:id="100003"/>
    </w:p>
    <w:p>
      <w:pPr>
        <w:spacing w:after="120" w:line="312"/>
        <w:jc w:val="both"/>
      </w:pPr>
      <w:r>
        <w:rPr>
          <w:rFonts w:ascii="Times New Roman"/>
          <w:color w:val="000000"/>
          <w:sz w:val="24"/>
          <w:szCs w:val="24"/>
        </w:rPr>
        <w:t xml:space="preserve">The purpose of this document is to define the complete set of requirements and technical design for TurfCare BD, a cloud-native SaaS platform for turf management and inspection specifically designed for the Bangladesh sports industry. Cricket is the dominant sport in Bangladesh, and the Bangladesh Cricket Board (BCB) maintains strict ground preparation standards. Football is the second most popular sport, with the Bangladesh Football Federation (BFF) also requiring pitch quality compliance for professional and semi-professional venues. This system addresses the critical gap in digital turf management tools available in the local market, where most ground maintenance still relies on manual record-keeping and subjective visual assessment.</w:t>
      </w:r>
    </w:p>
    <w:p>
      <w:pPr>
        <w:spacing w:after="120" w:line="312"/>
        <w:jc w:val="both"/>
      </w:pPr>
      <w:r>
        <w:rPr>
          <w:rFonts w:ascii="Times New Roman"/>
          <w:color w:val="000000"/>
          <w:sz w:val="24"/>
          <w:szCs w:val="24"/>
        </w:rPr>
        <w:t xml:space="preserve">This document serves as the authoritative reference for the development team, QA engineers, DevOps engineers, and project stakeholders. It eliminates ambiguity by providing explicit functional requirements with acceptance criteria, complete database schemas, API endpoint specifications, and deployment architecture. Every requirement is traceable to a specific user story and testable outcome, ensuring the development team can begin coding without requiring additional clarification.</w:t>
      </w:r>
    </w:p>
    <w:p>
      <w:pPr>
        <w:pStyle w:val="Heading3"/>
        <w:spacing w:after="120" w:before="240" w:line="312"/>
      </w:pPr>
      <w:bookmarkStart w:id="100004" w:name="_Toc100004"/>
      <w:r>
        <w:rPr>
          <w:rFonts w:ascii="Times New Roman"/>
          <w:b/>
          <w:bCs/>
          <w:color w:val="0A1628"/>
          <w:sz w:val="24"/>
          <w:szCs w:val="24"/>
        </w:rPr>
        <w:t xml:space="preserve">1.2 Scope</w:t>
      </w:r>
      <w:bookmarkEnd w:id="100004"/>
    </w:p>
    <w:p>
      <w:pPr>
        <w:spacing w:after="120" w:line="312"/>
        <w:jc w:val="both"/>
      </w:pPr>
      <w:r>
        <w:rPr>
          <w:rFonts w:ascii="Times New Roman"/>
          <w:color w:val="000000"/>
          <w:sz w:val="24"/>
          <w:szCs w:val="24"/>
        </w:rPr>
        <w:t xml:space="preserve">TurfCare BD covers the full lifecycle of sports field turf management: from initial field registration and baseline assessment through recurring inspections, quality scoring, maintenance work order generation, and long-term trend analytics. The system is designed as a multi-tenant SaaS platform where each organization (e.g., a cricket club, a municipal sports complex, or a stadium authority) operates in an isolated workspace with its own fields, inspection records, users, and billing configuration.</w:t>
      </w:r>
    </w:p>
    <w:p>
      <w:pPr>
        <w:spacing w:after="120" w:line="312"/>
        <w:jc w:val="both"/>
      </w:pPr>
      <w:r>
        <w:rPr>
          <w:rFonts w:ascii="Times New Roman"/>
          <w:color w:val="000000"/>
          <w:sz w:val="24"/>
          <w:szCs w:val="24"/>
        </w:rPr>
        <w:t xml:space="preserve">The platform scope includes web-based inspection data collection (optimized for tablet use in the field), automated pitch quality scoring based on the International Cricket Council (ICC) pitch rating guidelines adapted for Bangladesh conditions, maintenance scheduling with priority-based work orders, role-based access control for multi-stakeholder organizations, comprehensive reporting dashboards, and SaaS billing with local payment gateway integration. The initial release (MVP) focuses on cricket and football fields. Future releases may extend to golf courses, landscaping, and agricultural turf management.</w:t>
      </w:r>
    </w:p>
    <w:p>
      <w:pPr>
        <w:spacing w:after="120" w:line="312"/>
        <w:jc w:val="both"/>
      </w:pPr>
      <w:r>
        <w:rPr>
          <w:rFonts w:ascii="Times New Roman"/>
          <w:color w:val="000000"/>
          <w:sz w:val="24"/>
          <w:szCs w:val="24"/>
        </w:rPr>
        <w:t xml:space="preserve">Out of scope for the MVP release include: mobile native applications (the web app is responsive and PWA-enabled), IoT sensor integration for real-time soil monitoring, AI/ML-based predictive maintenance (planned for Phase 2), integration with third-party weather APIs (Phase 2), and multi-language support beyond English and Bangla.</w:t>
      </w:r>
    </w:p>
    <w:p>
      <w:pPr>
        <w:pStyle w:val="Heading3"/>
        <w:spacing w:after="120" w:before="240" w:line="312"/>
      </w:pPr>
      <w:bookmarkStart w:id="100005" w:name="_Toc100005"/>
      <w:r>
        <w:rPr>
          <w:rFonts w:ascii="Times New Roman"/>
          <w:b/>
          <w:bCs/>
          <w:color w:val="0A1628"/>
          <w:sz w:val="24"/>
          <w:szCs w:val="24"/>
        </w:rPr>
        <w:t xml:space="preserve">1.3 Definitions and Acronyms</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Term</w:t>
            </w:r>
          </w:p>
        </w:tc>
        <w:tc>
          <w:tcPr>
            <w:tcW w:type="pct" w:w="7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Definition</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SaaS</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Software as a Service - cloud-hosted software delivered via subscription</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MERN</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MongoDB, Express.js, React, Node.js - full-stack JavaScript technology</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BCB</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Bangladesh Cricket Board - governing body for cricket in Bangladesh</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BFF</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Bangladesh Football Federation - governing body for football in Bangladesh</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ICC</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International Cricket Council - global governing body for cricket</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RBAC</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Role-Based Access Control - permission management by user roles</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JWT</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JSON Web Token - stateless authentication standard</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PWA</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Progressive Web Application - web app with native-like capabilities</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bKash/Nagad</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Popular mobile financial services in Bangladesh</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SSLCommerz</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Bangladeshi payment gateway for online transactions</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BIDA</w:t>
            </w:r>
          </w:p>
        </w:tc>
        <w:tc>
          <w:tcPr>
            <w:tcW w:type="pct" w:w="7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Bangladesh Investment Development Authority</w:t>
            </w:r>
          </w:p>
        </w:tc>
      </w:tr>
      <w:tr>
        <w:trPr>
          <w:cantSplit/>
        </w:trPr>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DPA 2023</w:t>
            </w:r>
          </w:p>
        </w:tc>
        <w:tc>
          <w:tcPr>
            <w:tcW w:type="pct" w:w="7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Bangladesh Digital Personal Data Protection Act 2023</w:t>
            </w:r>
          </w:p>
        </w:tc>
      </w:tr>
    </w:tbl>
    <w:p>
      <w:pPr>
        <w:spacing w:after="200" w:before="60" w:line="312"/>
      </w:pPr>
      <w:r>
        <w:rPr>
          <w:rFonts w:ascii="Times New Roman"/>
          <w:i/>
          <w:iCs/>
          <w:color w:val="6878A0"/>
          <w:sz w:val="21"/>
          <w:szCs w:val="21"/>
        </w:rPr>
        <w:t xml:space="preserve">Table 1: Definitions and Acronyms</w:t>
      </w:r>
    </w:p>
    <w:p>
      <w:pPr>
        <w:pStyle w:val="Heading3"/>
        <w:spacing w:after="120" w:before="240" w:line="312"/>
      </w:pPr>
      <w:bookmarkStart w:id="100006" w:name="_Toc100006"/>
      <w:r>
        <w:rPr>
          <w:rFonts w:ascii="Times New Roman"/>
          <w:b/>
          <w:bCs/>
          <w:color w:val="0A1628"/>
          <w:sz w:val="24"/>
          <w:szCs w:val="24"/>
        </w:rPr>
        <w:t xml:space="preserve">1.4 References</w:t>
      </w:r>
      <w:bookmarkEnd w:id="100006"/>
    </w:p>
    <w:p>
      <w:pPr>
        <w:spacing w:after="120" w:line="312"/>
        <w:jc w:val="both"/>
      </w:pPr>
      <w:r>
        <w:rPr>
          <w:rFonts w:ascii="Times New Roman"/>
          <w:color w:val="000000"/>
          <w:sz w:val="24"/>
          <w:szCs w:val="24"/>
        </w:rPr>
        <w:t xml:space="preserve">The following standards and documents inform the requirements and design decisions in this specification: ICC Standard Pitch Monitoring Guidelines (2023 Edition), BCB Ground Preparation Manual for First-Class Venues, BFF Pitch Quality Standards for Professional Football, Bangladesh Digital Personal Data Protection Act 2023, BIDA ICT Sector Investment Guidelines, OWASP Top 10 Web Application Security Risks (2023), and RESTful API Design Best Practices (Google Cloud API Design Guide).</w:t>
      </w:r>
    </w:p>
    <w:p>
      <w:pPr>
        <w:pStyle w:val="Heading2"/>
        <w:spacing w:after="160" w:before="360" w:line="312"/>
      </w:pPr>
      <w:bookmarkStart w:id="100007" w:name="_Toc100007"/>
      <w:r>
        <w:rPr>
          <w:rFonts w:ascii="Times New Roman"/>
          <w:b/>
          <w:bCs/>
          <w:color w:val="0A1628"/>
          <w:sz w:val="28"/>
          <w:szCs w:val="28"/>
        </w:rPr>
        <w:t xml:space="preserve">2. System Objectives and Goals</w:t>
      </w:r>
      <w:bookmarkEnd w:id="100007"/>
    </w:p>
    <w:p>
      <w:pPr>
        <w:spacing w:after="120" w:line="312"/>
        <w:jc w:val="both"/>
      </w:pPr>
      <w:r>
        <w:rPr>
          <w:rFonts w:ascii="Times New Roman"/>
          <w:color w:val="000000"/>
          <w:sz w:val="24"/>
          <w:szCs w:val="24"/>
        </w:rPr>
        <w:t xml:space="preserve">The TurfCare BD platform is driven by a set of primary and secondary objectives that guide every architectural and design decision. The primary objective is to provide a centralized, cloud-based platform for sports field turf inspection and management that replaces manual, paper-based processes with digital workflows. This directly addresses the inefficiency and inconsistency that currently plagues ground management across Bangladesh, where inspection records are often lost, scoring criteria vary between assessors, and maintenance decisions are made reactively rather than proactively.</w:t>
      </w:r>
    </w:p>
    <w:p>
      <w:pPr>
        <w:spacing w:after="120" w:line="312"/>
        <w:jc w:val="both"/>
      </w:pPr>
      <w:r>
        <w:rPr>
          <w:rFonts w:ascii="Times New Roman"/>
          <w:color w:val="000000"/>
          <w:sz w:val="24"/>
          <w:szCs w:val="24"/>
        </w:rPr>
        <w:t xml:space="preserve">The secondary objectives include: enabling data-driven decision making through historical trend analysis and predictive analytics for pitch deterioration patterns; standardizing pitch quality assessment across Bangladesh by implementing ICC-adapted scoring criteria that ensure consistency regardless of the inspector; reducing maintenance costs by optimizing schedules based on actual field condition data rather than fixed calendar intervals; and providing a SaaS business model that makes the platform accessible to organizations of all sizes, from local community clubs to international-standard venues.</w:t>
      </w:r>
    </w:p>
    <w:p>
      <w:pPr>
        <w:spacing w:after="120" w:line="312"/>
        <w:jc w:val="both"/>
      </w:pPr>
      <w:r>
        <w:rPr>
          <w:rFonts w:ascii="Times New Roman"/>
          <w:color w:val="000000"/>
          <w:sz w:val="24"/>
          <w:szCs w:val="24"/>
        </w:rPr>
        <w:t xml:space="preserve">Quantitatively, the system targets the following measurable goals within the first 12 months of operation: support a minimum of 500 organizations, process at least 5,000 inspections per month, achieve a page load time under 2 seconds for dashboard views, maintain 99.5% uptime, and ensure all inspection data is stored and processed within Bangladesh borders in compliance with DPA 2023. The scoring engine must produce consistent results with less than 5% variance between different inspectors evaluating the same field conditions.</w:t>
      </w:r>
    </w:p>
    <w:p>
      <w:pPr>
        <w:pStyle w:val="Heading2"/>
        <w:spacing w:after="160" w:before="360" w:line="312"/>
      </w:pPr>
      <w:bookmarkStart w:id="100008" w:name="_Toc100008"/>
      <w:r>
        <w:rPr>
          <w:rFonts w:ascii="Times New Roman"/>
          <w:b/>
          <w:bCs/>
          <w:color w:val="0A1628"/>
          <w:sz w:val="28"/>
          <w:szCs w:val="28"/>
        </w:rPr>
        <w:t xml:space="preserve">3. Stakeholder Analysis and User Personas</w:t>
      </w:r>
      <w:bookmarkEnd w:id="100008"/>
    </w:p>
    <w:p>
      <w:pPr>
        <w:pStyle w:val="Heading3"/>
        <w:spacing w:after="120" w:before="240" w:line="312"/>
      </w:pPr>
      <w:bookmarkStart w:id="100009" w:name="_Toc100009"/>
      <w:r>
        <w:rPr>
          <w:rFonts w:ascii="Times New Roman"/>
          <w:b/>
          <w:bCs/>
          <w:color w:val="0A1628"/>
          <w:sz w:val="24"/>
          <w:szCs w:val="24"/>
        </w:rPr>
        <w:t xml:space="preserve">3.1 System Administrator (Super Admin)</w:t>
      </w:r>
      <w:bookmarkEnd w:id="100009"/>
    </w:p>
    <w:p>
      <w:pPr>
        <w:spacing w:after="120" w:line="312"/>
        <w:jc w:val="both"/>
      </w:pPr>
      <w:r>
        <w:rPr>
          <w:rFonts w:ascii="Times New Roman"/>
          <w:color w:val="000000"/>
          <w:sz w:val="24"/>
          <w:szCs w:val="24"/>
        </w:rPr>
        <w:t xml:space="preserve">The System Administrator is employed by the TurfCare BD platform provider and has unrestricted access to all system features. This persona is responsible for managing the overall platform health, monitoring multi-tenant resource usage, handling cross-organization billing disputes, configuring global inspection templates, and managing platform-wide announcements. The Super Admin can access analytics across all organizations to identify platform usage patterns and potential churn risks. This role requires deep technical understanding of the MERN stack and the multi-tenant architecture.</w:t>
      </w:r>
    </w:p>
    <w:p>
      <w:pPr>
        <w:pStyle w:val="Heading3"/>
        <w:spacing w:after="120" w:before="240" w:line="312"/>
      </w:pPr>
      <w:bookmarkStart w:id="100010" w:name="_Toc100010"/>
      <w:r>
        <w:rPr>
          <w:rFonts w:ascii="Times New Roman"/>
          <w:b/>
          <w:bCs/>
          <w:color w:val="0A1628"/>
          <w:sz w:val="24"/>
          <w:szCs w:val="24"/>
        </w:rPr>
        <w:t xml:space="preserve">3.2 Organization Admin</w:t>
      </w:r>
      <w:bookmarkEnd w:id="100010"/>
    </w:p>
    <w:p>
      <w:pPr>
        <w:spacing w:after="120" w:line="312"/>
        <w:jc w:val="both"/>
      </w:pPr>
      <w:r>
        <w:rPr>
          <w:rFonts w:ascii="Times New Roman"/>
          <w:color w:val="000000"/>
          <w:sz w:val="24"/>
          <w:szCs w:val="24"/>
        </w:rPr>
        <w:t xml:space="preserve">Each tenant organization designates one or more Organization Admins who manage their workspace independently. This persona can invite and remove users, assign roles (Inspector, Turf Manager, Viewer), configure organization-level settings such as inspection frequency defaults and notification preferences, manage their subscription plan and billing details, and generate organization-wide reports. The Organization Admin is typically the head groundskeeper, facility manager, or sports club secretary. They need a balance of technical usability and management oversight capabilities.</w:t>
      </w:r>
    </w:p>
    <w:p>
      <w:pPr>
        <w:pStyle w:val="Heading3"/>
        <w:spacing w:after="120" w:before="240" w:line="312"/>
      </w:pPr>
      <w:bookmarkStart w:id="100011" w:name="_Toc100011"/>
      <w:r>
        <w:rPr>
          <w:rFonts w:ascii="Times New Roman"/>
          <w:b/>
          <w:bCs/>
          <w:color w:val="0A1628"/>
          <w:sz w:val="24"/>
          <w:szCs w:val="24"/>
        </w:rPr>
        <w:t xml:space="preserve">3.3 Inspector / Field Officer</w:t>
      </w:r>
      <w:bookmarkEnd w:id="100011"/>
    </w:p>
    <w:p>
      <w:pPr>
        <w:spacing w:after="120" w:line="312"/>
        <w:jc w:val="both"/>
      </w:pPr>
      <w:r>
        <w:rPr>
          <w:rFonts w:ascii="Times New Roman"/>
          <w:color w:val="000000"/>
          <w:sz w:val="24"/>
          <w:szCs w:val="24"/>
        </w:rPr>
        <w:t xml:space="preserve">The Inspector is the primary field user who conducts physical turf inspections using the platform on a tablet or laptop. This persona needs an intuitive, mobile-optimized interface for recording inspection data including soil measurements, visual assessments, photographic evidence, and GPS coordinates. Inspectors may work in varying outdoor conditions with potentially unstable internet connectivity, so the system must support offline data collection with automatic synchronization when connectivity is restored. Each inspector should be able to complete a full inspection in under 15 minutes on average.</w:t>
      </w:r>
    </w:p>
    <w:p>
      <w:pPr>
        <w:pStyle w:val="Heading3"/>
        <w:spacing w:after="120" w:before="240" w:line="312"/>
      </w:pPr>
      <w:bookmarkStart w:id="100012" w:name="_Toc100012"/>
      <w:r>
        <w:rPr>
          <w:rFonts w:ascii="Times New Roman"/>
          <w:b/>
          <w:bCs/>
          <w:color w:val="0A1628"/>
          <w:sz w:val="24"/>
          <w:szCs w:val="24"/>
        </w:rPr>
        <w:t xml:space="preserve">3.4 Turf Manager / Groundskeeper</w:t>
      </w:r>
      <w:bookmarkEnd w:id="100012"/>
    </w:p>
    <w:p>
      <w:pPr>
        <w:spacing w:after="120" w:line="312"/>
        <w:jc w:val="both"/>
      </w:pPr>
      <w:r>
        <w:rPr>
          <w:rFonts w:ascii="Times New Roman"/>
          <w:color w:val="000000"/>
          <w:sz w:val="24"/>
          <w:szCs w:val="24"/>
        </w:rPr>
        <w:t xml:space="preserve">The Turf Manager uses inspection results to plan and execute maintenance activities. This persona needs to view inspection reports, receive automated alerts when pitch quality drops below threshold values, create and assign maintenance work orders, track work order completion, and access historical trend data to identify recurring issues. The Turf Manager interface should prioritize actionable information, presenting inspection summaries with clear recommendations and allowing one-click work order creation from any inspection finding.</w:t>
      </w:r>
    </w:p>
    <w:p>
      <w:pPr>
        <w:pStyle w:val="Heading3"/>
        <w:spacing w:after="120" w:before="240" w:line="312"/>
      </w:pPr>
      <w:bookmarkStart w:id="100013" w:name="_Toc100013"/>
      <w:r>
        <w:rPr>
          <w:rFonts w:ascii="Times New Roman"/>
          <w:b/>
          <w:bCs/>
          <w:color w:val="0A1628"/>
          <w:sz w:val="24"/>
          <w:szCs w:val="24"/>
        </w:rPr>
        <w:t xml:space="preserve">3.5 Athlete / Coach (View-Only)</w:t>
      </w:r>
      <w:bookmarkEnd w:id="100013"/>
    </w:p>
    <w:p>
      <w:pPr>
        <w:spacing w:after="120" w:line="312"/>
        <w:jc w:val="both"/>
      </w:pPr>
      <w:r>
        <w:rPr>
          <w:rFonts w:ascii="Times New Roman"/>
          <w:color w:val="000000"/>
          <w:sz w:val="24"/>
          <w:szCs w:val="24"/>
        </w:rPr>
        <w:t xml:space="preserve">Athletes and coaches have read-only access to published inspection reports and pitch quality scores for venues they are associated with. This persona uses the platform to make informed decisions about training schedules, match venue selection, and practice session planning. Their interface is simplified, focusing on current pitch status, quality trend graphs, and upcoming maintenance schedules that might affect availability. This role does not require login for public venue information but requires authentication for accessing detailed reports.</w:t>
      </w:r>
    </w:p>
    <w:p>
      <w:pPr>
        <w:pStyle w:val="Heading2"/>
        <w:spacing w:after="160" w:before="360" w:line="312"/>
      </w:pPr>
      <w:bookmarkStart w:id="100014" w:name="_Toc100014"/>
      <w:r>
        <w:rPr>
          <w:rFonts w:ascii="Times New Roman"/>
          <w:b/>
          <w:bCs/>
          <w:color w:val="0A1628"/>
          <w:sz w:val="28"/>
          <w:szCs w:val="28"/>
        </w:rPr>
        <w:t xml:space="preserve">4. Functional Requirements</w:t>
      </w:r>
      <w:bookmarkEnd w:id="100014"/>
    </w:p>
    <w:p>
      <w:pPr>
        <w:pStyle w:val="Heading3"/>
        <w:spacing w:after="120" w:before="240" w:line="312"/>
      </w:pPr>
      <w:bookmarkStart w:id="100015" w:name="_Toc100015"/>
      <w:r>
        <w:rPr>
          <w:rFonts w:ascii="Times New Roman"/>
          <w:b/>
          <w:bCs/>
          <w:color w:val="0A1628"/>
          <w:sz w:val="24"/>
          <w:szCs w:val="24"/>
        </w:rPr>
        <w:t xml:space="preserve">4.1 User Management and Multi-Tenancy</w:t>
      </w:r>
      <w:bookmarkEnd w:id="100015"/>
    </w:p>
    <w:p>
      <w:pPr>
        <w:spacing w:after="120" w:line="312"/>
        <w:jc w:val="both"/>
      </w:pPr>
      <w:r>
        <w:rPr>
          <w:rFonts w:ascii="Times New Roman"/>
          <w:color w:val="000000"/>
          <w:sz w:val="24"/>
          <w:szCs w:val="24"/>
        </w:rPr>
        <w:t xml:space="preserve">FR-4.1.1: The system shall support multi-tenant workspace isolation where each organization's data (fields, inspections, users, reports) is logically separated and inaccessible to other tenants. Data isolation must be enforced at the database query level using a tenant ID filter applied to every database operation, ensuring no cross-tenant data leakage even in the event of a bug in application logic.</w:t>
      </w:r>
    </w:p>
    <w:p>
      <w:pPr>
        <w:spacing w:after="120" w:line="312"/>
        <w:jc w:val="both"/>
      </w:pPr>
      <w:r>
        <w:rPr>
          <w:rFonts w:ascii="Times New Roman"/>
          <w:color w:val="000000"/>
          <w:sz w:val="24"/>
          <w:szCs w:val="24"/>
        </w:rPr>
        <w:t xml:space="preserve">FR-4.1.2: The system shall provide user registration and authentication via email/password with JWT-based session management. Passwords must be hashed using bcrypt with a minimum cost factor of 12. Password policy shall enforce a minimum of 8 characters with at least one uppercase letter, one lowercase letter, one digit, and one special character. Account lockout shall occur after 5 consecutive failed login attempts with a 15-minute lockout period.</w:t>
      </w:r>
    </w:p>
    <w:p>
      <w:pPr>
        <w:spacing w:after="120" w:line="312"/>
        <w:jc w:val="both"/>
      </w:pPr>
      <w:r>
        <w:rPr>
          <w:rFonts w:ascii="Times New Roman"/>
          <w:color w:val="000000"/>
          <w:sz w:val="24"/>
          <w:szCs w:val="24"/>
        </w:rPr>
        <w:t xml:space="preserve">FR-4.1.3: The system shall support role-based access control (RBAC) with four default roles: Super Admin, Organization Admin, Inspector, and Viewer. Each role has a predefined set of permissions covering CRUD operations on fields, inspections, reports, work orders, users, and billing. Organization Admins may create custom roles with granular permission sets within their workspace.</w:t>
      </w:r>
    </w:p>
    <w:p>
      <w:pPr>
        <w:spacing w:after="120" w:line="312"/>
        <w:jc w:val="both"/>
      </w:pPr>
      <w:r>
        <w:rPr>
          <w:rFonts w:ascii="Times New Roman"/>
          <w:color w:val="000000"/>
          <w:sz w:val="24"/>
          <w:szCs w:val="24"/>
        </w:rPr>
        <w:t xml:space="preserve">FR-4.1.4: The system shall support email-based invitation workflow where Organization Admins can invite new users by email address. Invited users receive a secure signup link valid for 72 hours. The system shall prevent email enumeration by returning the same success message regardless of whether the email is already registered.</w:t>
      </w:r>
    </w:p>
    <w:p>
      <w:pPr>
        <w:pStyle w:val="Heading3"/>
        <w:spacing w:after="120" w:before="240" w:line="312"/>
      </w:pPr>
      <w:bookmarkStart w:id="100016" w:name="_Toc100016"/>
      <w:r>
        <w:rPr>
          <w:rFonts w:ascii="Times New Roman"/>
          <w:b/>
          <w:bCs/>
          <w:color w:val="0A1628"/>
          <w:sz w:val="24"/>
          <w:szCs w:val="24"/>
        </w:rPr>
        <w:t xml:space="preserve">4.2 Organization and Workspace Management</w:t>
      </w:r>
      <w:bookmarkEnd w:id="100016"/>
    </w:p>
    <w:p>
      <w:pPr>
        <w:spacing w:after="120" w:line="312"/>
        <w:jc w:val="both"/>
      </w:pPr>
      <w:r>
        <w:rPr>
          <w:rFonts w:ascii="Times New Roman"/>
          <w:color w:val="000000"/>
          <w:sz w:val="24"/>
          <w:szCs w:val="24"/>
        </w:rPr>
        <w:t xml:space="preserve">FR-4.2.1: The system shall allow Organization Admins to configure their workspace settings including organization name, logo, primary contact information, default inspection frequency (daily, weekly, bi-weekly, monthly), notification preferences (email, in-app, SMS), and timezone (set to Asia/Dhaka by default for Bangladesh organizations).</w:t>
      </w:r>
    </w:p>
    <w:p>
      <w:pPr>
        <w:spacing w:after="120" w:line="312"/>
        <w:jc w:val="both"/>
      </w:pPr>
      <w:r>
        <w:rPr>
          <w:rFonts w:ascii="Times New Roman"/>
          <w:color w:val="000000"/>
          <w:sz w:val="24"/>
          <w:szCs w:val="24"/>
        </w:rPr>
        <w:t xml:space="preserve">FR-4.2.2: The system shall provide an organization-level dashboard displaying key metrics: total fields registered, inspections completed this month vs. last month, average pitch quality score, open work orders, upcoming scheduled inspections, and subscription usage (inspections consumed vs. plan limit).</w:t>
      </w:r>
    </w:p>
    <w:p>
      <w:pPr>
        <w:pStyle w:val="Heading3"/>
        <w:spacing w:after="120" w:before="240" w:line="312"/>
      </w:pPr>
      <w:bookmarkStart w:id="100017" w:name="_Toc100017"/>
      <w:r>
        <w:rPr>
          <w:rFonts w:ascii="Times New Roman"/>
          <w:b/>
          <w:bCs/>
          <w:color w:val="0A1628"/>
          <w:sz w:val="24"/>
          <w:szCs w:val="24"/>
        </w:rPr>
        <w:t xml:space="preserve">4.3 Turf Field Registration and Management</w:t>
      </w:r>
      <w:bookmarkEnd w:id="100017"/>
    </w:p>
    <w:p>
      <w:pPr>
        <w:spacing w:after="120" w:line="312"/>
        <w:jc w:val="both"/>
      </w:pPr>
      <w:r>
        <w:rPr>
          <w:rFonts w:ascii="Times New Roman"/>
          <w:color w:val="000000"/>
          <w:sz w:val="24"/>
          <w:szCs w:val="24"/>
        </w:rPr>
        <w:t xml:space="preserve">FR-4.3.1: The system shall allow users to register sports fields with the following attributes: field name, sport type (cricket, football, multi-sport), location (GPS coordinates with map picker), physical address, dimensions (length x width in meters), turf type (natural grass, hybrid, artificial), grass species (if natural), drainage type, installation date, and current maintenance contractor details. Each field is assigned a unique auto-generated field ID within the organization.</w:t>
      </w:r>
    </w:p>
    <w:p>
      <w:pPr>
        <w:spacing w:after="120" w:line="312"/>
        <w:jc w:val="both"/>
      </w:pPr>
      <w:r>
        <w:rPr>
          <w:rFonts w:ascii="Times New Roman"/>
          <w:color w:val="000000"/>
          <w:sz w:val="24"/>
          <w:szCs w:val="24"/>
        </w:rPr>
        <w:t xml:space="preserve">FR-4.3.2: The system shall display registered fields on an interactive map view using Leaflet.js with OpenStreetMap tiles. Map markers shall indicate field status (green for good, yellow for needs attention, red for critical) based on the most recent inspection score. Clicking a marker opens a summary card with the field name, last inspection date, current score, and quick-action buttons.</w:t>
      </w:r>
    </w:p>
    <w:p>
      <w:pPr>
        <w:spacing w:after="120" w:line="312"/>
        <w:jc w:val="both"/>
      </w:pPr>
      <w:r>
        <w:rPr>
          <w:rFonts w:ascii="Times New Roman"/>
          <w:color w:val="000000"/>
          <w:sz w:val="24"/>
          <w:szCs w:val="24"/>
        </w:rPr>
        <w:t xml:space="preserve">FR-4.3.3: The system shall maintain a complete audit trail for each field including all inspections, maintenance activities, score history, and ownership changes. The field history timeline shall be visually displayed with filters for date range, event type, and inspector.</w:t>
      </w:r>
    </w:p>
    <w:p>
      <w:pPr>
        <w:pStyle w:val="Heading3"/>
        <w:spacing w:after="120" w:before="240" w:line="312"/>
      </w:pPr>
      <w:bookmarkStart w:id="100018" w:name="_Toc100018"/>
      <w:r>
        <w:rPr>
          <w:rFonts w:ascii="Times New Roman"/>
          <w:b/>
          <w:bCs/>
          <w:color w:val="0A1628"/>
          <w:sz w:val="24"/>
          <w:szCs w:val="24"/>
        </w:rPr>
        <w:t xml:space="preserve">4.4 Inspection Management</w:t>
      </w:r>
      <w:bookmarkEnd w:id="100018"/>
    </w:p>
    <w:p>
      <w:pPr>
        <w:spacing w:after="120" w:line="312"/>
        <w:jc w:val="both"/>
      </w:pPr>
      <w:r>
        <w:rPr>
          <w:rFonts w:ascii="Times New Roman"/>
          <w:color w:val="000000"/>
          <w:sz w:val="24"/>
          <w:szCs w:val="24"/>
        </w:rPr>
        <w:t xml:space="preserve">FR-4.4.1: The system shall provide a structured inspection data collection form optimized for tablet use. The inspection form shall be organized into sections: General Information (date, time, weather conditions, inspector name), Surface Assessment (visual grass cover percentage, color uniformity, weed presence, pest damage, disease signs), Soil Assessment (moisture content, compaction using a penetrometer reading, pH level, soil temperature), Structural Assessment (surface evenness using a 3-meter straight edge measurement, drainage rate, thatch layer depth), and Photographic Evidence (minimum 4 geotagged photos: overall view, close-up of surface, close-up of soil cross-section, any problem areas).</w:t>
      </w:r>
    </w:p>
    <w:p>
      <w:pPr>
        <w:spacing w:after="120" w:line="312"/>
        <w:jc w:val="both"/>
      </w:pPr>
      <w:r>
        <w:rPr>
          <w:rFonts w:ascii="Times New Roman"/>
          <w:color w:val="000000"/>
          <w:sz w:val="24"/>
          <w:szCs w:val="24"/>
        </w:rPr>
        <w:t xml:space="preserve">FR-4.4.2: The inspection form shall support offline data collection using IndexedDB for local storage. When offline, the inspector can complete the full inspection form, save photographs, and submit to local storage. Upon network reconnection, the system shall automatically synchronize pending inspections with conflict resolution based on timestamp (last-write-wins with server-side validation).</w:t>
      </w:r>
    </w:p>
    <w:p>
      <w:pPr>
        <w:spacing w:after="120" w:line="312"/>
        <w:jc w:val="both"/>
      </w:pPr>
      <w:r>
        <w:rPr>
          <w:rFonts w:ascii="Times New Roman"/>
          <w:color w:val="000000"/>
          <w:sz w:val="24"/>
          <w:szCs w:val="24"/>
        </w:rPr>
        <w:t xml:space="preserve">FR-4.4.3: The system shall auto-calculate an overall Pitch Quality Score (PQS) on a 0-100 scale based on weighted sub-scores: Surface Quality (30%), Soil Health (25%), Structural Integrity (25%), and Maintenance Compliance (20%). The scoring algorithm shall be configurable by Organization Admins to adjust weightings based on their sport-specific priorities.</w:t>
      </w:r>
    </w:p>
    <w:p>
      <w:pPr>
        <w:spacing w:after="120" w:line="312"/>
        <w:jc w:val="both"/>
      </w:pPr>
      <w:r>
        <w:rPr>
          <w:rFonts w:ascii="Times New Roman"/>
          <w:color w:val="000000"/>
          <w:sz w:val="24"/>
          <w:szCs w:val="24"/>
        </w:rPr>
        <w:t xml:space="preserve">FR-4.4.4: The system shall generate inspection reports in PDF format using server-side PDF generation (Puppeteer or pdfmake). Reports shall include all inspection data, score breakdown, trend comparison with previous inspections, photographic evidence with annotations, and maintenance recommendations based on score thresholds.</w:t>
      </w:r>
    </w:p>
    <w:p>
      <w:pPr>
        <w:pStyle w:val="Heading3"/>
        <w:spacing w:after="120" w:before="240" w:line="312"/>
      </w:pPr>
      <w:bookmarkStart w:id="100019" w:name="_Toc100019"/>
      <w:r>
        <w:rPr>
          <w:rFonts w:ascii="Times New Roman"/>
          <w:b/>
          <w:bCs/>
          <w:color w:val="0A1628"/>
          <w:sz w:val="24"/>
          <w:szCs w:val="24"/>
        </w:rPr>
        <w:t xml:space="preserve">4.5 Pitch Quality Scoring Engine</w:t>
      </w:r>
      <w:bookmarkEnd w:id="100019"/>
    </w:p>
    <w:p>
      <w:pPr>
        <w:spacing w:after="120" w:line="312"/>
        <w:jc w:val="both"/>
      </w:pPr>
      <w:r>
        <w:rPr>
          <w:rFonts w:ascii="Times New Roman"/>
          <w:color w:val="000000"/>
          <w:sz w:val="24"/>
          <w:szCs w:val="24"/>
        </w:rPr>
        <w:t xml:space="preserve">FR-4.5.1: The scoring engine shall evaluate five core parameters, each scored 0-20, summing to a maximum of 100 points. The parameters are: Grass Cover Density (percentage of ground covered by healthy grass), Surface Evenness (deviation from true level measured in millimeters over 3 meters), Soil Compaction (penetrometer resistance in kg/cm2), Drainage Efficiency (time in minutes for 25mm of water to infiltrate), and Grass Health (visual assessment of color, disease, pest damage on a standardized scale).</w:t>
      </w:r>
    </w:p>
    <w:p>
      <w:pPr>
        <w:spacing w:after="120" w:line="312"/>
        <w:jc w:val="both"/>
      </w:pPr>
      <w:r>
        <w:rPr>
          <w:rFonts w:ascii="Times New Roman"/>
          <w:color w:val="000000"/>
          <w:sz w:val="24"/>
          <w:szCs w:val="24"/>
        </w:rPr>
        <w:t xml:space="preserve">FR-4.5.2: The scoring engine shall classify overall pitch quality into four tiers: Excellent (85-100), Good (70-84), Acceptable (55-69), and Poor (0-54). Each tier triggers corresponding automated actions: Excellent generates a congratulatory summary with maintenance prevention tips, Good schedules the next routine inspection, Acceptable creates a maintenance advisory work order, and Poor generates an urgent maintenance alert with mandatory remediation work order.</w:t>
      </w:r>
    </w:p>
    <w:p>
      <w:pPr>
        <w:spacing w:after="120" w:line="312"/>
        <w:jc w:val="both"/>
      </w:pPr>
      <w:r>
        <w:rPr>
          <w:rFonts w:ascii="Times New Roman"/>
          <w:color w:val="000000"/>
          <w:sz w:val="24"/>
          <w:szCs w:val="24"/>
        </w:rPr>
        <w:t xml:space="preserve">FR-4.5.3: The scoring engine shall provide a trend analysis module that plots PQS over time for each field, calculates moving averages (3-inspection and 5-inspection windows), identifies statistically significant deterioration trends (using linear regression with p-value threshold of 0.05), and projects expected score at next inspection based on the current trend line.</w:t>
      </w:r>
    </w:p>
    <w:p>
      <w:pPr>
        <w:pStyle w:val="Heading3"/>
        <w:spacing w:after="120" w:before="240" w:line="312"/>
      </w:pPr>
      <w:bookmarkStart w:id="100020" w:name="_Toc100020"/>
      <w:r>
        <w:rPr>
          <w:rFonts w:ascii="Times New Roman"/>
          <w:b/>
          <w:bCs/>
          <w:color w:val="0A1628"/>
          <w:sz w:val="24"/>
          <w:szCs w:val="24"/>
        </w:rPr>
        <w:t xml:space="preserve">4.6 Maintenance Scheduling and Work Orders</w:t>
      </w:r>
      <w:bookmarkEnd w:id="100020"/>
    </w:p>
    <w:p>
      <w:pPr>
        <w:spacing w:after="120" w:line="312"/>
        <w:jc w:val="both"/>
      </w:pPr>
      <w:r>
        <w:rPr>
          <w:rFonts w:ascii="Times New Roman"/>
          <w:color w:val="000000"/>
          <w:sz w:val="24"/>
          <w:szCs w:val="24"/>
        </w:rPr>
        <w:t xml:space="preserve">FR-4.6.1: The system shall automatically generate maintenance work orders when inspection scores fall below configurable thresholds. Each work order shall include: a unique work order ID, the source inspection reference, specific maintenance tasks (derived from the inspection findings), priority level (urgent, high, medium, low based on score deviation from threshold), assigned team or individual, estimated completion date, and required materials and equipment list.</w:t>
      </w:r>
    </w:p>
    <w:p>
      <w:pPr>
        <w:spacing w:after="120" w:line="312"/>
        <w:jc w:val="both"/>
      </w:pPr>
      <w:r>
        <w:rPr>
          <w:rFonts w:ascii="Times New Roman"/>
          <w:color w:val="000000"/>
          <w:sz w:val="24"/>
          <w:szCs w:val="24"/>
        </w:rPr>
        <w:t xml:space="preserve">FR-4.6.2: The system shall provide a maintenance calendar view (monthly/weekly/daily) showing all scheduled and ad-hoc work orders. The calendar shall support drag-and-drop rescheduling, color-coding by priority, and filtering by field, assignee, or status. Work order status transitions follow a defined workflow: Created, Assigned, In Progress, Completed, Verified.</w:t>
      </w:r>
    </w:p>
    <w:p>
      <w:pPr>
        <w:spacing w:after="120" w:line="312"/>
        <w:jc w:val="both"/>
      </w:pPr>
      <w:r>
        <w:rPr>
          <w:rFonts w:ascii="Times New Roman"/>
          <w:color w:val="000000"/>
          <w:sz w:val="24"/>
          <w:szCs w:val="24"/>
        </w:rPr>
        <w:t xml:space="preserve">FR-4.6.3: The system shall track maintenance cost data including labor hours, material costs, equipment rental, and contractor fees. Cost tracking enables organization-level maintenance budget analysis and cost-per-field comparisons.</w:t>
      </w:r>
    </w:p>
    <w:p>
      <w:pPr>
        <w:pStyle w:val="Heading3"/>
        <w:spacing w:after="120" w:before="240" w:line="312"/>
      </w:pPr>
      <w:bookmarkStart w:id="100021" w:name="_Toc100021"/>
      <w:r>
        <w:rPr>
          <w:rFonts w:ascii="Times New Roman"/>
          <w:b/>
          <w:bCs/>
          <w:color w:val="0A1628"/>
          <w:sz w:val="24"/>
          <w:szCs w:val="24"/>
        </w:rPr>
        <w:t xml:space="preserve">4.7 Reporting and Analytics Dashboard</w:t>
      </w:r>
      <w:bookmarkEnd w:id="100021"/>
    </w:p>
    <w:p>
      <w:pPr>
        <w:spacing w:after="120" w:line="312"/>
        <w:jc w:val="both"/>
      </w:pPr>
      <w:r>
        <w:rPr>
          <w:rFonts w:ascii="Times New Roman"/>
          <w:color w:val="000000"/>
          <w:sz w:val="24"/>
          <w:szCs w:val="24"/>
        </w:rPr>
        <w:t xml:space="preserve">FR-4.7.1: The system shall provide an interactive analytics dashboard using Chart.js or Recharts with the following standard visualizations: PQS trend line chart per field (filterable by date range), organization-wide score distribution histogram, inspection completion rate bar chart, work order status pie chart, and maintenance cost trend area chart. All charts shall support data export to CSV and PNG formats.</w:t>
      </w:r>
    </w:p>
    <w:p>
      <w:pPr>
        <w:spacing w:after="120" w:line="312"/>
        <w:jc w:val="both"/>
      </w:pPr>
      <w:r>
        <w:rPr>
          <w:rFonts w:ascii="Times New Roman"/>
          <w:color w:val="000000"/>
          <w:sz w:val="24"/>
          <w:szCs w:val="24"/>
        </w:rPr>
        <w:t xml:space="preserve">FR-4.7.2: The system shall generate scheduled reports (daily inspection summary, weekly quality trend, monthly maintenance cost analysis) that are automatically emailed to designated recipients. Organization Admins configure the report schedule, recipient list, and format (PDF summary or Excel data dump).</w:t>
      </w:r>
    </w:p>
    <w:p>
      <w:pPr>
        <w:spacing w:after="120" w:line="312"/>
        <w:jc w:val="both"/>
      </w:pPr>
      <w:r>
        <w:rPr>
          <w:rFonts w:ascii="Times New Roman"/>
          <w:color w:val="000000"/>
          <w:sz w:val="24"/>
          <w:szCs w:val="24"/>
        </w:rPr>
        <w:t xml:space="preserve">FR-4.7.3: The system shall provide a comparative analytics module enabling organizations to benchmark their field quality against anonymized regional or national averages. Benchmarking data is aggregated from all participating organizations (opt-in) and presented in percentile ranking format.</w:t>
      </w:r>
    </w:p>
    <w:p>
      <w:pPr>
        <w:pStyle w:val="Heading3"/>
        <w:spacing w:after="120" w:before="240" w:line="312"/>
      </w:pPr>
      <w:bookmarkStart w:id="100022" w:name="_Toc100022"/>
      <w:r>
        <w:rPr>
          <w:rFonts w:ascii="Times New Roman"/>
          <w:b/>
          <w:bCs/>
          <w:color w:val="0A1628"/>
          <w:sz w:val="24"/>
          <w:szCs w:val="24"/>
        </w:rPr>
        <w:t xml:space="preserve">4.8 SaaS Billing and Subscription</w:t>
      </w:r>
      <w:bookmarkEnd w:id="100022"/>
    </w:p>
    <w:p>
      <w:pPr>
        <w:spacing w:after="120" w:line="312"/>
        <w:jc w:val="both"/>
      </w:pPr>
      <w:r>
        <w:rPr>
          <w:rFonts w:ascii="Times New Roman"/>
          <w:color w:val="000000"/>
          <w:sz w:val="24"/>
          <w:szCs w:val="24"/>
        </w:rPr>
        <w:t xml:space="preserve">FR-4.8.1: The system shall support four subscription tiers with the following feature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Feature</w:t>
            </w:r>
          </w:p>
        </w:tc>
        <w:tc>
          <w:tcPr>
            <w:tcW w:type="pct" w:w="2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Free</w:t>
            </w:r>
          </w:p>
        </w:tc>
        <w:tc>
          <w:tcPr>
            <w:tcW w:type="pct" w:w="2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Basic</w:t>
            </w:r>
          </w:p>
        </w:tc>
        <w:tc>
          <w:tcPr>
            <w:tcW w:type="pct" w:w="2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Professional</w:t>
            </w:r>
          </w:p>
        </w:tc>
        <w:tc>
          <w:tcPr>
            <w:tcW w:type="pct" w:w="2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Enterprise</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Fields</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2</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10</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50</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Unlimited</w:t>
            </w:r>
          </w:p>
        </w:tc>
      </w:tr>
      <w:tr>
        <w:trPr>
          <w:cantSplit/>
        </w:trPr>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Inspections/month</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10</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100</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Unlimited</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Unlimited</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Users</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3</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10</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50</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Unlimited</w:t>
            </w:r>
          </w:p>
        </w:tc>
      </w:tr>
      <w:tr>
        <w:trPr>
          <w:cantSplit/>
        </w:trPr>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PDF Reports</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Basic</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Full</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Full + Custom</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Full + White-label</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Analytics</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Summary</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Standard</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Advanced</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Advanced + Benchmark</w:t>
            </w:r>
          </w:p>
        </w:tc>
      </w:tr>
      <w:tr>
        <w:trPr>
          <w:cantSplit/>
        </w:trPr>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API Access</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No</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Read-only</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Full</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Full + Webhooks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Support</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Community</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Email</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Priority</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Dedicated + SLA</w:t>
            </w:r>
          </w:p>
        </w:tc>
      </w:tr>
      <w:tr>
        <w:trPr>
          <w:cantSplit/>
        </w:trPr>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Price (BDT/month)</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0</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2,500</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8,000</w:t>
            </w:r>
          </w:p>
        </w:tc>
        <w:tc>
          <w:tcPr>
            <w:tcW w:type="pct" w:w="2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Custom</w:t>
            </w:r>
          </w:p>
        </w:tc>
      </w:tr>
    </w:tbl>
    <w:p>
      <w:pPr>
        <w:spacing w:after="200" w:before="60" w:line="312"/>
      </w:pPr>
      <w:r>
        <w:rPr>
          <w:rFonts w:ascii="Times New Roman"/>
          <w:i/>
          <w:iCs/>
          <w:color w:val="6878A0"/>
          <w:sz w:val="21"/>
          <w:szCs w:val="21"/>
        </w:rPr>
        <w:t xml:space="preserve">Table 2: Subscription Tier Feature Matrix</w:t>
      </w:r>
    </w:p>
    <w:p>
      <w:pPr>
        <w:spacing w:after="120" w:line="312"/>
        <w:jc w:val="both"/>
      </w:pPr>
      <w:r>
        <w:rPr>
          <w:rFonts w:ascii="Times New Roman"/>
          <w:color w:val="000000"/>
          <w:sz w:val="24"/>
          <w:szCs w:val="24"/>
        </w:rPr>
        <w:t xml:space="preserve">FR-4.8.2: The system shall implement a pay-per-inspection billing model as an alternative to subscriptions. Organizations on the pay-per-inspection model are charged a fixed rate per inspection report generated. Pricing tiers apply: 1-50 inspections at BDT 150 each, 51-200 at BDT 120 each, and 201+ at BDT 100 each. Hybrid billing combines a base subscription with overage charges for excess inspections.</w:t>
      </w:r>
    </w:p>
    <w:p>
      <w:pPr>
        <w:spacing w:after="120" w:line="312"/>
        <w:jc w:val="both"/>
      </w:pPr>
      <w:r>
        <w:rPr>
          <w:rFonts w:ascii="Times New Roman"/>
          <w:color w:val="000000"/>
          <w:sz w:val="24"/>
          <w:szCs w:val="24"/>
        </w:rPr>
        <w:t xml:space="preserve">FR-4.8.3: The system shall integrate with Bangladesh payment gateways: bKash (mobile financial service), Nagad (mobile financial service), SSLCommerz (credit/debit card and bank transfer), and bank transfer (manual verification). Payment processing must be PCI-DSS compliant for card transactions.</w:t>
      </w:r>
    </w:p>
    <w:p>
      <w:pPr>
        <w:pStyle w:val="Heading3"/>
        <w:spacing w:after="120" w:before="240" w:line="312"/>
      </w:pPr>
      <w:bookmarkStart w:id="100023" w:name="_Toc100023"/>
      <w:r>
        <w:rPr>
          <w:rFonts w:ascii="Times New Roman"/>
          <w:b/>
          <w:bCs/>
          <w:color w:val="0A1628"/>
          <w:sz w:val="24"/>
          <w:szCs w:val="24"/>
        </w:rPr>
        <w:t xml:space="preserve">4.9 Notifications and Alerts</w:t>
      </w:r>
      <w:bookmarkEnd w:id="100023"/>
    </w:p>
    <w:p>
      <w:pPr>
        <w:spacing w:after="120" w:line="312"/>
        <w:jc w:val="both"/>
      </w:pPr>
      <w:r>
        <w:rPr>
          <w:rFonts w:ascii="Times New Roman"/>
          <w:color w:val="000000"/>
          <w:sz w:val="24"/>
          <w:szCs w:val="24"/>
        </w:rPr>
        <w:t xml:space="preserve">FR-4.9.1: The system shall support three notification channels: in-app notifications (real-time via WebSocket), email notifications (via SendGrid or Mailgun with Bangladesh SMTP relay), and SMS alerts (via Twilio or local SMS gateway for urgent alerts only). Users configure their notification preferences per channel and per event type.</w:t>
      </w:r>
    </w:p>
    <w:p>
      <w:pPr>
        <w:spacing w:after="120" w:line="312"/>
        <w:jc w:val="both"/>
      </w:pPr>
      <w:r>
        <w:rPr>
          <w:rFonts w:ascii="Times New Roman"/>
          <w:color w:val="000000"/>
          <w:sz w:val="24"/>
          <w:szCs w:val="24"/>
        </w:rPr>
        <w:t xml:space="preserve">FR-4.9.2: The system shall generate automated alerts for the following events: inspection score below threshold (configurable per field), upcoming scheduled inspection (24-hour and 1-hour reminders), work order overdue (configurable grace period), subscription limit approaching (80% and 95% usage), and system maintenance windows (48-hour advance notice).</w:t>
      </w:r>
    </w:p>
    <w:p>
      <w:pPr>
        <w:pStyle w:val="Heading3"/>
        <w:spacing w:after="120" w:before="240" w:line="312"/>
      </w:pPr>
      <w:bookmarkStart w:id="100024" w:name="_Toc100024"/>
      <w:r>
        <w:rPr>
          <w:rFonts w:ascii="Times New Roman"/>
          <w:b/>
          <w:bCs/>
          <w:color w:val="0A1628"/>
          <w:sz w:val="24"/>
          <w:szCs w:val="24"/>
        </w:rPr>
        <w:t xml:space="preserve">4.10 Admin Panel</w:t>
      </w:r>
      <w:bookmarkEnd w:id="100024"/>
    </w:p>
    <w:p>
      <w:pPr>
        <w:spacing w:after="120" w:line="312"/>
        <w:jc w:val="both"/>
      </w:pPr>
      <w:r>
        <w:rPr>
          <w:rFonts w:ascii="Times New Roman"/>
          <w:color w:val="000000"/>
          <w:sz w:val="24"/>
          <w:szCs w:val="24"/>
        </w:rPr>
        <w:t xml:space="preserve">FR-4.10.1: The Super Admin panel shall provide platform-wide management capabilities including: tenant organization management (create, suspend, terminate), global user audit log, system health monitoring (CPU, memory, disk, API response times), billing overview across all tenants, and feature flag management for gradual feature rollout.</w:t>
      </w:r>
    </w:p>
    <w:p>
      <w:pPr>
        <w:spacing w:after="120" w:line="312"/>
        <w:jc w:val="both"/>
      </w:pPr>
      <w:r>
        <w:rPr>
          <w:rFonts w:ascii="Times New Roman"/>
          <w:color w:val="000000"/>
          <w:sz w:val="24"/>
          <w:szCs w:val="24"/>
        </w:rPr>
        <w:t xml:space="preserve">FR-4.10.2: The admin panel shall display a real-time activity feed showing recent signups, inspections completed, payments processed, and system errors. The feed shall be filterable by event type and time range, with exportable logs for compliance auditing.</w:t>
      </w:r>
    </w:p>
    <w:p>
      <w:pPr>
        <w:pStyle w:val="Heading2"/>
        <w:spacing w:after="160" w:before="360" w:line="312"/>
      </w:pPr>
      <w:bookmarkStart w:id="100025" w:name="_Toc100025"/>
      <w:r>
        <w:rPr>
          <w:rFonts w:ascii="Times New Roman"/>
          <w:b/>
          <w:bCs/>
          <w:color w:val="0A1628"/>
          <w:sz w:val="28"/>
          <w:szCs w:val="28"/>
        </w:rPr>
        <w:t xml:space="preserve">5. Non-Functional Requirements</w:t>
      </w:r>
      <w:bookmarkEnd w:id="100025"/>
    </w:p>
    <w:p>
      <w:pPr>
        <w:pStyle w:val="Heading3"/>
        <w:spacing w:after="120" w:before="240" w:line="312"/>
      </w:pPr>
      <w:bookmarkStart w:id="100026" w:name="_Toc100026"/>
      <w:r>
        <w:rPr>
          <w:rFonts w:ascii="Times New Roman"/>
          <w:b/>
          <w:bCs/>
          <w:color w:val="0A1628"/>
          <w:sz w:val="24"/>
          <w:szCs w:val="24"/>
        </w:rPr>
        <w:t xml:space="preserve">5.1 Performance</w:t>
      </w:r>
      <w:bookmarkEnd w:id="100026"/>
    </w:p>
    <w:p>
      <w:pPr>
        <w:spacing w:after="120" w:line="312"/>
        <w:jc w:val="both"/>
      </w:pPr>
      <w:r>
        <w:rPr>
          <w:rFonts w:ascii="Times New Roman"/>
          <w:color w:val="000000"/>
          <w:sz w:val="24"/>
          <w:szCs w:val="24"/>
        </w:rPr>
        <w:t xml:space="preserve">NFR-5.1.1: The system shall achieve initial page load time (First Contentful Paint) under 1.5 seconds on a 4G mobile connection. Dashboard data loading shall complete within 2 seconds for organizations with up to 100 fields. API response time for standard CRUD operations shall be under 200ms at the 95th percentile under normal load conditions.</w:t>
      </w:r>
    </w:p>
    <w:p>
      <w:pPr>
        <w:spacing w:after="120" w:line="312"/>
        <w:jc w:val="both"/>
      </w:pPr>
      <w:r>
        <w:rPr>
          <w:rFonts w:ascii="Times New Roman"/>
          <w:color w:val="000000"/>
          <w:sz w:val="24"/>
          <w:szCs w:val="24"/>
        </w:rPr>
        <w:t xml:space="preserve">NFR-5.1.2: The system shall support a minimum of 500 concurrent users per tenant without degradation. The platform shall handle at least 1,000 API requests per second across all tenants. Database queries for inspection records shall utilize composite indexes to ensure sub-50ms response times for filtered and sorted queries across datasets of up to 100,000 inspection records per tenant.</w:t>
      </w:r>
    </w:p>
    <w:p>
      <w:pPr>
        <w:pStyle w:val="Heading3"/>
        <w:spacing w:after="120" w:before="240" w:line="312"/>
      </w:pPr>
      <w:bookmarkStart w:id="100027" w:name="_Toc100027"/>
      <w:r>
        <w:rPr>
          <w:rFonts w:ascii="Times New Roman"/>
          <w:b/>
          <w:bCs/>
          <w:color w:val="0A1628"/>
          <w:sz w:val="24"/>
          <w:szCs w:val="24"/>
        </w:rPr>
        <w:t xml:space="preserve">5.2 Security</w:t>
      </w:r>
      <w:bookmarkEnd w:id="100027"/>
    </w:p>
    <w:p>
      <w:pPr>
        <w:spacing w:after="120" w:line="312"/>
        <w:jc w:val="both"/>
      </w:pPr>
      <w:r>
        <w:rPr>
          <w:rFonts w:ascii="Times New Roman"/>
          <w:color w:val="000000"/>
          <w:sz w:val="24"/>
          <w:szCs w:val="24"/>
        </w:rPr>
        <w:t xml:space="preserve">NFR-5.2.1: All data in transit shall be encrypted using TLS 1.3. All sensitive data at rest (passwords, payment tokens, personal information) shall be encrypted using AES-256. API authentication shall use short-lived JWT access tokens (15-minute expiry) with HTTP-only secure refresh tokens (7-day expiry). Rate limiting shall be enforced at 100 requests per minute per IP and 1,000 requests per minute per authenticated user.</w:t>
      </w:r>
    </w:p>
    <w:p>
      <w:pPr>
        <w:spacing w:after="120" w:line="312"/>
        <w:jc w:val="both"/>
      </w:pPr>
      <w:r>
        <w:rPr>
          <w:rFonts w:ascii="Times New Roman"/>
          <w:color w:val="000000"/>
          <w:sz w:val="24"/>
          <w:szCs w:val="24"/>
        </w:rPr>
        <w:t xml:space="preserve">NFR-5.2.2: The system shall implement OWASP Top 10 protections including: parameterized MongoDB queries (no string concatenation), Content Security Policy headers, CORS whitelisting, input validation and sanitization on all API endpoints, CSRF protection for state-changing requests, and regular dependency vulnerability scanning via npm audit integrated into the CI/CD pipeline.</w:t>
      </w:r>
    </w:p>
    <w:p>
      <w:pPr>
        <w:spacing w:after="120" w:line="312"/>
        <w:jc w:val="both"/>
      </w:pPr>
      <w:r>
        <w:rPr>
          <w:rFonts w:ascii="Times New Roman"/>
          <w:color w:val="000000"/>
          <w:sz w:val="24"/>
          <w:szCs w:val="24"/>
        </w:rPr>
        <w:t xml:space="preserve">NFR-5.2.3: The system shall maintain a comprehensive audit log recording all authentication events, data access (read/write operations on inspection and billing data), administrative actions, and permission changes. Audit logs shall be immutable (append-only) and retained for a minimum of 2 years per Bangladesh regulatory requirements.</w:t>
      </w:r>
    </w:p>
    <w:p>
      <w:pPr>
        <w:pStyle w:val="Heading3"/>
        <w:spacing w:after="120" w:before="240" w:line="312"/>
      </w:pPr>
      <w:bookmarkStart w:id="100028" w:name="_Toc100028"/>
      <w:r>
        <w:rPr>
          <w:rFonts w:ascii="Times New Roman"/>
          <w:b/>
          <w:bCs/>
          <w:color w:val="0A1628"/>
          <w:sz w:val="24"/>
          <w:szCs w:val="24"/>
        </w:rPr>
        <w:t xml:space="preserve">5.3 Scalability</w:t>
      </w:r>
      <w:bookmarkEnd w:id="100028"/>
    </w:p>
    <w:p>
      <w:pPr>
        <w:spacing w:after="120" w:line="312"/>
        <w:jc w:val="both"/>
      </w:pPr>
      <w:r>
        <w:rPr>
          <w:rFonts w:ascii="Times New Roman"/>
          <w:color w:val="000000"/>
          <w:sz w:val="24"/>
          <w:szCs w:val="24"/>
        </w:rPr>
        <w:t xml:space="preserve">NFR-5.3.1: The system architecture shall support horizontal scaling of both application servers (Node.js) and database layer (MongoDB replica set with sharding). The application shall be stateless, storing all session state in Redis, enabling any instance to handle any request. Auto-scaling policies shall add application instances when CPU utilization exceeds 70% for more than 5 minutes.</w:t>
      </w:r>
    </w:p>
    <w:p>
      <w:pPr>
        <w:spacing w:after="120" w:line="312"/>
        <w:jc w:val="both"/>
      </w:pPr>
      <w:r>
        <w:rPr>
          <w:rFonts w:ascii="Times New Roman"/>
          <w:color w:val="000000"/>
          <w:sz w:val="24"/>
          <w:szCs w:val="24"/>
        </w:rPr>
        <w:t xml:space="preserve">NFR-5.3.2: MongoDB shall be configured as a replica set with a minimum of 3 nodes (1 primary, 2 secondaries) for high availability. Sharding shall be implemented on the tenant ID when a single MongoDB instance exceeds 500GB of data or when write throughput exceeds 10,000 operations per second.</w:t>
      </w:r>
    </w:p>
    <w:p>
      <w:pPr>
        <w:pStyle w:val="Heading3"/>
        <w:spacing w:after="120" w:before="240" w:line="312"/>
      </w:pPr>
      <w:bookmarkStart w:id="100029" w:name="_Toc100029"/>
      <w:r>
        <w:rPr>
          <w:rFonts w:ascii="Times New Roman"/>
          <w:b/>
          <w:bCs/>
          <w:color w:val="0A1628"/>
          <w:sz w:val="24"/>
          <w:szCs w:val="24"/>
        </w:rPr>
        <w:t xml:space="preserve">5.4 Availability and Reliability</w:t>
      </w:r>
      <w:bookmarkEnd w:id="100029"/>
    </w:p>
    <w:p>
      <w:pPr>
        <w:spacing w:after="120" w:line="312"/>
        <w:jc w:val="both"/>
      </w:pPr>
      <w:r>
        <w:rPr>
          <w:rFonts w:ascii="Times New Roman"/>
          <w:color w:val="000000"/>
          <w:sz w:val="24"/>
          <w:szCs w:val="24"/>
        </w:rPr>
        <w:t xml:space="preserve">NFR-5.4.1: The system shall achieve 99.5% uptime measured monthly (excluding scheduled maintenance windows). Scheduled maintenance shall be limited to a maximum of 4 hours per month, announced 48 hours in advance via in-app notification and email. Database backups shall be performed every 6 hours with point-in-time recovery capability. Backup recovery time objective (RTO) shall be under 1 hour.</w:t>
      </w:r>
    </w:p>
    <w:p>
      <w:pPr>
        <w:pStyle w:val="Heading3"/>
        <w:spacing w:after="120" w:before="240" w:line="312"/>
      </w:pPr>
      <w:bookmarkStart w:id="100030" w:name="_Toc100030"/>
      <w:r>
        <w:rPr>
          <w:rFonts w:ascii="Times New Roman"/>
          <w:b/>
          <w:bCs/>
          <w:color w:val="0A1628"/>
          <w:sz w:val="24"/>
          <w:szCs w:val="24"/>
        </w:rPr>
        <w:t xml:space="preserve">5.5 Localization (Bangla and English)</w:t>
      </w:r>
      <w:bookmarkEnd w:id="100030"/>
    </w:p>
    <w:p>
      <w:pPr>
        <w:spacing w:after="120" w:line="312"/>
        <w:jc w:val="both"/>
      </w:pPr>
      <w:r>
        <w:rPr>
          <w:rFonts w:ascii="Times New Roman"/>
          <w:color w:val="000000"/>
          <w:sz w:val="24"/>
          <w:szCs w:val="24"/>
        </w:rPr>
        <w:t xml:space="preserve">NFR-5.5.1: The system shall support bilingual interface in English and Bangla (Bengali). The default language is English with a language toggle in the user profile settings. All static UI text, system-generated messages, email templates, and report labels shall be provided in both languages using i18next for React frontend and a corresponding backend message catalog. Date, time, and number formatting shall follow Bangladesh conventions (BDT currency, DD/MM/YYYY dates, 24-hour time).</w:t>
      </w:r>
    </w:p>
    <w:p>
      <w:pPr>
        <w:pStyle w:val="Heading3"/>
        <w:spacing w:after="120" w:before="240" w:line="312"/>
      </w:pPr>
      <w:bookmarkStart w:id="100031" w:name="_Toc100031"/>
      <w:r>
        <w:rPr>
          <w:rFonts w:ascii="Times New Roman"/>
          <w:b/>
          <w:bCs/>
          <w:color w:val="0A1628"/>
          <w:sz w:val="24"/>
          <w:szCs w:val="24"/>
        </w:rPr>
        <w:t xml:space="preserve">5.6 Accessibility</w:t>
      </w:r>
      <w:bookmarkEnd w:id="100031"/>
    </w:p>
    <w:p>
      <w:pPr>
        <w:spacing w:after="120" w:line="312"/>
        <w:jc w:val="both"/>
      </w:pPr>
      <w:r>
        <w:rPr>
          <w:rFonts w:ascii="Times New Roman"/>
          <w:color w:val="000000"/>
          <w:sz w:val="24"/>
          <w:szCs w:val="24"/>
        </w:rPr>
        <w:t xml:space="preserve">NFR-5.6.1: The system shall conform to WCAG 2.1 Level AA accessibility standards. Key requirements include: all interactive elements reachable via keyboard navigation, minimum contrast ratio of 4.5:1 for body text and 3:1 for large text, screen reader compatibility (tested with NVDA and JAWS), form labels programmatically associated with inputs, and alternative text for all non-decorative images.</w:t>
      </w:r>
    </w:p>
    <w:p>
      <w:pPr>
        <w:pStyle w:val="Heading2"/>
        <w:spacing w:after="160" w:before="360" w:line="312"/>
      </w:pPr>
      <w:bookmarkStart w:id="100032" w:name="_Toc100032"/>
      <w:r>
        <w:rPr>
          <w:rFonts w:ascii="Times New Roman"/>
          <w:b/>
          <w:bCs/>
          <w:color w:val="0A1628"/>
          <w:sz w:val="28"/>
          <w:szCs w:val="28"/>
        </w:rPr>
        <w:t xml:space="preserve">6. Bangladesh Regulatory Compliance</w:t>
      </w:r>
      <w:bookmarkEnd w:id="100032"/>
    </w:p>
    <w:p>
      <w:pPr>
        <w:pStyle w:val="Heading3"/>
        <w:spacing w:after="120" w:before="240" w:line="312"/>
      </w:pPr>
      <w:bookmarkStart w:id="100033" w:name="_Toc100033"/>
      <w:r>
        <w:rPr>
          <w:rFonts w:ascii="Times New Roman"/>
          <w:b/>
          <w:bCs/>
          <w:color w:val="0A1628"/>
          <w:sz w:val="24"/>
          <w:szCs w:val="24"/>
        </w:rPr>
        <w:t xml:space="preserve">6.1 BIDA and ICT Division</w:t>
      </w:r>
      <w:bookmarkEnd w:id="100033"/>
    </w:p>
    <w:p>
      <w:pPr>
        <w:spacing w:after="120" w:line="312"/>
        <w:jc w:val="both"/>
      </w:pPr>
      <w:r>
        <w:rPr>
          <w:rFonts w:ascii="Times New Roman"/>
          <w:color w:val="000000"/>
          <w:sz w:val="24"/>
          <w:szCs w:val="24"/>
        </w:rPr>
        <w:t xml:space="preserve">The platform shall comply with Bangladesh Investment Development Authority (BIDA) requirements for ICT sector companies, including proper business registration, tax identification (TIN), and VAT compliance for SaaS revenue. All subscription invoices shall be generated in compliance with Bangladesh tax regulations, including applicable VAT (15%) and service tax calculations. The platform shall maintain digital records of all transactions for a minimum of 7 years as required by the National Board of Revenue.</w:t>
      </w:r>
    </w:p>
    <w:p>
      <w:pPr>
        <w:spacing w:after="120" w:line="312"/>
        <w:jc w:val="both"/>
      </w:pPr>
      <w:r>
        <w:rPr>
          <w:rFonts w:ascii="Times New Roman"/>
          <w:color w:val="000000"/>
          <w:sz w:val="24"/>
          <w:szCs w:val="24"/>
        </w:rPr>
        <w:t xml:space="preserve">The system design aligns with the ICT Division's Digital Bangladesh initiatives by promoting digital transformation in sports infrastructure management. Platform metadata and organizational details shall be registered with the relevant government digital service directories as required.</w:t>
      </w:r>
    </w:p>
    <w:p>
      <w:pPr>
        <w:pStyle w:val="Heading3"/>
        <w:spacing w:after="120" w:before="240" w:line="312"/>
      </w:pPr>
      <w:bookmarkStart w:id="100034" w:name="_Toc100034"/>
      <w:r>
        <w:rPr>
          <w:rFonts w:ascii="Times New Roman"/>
          <w:b/>
          <w:bCs/>
          <w:color w:val="0A1628"/>
          <w:sz w:val="24"/>
          <w:szCs w:val="24"/>
        </w:rPr>
        <w:t xml:space="preserve">6.2 Data Protection Act 2023 and Data Localization</w:t>
      </w:r>
      <w:bookmarkEnd w:id="100034"/>
    </w:p>
    <w:p>
      <w:pPr>
        <w:spacing w:after="120" w:line="312"/>
        <w:jc w:val="both"/>
      </w:pPr>
      <w:r>
        <w:rPr>
          <w:rFonts w:ascii="Times New Roman"/>
          <w:color w:val="000000"/>
          <w:sz w:val="24"/>
          <w:szCs w:val="24"/>
        </w:rPr>
        <w:t xml:space="preserve">The Bangladesh Digital Personal Data Protection Act 2023 (DPA 2023) classifies sports facility inspection data as potentially personally identifiable when linked to specific groundskeepers, inspectors, or venue managers. The platform shall implement the following compliance measures: explicit consent collection during user registration with a clear privacy notice in both English and Bangla, data minimization principles (collecting only data necessary for the stated purpose), purpose limitation (using data only for turf management and not for unrelated analytics), and data subject rights (access, correction, deletion, and portability requests processed within 30 days).</w:t>
      </w:r>
    </w:p>
    <w:p>
      <w:pPr>
        <w:spacing w:after="120" w:line="312"/>
        <w:jc w:val="both"/>
      </w:pPr>
      <w:r>
        <w:rPr>
          <w:rFonts w:ascii="Times New Roman"/>
          <w:color w:val="000000"/>
          <w:sz w:val="24"/>
          <w:szCs w:val="24"/>
        </w:rPr>
        <w:t xml:space="preserve">Data localization is a critical architectural requirement. All primary data storage (MongoDB, file storage for inspection photos) shall be hosted on servers physically located within Bangladesh. The initial deployment targets a Bangladesh-based cloud provider (e.g., xFusion, BDCloud, or a local data center) or AWS ap-south-1 (Mumbai) region as a fallback with explicit data processing agreement. Cross-border data transfer is permitted only for: encrypted backup replication to a secondary disaster recovery site (with data processing agreement), and analytics processing on anonymized, aggregated data.</w:t>
      </w:r>
    </w:p>
    <w:p>
      <w:pPr>
        <w:pStyle w:val="Heading3"/>
        <w:spacing w:after="120" w:before="240" w:line="312"/>
      </w:pPr>
      <w:bookmarkStart w:id="100035" w:name="_Toc100035"/>
      <w:r>
        <w:rPr>
          <w:rFonts w:ascii="Times New Roman"/>
          <w:b/>
          <w:bCs/>
          <w:color w:val="0A1628"/>
          <w:sz w:val="24"/>
          <w:szCs w:val="24"/>
        </w:rPr>
        <w:t xml:space="preserve">6.3 Digital Bangladesh Vision 2041</w:t>
      </w:r>
      <w:bookmarkEnd w:id="100035"/>
    </w:p>
    <w:p>
      <w:pPr>
        <w:spacing w:after="120" w:line="312"/>
        <w:jc w:val="both"/>
      </w:pPr>
      <w:r>
        <w:rPr>
          <w:rFonts w:ascii="Times New Roman"/>
          <w:color w:val="000000"/>
          <w:sz w:val="24"/>
          <w:szCs w:val="24"/>
        </w:rPr>
        <w:t xml:space="preserve">The platform supports Bangladesh's Vision 2041 digital transformation goals by digitizing a traditionally manual sector (sports ground management), enabling data-driven resource allocation for sports infrastructure, and providing a template for SaaS platform development in the Bangladesh market. The platform's open API architecture allows future integration with government sports databases and the national digital identity system (NID) for user verification.</w:t>
      </w:r>
    </w:p>
    <w:p>
      <w:pPr>
        <w:pStyle w:val="Heading2"/>
        <w:spacing w:after="160" w:before="360" w:line="312"/>
      </w:pPr>
      <w:bookmarkStart w:id="100036" w:name="_Toc100036"/>
      <w:r>
        <w:rPr>
          <w:rFonts w:ascii="Times New Roman"/>
          <w:b/>
          <w:bCs/>
          <w:color w:val="0A1628"/>
          <w:sz w:val="28"/>
          <w:szCs w:val="28"/>
        </w:rPr>
        <w:t xml:space="preserve">7. User Roles and Permission Matrix</w:t>
      </w:r>
      <w:bookmarkEnd w:id="100036"/>
    </w:p>
    <w:p>
      <w:pPr>
        <w:spacing w:after="120" w:line="312"/>
        <w:jc w:val="both"/>
      </w:pPr>
      <w:r>
        <w:rPr>
          <w:rFonts w:ascii="Times New Roman"/>
          <w:color w:val="000000"/>
          <w:sz w:val="24"/>
          <w:szCs w:val="24"/>
        </w:rPr>
        <w:t xml:space="preserve">The following table defines the permission matrix for each system role across all major resource types. Permissions are categorized as Create (C), Read (R), Update (U), Delete (D), or None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4%"/>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Resource</w:t>
            </w:r>
          </w:p>
        </w:tc>
        <w:tc>
          <w:tcPr>
            <w:tcW w:type="pct" w:w="19%"/>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Super Admin</w:t>
            </w:r>
          </w:p>
        </w:tc>
        <w:tc>
          <w:tcPr>
            <w:tcW w:type="pct" w:w="19%"/>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Org Admin</w:t>
            </w:r>
          </w:p>
        </w:tc>
        <w:tc>
          <w:tcPr>
            <w:tcW w:type="pct" w:w="19%"/>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Inspector</w:t>
            </w:r>
          </w:p>
        </w:tc>
        <w:tc>
          <w:tcPr>
            <w:tcW w:type="pct" w:w="19%"/>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Viewer</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Organization Settings</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w:t>
            </w:r>
          </w:p>
        </w:tc>
      </w:tr>
      <w:tr>
        <w:trPr>
          <w:cantSplit/>
        </w:trPr>
        <w:tc>
          <w:tcPr>
            <w:tcW w:type="pct" w:w="24%"/>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User Management</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Field Registration</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r>
      <w:tr>
        <w:trPr>
          <w:cantSplit/>
        </w:trPr>
        <w:tc>
          <w:tcPr>
            <w:tcW w:type="pct" w:w="24%"/>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Inspection 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Quality Scores</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r>
      <w:tr>
        <w:trPr>
          <w:cantSplit/>
        </w:trPr>
        <w:tc>
          <w:tcPr>
            <w:tcW w:type="pct" w:w="24%"/>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Work Orders</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Reports</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w:t>
            </w:r>
          </w:p>
        </w:tc>
      </w:tr>
      <w:tr>
        <w:trPr>
          <w:cantSplit/>
        </w:trPr>
        <w:tc>
          <w:tcPr>
            <w:tcW w:type="pct" w:w="24%"/>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Analytics</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 (all orgs)</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 (own org)</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 (assigned)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 (assigned)</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Billing</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CRUD (all)</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 (own)</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w:t>
            </w:r>
          </w:p>
        </w:tc>
        <w:tc>
          <w:tcPr>
            <w:tcW w:type="pct" w:w="1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w:t>
            </w:r>
          </w:p>
        </w:tc>
      </w:tr>
      <w:tr>
        <w:trPr>
          <w:cantSplit/>
        </w:trPr>
        <w:tc>
          <w:tcPr>
            <w:tcW w:type="pct" w:w="24%"/>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Platform Config</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CRUD</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c>
          <w:tcPr>
            <w:tcW w:type="pct" w:w="19%"/>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r>
    </w:tbl>
    <w:p>
      <w:pPr>
        <w:spacing w:after="200" w:before="60" w:line="312"/>
      </w:pPr>
      <w:r>
        <w:rPr>
          <w:rFonts w:ascii="Times New Roman"/>
          <w:i/>
          <w:iCs/>
          <w:color w:val="6878A0"/>
          <w:sz w:val="21"/>
          <w:szCs w:val="21"/>
        </w:rPr>
        <w:t xml:space="preserve">Table 3: User Role Permission Matrix (C=Create, R=Read, U=Update, D=Delete)</w:t>
      </w:r>
    </w:p>
    <w:p>
      <w:pPr>
        <w:pStyle w:val="Heading2"/>
        <w:spacing w:after="160" w:before="360" w:line="312"/>
      </w:pPr>
      <w:bookmarkStart w:id="100037" w:name="_Toc100037"/>
      <w:r>
        <w:rPr>
          <w:rFonts w:ascii="Times New Roman"/>
          <w:b/>
          <w:bCs/>
          <w:color w:val="0A1628"/>
          <w:sz w:val="28"/>
          <w:szCs w:val="28"/>
        </w:rPr>
        <w:t xml:space="preserve">8. Data Requirements and Domain Model</w:t>
      </w:r>
      <w:bookmarkEnd w:id="100037"/>
    </w:p>
    <w:p>
      <w:pPr>
        <w:spacing w:after="120" w:line="312"/>
        <w:jc w:val="both"/>
      </w:pPr>
      <w:r>
        <w:rPr>
          <w:rFonts w:ascii="Times New Roman"/>
          <w:color w:val="000000"/>
          <w:sz w:val="24"/>
          <w:szCs w:val="24"/>
        </w:rPr>
        <w:t xml:space="preserve">The core domain model centers around five primary entities: Organization, Field, Inspection, WorkOrder, and User. An Organization has many Fields, each Field has many Inspections, Inspections may generate WorkOrders, and an Organization has many Users with defined Roles. Supporting entities include Subscription (billing), Notification, AuditLog, and InspectionTemplate. The following section provides the complete MongoDB collection schemas in Part II, Section 11.</w:t>
      </w:r>
    </w:p>
    <w:p>
      <w:pPr>
        <w:spacing w:after="120" w:line="312"/>
        <w:jc w:val="both"/>
      </w:pPr>
      <w:r>
        <w:rPr>
          <w:rFonts w:ascii="Times New Roman"/>
          <w:color w:val="000000"/>
          <w:sz w:val="24"/>
          <w:szCs w:val="24"/>
        </w:rPr>
        <w:t xml:space="preserve">Key data relationships: each Inspection references exactly one Field and one Inspector (User). Each WorkOrder references one Inspection (the trigger) and one Field. The Pitch Quality Score is computed from Inspection data and stored as an embedded document within the Inspection record for query performance. Historical score data is also maintained in a denormalized ScoreHistory collection for efficient trend analytics without requiring full inspection document scans.</w:t>
      </w:r>
    </w:p>
    <w:p>
      <w:pPr>
        <w:pStyle w:val="Heading2"/>
        <w:spacing w:after="160" w:before="360" w:line="312"/>
      </w:pPr>
      <w:bookmarkStart w:id="100038" w:name="_Toc100038"/>
      <w:r>
        <w:rPr>
          <w:rFonts w:ascii="Times New Roman"/>
          <w:b/>
          <w:bCs/>
          <w:color w:val="0A1628"/>
          <w:sz w:val="28"/>
          <w:szCs w:val="28"/>
        </w:rPr>
        <w:t xml:space="preserve">9. Use Case Scenarios</w:t>
      </w:r>
      <w:bookmarkEnd w:id="100038"/>
    </w:p>
    <w:p>
      <w:pPr>
        <w:pStyle w:val="Heading3"/>
        <w:spacing w:after="120" w:before="240" w:line="312"/>
      </w:pPr>
      <w:bookmarkStart w:id="100039" w:name="_Toc100039"/>
      <w:r>
        <w:rPr>
          <w:rFonts w:ascii="Times New Roman"/>
          <w:b/>
          <w:bCs/>
          <w:color w:val="0A1628"/>
          <w:sz w:val="24"/>
          <w:szCs w:val="24"/>
        </w:rPr>
        <w:t xml:space="preserve">9.1 Cricket Pitch Pre-Match Inspection</w:t>
      </w:r>
      <w:bookmarkEnd w:id="100039"/>
    </w:p>
    <w:p>
      <w:pPr>
        <w:spacing w:after="120" w:line="312"/>
        <w:jc w:val="both"/>
      </w:pPr>
      <w:r>
        <w:rPr>
          <w:rFonts w:ascii="Times New Roman"/>
          <w:color w:val="000000"/>
          <w:sz w:val="24"/>
          <w:szCs w:val="24"/>
        </w:rPr>
        <w:t xml:space="preserve">A BCB-accredited inspector arrives at Sher-e-Bangla National Stadium 48 hours before an international match. They open the TurfCare BD web app on their tablet, select the designated pitch (Field ID: SHB-001), and initiate a new inspection. They record weather conditions (temperature 28C, humidity 75%, no recent rainfall), then proceed through the structured form measuring grass cover (92%), soil compaction (2.8 kg/cm2), surface evenness (3mm deviation over 3m), drainage rate (8 minutes for 25mm), and grass health (minor fungal spot on one section). They capture four geotagged photographs and submit the inspection. The system calculates a PQS of 87 (Excellent), generates a compliance report, and automatically notifies the venue manager and match referee.</w:t>
      </w:r>
    </w:p>
    <w:p>
      <w:pPr>
        <w:pStyle w:val="Heading3"/>
        <w:spacing w:after="120" w:before="240" w:line="312"/>
      </w:pPr>
      <w:bookmarkStart w:id="100040" w:name="_Toc100040"/>
      <w:r>
        <w:rPr>
          <w:rFonts w:ascii="Times New Roman"/>
          <w:b/>
          <w:bCs/>
          <w:color w:val="0A1628"/>
          <w:sz w:val="24"/>
          <w:szCs w:val="24"/>
        </w:rPr>
        <w:t xml:space="preserve">9.2 Maintenance Work Order Lifecycle</w:t>
      </w:r>
      <w:bookmarkEnd w:id="100040"/>
    </w:p>
    <w:p>
      <w:pPr>
        <w:spacing w:after="120" w:line="312"/>
        <w:jc w:val="both"/>
      </w:pPr>
      <w:r>
        <w:rPr>
          <w:rFonts w:ascii="Times New Roman"/>
          <w:color w:val="000000"/>
          <w:sz w:val="24"/>
          <w:szCs w:val="24"/>
        </w:rPr>
        <w:t xml:space="preserve">A routine monthly inspection at Dhaka City Corporation Ground reveals a PQS of 48 (Poor) due to inadequate drainage (22 minutes for 25mm infiltration) and thinning grass cover (55%). The system automatically creates an urgent work order (WO-2025-0847) assigned to the groundskeeping team lead. The work order includes specific remediation tasks: install supplementary drainage channels in the affected area, top-dress with a sand-soil mix to improve surface levels, and overseed with recommended grass variety. The turf manager updates the work order status to In Progress, and upon completion, requests a follow-up inspection. The system schedules the follow-up inspection 14 days after the maintenance completion date.</w:t>
      </w:r>
    </w:p>
    <w:p>
      <w:pPr>
        <w:pStyle w:val="Heading1"/>
        <w:spacing w:after="200" w:before="480" w:line="312"/>
      </w:pPr>
      <w:bookmarkStart w:id="100041" w:name="_Toc100041"/>
      <w:r>
        <w:rPr>
          <w:rFonts w:ascii="Times New Roman"/>
          <w:b/>
          <w:bCs/>
          <w:color w:val="0A1628"/>
          <w:sz w:val="32"/>
          <w:szCs w:val="32"/>
        </w:rPr>
        <w:t xml:space="preserve">PART II: SYSTEM DESIGN DOCUMENT</w:t>
      </w:r>
      <w:bookmarkEnd w:id="100041"/>
    </w:p>
    <w:p>
      <w:pPr>
        <w:pStyle w:val="Heading2"/>
        <w:spacing w:after="160" w:before="360" w:line="312"/>
      </w:pPr>
      <w:bookmarkStart w:id="100042" w:name="_Toc100042"/>
      <w:r>
        <w:rPr>
          <w:rFonts w:ascii="Times New Roman"/>
          <w:b/>
          <w:bCs/>
          <w:color w:val="0A1628"/>
          <w:sz w:val="28"/>
          <w:szCs w:val="28"/>
        </w:rPr>
        <w:t xml:space="preserve">10. System Architecture (High-Level Design)</w:t>
      </w:r>
      <w:bookmarkEnd w:id="100042"/>
    </w:p>
    <w:p>
      <w:pPr>
        <w:pStyle w:val="Heading3"/>
        <w:spacing w:after="120" w:before="240" w:line="312"/>
      </w:pPr>
      <w:bookmarkStart w:id="100043" w:name="_Toc100043"/>
      <w:r>
        <w:rPr>
          <w:rFonts w:ascii="Times New Roman"/>
          <w:b/>
          <w:bCs/>
          <w:color w:val="0A1628"/>
          <w:sz w:val="24"/>
          <w:szCs w:val="24"/>
        </w:rPr>
        <w:t xml:space="preserve">10.1 Architecture Overview</w:t>
      </w:r>
      <w:bookmarkEnd w:id="100043"/>
    </w:p>
    <w:p>
      <w:pPr>
        <w:spacing w:after="120" w:line="312"/>
        <w:jc w:val="both"/>
      </w:pPr>
      <w:r>
        <w:rPr>
          <w:rFonts w:ascii="Times New Roman"/>
          <w:color w:val="000000"/>
          <w:sz w:val="24"/>
          <w:szCs w:val="24"/>
        </w:rPr>
        <w:t xml:space="preserve">TurfCare BD follows a three-tier architecture pattern consisting of a React single-page application (SPA) frontend, a Node.js/Express RESTful API server, and a MongoDB database with Redis caching. The system is designed as a modular monolith in the initial release, with clear module boundaries that allow extraction into microservices in Phase 2 as load demands increase. Each module (Auth, Organizations, Fields, Inspections, WorkOrders, Billing, Notifications, Analytics) has defined interfaces and can be developed and tested independently.</w:t>
      </w:r>
    </w:p>
    <w:p>
      <w:pPr>
        <w:spacing w:after="120" w:line="312"/>
        <w:jc w:val="both"/>
      </w:pPr>
      <w:r>
        <w:rPr>
          <w:rFonts w:ascii="Times New Roman"/>
          <w:color w:val="000000"/>
          <w:sz w:val="24"/>
          <w:szCs w:val="24"/>
        </w:rPr>
        <w:t xml:space="preserve">The frontend communicates exclusively with the backend through a RESTful API layer. No direct database access is permitted from the frontend. All API requests pass through an authentication middleware that validates JWT tokens and extracts the tenant ID for data isolation. The backend serves the React SPA as static files in production, with CDN caching for static assets via Cloudflare or a similar CDN available in Bangladesh.</w:t>
      </w:r>
    </w:p>
    <w:p>
      <w:pPr>
        <w:spacing w:after="120" w:line="312"/>
        <w:jc w:val="both"/>
      </w:pPr>
      <w:r>
        <w:rPr>
          <w:rFonts w:ascii="Times New Roman"/>
          <w:color w:val="000000"/>
          <w:sz w:val="24"/>
          <w:szCs w:val="24"/>
        </w:rPr>
        <w:t xml:space="preserve">Real-time features (notifications, live dashboard updates) use WebSocket connections through Socket.io, which connects to the same Node.js server. WebSocket connections are authenticated using the same JWT token passed during the HTTP upgrade handshake. Redis Pub/Sub is used to broadcast events across multiple server instances in a scaled deployment.</w:t>
      </w:r>
    </w:p>
    <w:p>
      <w:pPr>
        <w:pStyle w:val="Heading3"/>
        <w:spacing w:after="120" w:before="240" w:line="312"/>
      </w:pPr>
      <w:bookmarkStart w:id="100044" w:name="_Toc100044"/>
      <w:r>
        <w:rPr>
          <w:rFonts w:ascii="Times New Roman"/>
          <w:b/>
          <w:bCs/>
          <w:color w:val="0A1628"/>
          <w:sz w:val="24"/>
          <w:szCs w:val="24"/>
        </w:rPr>
        <w:t xml:space="preserve">10.2 Technology Stack (MERN)</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Layer</w:t>
            </w:r>
          </w:p>
        </w:tc>
        <w:tc>
          <w:tcPr>
            <w:tcW w:type="pct" w:w="3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Technology</w:t>
            </w:r>
          </w:p>
        </w:tc>
        <w:tc>
          <w:tcPr>
            <w:tcW w:type="pct" w:w="17%"/>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Version</w:t>
            </w:r>
          </w:p>
        </w:tc>
        <w:tc>
          <w:tcPr>
            <w:tcW w:type="pct" w:w="3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Frontend</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React</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18.x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UI component library</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Frontend</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Next.js / Vite</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5.x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Build tool and dev server</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State Mgmt</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Redux Toolkit</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2.x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Global state management</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UI Framework</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Tailwind CSS</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3.x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Utility-first CSS framework</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Charts</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Recharts</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2.x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Data visualization</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Maps</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Leaflet.js</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1.9.x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Interactive map display</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Backend</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Node.js</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20.x LTS</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Server runtime</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Backend</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Express.js</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4.x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HTTP framework</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Database</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MongoDB</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7.x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Primary data store</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Cache</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Redis</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7.x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Session cache, pub/sub</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Auth</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jsonwebtoken</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9.x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JWT token generation</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Validation</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Joi / Zod</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3.x / 3.x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Schema validation</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File Upload</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Multer + S3</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1.x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Inspection photo handling</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PDF Gen</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Puppeteer</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22.x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Server-side report generation</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Payments</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SSLCommerz SDK</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3.x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Bangladesh payment gateway</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Testing</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Jest + React Testing Lib</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29.x</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Unit and integration tests</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E2E</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Cypress</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13.x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End-to-end testing</w:t>
            </w:r>
          </w:p>
        </w:tc>
      </w:tr>
      <w:tr>
        <w:trPr>
          <w:cantSplit/>
        </w:trPr>
        <w:tc>
          <w:tcPr>
            <w:tcW w:type="pct" w:w="18%"/>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CI/CD</w:t>
            </w:r>
          </w:p>
        </w:tc>
        <w:tc>
          <w:tcPr>
            <w:tcW w:type="pct" w:w="3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GitHub Actions</w:t>
            </w:r>
          </w:p>
        </w:tc>
        <w:tc>
          <w:tcPr>
            <w:tcW w:type="pct" w:w="17%"/>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w:t>
            </w:r>
          </w:p>
        </w:tc>
        <w:tc>
          <w:tcPr>
            <w:tcW w:type="pct" w:w="3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Build, test, deploy pipeline</w:t>
            </w:r>
          </w:p>
        </w:tc>
      </w:tr>
      <w:tr>
        <w:trPr>
          <w:cantSplit/>
        </w:trPr>
        <w:tc>
          <w:tcPr>
            <w:tcW w:type="pct" w:w="1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Container</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Docker + Compose</w:t>
            </w:r>
          </w:p>
        </w:tc>
        <w:tc>
          <w:tcPr>
            <w:tcW w:type="pct" w:w="1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24.x</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Containerization</w:t>
            </w:r>
          </w:p>
        </w:tc>
      </w:tr>
    </w:tbl>
    <w:p>
      <w:pPr>
        <w:spacing w:after="200" w:before="60" w:line="312"/>
      </w:pPr>
      <w:r>
        <w:rPr>
          <w:rFonts w:ascii="Times New Roman"/>
          <w:i/>
          <w:iCs/>
          <w:color w:val="6878A0"/>
          <w:sz w:val="21"/>
          <w:szCs w:val="21"/>
        </w:rPr>
        <w:t xml:space="preserve">Table 4: Complete Technology Stack</w:t>
      </w:r>
    </w:p>
    <w:p>
      <w:pPr>
        <w:pStyle w:val="Heading3"/>
        <w:spacing w:after="120" w:before="240" w:line="312"/>
      </w:pPr>
      <w:bookmarkStart w:id="100045" w:name="_Toc100045"/>
      <w:r>
        <w:rPr>
          <w:rFonts w:ascii="Times New Roman"/>
          <w:b/>
          <w:bCs/>
          <w:color w:val="0A1628"/>
          <w:sz w:val="24"/>
          <w:szCs w:val="24"/>
        </w:rPr>
        <w:t xml:space="preserve">10.3 System Component Diagram</w:t>
      </w:r>
      <w:bookmarkEnd w:id="100045"/>
    </w:p>
    <w:p>
      <w:pPr>
        <w:spacing w:after="120" w:line="312"/>
        <w:jc w:val="both"/>
      </w:pPr>
      <w:r>
        <w:rPr>
          <w:rFonts w:ascii="Times New Roman"/>
          <w:color w:val="000000"/>
          <w:sz w:val="24"/>
          <w:szCs w:val="24"/>
        </w:rPr>
        <w:t xml:space="preserve">The system consists of the following primary components: (1) Client Layer - React SPA served via CDN, (2) API Gateway Layer - Nginx reverse proxy handling SSL termination, rate limiting, and static asset serving, (3) Application Layer - Node.js/Express server with modular route handlers, (4) Data Access Layer - Mongoose ODM with repository pattern for database operations, (5) External Services - Payment gateway (SSLCommerz), Email service (SendGrid), SMS gateway, and (6) Infrastructure - Docker containers orchestrated on a cloud VPS with MongoDB replica set and Redis sentinel.</w:t>
      </w:r>
    </w:p>
    <w:p>
      <w:pPr>
        <w:spacing w:after="120" w:line="312"/>
        <w:jc w:val="both"/>
      </w:pPr>
      <w:r>
        <w:rPr>
          <w:rFonts w:ascii="Times New Roman"/>
          <w:color w:val="000000"/>
          <w:sz w:val="24"/>
          <w:szCs w:val="24"/>
        </w:rPr>
        <w:t xml:space="preserve">The Nginx reverse proxy serves as the single entry point, terminating SSL/TLS connections and forwarding requests to the Node.js application server. Static assets (React build output) are served directly by Nginx with aggressive caching headers (1-year max-age with content-hash filenames). API requests are proxied to the Node.js server. WebSocket upgrade requests are forwarded to the Socket.io server instance.</w:t>
      </w:r>
    </w:p>
    <w:p>
      <w:pPr>
        <w:pStyle w:val="Heading3"/>
        <w:spacing w:after="120" w:before="240" w:line="312"/>
      </w:pPr>
      <w:bookmarkStart w:id="100046" w:name="_Toc100046"/>
      <w:r>
        <w:rPr>
          <w:rFonts w:ascii="Times New Roman"/>
          <w:b/>
          <w:bCs/>
          <w:color w:val="0A1628"/>
          <w:sz w:val="24"/>
          <w:szCs w:val="24"/>
        </w:rPr>
        <w:t xml:space="preserve">10.4 Multi-Tenancy Architecture</w:t>
      </w:r>
      <w:bookmarkEnd w:id="100046"/>
    </w:p>
    <w:p>
      <w:pPr>
        <w:spacing w:after="120" w:line="312"/>
        <w:jc w:val="both"/>
      </w:pPr>
      <w:r>
        <w:rPr>
          <w:rFonts w:ascii="Times New Roman"/>
          <w:color w:val="000000"/>
          <w:sz w:val="24"/>
          <w:szCs w:val="24"/>
        </w:rPr>
        <w:t xml:space="preserve">The platform implements database-level multi-tenancy using a shared database with a tenant discriminator pattern. Every MongoDB collection includes a mandatory organizationId field that is indexed as the leading field in all composite indexes. A global Mongoose middleware plugin automatically injects the organizationId filter into all find, update, and delete operations based on the authenticated user's tenant context. This approach provides strong data isolation while maintaining operational simplicity (single database to manage, backup, and monitor).</w:t>
      </w:r>
    </w:p>
    <w:p>
      <w:pPr>
        <w:spacing w:after="120" w:line="312"/>
        <w:jc w:val="both"/>
      </w:pPr>
      <w:r>
        <w:rPr>
          <w:rFonts w:ascii="Times New Roman"/>
          <w:color w:val="000000"/>
          <w:sz w:val="24"/>
          <w:szCs w:val="24"/>
        </w:rPr>
        <w:t xml:space="preserve">Tenant configuration is cached in Redis with a TTL of 5 minutes. When an Organization Admin changes settings (e.g., subscription tier, inspection thresholds), the cache is invalidated to ensure immediate effect. Tenant isolation is enforced at three levels: application middleware (automatic query filtering), database indexes (leading organizationId ensures index-only scans per tenant), and API authorization (users cannot specify an organizationId different from their own).</w:t>
      </w:r>
    </w:p>
    <w:p>
      <w:pPr>
        <w:pStyle w:val="Heading2"/>
        <w:spacing w:after="160" w:before="360" w:line="312"/>
      </w:pPr>
      <w:bookmarkStart w:id="100047" w:name="_Toc100047"/>
      <w:r>
        <w:rPr>
          <w:rFonts w:ascii="Times New Roman"/>
          <w:b/>
          <w:bCs/>
          <w:color w:val="0A1628"/>
          <w:sz w:val="28"/>
          <w:szCs w:val="28"/>
        </w:rPr>
        <w:t xml:space="preserve">11. Database Design (Low-Level Design)</w:t>
      </w:r>
      <w:bookmarkEnd w:id="100047"/>
    </w:p>
    <w:p>
      <w:pPr>
        <w:pStyle w:val="Heading3"/>
        <w:spacing w:after="120" w:before="240" w:line="312"/>
      </w:pPr>
      <w:bookmarkStart w:id="100048" w:name="_Toc100048"/>
      <w:r>
        <w:rPr>
          <w:rFonts w:ascii="Times New Roman"/>
          <w:b/>
          <w:bCs/>
          <w:color w:val="0A1628"/>
          <w:sz w:val="24"/>
          <w:szCs w:val="24"/>
        </w:rPr>
        <w:t xml:space="preserve">11.1 MongoDB Collections and Schema</w:t>
      </w:r>
      <w:bookmarkEnd w:id="100048"/>
    </w:p>
    <w:p>
      <w:pPr>
        <w:spacing w:after="120" w:line="312"/>
        <w:jc w:val="both"/>
      </w:pPr>
      <w:r>
        <w:rPr>
          <w:rFonts w:ascii="Times New Roman"/>
          <w:color w:val="000000"/>
          <w:sz w:val="24"/>
          <w:szCs w:val="24"/>
        </w:rPr>
        <w:t xml:space="preserve">The following sections define the complete MongoDB collection schemas using Mongoose schema notation. All timestamps use UTC and are stored as native JavaScript Date objects. All monetary values are stored in integer BDT (Taka) to avoid floating-point precision issues.</w:t>
      </w:r>
    </w:p>
    <w:p>
      <w:pPr>
        <w:spacing w:after="120" w:line="312"/>
        <w:jc w:val="both"/>
      </w:pPr>
      <w:r>
        <w:rPr>
          <w:rFonts w:ascii="Times New Roman"/>
          <w:b/>
          <w:bCs/>
          <w:color w:val="000000"/>
          <w:sz w:val="24"/>
          <w:szCs w:val="24"/>
        </w:rPr>
        <w:t xml:space="preserve">organizations Collection:</w:t>
      </w:r>
      <w:r>
        <w:rPr>
          <w:rFonts w:ascii="Times New Roman"/>
          <w:color w:val="000000"/>
          <w:sz w:val="24"/>
          <w:szCs w:val="24"/>
        </w:rPr>
        <w:t xml:space="preserve">Stores tenant workspace data. Key fields: _id (ObjectId), name (string, required, max 200 chars), slug (string, unique, url-safe identifier), logo (string, URL to S3), address (embedded document with street, city, district, division, postalCode), primaryContact (embedded: name, email, phone), subscription (embedded: planId, status, currentPeriodStart, currentPeriodEnd, inspectionsUsed, inspectionsLimit), settings (embedded: defaultInspectionFrequency, scoreThresholds, notificationPreferences, timezone), createdAt, updatedAt. Indexes: { slug: 1 } (unique), { createdAt: -1 }.</w:t>
      </w:r>
    </w:p>
    <w:p>
      <w:pPr>
        <w:spacing w:after="120" w:line="312"/>
        <w:jc w:val="both"/>
      </w:pPr>
      <w:r>
        <w:rPr>
          <w:rFonts w:ascii="Times New Roman"/>
          <w:b/>
          <w:bCs/>
          <w:color w:val="000000"/>
          <w:sz w:val="24"/>
          <w:szCs w:val="24"/>
        </w:rPr>
        <w:t xml:space="preserve">users Collection:</w:t>
      </w:r>
      <w:r>
        <w:rPr>
          <w:rFonts w:ascii="Times New Roman"/>
          <w:color w:val="000000"/>
          <w:sz w:val="24"/>
          <w:szCs w:val="24"/>
        </w:rPr>
        <w:t xml:space="preserve">Stores user accounts with tenant association. Key fields: _id, organizationId (ObjectId, required, indexed), email (string, required, unique scoped to null for Super Admins), passwordHash (string, required), firstName, lastName, role (enum: super_admin, org_admin, inspector, viewer), isActive (boolean, default true), lastLoginAt, profilePhoto (URL), notificationPreferences (embedded: email, inApp, sms), createdAt, updatedAt. Indexes: { email: 1 } (unique, sparse), { organizationId: 1, role: 1 } (composite), { organizationId: 1, isActive: 1 } (composite).</w:t>
      </w:r>
    </w:p>
    <w:p>
      <w:pPr>
        <w:spacing w:after="120" w:line="312"/>
        <w:jc w:val="both"/>
      </w:pPr>
      <w:r>
        <w:rPr>
          <w:rFonts w:ascii="Times New Roman"/>
          <w:b/>
          <w:bCs/>
          <w:color w:val="000000"/>
          <w:sz w:val="24"/>
          <w:szCs w:val="24"/>
        </w:rPr>
        <w:t xml:space="preserve">fields Collection:</w:t>
      </w:r>
      <w:r>
        <w:rPr>
          <w:rFonts w:ascii="Times New Roman"/>
          <w:color w:val="000000"/>
          <w:sz w:val="24"/>
          <w:szCs w:val="24"/>
        </w:rPr>
        <w:t xml:space="preserve">Stores sports field registration data. Key fields: _id, organizationId (required, indexed), fieldId (string, auto-generated, unique per org, format: ORG-XXX), name (string, required), sportType (enum: cricket, football, multi_sport), location (embedded: type Point for GeoJSON, address, division, district), dimensions (embedded: lengthMeters, widthMeters, totalAreaSqm), turfType (enum: natural_grass, hybrid, artificial), grassSpecies (string, optional), drainageType (string), gpsCoordinates (embedded: lat, lng), photos (array of URLs), status (enum: active, inactive, under_maintenance), metadata (embedded: installedDate, contractor, notes), createdAt, updatedAt. Indexes: { organizationId: 1, fieldId: 1 } (unique composite), { location: '2dsphere' } (geospatial), { sportType: 1 }.</w:t>
      </w:r>
    </w:p>
    <w:p>
      <w:pPr>
        <w:spacing w:after="120" w:line="312"/>
        <w:jc w:val="both"/>
      </w:pPr>
      <w:r>
        <w:rPr>
          <w:rFonts w:ascii="Times New Roman"/>
          <w:b/>
          <w:bCs/>
          <w:color w:val="000000"/>
          <w:sz w:val="24"/>
          <w:szCs w:val="24"/>
        </w:rPr>
        <w:t xml:space="preserve">inspections Collection:</w:t>
      </w:r>
      <w:r>
        <w:rPr>
          <w:rFonts w:ascii="Times New Roman"/>
          <w:color w:val="000000"/>
          <w:sz w:val="24"/>
          <w:szCs w:val="24"/>
        </w:rPr>
        <w:t xml:space="preserve">Stores inspection records - the core data entity. Key fields: _id, organizationId (required), fieldId (ObjectId, required, indexed), inspectorId (ObjectId, required), inspectionDate (Date, required), weatherConditions (embedded: temperature, humidity, rainfallLast24h, cloudCover), surfaceAssessment (embedded: grassCoverPercent, colorUniformity, weedPresence, pestDamage, diseaseSigns, score, notes), soilAssessment (embedded: moistureContent, compactionKgCm2, pH, temperature, score, notes), structuralAssessment (embedded: surfaceEvennessMm, drainageRateMinutes, thatchDepthMm, score, notes), grassHealth (embedded: colorRating, diseaseRating, pestRating, overallScore, notes), photographs (array of embedded: url, caption, geolocation, takenAt), pitchQualityScore (embedded: total, surfaceScore, soilScore, structuralScore, grassScore, tier), recommendations (array of strings), status (enum: draft, submitted, verified), verifiedBy (ObjectId, optional), verifiedAt (Date, optional), createdAt, updatedAt. Indexes: { organizationId: 1, fieldId: 1, inspectionDate: -1 } (composite), { organizationId: 1, inspectorId: 1, createdAt: -1 }, { 'pitchQualityScore.total': 1 } (for range queries).</w:t>
      </w:r>
    </w:p>
    <w:p>
      <w:pPr>
        <w:spacing w:after="120" w:line="312"/>
        <w:jc w:val="both"/>
      </w:pPr>
      <w:r>
        <w:rPr>
          <w:rFonts w:ascii="Times New Roman"/>
          <w:b/>
          <w:bCs/>
          <w:color w:val="000000"/>
          <w:sz w:val="24"/>
          <w:szCs w:val="24"/>
        </w:rPr>
        <w:t xml:space="preserve">workOrders Collection:</w:t>
      </w:r>
      <w:r>
        <w:rPr>
          <w:rFonts w:ascii="Times New Roman"/>
          <w:color w:val="000000"/>
          <w:sz w:val="24"/>
          <w:szCs w:val="24"/>
        </w:rPr>
        <w:t xml:space="preserve">Stores maintenance work orders. Key fields: _id, organizationId (required), workOrderId (string, auto-generated, format: WO-YYYY-NNNN), fieldId (required), inspectionId (ObjectId, reference to triggering inspection), title (string, required), description (string), tasks (array of embedded: description, category, estimatedHours), priority (enum: urgent, high, medium, low), status (enum: created, assigned, in_progress, completed, verified), assignedTo (ObjectId, User reference), dueDate (Date), completedDate (Date), estimatedCost (embedded: labor, materials, equipment, total), actualCost (embedded: labor, materials, equipment, total), notes (string), createdAt, updatedAt. Indexes: { organizationId: 1, status: 1, priority: 1 } (composite), { organizationId: 1, fieldId: 1, dueDate: 1 }, { workOrderId: 1 } (unique).</w:t>
      </w:r>
    </w:p>
    <w:p>
      <w:pPr>
        <w:spacing w:after="120" w:line="312"/>
        <w:jc w:val="both"/>
      </w:pPr>
      <w:r>
        <w:rPr>
          <w:rFonts w:ascii="Times New Roman"/>
          <w:b/>
          <w:bCs/>
          <w:color w:val="000000"/>
          <w:sz w:val="24"/>
          <w:szCs w:val="24"/>
        </w:rPr>
        <w:t xml:space="preserve">subscriptions Collection:</w:t>
      </w:r>
      <w:r>
        <w:rPr>
          <w:rFonts w:ascii="Times New Roman"/>
          <w:color w:val="000000"/>
          <w:sz w:val="24"/>
          <w:szCs w:val="24"/>
        </w:rPr>
        <w:t xml:space="preserve">Stores billing and subscription data. Key fields: _id, organizationId (required, unique), planId (enum: free, basic, professional, enterprise), status (enum: active, past_due, canceled, trial), billingModel (enum: subscription, pay_per_inspection, hybrid, enterprise_custom), currentPeriodStart, currentPeriodEnd, inspectionsUsed (number), inspectionsLimit (number, null for unlimited), amountBDT (number), currency (string, default BDT), paymentMethod (embedded: type, last4Digits, gateway, gatewayTransactionId), nextBillingDate, canceledAt, createdAt, updatedAt. Indexes: { organizationId: 1 } (unique), { status: 1, nextBillingDate: 1 } (for billing cron job).</w:t>
      </w:r>
    </w:p>
    <w:p>
      <w:pPr>
        <w:pStyle w:val="Heading3"/>
        <w:spacing w:after="120" w:before="240" w:line="312"/>
      </w:pPr>
      <w:bookmarkStart w:id="100049" w:name="_Toc100049"/>
      <w:r>
        <w:rPr>
          <w:rFonts w:ascii="Times New Roman"/>
          <w:b/>
          <w:bCs/>
          <w:color w:val="0A1628"/>
          <w:sz w:val="24"/>
          <w:szCs w:val="24"/>
        </w:rPr>
        <w:t xml:space="preserve">11.2 Entity Relationship Diagram</w:t>
      </w:r>
      <w:bookmarkEnd w:id="100049"/>
    </w:p>
    <w:p>
      <w:pPr>
        <w:spacing w:after="120" w:line="312"/>
        <w:jc w:val="both"/>
      </w:pPr>
      <w:r>
        <w:rPr>
          <w:rFonts w:ascii="Times New Roman"/>
          <w:color w:val="000000"/>
          <w:sz w:val="24"/>
          <w:szCs w:val="24"/>
        </w:rPr>
        <w:t xml:space="preserve">The core entity relationships are as follows: Organization (1) to (N) Users, Organization (1) to (N) Fields, Organization (1) to (1) Subscription, Field (1) to (N) Inspections, User/Inspector (1) to (N) Inspections, Inspection (1) to (0..N) WorkOrders, Field (1) to (N) WorkOrders, User/Assignee (1) to (N) WorkOrders. The Inspection entity is the central entity connecting Fields, Users (as inspectors), and WorkOrders. Score data is embedded within the Inspection document for read performance.</w:t>
      </w:r>
    </w:p>
    <w:p>
      <w:pPr>
        <w:pStyle w:val="Heading3"/>
        <w:spacing w:after="120" w:before="240" w:line="312"/>
      </w:pPr>
      <w:bookmarkStart w:id="100050" w:name="_Toc100050"/>
      <w:r>
        <w:rPr>
          <w:rFonts w:ascii="Times New Roman"/>
          <w:b/>
          <w:bCs/>
          <w:color w:val="0A1628"/>
          <w:sz w:val="24"/>
          <w:szCs w:val="24"/>
        </w:rPr>
        <w:t xml:space="preserve">11.3 Indexing Strategy</w:t>
      </w:r>
      <w:bookmarkEnd w:id="100050"/>
    </w:p>
    <w:p>
      <w:pPr>
        <w:spacing w:after="120" w:line="312"/>
        <w:jc w:val="both"/>
      </w:pPr>
      <w:r>
        <w:rPr>
          <w:rFonts w:ascii="Times New Roman"/>
          <w:color w:val="000000"/>
          <w:sz w:val="24"/>
          <w:szCs w:val="24"/>
        </w:rPr>
        <w:t xml:space="preserve">MongoDB indexing follows a compound-first strategy optimized for the multi-tenant query patterns. Every query must include the organizationId as the first filter condition, so all collection indexes (except system indexes like _id) include organizationId as the leading field. This ensures that MongoDB uses an index-only scan for tenant-scoped queries, preventing cross-tenant data access at the database level. Geospatial queries on the fields collection use a 2dsphere index on the location field for efficient nearby-field searches. Text search for field names uses a text index with English and Bangla language support.</w:t>
      </w:r>
    </w:p>
    <w:p>
      <w:pPr>
        <w:spacing w:after="120" w:line="312"/>
        <w:jc w:val="both"/>
      </w:pPr>
      <w:r>
        <w:rPr>
          <w:rFonts w:ascii="Times New Roman"/>
          <w:color w:val="000000"/>
          <w:sz w:val="24"/>
          <w:szCs w:val="24"/>
        </w:rPr>
        <w:t xml:space="preserve">Background indexing operations use the buildIndexesInBackground flag to prevent index creation from blocking database operations in production. Index sizes are monitored as part of the database health dashboard, with alerts when any single index exceeds 500MB or when the total index size exceeds 50% of the data size.</w:t>
      </w:r>
    </w:p>
    <w:p>
      <w:pPr>
        <w:pStyle w:val="Heading3"/>
        <w:spacing w:after="120" w:before="240" w:line="312"/>
      </w:pPr>
      <w:bookmarkStart w:id="100051" w:name="_Toc100051"/>
      <w:r>
        <w:rPr>
          <w:rFonts w:ascii="Times New Roman"/>
          <w:b/>
          <w:bCs/>
          <w:color w:val="0A1628"/>
          <w:sz w:val="24"/>
          <w:szCs w:val="24"/>
        </w:rPr>
        <w:t xml:space="preserve">11.4 Data Migration Strategy</w:t>
      </w:r>
      <w:bookmarkEnd w:id="100051"/>
    </w:p>
    <w:p>
      <w:pPr>
        <w:spacing w:after="120" w:line="312"/>
        <w:jc w:val="both"/>
      </w:pPr>
      <w:r>
        <w:rPr>
          <w:rFonts w:ascii="Times New Roman"/>
          <w:color w:val="000000"/>
          <w:sz w:val="24"/>
          <w:szCs w:val="24"/>
        </w:rPr>
        <w:t xml:space="preserve">Database schema migrations are managed using a custom migration framework built on top of MongoDB transactions (available in replica set deployments). Each migration is a JavaScript file with an up() and down() function, stored in a migrations/ directory with a numeric prefix for ordering. A migrations collection in the database tracks which migrations have been applied, their timestamps, and checksums. Migrations are executed as part of the deployment process, running before the new application version starts serving requests.</w:t>
      </w:r>
    </w:p>
    <w:p>
      <w:pPr>
        <w:pStyle w:val="Heading2"/>
        <w:spacing w:after="160" w:before="360" w:line="312"/>
      </w:pPr>
      <w:bookmarkStart w:id="100052" w:name="_Toc100052"/>
      <w:r>
        <w:rPr>
          <w:rFonts w:ascii="Times New Roman"/>
          <w:b/>
          <w:bCs/>
          <w:color w:val="0A1628"/>
          <w:sz w:val="28"/>
          <w:szCs w:val="28"/>
        </w:rPr>
        <w:t xml:space="preserve">12. API Design</w:t>
      </w:r>
      <w:bookmarkEnd w:id="100052"/>
    </w:p>
    <w:p>
      <w:pPr>
        <w:pStyle w:val="Heading3"/>
        <w:spacing w:after="120" w:before="240" w:line="312"/>
      </w:pPr>
      <w:bookmarkStart w:id="100053" w:name="_Toc100053"/>
      <w:r>
        <w:rPr>
          <w:rFonts w:ascii="Times New Roman"/>
          <w:b/>
          <w:bCs/>
          <w:color w:val="0A1628"/>
          <w:sz w:val="24"/>
          <w:szCs w:val="24"/>
        </w:rPr>
        <w:t xml:space="preserve">12.1 RESTful API Standards</w:t>
      </w:r>
      <w:bookmarkEnd w:id="100053"/>
    </w:p>
    <w:p>
      <w:pPr>
        <w:spacing w:after="120" w:line="312"/>
        <w:jc w:val="both"/>
      </w:pPr>
      <w:r>
        <w:rPr>
          <w:rFonts w:ascii="Times New Roman"/>
          <w:color w:val="000000"/>
          <w:sz w:val="24"/>
          <w:szCs w:val="24"/>
        </w:rPr>
        <w:t xml:space="preserve">All API endpoints follow RESTful conventions with resource-oriented URL structure. The base API path is /api/v1/ for versioned endpoints. Request and response bodies use JSON with UTF-8 encoding. Pagination uses cursor-based pagination for large datasets (inspections, audit logs) and offset-based pagination for smaller collections. All responses follow a standard envelope format: { success: boolean, data: object|array, message: string, pagination: object (when applicable), errors: array (when applicable) }. HTTP status codes follow REST conventions: 200 (OK), 201 (Created), 204 (No Content), 400 (Bad Request), 401 (Unauthorized), 403 (Forbidden), 404 (Not Found), 409 (Conflict), 422 (Validation Error), 429 (Too Many Requests), 500 (Internal Server Error).</w:t>
      </w:r>
    </w:p>
    <w:p>
      <w:pPr>
        <w:pStyle w:val="Heading3"/>
        <w:spacing w:after="120" w:before="240" w:line="312"/>
      </w:pPr>
      <w:bookmarkStart w:id="100054" w:name="_Toc100054"/>
      <w:r>
        <w:rPr>
          <w:rFonts w:ascii="Times New Roman"/>
          <w:b/>
          <w:bCs/>
          <w:color w:val="0A1628"/>
          <w:sz w:val="24"/>
          <w:szCs w:val="24"/>
        </w:rPr>
        <w:t xml:space="preserve">12.2 Authentication and Authorization APIs</w:t>
      </w:r>
      <w:bookmarkEnd w:id="100054"/>
    </w:p>
    <w:p>
      <w:pPr>
        <w:spacing w:after="120" w:line="312"/>
        <w:jc w:val="both"/>
      </w:pPr>
      <w:r>
        <w:rPr>
          <w:rFonts w:ascii="Times New Roman"/>
          <w:color w:val="000000"/>
          <w:sz w:val="24"/>
          <w:szCs w:val="24"/>
        </w:rPr>
        <w:t xml:space="preserve">POST /api/v1/auth/register - User registration with email, password, organization invitation code (optional). Returns JWT access token and refresh token. POST /api/v1/auth/login - Email/password authentication. Returns JWT access token (15 min expiry) and HTTP-only refresh token cookie (7 day expiry). POST /api/v1/auth/refresh - Exchange refresh token for new access token. POST /api/v1/auth/logout - Invalidate refresh token. POST /api/v1/auth/forgot-password - Send password reset email with time-limited token. POST /api/v1/auth/reset-password - Reset password using token from email. GET /api/v1/auth/me - Get current authenticated user profile.</w:t>
      </w:r>
    </w:p>
    <w:p>
      <w:pPr>
        <w:pStyle w:val="Heading3"/>
        <w:spacing w:after="120" w:before="240" w:line="312"/>
      </w:pPr>
      <w:bookmarkStart w:id="100055" w:name="_Toc100055"/>
      <w:r>
        <w:rPr>
          <w:rFonts w:ascii="Times New Roman"/>
          <w:b/>
          <w:bCs/>
          <w:color w:val="0A1628"/>
          <w:sz w:val="24"/>
          <w:szCs w:val="24"/>
        </w:rPr>
        <w:t xml:space="preserve">12.3 Core API Endpoints</w:t>
      </w:r>
      <w:bookmarkEnd w:id="100055"/>
    </w:p>
    <w:p>
      <w:pPr>
        <w:spacing w:after="120" w:line="312"/>
        <w:jc w:val="both"/>
      </w:pPr>
      <w:r>
        <w:rPr>
          <w:rFonts w:ascii="Times New Roman"/>
          <w:color w:val="000000"/>
          <w:sz w:val="24"/>
          <w:szCs w:val="24"/>
        </w:rPr>
        <w:t xml:space="preserve">Organizations: GET /api/v1/organizations (list, Super Admin only), GET /api/v1/organizations/:id, PUT /api/v1/organizations/:id (Org Admin own org), POST /api/v1/organizations/:id/logo (upload). Fields: GET /api/v1/fields (list, paginated, filterable by sportType/status), POST /api/v1/fields (create), GET /api/v1/fields/:id (detail with latest score), PUT /api/v1/fields/:id, DELETE /api/v1/fields/:id (soft delete), GET /api/v1/fields/nearby?lat=X&amp;lng=Y&amp;radius=Zkm (geospatial query).</w:t>
      </w:r>
    </w:p>
    <w:p>
      <w:pPr>
        <w:spacing w:after="120" w:line="312"/>
        <w:jc w:val="both"/>
      </w:pPr>
      <w:r>
        <w:rPr>
          <w:rFonts w:ascii="Times New Roman"/>
          <w:color w:val="000000"/>
          <w:sz w:val="24"/>
          <w:szCs w:val="24"/>
        </w:rPr>
        <w:t xml:space="preserve">Inspections: GET /api/v1/inspections (list, paginated, filterable by fieldId/status/dateRange/scoreRange), POST /api/v1/inspections (create new), GET /api/v1/inspections/:id (full detail), PUT /api/v1/inspections/:id (update draft), POST /api/v1/inspections/:id/submit (submit for review), POST /api/v1/inspections/:id/verify (Org Admin verifies), GET /api/v1/inspections/:id/pdf (generate PDF report), POST /api/v1/inspections/:id/photos (upload photos, multipart/form-data).</w:t>
      </w:r>
    </w:p>
    <w:p>
      <w:pPr>
        <w:spacing w:after="120" w:line="312"/>
        <w:jc w:val="both"/>
      </w:pPr>
      <w:r>
        <w:rPr>
          <w:rFonts w:ascii="Times New Roman"/>
          <w:color w:val="000000"/>
          <w:sz w:val="24"/>
          <w:szCs w:val="24"/>
        </w:rPr>
        <w:t xml:space="preserve">Work Orders: GET /api/v1/work-orders (list, filterable by fieldId/status/priority/assignee), POST /api/v1/work-orders (manual creation), GET /api/v1/work-orders/:id, PUT /api/v1/work-orders/:id (update status, assign, add notes), GET /api/v1/work-orders/calendar?month=YYYY-MM (calendar view data). Analytics: GET /api/v1/analytics/dashboard (org summary metrics), GET /api/v1/analytics/score-trends?fieldId=X&amp;months=N, GET /api/v1/analytics/score-distribution, GET /api/v1/analytics/maintenance-costs?period=quarterly.</w:t>
      </w:r>
    </w:p>
    <w:p>
      <w:pPr>
        <w:pStyle w:val="Heading3"/>
        <w:spacing w:after="120" w:before="240" w:line="312"/>
      </w:pPr>
      <w:bookmarkStart w:id="100056" w:name="_Toc100056"/>
      <w:r>
        <w:rPr>
          <w:rFonts w:ascii="Times New Roman"/>
          <w:b/>
          <w:bCs/>
          <w:color w:val="0A1628"/>
          <w:sz w:val="24"/>
          <w:szCs w:val="24"/>
        </w:rPr>
        <w:t xml:space="preserve">12.4 API Versioning Strategy</w:t>
      </w:r>
      <w:bookmarkEnd w:id="100056"/>
    </w:p>
    <w:p>
      <w:pPr>
        <w:spacing w:after="120" w:line="312"/>
        <w:jc w:val="both"/>
      </w:pPr>
      <w:r>
        <w:rPr>
          <w:rFonts w:ascii="Times New Roman"/>
          <w:color w:val="000000"/>
          <w:sz w:val="24"/>
          <w:szCs w:val="24"/>
        </w:rPr>
        <w:t xml:space="preserve">API versioning uses URL path versioning (/api/v1/, /api/v2/). When a breaking change is required, a new version is deployed alongside the existing version. The previous version remains supported for a minimum of 6 months with a deprecation notice in response headers (X-API-Deprecated: true, Sunset: &lt;date&gt;). Clients are notified via email and in-app notification 90 days before a version is sunset. Non-breaking changes (adding optional fields, new endpoints) are deployed within the current version without incrementing.</w:t>
      </w:r>
    </w:p>
    <w:p>
      <w:pPr>
        <w:pStyle w:val="Heading3"/>
        <w:spacing w:after="120" w:before="240" w:line="312"/>
      </w:pPr>
      <w:bookmarkStart w:id="100057" w:name="_Toc100057"/>
      <w:r>
        <w:rPr>
          <w:rFonts w:ascii="Times New Roman"/>
          <w:b/>
          <w:bCs/>
          <w:color w:val="0A1628"/>
          <w:sz w:val="24"/>
          <w:szCs w:val="24"/>
        </w:rPr>
        <w:t xml:space="preserve">12.5 Error Handling Standards</w:t>
      </w:r>
      <w:bookmarkEnd w:id="100057"/>
    </w:p>
    <w:p>
      <w:pPr>
        <w:spacing w:after="120" w:line="312"/>
        <w:jc w:val="both"/>
      </w:pPr>
      <w:r>
        <w:rPr>
          <w:rFonts w:ascii="Times New Roman"/>
          <w:color w:val="000000"/>
          <w:sz w:val="24"/>
          <w:szCs w:val="24"/>
        </w:rPr>
        <w:t xml:space="preserve">All API errors follow a consistent response structure: { success: false, error: { code: string (machine-readable, e.g., VALIDATION_ERROR), message: string (human-readable), details: array (for validation errors: { field, message, value }) } }. Validation errors return HTTP 422 with per-field error details. Business logic errors (e.g., inspection limit exceeded) return HTTP 409 with a descriptive message and a suggested resolution. All unhandled exceptions are caught by a global error handler that logs the full stack trace (never exposed to the client) and returns a generic 500 error with a unique request ID for support correlation.</w:t>
      </w:r>
    </w:p>
    <w:p>
      <w:pPr>
        <w:pStyle w:val="Heading2"/>
        <w:spacing w:after="160" w:before="360" w:line="312"/>
      </w:pPr>
      <w:bookmarkStart w:id="100058" w:name="_Toc100058"/>
      <w:r>
        <w:rPr>
          <w:rFonts w:ascii="Times New Roman"/>
          <w:b/>
          <w:bCs/>
          <w:color w:val="0A1628"/>
          <w:sz w:val="28"/>
          <w:szCs w:val="28"/>
        </w:rPr>
        <w:t xml:space="preserve">13. Frontend Architecture</w:t>
      </w:r>
      <w:bookmarkEnd w:id="100058"/>
    </w:p>
    <w:p>
      <w:pPr>
        <w:pStyle w:val="Heading3"/>
        <w:spacing w:after="120" w:before="240" w:line="312"/>
      </w:pPr>
      <w:bookmarkStart w:id="100059" w:name="_Toc100059"/>
      <w:r>
        <w:rPr>
          <w:rFonts w:ascii="Times New Roman"/>
          <w:b/>
          <w:bCs/>
          <w:color w:val="0A1628"/>
          <w:sz w:val="24"/>
          <w:szCs w:val="24"/>
        </w:rPr>
        <w:t xml:space="preserve">13.1 React Application Structure</w:t>
      </w:r>
      <w:bookmarkEnd w:id="100059"/>
    </w:p>
    <w:p>
      <w:pPr>
        <w:spacing w:after="120" w:line="312"/>
        <w:jc w:val="both"/>
      </w:pPr>
      <w:r>
        <w:rPr>
          <w:rFonts w:ascii="Times New Roman"/>
          <w:color w:val="000000"/>
          <w:sz w:val="24"/>
          <w:szCs w:val="24"/>
        </w:rPr>
        <w:t xml:space="preserve">The frontend is a React 18 SPA built with Vite for fast development builds and optimized production bundles. The application uses a feature-based folder structure where each domain module (auth, fields, inspections, work-orders, analytics, billing, admin) contains its own components, hooks, services (API calls), reducers (Redux slices), types, and utils. Shared infrastructure (layout components, UI component library, authentication context, API client configuration) resides in a common directory. This structure supports independent module development and clear code ownership.</w:t>
      </w:r>
    </w:p>
    <w:p>
      <w:pPr>
        <w:pStyle w:val="Heading3"/>
        <w:spacing w:after="120" w:before="240" w:line="312"/>
      </w:pPr>
      <w:bookmarkStart w:id="100060" w:name="_Toc100060"/>
      <w:r>
        <w:rPr>
          <w:rFonts w:ascii="Times New Roman"/>
          <w:b/>
          <w:bCs/>
          <w:color w:val="0A1628"/>
          <w:sz w:val="24"/>
          <w:szCs w:val="24"/>
        </w:rPr>
        <w:t xml:space="preserve">13.2 Component Hierarchy</w:t>
      </w:r>
      <w:bookmarkEnd w:id="100060"/>
    </w:p>
    <w:p>
      <w:pPr>
        <w:spacing w:after="120" w:line="312"/>
        <w:jc w:val="both"/>
      </w:pPr>
      <w:r>
        <w:rPr>
          <w:rFonts w:ascii="Times New Roman"/>
          <w:color w:val="000000"/>
          <w:sz w:val="24"/>
          <w:szCs w:val="24"/>
        </w:rPr>
        <w:t xml:space="preserve">The top-level component structure follows: AppProvider (Redux store, Theme, i18n, Router) - AppLayout (Sidebar, Header, Content) - Page-level components (FieldListPage, InspectionFormPage, AnalyticsDashboardPage, etc.). The AppLayout includes a responsive sidebar that collapses to an icon-only rail on smaller screens and a top header with user profile dropdown, notification bell, and language toggle. Page-level components follow a container/presentational pattern where container components handle data fetching and state management while presentational components receive data as props and handle rendering.</w:t>
      </w:r>
    </w:p>
    <w:p>
      <w:pPr>
        <w:pStyle w:val="Heading3"/>
        <w:spacing w:after="120" w:before="240" w:line="312"/>
      </w:pPr>
      <w:bookmarkStart w:id="100061" w:name="_Toc100061"/>
      <w:r>
        <w:rPr>
          <w:rFonts w:ascii="Times New Roman"/>
          <w:b/>
          <w:bCs/>
          <w:color w:val="0A1628"/>
          <w:sz w:val="24"/>
          <w:szCs w:val="24"/>
        </w:rPr>
        <w:t xml:space="preserve">13.3 State Management (Redux Toolkit)</w:t>
      </w:r>
      <w:bookmarkEnd w:id="100061"/>
    </w:p>
    <w:p>
      <w:pPr>
        <w:spacing w:after="120" w:line="312"/>
        <w:jc w:val="both"/>
      </w:pPr>
      <w:r>
        <w:rPr>
          <w:rFonts w:ascii="Times New Roman"/>
          <w:color w:val="000000"/>
          <w:sz w:val="24"/>
          <w:szCs w:val="24"/>
        </w:rPr>
        <w:t xml:space="preserve">Global application state is managed by Redux Toolkit with the following slices: authSlice (user data, token, isAuthenticated, loading state), organizationsSlice (current org data, members list), fieldsSlice (field list, selected field, map viewport), inspectionsSlice (inspection list, current inspection form data, submission status), workOrdersSlice (work order list, filters, calendar view state), analyticsSlice (dashboard metrics, chart data, date range filters), and uiSlice (sidebar state, active modals, loading overlays). API calls use createAsyncThunk for asynchronous operations with automatic loading/error state management. Selectors are memoized using createSelector for performance.</w:t>
      </w:r>
    </w:p>
    <w:p>
      <w:pPr>
        <w:pStyle w:val="Heading3"/>
        <w:spacing w:after="120" w:before="240" w:line="312"/>
      </w:pPr>
      <w:bookmarkStart w:id="100062" w:name="_Toc100062"/>
      <w:r>
        <w:rPr>
          <w:rFonts w:ascii="Times New Roman"/>
          <w:b/>
          <w:bCs/>
          <w:color w:val="0A1628"/>
          <w:sz w:val="24"/>
          <w:szCs w:val="24"/>
        </w:rPr>
        <w:t xml:space="preserve">13.4 Routing Architecture</w:t>
      </w:r>
      <w:bookmarkEnd w:id="100062"/>
    </w:p>
    <w:p>
      <w:pPr>
        <w:spacing w:after="120" w:line="312"/>
        <w:jc w:val="both"/>
      </w:pPr>
      <w:r>
        <w:rPr>
          <w:rFonts w:ascii="Times New Roman"/>
          <w:color w:val="000000"/>
          <w:sz w:val="24"/>
          <w:szCs w:val="24"/>
        </w:rPr>
        <w:t xml:space="preserve">Client-side routing uses React Router v6 with the following route structure: /login, /register, /forgot-password (public routes), /dashboard, /fields, /fields/:id, /fields/:id/inspections/new, /inspections, /inspections/:id, /work-orders, /work-orders/:id, /analytics, /billing, /settings, /admin (protected routes requiring authentication). Route guards (ProtectedRoute component) check authentication state and user permissions before rendering. Lazy loading with React.lazy() and Suspense is used for all page-level components to reduce initial bundle size.</w:t>
      </w:r>
    </w:p>
    <w:p>
      <w:pPr>
        <w:pStyle w:val="Heading3"/>
        <w:spacing w:after="120" w:before="240" w:line="312"/>
      </w:pPr>
      <w:bookmarkStart w:id="100063" w:name="_Toc100063"/>
      <w:r>
        <w:rPr>
          <w:rFonts w:ascii="Times New Roman"/>
          <w:b/>
          <w:bCs/>
          <w:color w:val="0A1628"/>
          <w:sz w:val="24"/>
          <w:szCs w:val="24"/>
        </w:rPr>
        <w:t xml:space="preserve">13.5 UI/UX Design Specifications</w:t>
      </w:r>
      <w:bookmarkEnd w:id="100063"/>
    </w:p>
    <w:p>
      <w:pPr>
        <w:spacing w:after="120" w:line="312"/>
        <w:jc w:val="both"/>
      </w:pPr>
      <w:r>
        <w:rPr>
          <w:rFonts w:ascii="Times New Roman"/>
          <w:color w:val="000000"/>
          <w:sz w:val="24"/>
          <w:szCs w:val="24"/>
        </w:rPr>
        <w:t xml:space="preserve">The UI uses Tailwind CSS 3.x with a custom design system configured through tailwind.config.js. The color palette is derived from the brand identity: primary green (#16A34A, representing healthy turf), secondary cyan (#0891B2, representing water/drainage), and neutral grays for backgrounds and text. Typography uses Inter (sans-serif) as the primary font for English text and Noto Sans Bengali for Bangla text. The design system includes pre-defined component styles for buttons (primary, secondary, ghost, danger variants), form inputs, cards, tables, badges, modals, and toast notifications.</w:t>
      </w:r>
    </w:p>
    <w:p>
      <w:pPr>
        <w:spacing w:after="120" w:line="312"/>
        <w:jc w:val="both"/>
      </w:pPr>
      <w:r>
        <w:rPr>
          <w:rFonts w:ascii="Times New Roman"/>
          <w:color w:val="000000"/>
          <w:sz w:val="24"/>
          <w:szCs w:val="24"/>
        </w:rPr>
        <w:t xml:space="preserve">The inspection form is the most critical UI component, designed for field use on 7-10 inch tablets. It uses a stepped wizard pattern with clear progress indication, large touch targets (minimum 44x44px), auto-save every 30 seconds, and a summary review step before submission. The form adapts to landscape and portrait orientations, with the data entry area and photographic evidence panel arranged side-by-side in landscape and stacked in portrait.</w:t>
      </w:r>
    </w:p>
    <w:p>
      <w:pPr>
        <w:pStyle w:val="Heading2"/>
        <w:spacing w:after="160" w:before="360" w:line="312"/>
      </w:pPr>
      <w:bookmarkStart w:id="100064" w:name="_Toc100064"/>
      <w:r>
        <w:rPr>
          <w:rFonts w:ascii="Times New Roman"/>
          <w:b/>
          <w:bCs/>
          <w:color w:val="0A1628"/>
          <w:sz w:val="28"/>
          <w:szCs w:val="28"/>
        </w:rPr>
        <w:t xml:space="preserve">14. Authentication and Authorization Design</w:t>
      </w:r>
      <w:bookmarkEnd w:id="100064"/>
    </w:p>
    <w:p>
      <w:pPr>
        <w:pStyle w:val="Heading3"/>
        <w:spacing w:after="120" w:before="240" w:line="312"/>
      </w:pPr>
      <w:bookmarkStart w:id="100065" w:name="_Toc100065"/>
      <w:r>
        <w:rPr>
          <w:rFonts w:ascii="Times New Roman"/>
          <w:b/>
          <w:bCs/>
          <w:color w:val="0A1628"/>
          <w:sz w:val="24"/>
          <w:szCs w:val="24"/>
        </w:rPr>
        <w:t xml:space="preserve">14.1 JWT-Based Authentication Flow</w:t>
      </w:r>
      <w:bookmarkEnd w:id="100065"/>
    </w:p>
    <w:p>
      <w:pPr>
        <w:spacing w:after="120" w:line="312"/>
        <w:jc w:val="both"/>
      </w:pPr>
      <w:r>
        <w:rPr>
          <w:rFonts w:ascii="Times New Roman"/>
          <w:color w:val="000000"/>
          <w:sz w:val="24"/>
          <w:szCs w:val="24"/>
        </w:rPr>
        <w:t xml:space="preserve">The authentication flow uses a dual-token strategy: a short-lived access token (JWT, 15-minute expiry) for API authentication and a long-lived refresh token (opaque random string, 7-day expiry, stored in HTTP-only Secure cookie) for token renewal. Login flow: client POSTs credentials to /api/v1/auth/login, server validates credentials against bcrypt hash, generates access token containing { userId, organizationId, role, exp } and refresh token (random string stored in Redis with 7-day TTL), returns access token in response body and sets refresh token as HTTP-only cookie. Subsequent API requests include the access token in the Authorization: Bearer header. When the access token expires, the client calls /api/v1/auth/refresh, the server validates the refresh token from the cookie, generates a new access token, and optionally rotates the refresh token.</w:t>
      </w:r>
    </w:p>
    <w:p>
      <w:pPr>
        <w:pStyle w:val="Heading3"/>
        <w:spacing w:after="120" w:before="240" w:line="312"/>
      </w:pPr>
      <w:bookmarkStart w:id="100066" w:name="_Toc100066"/>
      <w:r>
        <w:rPr>
          <w:rFonts w:ascii="Times New Roman"/>
          <w:b/>
          <w:bCs/>
          <w:color w:val="0A1628"/>
          <w:sz w:val="24"/>
          <w:szCs w:val="24"/>
        </w:rPr>
        <w:t xml:space="preserve">14.2 Role-Based Access Control (RBAC)</w:t>
      </w:r>
      <w:bookmarkEnd w:id="100066"/>
    </w:p>
    <w:p>
      <w:pPr>
        <w:spacing w:after="120" w:line="312"/>
        <w:jc w:val="both"/>
      </w:pPr>
      <w:r>
        <w:rPr>
          <w:rFonts w:ascii="Times New Roman"/>
          <w:color w:val="000000"/>
          <w:sz w:val="24"/>
          <w:szCs w:val="24"/>
        </w:rPr>
        <w:t xml:space="preserve">RBAC is implemented using a permission middleware that checks the authenticated user's role against the required permission for each API endpoint. Permissions are defined as resource-action pairs (e.g., 'inspections:create', 'fields:delete', 'billing:read'). Each role maps to a set of permissions stored in a configuration file. The middleware extracts the user's role from the JWT payload, looks up the required permission, and either allows the request or returns HTTP 403. For custom roles (Org Admin-defined), permissions are stored in the roles collection in MongoDB and cached in Redis.</w:t>
      </w:r>
    </w:p>
    <w:p>
      <w:pPr>
        <w:pStyle w:val="Heading3"/>
        <w:spacing w:after="120" w:before="240" w:line="312"/>
      </w:pPr>
      <w:bookmarkStart w:id="100067" w:name="_Toc100067"/>
      <w:r>
        <w:rPr>
          <w:rFonts w:ascii="Times New Roman"/>
          <w:b/>
          <w:bCs/>
          <w:color w:val="0A1628"/>
          <w:sz w:val="24"/>
          <w:szCs w:val="24"/>
        </w:rPr>
        <w:t xml:space="preserve">14.3 Multi-Tenancy Isolation</w:t>
      </w:r>
      <w:bookmarkEnd w:id="100067"/>
    </w:p>
    <w:p>
      <w:pPr>
        <w:spacing w:after="120" w:line="312"/>
        <w:jc w:val="both"/>
      </w:pPr>
      <w:r>
        <w:rPr>
          <w:rFonts w:ascii="Times New Roman"/>
          <w:color w:val="000000"/>
          <w:sz w:val="24"/>
          <w:szCs w:val="24"/>
        </w:rPr>
        <w:t xml:space="preserve">Tenant isolation is enforced at the Express middleware level using a setTenantContext middleware that runs after authentication. This middleware extracts the organizationId from the JWT payload and attaches it to the request object (req.tenantId). All downstream Mongoose queries automatically filter by req.tenantId through a global Mongoose plugin. Any API endpoint that accepts an organizationId in the request body or query parameters is validated to ensure it matches the authenticated user's tenant ID, preventing cross-tenant data access attempts.</w:t>
      </w:r>
    </w:p>
    <w:p>
      <w:pPr>
        <w:pStyle w:val="Heading2"/>
        <w:spacing w:after="160" w:before="360" w:line="312"/>
      </w:pPr>
      <w:bookmarkStart w:id="100068" w:name="_Toc100068"/>
      <w:r>
        <w:rPr>
          <w:rFonts w:ascii="Times New Roman"/>
          <w:b/>
          <w:bCs/>
          <w:color w:val="0A1628"/>
          <w:sz w:val="28"/>
          <w:szCs w:val="28"/>
        </w:rPr>
        <w:t xml:space="preserve">15. SaaS Billing and Subscription Design</w:t>
      </w:r>
      <w:bookmarkEnd w:id="100068"/>
    </w:p>
    <w:p>
      <w:pPr>
        <w:pStyle w:val="Heading3"/>
        <w:spacing w:after="120" w:before="240" w:line="312"/>
      </w:pPr>
      <w:bookmarkStart w:id="100069" w:name="_Toc100069"/>
      <w:r>
        <w:rPr>
          <w:rFonts w:ascii="Times New Roman"/>
          <w:b/>
          <w:bCs/>
          <w:color w:val="0A1628"/>
          <w:sz w:val="24"/>
          <w:szCs w:val="24"/>
        </w:rPr>
        <w:t xml:space="preserve">15.1 Subscription Tiers</w:t>
      </w:r>
      <w:bookmarkEnd w:id="100069"/>
    </w:p>
    <w:p>
      <w:pPr>
        <w:spacing w:after="120" w:line="312"/>
        <w:jc w:val="both"/>
      </w:pPr>
      <w:r>
        <w:rPr>
          <w:rFonts w:ascii="Times New Roman"/>
          <w:color w:val="000000"/>
          <w:sz w:val="24"/>
          <w:szCs w:val="24"/>
        </w:rPr>
        <w:t xml:space="preserve">Subscription management follows a monthly billing cycle. When an organization subscribes, a subscription record is created with the plan details, current period start/end dates, and inspection limits. A daily cron job (running at midnight Bangladesh time) checks for subscriptions due for renewal: if the subscription is active and the current period has ended, it checks for a valid payment method on file, processes the renewal charge, and extends the period. If payment fails, the subscription enters a 7-day grace period (past_due status) during which the platform remains fully functional. After the grace period, the subscription is downgraded to the Free tier.</w:t>
      </w:r>
    </w:p>
    <w:p>
      <w:pPr>
        <w:pStyle w:val="Heading3"/>
        <w:spacing w:after="120" w:before="240" w:line="312"/>
      </w:pPr>
      <w:bookmarkStart w:id="100070" w:name="_Toc100070"/>
      <w:r>
        <w:rPr>
          <w:rFonts w:ascii="Times New Roman"/>
          <w:b/>
          <w:bCs/>
          <w:color w:val="0A1628"/>
          <w:sz w:val="24"/>
          <w:szCs w:val="24"/>
        </w:rPr>
        <w:t xml:space="preserve">15.2 Pay-Per-Inspection Model</w:t>
      </w:r>
      <w:bookmarkEnd w:id="100070"/>
    </w:p>
    <w:p>
      <w:pPr>
        <w:spacing w:after="120" w:line="312"/>
        <w:jc w:val="both"/>
      </w:pPr>
      <w:r>
        <w:rPr>
          <w:rFonts w:ascii="Times New Roman"/>
          <w:color w:val="000000"/>
          <w:sz w:val="24"/>
          <w:szCs w:val="24"/>
        </w:rPr>
        <w:t xml:space="preserve">Organizations on the pay-per-inspection model maintain a prepaid credit balance. They purchase inspection credits in bulk (packages of 10, 50, 200, or 500 inspections). Each completed inspection deducts one credit. When the credit balance reaches zero, further inspections are blocked with an upgrade prompt. Credit purchases are processed immediately through the payment gateway, and credits are added to the balance upon successful payment confirmation. Pricing follows the tiered model: 1-50 at BDT 150/inspection, 51-200 at BDT 120/inspection, 201+ at BDT 100/inspection.</w:t>
      </w:r>
    </w:p>
    <w:p>
      <w:pPr>
        <w:pStyle w:val="Heading3"/>
        <w:spacing w:after="120" w:before="240" w:line="312"/>
      </w:pPr>
      <w:bookmarkStart w:id="100071" w:name="_Toc100071"/>
      <w:r>
        <w:rPr>
          <w:rFonts w:ascii="Times New Roman"/>
          <w:b/>
          <w:bCs/>
          <w:color w:val="0A1628"/>
          <w:sz w:val="24"/>
          <w:szCs w:val="24"/>
        </w:rPr>
        <w:t xml:space="preserve">15.3 Enterprise Custom Plans</w:t>
      </w:r>
      <w:bookmarkEnd w:id="100071"/>
    </w:p>
    <w:p>
      <w:pPr>
        <w:spacing w:after="120" w:line="312"/>
        <w:jc w:val="both"/>
      </w:pPr>
      <w:r>
        <w:rPr>
          <w:rFonts w:ascii="Times New Roman"/>
          <w:color w:val="000000"/>
          <w:sz w:val="24"/>
          <w:szCs w:val="24"/>
        </w:rPr>
        <w:t xml:space="preserve">Enterprise plans are negotiated individually and may include custom inspection limits, white-label branding (custom logo, domain, color scheme), dedicated support with SLA, custom API rate limits, data export in custom formats, on-premise deployment option (for organizations with strict data sovereignty requirements), and custom integration with existing facility management systems. Enterprise billing may be monthly or annual (with a 10-20% discount for annual prepayment).</w:t>
      </w:r>
    </w:p>
    <w:p>
      <w:pPr>
        <w:pStyle w:val="Heading3"/>
        <w:spacing w:after="120" w:before="240" w:line="312"/>
      </w:pPr>
      <w:bookmarkStart w:id="100072" w:name="_Toc100072"/>
      <w:r>
        <w:rPr>
          <w:rFonts w:ascii="Times New Roman"/>
          <w:b/>
          <w:bCs/>
          <w:color w:val="0A1628"/>
          <w:sz w:val="24"/>
          <w:szCs w:val="24"/>
        </w:rPr>
        <w:t xml:space="preserve">15.4 Payment Gateway Integration (bKash/Nagad/SSLCommerz)</w:t>
      </w:r>
      <w:bookmarkEnd w:id="100072"/>
    </w:p>
    <w:p>
      <w:pPr>
        <w:spacing w:after="120" w:line="312"/>
        <w:jc w:val="both"/>
      </w:pPr>
      <w:r>
        <w:rPr>
          <w:rFonts w:ascii="Times New Roman"/>
          <w:color w:val="000000"/>
          <w:sz w:val="24"/>
          <w:szCs w:val="24"/>
        </w:rPr>
        <w:t xml:space="preserve">Payment processing integrates with three primary Bangladesh payment methods. SSLCommerz handles credit/debit card payments and bank transfers using their official Node.js SDK. bKash and Nagad integrations use their respective checkout APIs for mobile financial service payments. The payment flow: client initiates payment from the billing page, backend creates a payment intent record and calls the selected gateway's initialization API, client is redirected to the gateway's hosted payment page, upon completion the gateway sends a webhook to our backend (/api/v1/payments/webhook/:gateway), the backend verifies the payment signature, updates the subscription/credit balance, and sends a confirmation email. All webhook endpoints validate the gateway signature to prevent spoofed notifications.</w:t>
      </w:r>
    </w:p>
    <w:p>
      <w:pPr>
        <w:pStyle w:val="Heading2"/>
        <w:spacing w:after="160" w:before="360" w:line="312"/>
      </w:pPr>
      <w:bookmarkStart w:id="100073" w:name="_Toc100073"/>
      <w:r>
        <w:rPr>
          <w:rFonts w:ascii="Times New Roman"/>
          <w:b/>
          <w:bCs/>
          <w:color w:val="0A1628"/>
          <w:sz w:val="28"/>
          <w:szCs w:val="28"/>
        </w:rPr>
        <w:t xml:space="preserve">16. Deployment Architecture</w:t>
      </w:r>
      <w:bookmarkEnd w:id="100073"/>
    </w:p>
    <w:p>
      <w:pPr>
        <w:pStyle w:val="Heading3"/>
        <w:spacing w:after="120" w:before="240" w:line="312"/>
      </w:pPr>
      <w:bookmarkStart w:id="100074" w:name="_Toc100074"/>
      <w:r>
        <w:rPr>
          <w:rFonts w:ascii="Times New Roman"/>
          <w:b/>
          <w:bCs/>
          <w:color w:val="0A1628"/>
          <w:sz w:val="24"/>
          <w:szCs w:val="24"/>
        </w:rPr>
        <w:t xml:space="preserve">16.1 Infrastructure Overview</w:t>
      </w:r>
      <w:bookmarkEnd w:id="100074"/>
    </w:p>
    <w:p>
      <w:pPr>
        <w:spacing w:after="120" w:line="312"/>
        <w:jc w:val="both"/>
      </w:pPr>
      <w:r>
        <w:rPr>
          <w:rFonts w:ascii="Times New Roman"/>
          <w:color w:val="000000"/>
          <w:sz w:val="24"/>
          <w:szCs w:val="24"/>
        </w:rPr>
        <w:t xml:space="preserve">The production environment runs on a cloud VPS hosted in Bangladesh (preferred: xFusion Cloud, BDCloud, or a local data center in Dhaka). The infrastructure consists of: 2+ application servers (Node.js containers behind Nginx load balancer), 3 MongoDB nodes (1 primary, 2 secondaries in a replica set), 1 Redis instance (with optional sentinel for HA), 1 Nginx reverse proxy (SSL termination, static assets, load balancing), and object storage for inspection photos (MinIO self-hosted or AWS S3 compatible). All servers run Ubuntu 22.04 LTS with Docker and Docker Compose for container orchestration.</w:t>
      </w:r>
    </w:p>
    <w:p>
      <w:pPr>
        <w:pStyle w:val="Heading3"/>
        <w:spacing w:after="120" w:before="240" w:line="312"/>
      </w:pPr>
      <w:bookmarkStart w:id="100075" w:name="_Toc100075"/>
      <w:r>
        <w:rPr>
          <w:rFonts w:ascii="Times New Roman"/>
          <w:b/>
          <w:bCs/>
          <w:color w:val="0A1628"/>
          <w:sz w:val="24"/>
          <w:szCs w:val="24"/>
        </w:rPr>
        <w:t xml:space="preserve">16.2 CI/CD Pipeline</w:t>
      </w:r>
      <w:bookmarkEnd w:id="100075"/>
    </w:p>
    <w:p>
      <w:pPr>
        <w:spacing w:after="120" w:line="312"/>
        <w:jc w:val="both"/>
      </w:pPr>
      <w:r>
        <w:rPr>
          <w:rFonts w:ascii="Times New Roman"/>
          <w:color w:val="000000"/>
          <w:sz w:val="24"/>
          <w:szCs w:val="24"/>
        </w:rPr>
        <w:t xml:space="preserve">The CI/CD pipeline is implemented using GitHub Actions with the following stages: (1) Lint - ESLint for both frontend and backend code, (2) Test - Jest unit tests for backend (target 80% coverage), React Testing Library tests for frontend components, (3) Build - Vite production build for frontend, Docker image build for backend, (4) Security - npm audit for dependency vulnerabilities, Snyk container scan, (5) Deploy to Staging - automatic deployment on merge to develop branch, (6) E2E Tests - Cypress test suite running against staging, (7) Deploy to Production - manual approval gate, deploy on merge to main branch. The pipeline produces versioned Docker images tagged with the git commit SHA and semver version.</w:t>
      </w:r>
    </w:p>
    <w:p>
      <w:pPr>
        <w:pStyle w:val="Heading3"/>
        <w:spacing w:after="120" w:before="240" w:line="312"/>
      </w:pPr>
      <w:bookmarkStart w:id="100076" w:name="_Toc100076"/>
      <w:r>
        <w:rPr>
          <w:rFonts w:ascii="Times New Roman"/>
          <w:b/>
          <w:bCs/>
          <w:color w:val="0A1628"/>
          <w:sz w:val="24"/>
          <w:szCs w:val="24"/>
        </w:rPr>
        <w:t xml:space="preserve">16.3 Environment Strategy</w:t>
      </w:r>
      <w:bookmarkEnd w:id="100076"/>
    </w:p>
    <w:p>
      <w:pPr>
        <w:spacing w:after="120" w:line="312"/>
        <w:jc w:val="both"/>
      </w:pPr>
      <w:r>
        <w:rPr>
          <w:rFonts w:ascii="Times New Roman"/>
          <w:color w:val="000000"/>
          <w:sz w:val="24"/>
          <w:szCs w:val="24"/>
        </w:rPr>
        <w:t xml:space="preserve">Three environments are maintained: Development (local Docker Compose on developer machines, hot-reload enabled), Staging (mirror of production configuration, auto-deployed from develop branch, uses production-like data with anonymized datasets), and Production (deployed from main branch with manual approval, behind Nginx with SSL, monitored with error tracking). Each environment has its own MongoDB instance, Redis instance, and environment-specific configuration via .env files (never committed to git). Database seeding scripts populate staging with realistic test data.</w:t>
      </w:r>
    </w:p>
    <w:p>
      <w:pPr>
        <w:pStyle w:val="Heading3"/>
        <w:spacing w:after="120" w:before="240" w:line="312"/>
      </w:pPr>
      <w:bookmarkStart w:id="100077" w:name="_Toc100077"/>
      <w:r>
        <w:rPr>
          <w:rFonts w:ascii="Times New Roman"/>
          <w:b/>
          <w:bCs/>
          <w:color w:val="0A1628"/>
          <w:sz w:val="24"/>
          <w:szCs w:val="24"/>
        </w:rPr>
        <w:t xml:space="preserve">16.4 Monitoring and Logging</w:t>
      </w:r>
      <w:bookmarkEnd w:id="100077"/>
    </w:p>
    <w:p>
      <w:pPr>
        <w:spacing w:after="120" w:line="312"/>
        <w:jc w:val="both"/>
      </w:pPr>
      <w:r>
        <w:rPr>
          <w:rFonts w:ascii="Times New Roman"/>
          <w:color w:val="000000"/>
          <w:sz w:val="24"/>
          <w:szCs w:val="24"/>
        </w:rPr>
        <w:t xml:space="preserve">Application monitoring uses a three-layer approach: (1) Infrastructure monitoring - Prometheus + Grafana for CPU, memory, disk, network metrics of all servers, with alerts via email and Slack for threshold breaches, (2) Application monitoring - Sentry for error tracking with source map support, custom performance metrics for API response times, and (3) Business monitoring - custom dashboard tracking daily active organizations, inspections completed, revenue metrics, and error rates. All application logs are structured JSON (using Winston logger) and shipped to a centralized log aggregator (Loki or ELK stack) for search and analysis.</w:t>
      </w:r>
    </w:p>
    <w:p>
      <w:pPr>
        <w:pStyle w:val="Heading2"/>
        <w:spacing w:after="160" w:before="360" w:line="312"/>
      </w:pPr>
      <w:bookmarkStart w:id="100078" w:name="_Toc100078"/>
      <w:r>
        <w:rPr>
          <w:rFonts w:ascii="Times New Roman"/>
          <w:b/>
          <w:bCs/>
          <w:color w:val="0A1628"/>
          <w:sz w:val="28"/>
          <w:szCs w:val="28"/>
        </w:rPr>
        <w:t xml:space="preserve">17. Security Design</w:t>
      </w:r>
      <w:bookmarkEnd w:id="100078"/>
    </w:p>
    <w:p>
      <w:pPr>
        <w:pStyle w:val="Heading3"/>
        <w:spacing w:after="120" w:before="240" w:line="312"/>
      </w:pPr>
      <w:bookmarkStart w:id="100079" w:name="_Toc100079"/>
      <w:r>
        <w:rPr>
          <w:rFonts w:ascii="Times New Roman"/>
          <w:b/>
          <w:bCs/>
          <w:color w:val="0A1628"/>
          <w:sz w:val="24"/>
          <w:szCs w:val="24"/>
        </w:rPr>
        <w:t xml:space="preserve">17.1 Application Security</w:t>
      </w:r>
      <w:bookmarkEnd w:id="100079"/>
    </w:p>
    <w:p>
      <w:pPr>
        <w:spacing w:after="120" w:line="312"/>
        <w:jc w:val="both"/>
      </w:pPr>
      <w:r>
        <w:rPr>
          <w:rFonts w:ascii="Times New Roman"/>
          <w:color w:val="000000"/>
          <w:sz w:val="24"/>
          <w:szCs w:val="24"/>
        </w:rPr>
        <w:t xml:space="preserve">Application-level security measures include: helmet.js for HTTP security headers (Content-Security-Policy, X-Frame-Options, X-Content-Type-Options, Strict-Transport-Security), cors() configured with explicit origin whitelist, express-rate-limit for API rate limiting, express-mongo-sanitize to prevent NoSQL injection, xss-clean for XSS protection, and hpp for HTTP parameter pollution prevention. All user-uploaded files (inspection photos) are validated for file type (JPEG/PNG only), size (maximum 10MB per photo), and scanned for malware using ClamAV before storage.</w:t>
      </w:r>
    </w:p>
    <w:p>
      <w:pPr>
        <w:pStyle w:val="Heading3"/>
        <w:spacing w:after="120" w:before="240" w:line="312"/>
      </w:pPr>
      <w:bookmarkStart w:id="100080" w:name="_Toc100080"/>
      <w:r>
        <w:rPr>
          <w:rFonts w:ascii="Times New Roman"/>
          <w:b/>
          <w:bCs/>
          <w:color w:val="0A1628"/>
          <w:sz w:val="24"/>
          <w:szCs w:val="24"/>
        </w:rPr>
        <w:t xml:space="preserve">17.2 Data Security</w:t>
      </w:r>
      <w:bookmarkEnd w:id="100080"/>
    </w:p>
    <w:p>
      <w:pPr>
        <w:spacing w:after="120" w:line="312"/>
        <w:jc w:val="both"/>
      </w:pPr>
      <w:r>
        <w:rPr>
          <w:rFonts w:ascii="Times New Roman"/>
          <w:color w:val="000000"/>
          <w:sz w:val="24"/>
          <w:szCs w:val="24"/>
        </w:rPr>
        <w:t xml:space="preserve">Data security measures include: AES-256 encryption for sensitive fields at rest (payment tokens, password hashes), TLS 1.3 for all data in transit, database encryption at rest (MongoDB encryption at rest using WiredTiger), encrypted backups stored in a separate physical location from the primary database, and secure key management using environment variables (never hardcoded) with HashiCorp Vault for production secret management. Photo uploads are stored with server-side encryption (SSE-S3) and accessed via pre-signed URLs with 15-minute expiry.</w:t>
      </w:r>
    </w:p>
    <w:p>
      <w:pPr>
        <w:pStyle w:val="Heading3"/>
        <w:spacing w:after="120" w:before="240" w:line="312"/>
      </w:pPr>
      <w:bookmarkStart w:id="100081" w:name="_Toc100081"/>
      <w:r>
        <w:rPr>
          <w:rFonts w:ascii="Times New Roman"/>
          <w:b/>
          <w:bCs/>
          <w:color w:val="0A1628"/>
          <w:sz w:val="24"/>
          <w:szCs w:val="24"/>
        </w:rPr>
        <w:t xml:space="preserve">17.3 API Security</w:t>
      </w:r>
      <w:bookmarkEnd w:id="100081"/>
    </w:p>
    <w:p>
      <w:pPr>
        <w:spacing w:after="120" w:line="312"/>
        <w:jc w:val="both"/>
      </w:pPr>
      <w:r>
        <w:rPr>
          <w:rFonts w:ascii="Times New Roman"/>
          <w:color w:val="000000"/>
          <w:sz w:val="24"/>
          <w:szCs w:val="24"/>
        </w:rPr>
        <w:t xml:space="preserve">API security measures include: JWT token validation middleware on all protected endpoints, CSRF protection using double-submit cookie pattern for state-changing requests, input validation using Zod schemas on all request bodies and query parameters (fail-closed: reject requests that don't match the schema), file upload validation (type, size, content scan), and API key authentication for third-party integrations (separate from JWT user authentication). Sensitive operations (password change, billing update, user deletion) require re-authentication by requesting the user's current password.</w:t>
      </w:r>
    </w:p>
    <w:p>
      <w:pPr>
        <w:pStyle w:val="Heading2"/>
        <w:spacing w:after="160" w:before="360" w:line="312"/>
      </w:pPr>
      <w:bookmarkStart w:id="100082" w:name="_Toc100082"/>
      <w:r>
        <w:rPr>
          <w:rFonts w:ascii="Times New Roman"/>
          <w:b/>
          <w:bCs/>
          <w:color w:val="0A1628"/>
          <w:sz w:val="28"/>
          <w:szCs w:val="28"/>
        </w:rPr>
        <w:t xml:space="preserve">18. Testing Strategy</w:t>
      </w:r>
      <w:bookmarkEnd w:id="100082"/>
    </w:p>
    <w:p>
      <w:pPr>
        <w:pStyle w:val="Heading3"/>
        <w:spacing w:after="120" w:before="240" w:line="312"/>
      </w:pPr>
      <w:bookmarkStart w:id="100083" w:name="_Toc100083"/>
      <w:r>
        <w:rPr>
          <w:rFonts w:ascii="Times New Roman"/>
          <w:b/>
          <w:bCs/>
          <w:color w:val="0A1628"/>
          <w:sz w:val="24"/>
          <w:szCs w:val="24"/>
        </w:rPr>
        <w:t xml:space="preserve">18.1 Unit Testing</w:t>
      </w:r>
      <w:bookmarkEnd w:id="100083"/>
    </w:p>
    <w:p>
      <w:pPr>
        <w:spacing w:after="120" w:line="312"/>
        <w:jc w:val="both"/>
      </w:pPr>
      <w:r>
        <w:rPr>
          <w:rFonts w:ascii="Times New Roman"/>
          <w:color w:val="000000"/>
          <w:sz w:val="24"/>
          <w:szCs w:val="24"/>
        </w:rPr>
        <w:t xml:space="preserve">Backend unit tests use Jest with supertest for HTTP endpoint testing. Test coverage targets: services (business logic, scoring engine) at 90%+, middleware (auth, validation, tenant isolation) at 85%+, and utility functions at 95%+. Frontend unit tests use Jest with React Testing Library, targeting: Redux slices at 90%+, custom hooks at 85%+, and utility functions at 95%+. The scoring engine (PQS calculation) requires 100% coverage with edge case testing for boundary values (score exactly at tier thresholds).</w:t>
      </w:r>
    </w:p>
    <w:p>
      <w:pPr>
        <w:pStyle w:val="Heading3"/>
        <w:spacing w:after="120" w:before="240" w:line="312"/>
      </w:pPr>
      <w:bookmarkStart w:id="100084" w:name="_Toc100084"/>
      <w:r>
        <w:rPr>
          <w:rFonts w:ascii="Times New Roman"/>
          <w:b/>
          <w:bCs/>
          <w:color w:val="0A1628"/>
          <w:sz w:val="24"/>
          <w:szCs w:val="24"/>
        </w:rPr>
        <w:t xml:space="preserve">18.2 Integration Testing</w:t>
      </w:r>
      <w:bookmarkEnd w:id="100084"/>
    </w:p>
    <w:p>
      <w:pPr>
        <w:spacing w:after="120" w:line="312"/>
        <w:jc w:val="both"/>
      </w:pPr>
      <w:r>
        <w:rPr>
          <w:rFonts w:ascii="Times New Roman"/>
          <w:color w:val="000000"/>
          <w:sz w:val="24"/>
          <w:szCs w:val="24"/>
        </w:rPr>
        <w:t xml:space="preserve">Integration tests verify module interactions: API endpoint to database operations (using a test MongoDB instance), authentication flow (login, token refresh, logout), multi-tenancy isolation (verify cross-tenant access is blocked), and payment webhook processing (using payment gateway sandbox environments). Integration tests use Docker Compose to spin up MongoDB and Redis test instances, ensuring tests run in an environment identical to production.</w:t>
      </w:r>
    </w:p>
    <w:p>
      <w:pPr>
        <w:pStyle w:val="Heading3"/>
        <w:spacing w:after="120" w:before="240" w:line="312"/>
      </w:pPr>
      <w:bookmarkStart w:id="100085" w:name="_Toc100085"/>
      <w:r>
        <w:rPr>
          <w:rFonts w:ascii="Times New Roman"/>
          <w:b/>
          <w:bCs/>
          <w:color w:val="0A1628"/>
          <w:sz w:val="24"/>
          <w:szCs w:val="24"/>
        </w:rPr>
        <w:t xml:space="preserve">18.3 E2E Testing</w:t>
      </w:r>
      <w:bookmarkEnd w:id="100085"/>
    </w:p>
    <w:p>
      <w:pPr>
        <w:spacing w:after="120" w:line="312"/>
        <w:jc w:val="both"/>
      </w:pPr>
      <w:r>
        <w:rPr>
          <w:rFonts w:ascii="Times New Roman"/>
          <w:color w:val="000000"/>
          <w:sz w:val="24"/>
          <w:szCs w:val="24"/>
        </w:rPr>
        <w:t xml:space="preserve">End-to-end tests use Cypress and cover the following critical user journeys: organization registration and first user signup, field creation with map-based location selection, complete inspection workflow (create, save draft, add photos, submit, verify), work order lifecycle (auto-generation from low score, assignment, completion, follow-up inspection scheduling), subscription upgrade and payment processing, and admin tenant management. E2E tests run against the staging environment on every merge to the develop branch.</w:t>
      </w:r>
    </w:p>
    <w:p>
      <w:pPr>
        <w:pStyle w:val="Heading3"/>
        <w:spacing w:after="120" w:before="240" w:line="312"/>
      </w:pPr>
      <w:bookmarkStart w:id="100086" w:name="_Toc100086"/>
      <w:r>
        <w:rPr>
          <w:rFonts w:ascii="Times New Roman"/>
          <w:b/>
          <w:bCs/>
          <w:color w:val="0A1628"/>
          <w:sz w:val="24"/>
          <w:szCs w:val="24"/>
        </w:rPr>
        <w:t xml:space="preserve">18.4 Performance Testing</w:t>
      </w:r>
      <w:bookmarkEnd w:id="100086"/>
    </w:p>
    <w:p>
      <w:pPr>
        <w:spacing w:after="120" w:line="312"/>
        <w:jc w:val="both"/>
      </w:pPr>
      <w:r>
        <w:rPr>
          <w:rFonts w:ascii="Times New Roman"/>
          <w:color w:val="000000"/>
          <w:sz w:val="24"/>
          <w:szCs w:val="24"/>
        </w:rPr>
        <w:t xml:space="preserve">Performance benchmarks are established using k6 load testing tool. Target scenarios include: 500 concurrent users browsing dashboards (P95 response time under 2s), 100 concurrent inspection submissions (P95 under 5s including photo upload), 1,000 API requests/second sustained for 30 minutes (error rate under 0.1%), and database query performance with 100,000 inspection records per tenant (all filtered queries under 50ms). Performance tests are run weekly and after every major release.</w:t>
      </w:r>
    </w:p>
    <w:p>
      <w:pPr>
        <w:pStyle w:val="Heading2"/>
        <w:spacing w:after="160" w:before="360" w:line="312"/>
      </w:pPr>
      <w:bookmarkStart w:id="100087" w:name="_Toc100087"/>
      <w:r>
        <w:rPr>
          <w:rFonts w:ascii="Times New Roman"/>
          <w:b/>
          <w:bCs/>
          <w:color w:val="0A1628"/>
          <w:sz w:val="28"/>
          <w:szCs w:val="28"/>
        </w:rPr>
        <w:t xml:space="preserve">19. Development Roadmap and Milestones</w:t>
      </w:r>
      <w:bookmarkEnd w:id="100087"/>
    </w:p>
    <w:p>
      <w:pPr>
        <w:spacing w:after="120" w:line="312"/>
        <w:jc w:val="both"/>
      </w:pPr>
      <w:r>
        <w:rPr>
          <w:rFonts w:ascii="Times New Roman"/>
          <w:color w:val="000000"/>
          <w:sz w:val="24"/>
          <w:szCs w:val="24"/>
        </w:rPr>
        <w:t xml:space="preserve">The development roadmap is organized into three phases spanning 12 months. Phase 1 (Months 1-4, MVP): User authentication and multi-tenancy, field registration and management, inspection data collection form with offline support, pitch quality scoring engine, basic reporting dashboard, and subscription management with SSLCommerz payment. Phase 2 (Months 5-8): Advanced analytics with trend analysis and benchmarking, bKash and Nagad payment integration, mobile-optimized PWA features, push notification system, maintenance scheduling calendar, and PDF report generation with custom templates.</w:t>
      </w:r>
    </w:p>
    <w:p>
      <w:pPr>
        <w:spacing w:after="120" w:line="312"/>
        <w:jc w:val="both"/>
      </w:pPr>
      <w:r>
        <w:rPr>
          <w:rFonts w:ascii="Times New Roman"/>
          <w:color w:val="000000"/>
          <w:sz w:val="24"/>
          <w:szCs w:val="24"/>
        </w:rPr>
        <w:t xml:space="preserve">Phase 3 (Months 9-12): Enterprise white-label customization, API marketplace for third-party integrations, IoT sensor integration framework, predictive maintenance ML model (training on historical inspection data), multi-language Bangla support, and performance optimization for 1,000+ concurrent users. Each phase concludes with a user acceptance testing (UAT) period involving 3-5 pilot organizations from the target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Milestone</w:t>
            </w:r>
          </w:p>
        </w:tc>
        <w:tc>
          <w:tcPr>
            <w:tcW w:type="pct" w:w="25%"/>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Target Date</w:t>
            </w:r>
          </w:p>
        </w:tc>
        <w:tc>
          <w:tcPr>
            <w:tcW w:type="pct" w:w="50%"/>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b/>
                <w:bCs/>
                <w:color w:val="FFFFFF"/>
                <w:sz w:val="21"/>
                <w:szCs w:val="21"/>
              </w:rPr>
              <w:t xml:space="preserve">Key Deliverables</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M1: Project Kickoff</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1, Week 1</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Dev environment, CI/CD, DB schema v1</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M2: Auth and Multi-Tenancy</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1, Week 4</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User registration, JWT auth, RBAC, tenant isolation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M3: Field Management</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2, Week 3</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Field CRUD, map view, photo upload</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M4: Inspection MVP</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3, Week 2</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Inspection form, offline sync, PQS engine</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M5: Dashboard and Reports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4, Week 1</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Analytics dashboard, PDF reports</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M6: Billing Integration</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4, Week 3</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SSLCommerz, subscription management</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M7: MVP Release</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4, Week 4</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Production deployment, UAT with 3 orgs</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M8: Advanced Analytics</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6, Week 2</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Trends, benchmarking, cost analysis</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M9: Mobile Payments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7, Week 2</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bKash, Nagad integration</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M10: Work Order System</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8, Week 1</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Calendar, auto-generation, cost tracking</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M11: Enterprise Features</w:t>
            </w:r>
          </w:p>
        </w:tc>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Month 10, Week 2</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280"/>
            </w:pPr>
            <w:r>
              <w:rPr>
                <w:rFonts w:ascii="Calibri"/>
                <w:color w:val="000000"/>
                <w:sz w:val="21"/>
                <w:szCs w:val="21"/>
              </w:rPr>
              <w:t xml:space="preserve">White-label, custom API</w:t>
            </w:r>
          </w:p>
        </w:tc>
      </w:tr>
      <w:tr>
        <w:trPr>
          <w:cantSplit/>
        </w:trPr>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M12: Full Release</w:t>
            </w:r>
          </w:p>
        </w:tc>
        <w:tc>
          <w:tcPr>
            <w:tcW w:type="pct" w:w="25%"/>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Month 12, Week 4</w:t>
            </w:r>
          </w:p>
        </w:tc>
        <w:tc>
          <w:tcPr>
            <w:tcW w:type="pct" w:w="50%"/>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pPr>
              <w:spacing w:line="280"/>
            </w:pPr>
            <w:r>
              <w:rPr>
                <w:rFonts w:ascii="Calibri"/>
                <w:color w:val="000000"/>
                <w:sz w:val="21"/>
                <w:szCs w:val="21"/>
              </w:rPr>
              <w:t xml:space="preserve">All Phase 3 features, scale testing</w:t>
            </w:r>
          </w:p>
        </w:tc>
      </w:tr>
    </w:tbl>
    <w:p>
      <w:pPr>
        <w:spacing w:after="200" w:before="60" w:line="312"/>
      </w:pPr>
      <w:r>
        <w:rPr>
          <w:rFonts w:ascii="Times New Roman"/>
          <w:i/>
          <w:iCs/>
          <w:color w:val="6878A0"/>
          <w:sz w:val="21"/>
          <w:szCs w:val="21"/>
        </w:rPr>
        <w:t xml:space="preserve">Table 5: Development Milestones and Timeline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TurfCare BD - Requirements and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TurfCare BD - Requirements and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2026-08-12T21:39:02.805Z</dcterms:created>
  <dcterms:modified xsi:type="dcterms:W3CDTF">2026-08-12T21:39:02.806Z</dcterms:modified>
</cp:coreProperties>
</file>

<file path=docProps/custom.xml><?xml version="1.0" encoding="utf-8"?>
<Properties xmlns="http://schemas.openxmlformats.org/officeDocument/2006/custom-properties" xmlns:vt="http://schemas.openxmlformats.org/officeDocument/2006/docPropsVTypes"/>
</file>