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100"/>
      </w:tblGrid>
      <w:tr>
        <w:trPr>
          <w:trHeight w:val="16838" w:hRule="exact"/>
        </w:trPr>
        <w:tc>
          <w:tcPr>
            <w:tcBorders>
              <w:top w:val="none" w:color="000000" w:sz="0"/>
              <w:left w:val="none" w:color="000000" w:sz="0"/>
              <w:bottom w:val="none" w:color="000000" w:sz="0"/>
              <w:right w:val="none" w:color="000000" w:sz="0"/>
            </w:tcBorders>
            <w:shd w:fill="0A1628" w:val="clear"/>
          </w:tcPr>
          <w:p>
            <w:pPr>
              <w:spacing w:before="3768"/>
            </w:pPr>
          </w:p>
          <w:p>
            <w:pPr>
              <w:pBdr>
                <w:bottom w:val="single" w:color="5B8DB8" w:sz="6" w:space="8"/>
              </w:pBdr>
              <w:spacing w:after="500"/>
              <w:ind w:left="1200" w:right="800"/>
            </w:pPr>
            <w:r>
              <w:rPr>
                <w:rFonts w:ascii="Calibri"/>
                <w:color w:val="5B8DB8"/>
                <w:spacing w:val="40"/>
                <w:sz w:val="18"/>
                <w:szCs w:val="18"/>
              </w:rPr>
              <w:t xml:space="preserve">S  Y  S  T  E  M     D  E  S  I  G  N     D  O  C  U  M  E  N  T</w:t>
            </w:r>
          </w:p>
          <w:p>
            <w:pPr>
              <w:spacing w:after="100" w:line="828" w:lineRule="atLeast"/>
              <w:ind w:left="1200"/>
            </w:pPr>
            <w:r>
              <w:rPr>
                <w:rFonts w:ascii="Arial"/>
                <w:b/>
                <w:bCs/>
                <w:color w:val="FFFFFF"/>
                <w:sz w:val="72"/>
                <w:szCs w:val="72"/>
              </w:rPr>
              <w:t xml:space="preserve">TurfBook Plat</w:t>
            </w:r>
          </w:p>
          <w:p>
            <w:pPr>
              <w:spacing w:after="100" w:line="828" w:lineRule="atLeast"/>
              <w:ind w:left="1200"/>
            </w:pPr>
            <w:r>
              <w:rPr>
                <w:rFonts w:ascii="Arial"/>
                <w:b/>
                <w:bCs/>
                <w:color w:val="FFFFFF"/>
                <w:sz w:val="72"/>
                <w:szCs w:val="72"/>
              </w:rPr>
              <w:t xml:space="preserve">form - System</w:t>
            </w:r>
          </w:p>
          <w:p>
            <w:pPr>
              <w:spacing w:after="300" w:line="828" w:lineRule="atLeast"/>
              <w:ind w:left="1200"/>
            </w:pPr>
            <w:r>
              <w:rPr>
                <w:rFonts w:ascii="Arial"/>
                <w:b/>
                <w:bCs/>
                <w:color w:val="FFFFFF"/>
                <w:sz w:val="72"/>
                <w:szCs w:val="72"/>
              </w:rPr>
              <w:t xml:space="preserve">Design Document</w:t>
            </w:r>
          </w:p>
          <w:p>
            <w:pPr>
              <w:spacing w:after="800"/>
              <w:ind w:left="1200"/>
            </w:pPr>
            <w:r>
              <w:rPr>
                <w:rFonts w:ascii="Calibri"/>
                <w:color w:val="A0B8D0"/>
                <w:sz w:val="24"/>
                <w:szCs w:val="24"/>
              </w:rPr>
              <w:t xml:space="preserve">Technical Specification for Multi-Role Facility Booking Platform</w:t>
            </w:r>
          </w:p>
          <w:p>
            <w:pPr>
              <w:pBdr>
                <w:left w:val="single" w:color="5B8DB8" w:sz="8" w:space="12"/>
              </w:pBdr>
              <w:spacing w:after="80"/>
              <w:ind w:left="1400"/>
            </w:pPr>
            <w:r>
              <w:rPr>
                <w:rFonts w:ascii="Calibri"/>
                <w:color w:val="8BA0B8"/>
                <w:sz w:val="24"/>
                <w:szCs w:val="24"/>
              </w:rPr>
              <w:t xml:space="preserve">Version: 1.0</w:t>
            </w:r>
          </w:p>
          <w:p>
            <w:pPr>
              <w:pBdr>
                <w:left w:val="single" w:color="5B8DB8" w:sz="8" w:space="12"/>
              </w:pBdr>
              <w:spacing w:after="80"/>
              <w:ind w:left="1400"/>
            </w:pPr>
            <w:r>
              <w:rPr>
                <w:rFonts w:ascii="Calibri"/>
                <w:color w:val="8BA0B8"/>
                <w:sz w:val="24"/>
                <w:szCs w:val="24"/>
              </w:rPr>
              <w:t xml:space="preserve">Date: August 2026</w:t>
            </w:r>
          </w:p>
          <w:p>
            <w:pPr>
              <w:pBdr>
                <w:left w:val="single" w:color="5B8DB8" w:sz="8" w:space="12"/>
              </w:pBdr>
              <w:spacing w:after="80"/>
              <w:ind w:left="1400"/>
            </w:pPr>
            <w:r>
              <w:rPr>
                <w:rFonts w:ascii="Calibri"/>
                <w:color w:val="8BA0B8"/>
                <w:sz w:val="24"/>
                <w:szCs w:val="24"/>
              </w:rPr>
              <w:t xml:space="preserve">Audience: Development Team</w:t>
            </w:r>
          </w:p>
          <w:p>
            <w:pPr>
              <w:pBdr>
                <w:left w:val="single" w:color="5B8DB8" w:sz="8" w:space="12"/>
              </w:pBdr>
              <w:spacing w:after="80"/>
              <w:ind w:left="1400"/>
            </w:pPr>
            <w:r>
              <w:rPr>
                <w:rFonts w:ascii="Calibri"/>
                <w:color w:val="8BA0B8"/>
                <w:sz w:val="24"/>
                <w:szCs w:val="24"/>
              </w:rPr>
              <w:t xml:space="preserve">Classification: Internal - Confidential</w:t>
            </w:r>
          </w:p>
          <w:p>
            <w:pPr>
              <w:spacing w:before="3768"/>
            </w:pPr>
          </w:p>
          <w:p>
            <w:pPr>
              <w:pBdr>
                <w:top w:val="single" w:color="5B8DB8" w:sz="2" w:space="8"/>
              </w:pBdr>
              <w:spacing w:before="200"/>
              <w:ind w:left="1200" w:right="800"/>
            </w:pPr>
            <w:r>
              <w:rPr>
                <w:rFonts w:ascii="Arial"/>
                <w:color w:val="607890"/>
                <w:sz w:val="16"/>
                <w:szCs w:val="16"/>
              </w:rPr>
              <w:t xml:space="preserve">TurfBook</w:t>
            </w:r>
            <w:r>
              <w:t xml:space="preserve">                                        </w:t>
            </w:r>
            <w:r>
              <w:rPr>
                <w:rFonts w:ascii="Arial"/>
                <w:color w:val="607890"/>
                <w:sz w:val="16"/>
                <w:szCs w:val="16"/>
              </w:rPr>
              <w:t xml:space="preserve">Confidential</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System Overview and Architecture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Platform Context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High-Level Architecture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Role Hierarchy</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Role-Based Access Control Model</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Permission Matrix</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Authentication Flow</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4. Platform Admin Side</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Dashboard</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4.2 Facility Applications and Onboarding</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4.3 Module Specifications</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5. Facility Owner/Admin Side</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5.1 Owner Dashboard</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5.2 Facility Profile Management</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5.3 Resource Management</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5.4 Slot Management</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5.5 Booking Management</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5.6 Payment and Wallet System</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5.7 Income and Expense Management</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5.8 Tournament Management</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5.9 Package Booking</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5.10 Blacklist Management</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5.11 Reports and Exports</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6. Operator/Staff Side</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6.1 Operator Permissions</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6.2 Daily Operations Workflow</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7. Booker/Customer Side</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7.1 Facility Discovery and Search</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7.2 Public Facility Page</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7.3 Booking Flow</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7.4 My Bookings and History</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7.5 Tournament Registration</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7.6 Notification System</w:t>
            </w:r>
            <w:r>
              <w:tab/>
            </w:r>
            <w:r>
              <w:fldChar w:fldCharType="begin"/>
            </w:r>
            <w:r>
              <w:instrText xml:space="preserve"> PAGEREF _Toc100033 \h </w:instrText>
            </w:r>
            <w:r>
              <w:fldChar w:fldCharType="separate"/>
            </w:r>
            <w:r>
              <w:t>11</w:t>
            </w:r>
            <w:r>
              <w:fldChar w:fldCharType="end"/>
            </w:r>
          </w:hyperlink>
        </w:p>
        <w:p>
          <w:pPr>
            <w:pStyle w:val="9"/>
            <w:tabs>
              <w:tab w:val="right" w:leader="dot" w:pos="9026"/>
            </w:tabs>
            <w:spacing w:before="120" w:after="60"/>
          </w:pPr>
          <w:hyperlink w:anchor="_Toc100034" w:history="1">
            <w:r>
              <w:rPr>
                <w:rStyle w:val="Hyperlink"/>
              </w:rPr>
              <w:t>8. Database Schema Design</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8.1 Core Entities</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8.2 Key Schema Relationships</w:t>
            </w:r>
            <w:r>
              <w:tab/>
            </w:r>
            <w:r>
              <w:fldChar w:fldCharType="begin"/>
            </w:r>
            <w:r>
              <w:instrText xml:space="preserve"> PAGEREF _Toc100036 \h </w:instrText>
            </w:r>
            <w:r>
              <w:fldChar w:fldCharType="separate"/>
            </w:r>
            <w:r>
              <w:t>11</w:t>
            </w:r>
            <w:r>
              <w:fldChar w:fldCharType="end"/>
            </w:r>
          </w:hyperlink>
        </w:p>
        <w:p>
          <w:pPr>
            <w:pStyle w:val="9"/>
            <w:tabs>
              <w:tab w:val="right" w:leader="dot" w:pos="9026"/>
            </w:tabs>
            <w:spacing w:before="120" w:after="60"/>
          </w:pPr>
          <w:hyperlink w:anchor="_Toc100037" w:history="1">
            <w:r>
              <w:rPr>
                <w:rStyle w:val="Hyperlink"/>
              </w:rPr>
              <w:t>9. Core Business Flows</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9.1 Facility Onboarding Flow</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9.2 Customer Booking Flow</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9.3 Money Flow and Platform Fee</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9.4 Cancellation and Refund Flow</w:t>
            </w:r>
            <w:r>
              <w:tab/>
            </w:r>
            <w:r>
              <w:fldChar w:fldCharType="begin"/>
            </w:r>
            <w:r>
              <w:instrText xml:space="preserve"> PAGEREF _Toc100041 \h </w:instrText>
            </w:r>
            <w:r>
              <w:fldChar w:fldCharType="separate"/>
            </w:r>
            <w:r>
              <w:t>13</w:t>
            </w:r>
            <w:r>
              <w:fldChar w:fldCharType="end"/>
            </w:r>
          </w:hyperlink>
        </w:p>
        <w:p>
          <w:pPr>
            <w:pStyle w:val="9"/>
            <w:tabs>
              <w:tab w:val="right" w:leader="dot" w:pos="9026"/>
            </w:tabs>
            <w:spacing w:before="120" w:after="60"/>
          </w:pPr>
          <w:hyperlink w:anchor="_Toc100042" w:history="1">
            <w:r>
              <w:rPr>
                <w:rStyle w:val="Hyperlink"/>
              </w:rPr>
              <w:t>10. API Architecture</w:t>
            </w:r>
            <w:r>
              <w:tab/>
            </w:r>
            <w:r>
              <w:fldChar w:fldCharType="begin"/>
            </w:r>
            <w:r>
              <w:instrText xml:space="preserve"> PAGEREF _Toc100042 \h </w:instrText>
            </w:r>
            <w:r>
              <w:fldChar w:fldCharType="separate"/>
            </w:r>
            <w:r>
              <w:t>13</w:t>
            </w:r>
            <w:r>
              <w:fldChar w:fldCharType="end"/>
            </w:r>
          </w:hyperlink>
        </w:p>
        <w:p>
          <w:pPr>
            <w:pStyle w:val="11"/>
            <w:ind w:left="360"/>
            <w:tabs>
              <w:tab w:val="right" w:leader="dot" w:pos="9026"/>
            </w:tabs>
            <w:spacing w:before="120" w:after="60"/>
          </w:pPr>
          <w:hyperlink w:anchor="_Toc100043" w:history="1">
            <w:r>
              <w:rPr>
                <w:rStyle w:val="Hyperlink"/>
              </w:rPr>
              <w:t>10.1 API Design Principles</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10.2 Endpoint Groups</w:t>
            </w:r>
            <w:r>
              <w:tab/>
            </w:r>
            <w:r>
              <w:fldChar w:fldCharType="begin"/>
            </w:r>
            <w:r>
              <w:instrText xml:space="preserve"> PAGEREF _Toc100044 \h </w:instrText>
            </w:r>
            <w:r>
              <w:fldChar w:fldCharType="separate"/>
            </w:r>
            <w:r>
              <w:t>13</w:t>
            </w:r>
            <w:r>
              <w:fldChar w:fldCharType="end"/>
            </w:r>
          </w:hyperlink>
        </w:p>
        <w:p>
          <w:pPr>
            <w:pStyle w:val="9"/>
            <w:tabs>
              <w:tab w:val="right" w:leader="dot" w:pos="9026"/>
            </w:tabs>
            <w:spacing w:before="120" w:after="60"/>
          </w:pPr>
          <w:hyperlink w:anchor="_Toc100045" w:history="1">
            <w:r>
              <w:rPr>
                <w:rStyle w:val="Hyperlink"/>
              </w:rPr>
              <w:t>11. Technology Stack and Implementation Notes</w:t>
            </w:r>
            <w:r>
              <w:tab/>
            </w:r>
            <w:r>
              <w:fldChar w:fldCharType="begin"/>
            </w:r>
            <w:r>
              <w:instrText xml:space="preserve"> PAGEREF _Toc100045 \h </w:instrText>
            </w:r>
            <w:r>
              <w:fldChar w:fldCharType="separate"/>
            </w:r>
            <w:r>
              <w:t>14</w:t>
            </w:r>
            <w:r>
              <w:fldChar w:fldCharType="end"/>
            </w:r>
          </w:hyperlink>
        </w:p>
        <w:p>
          <w:pPr>
            <w:pStyle w:val="11"/>
            <w:ind w:left="360"/>
            <w:tabs>
              <w:tab w:val="right" w:leader="dot" w:pos="9026"/>
            </w:tabs>
            <w:spacing w:before="120" w:after="60"/>
          </w:pPr>
          <w:hyperlink w:anchor="_Toc100046" w:history="1">
            <w:r>
              <w:rPr>
                <w:rStyle w:val="Hyperlink"/>
              </w:rPr>
              <w:t>11.1 Recommended Technology Stack</w:t>
            </w:r>
            <w:r>
              <w:tab/>
            </w:r>
            <w:r>
              <w:fldChar w:fldCharType="begin"/>
            </w:r>
            <w:r>
              <w:instrText xml:space="preserve"> PAGEREF _Toc100046 \h </w:instrText>
            </w:r>
            <w:r>
              <w:fldChar w:fldCharType="separate"/>
            </w:r>
            <w:r>
              <w:t>14</w:t>
            </w:r>
            <w:r>
              <w:fldChar w:fldCharType="end"/>
            </w:r>
          </w:hyperlink>
        </w:p>
        <w:p>
          <w:pPr>
            <w:pStyle w:val="11"/>
            <w:ind w:left="360"/>
            <w:tabs>
              <w:tab w:val="right" w:leader="dot" w:pos="9026"/>
            </w:tabs>
            <w:spacing w:before="120" w:after="60"/>
          </w:pPr>
          <w:hyperlink w:anchor="_Toc100047" w:history="1">
            <w:r>
              <w:rPr>
                <w:rStyle w:val="Hyperlink"/>
              </w:rPr>
              <w:t>11.2 Implementation Priority</w:t>
            </w:r>
            <w:r>
              <w:tab/>
            </w:r>
            <w:r>
              <w:fldChar w:fldCharType="begin"/>
            </w:r>
            <w:r>
              <w:instrText xml:space="preserve"> PAGEREF _Toc100047 \h </w:instrText>
            </w:r>
            <w:r>
              <w:fldChar w:fldCharType="separate"/>
            </w:r>
            <w:r>
              <w:t>14</w:t>
            </w:r>
            <w:r>
              <w:fldChar w:fldCharType="end"/>
            </w:r>
          </w:hyperlink>
        </w:p>
        <w:p>
          <w:pPr>
            <w:pStyle w:val="9"/>
            <w:tabs>
              <w:tab w:val="right" w:leader="dot" w:pos="9026"/>
            </w:tabs>
            <w:spacing w:before="120" w:after="60"/>
          </w:pPr>
          <w:hyperlink w:anchor="_Toc100048" w:history="1">
            <w:r>
              <w:rPr>
                <w:rStyle w:val="Hyperlink"/>
              </w:rPr>
              <w:t>12. Security Considerations</w:t>
            </w:r>
            <w:r>
              <w:tab/>
            </w:r>
            <w:r>
              <w:fldChar w:fldCharType="begin"/>
            </w:r>
            <w:r>
              <w:instrText xml:space="preserve"> PAGEREF _Toc100048 \h </w:instrText>
            </w:r>
            <w:r>
              <w:fldChar w:fldCharType="separate"/>
            </w:r>
            <w:r>
              <w:t>14</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b/>
          <w:bCs/>
          <w:color w:val="0A1628"/>
          <w:sz w:val="32"/>
          <w:szCs w:val="32"/>
        </w:rPr>
        <w:t xml:space="preserve">1. Executive Summary</w:t>
      </w:r>
      <w:bookmarkEnd w:id="100000"/>
    </w:p>
    <w:p>
      <w:pPr>
        <w:spacing w:after="120" w:line="312"/>
        <w:jc w:val="both"/>
      </w:pPr>
      <w:r>
        <w:rPr>
          <w:rFonts w:ascii="Times New Roman"/>
          <w:color w:val="000000"/>
          <w:sz w:val="24"/>
          <w:szCs w:val="24"/>
        </w:rPr>
        <w:t xml:space="preserve">TurfBook is a multi-tenant facility booking and management platform designed to serve the sports and recreation industry in Bangladesh. The platform connects facility owners (turf operators, sports complex managers) with customers (bookers) through a centralized booking system that handles slot management, payment processing, tournament organization, and financial reporting. The system is built around a four-role architecture: Platform Admin, Facility Owner/Admin, Operator/Staff, and Booker/Customer, each with distinct permissions and responsibilities.</w:t>
      </w:r>
    </w:p>
    <w:p>
      <w:pPr>
        <w:spacing w:after="120" w:line="312"/>
        <w:jc w:val="both"/>
      </w:pPr>
      <w:r>
        <w:rPr>
          <w:rFonts w:ascii="Times New Roman"/>
          <w:color w:val="000000"/>
          <w:sz w:val="24"/>
          <w:szCs w:val="24"/>
        </w:rPr>
        <w:t xml:space="preserve">The platform addresses critical operational challenges faced by facility owners, including manual booking management, revenue tracking difficulties, payment verification overhead, and the lack of a unified customer database. By digitizing the entire booking lifecycle, from discovery to payment confirmation, TurfBook reduces administrative burden, minimizes no-shows through OTP verification, and provides real-time financial visibility for facility operators.</w:t>
      </w:r>
    </w:p>
    <w:p>
      <w:pPr>
        <w:spacing w:after="120" w:line="312"/>
        <w:jc w:val="both"/>
      </w:pPr>
      <w:r>
        <w:rPr>
          <w:rFonts w:ascii="Times New Roman"/>
          <w:color w:val="000000"/>
          <w:sz w:val="24"/>
          <w:szCs w:val="24"/>
        </w:rPr>
        <w:t xml:space="preserve">This System Design Document provides the complete technical specification for implementing the TurfBook platform. It covers the role-based access control (RBAC) model, detailed module specifications for each of the four user roles, database entity definitions, business workflow diagrams, money flow architecture, notification system design, and API structure guidelines. The document is intended for the development team and serves as the authoritative reference for all implementation decisions throughout the development lifecycle.</w:t>
      </w:r>
    </w:p>
    <w:p>
      <w:pPr>
        <w:pStyle w:val="Heading1"/>
        <w:spacing w:after="160" w:before="360" w:line="312"/>
      </w:pPr>
      <w:bookmarkStart w:id="100001" w:name="_Toc100001"/>
      <w:r>
        <w:rPr>
          <w:rFonts w:ascii="Times New Roman"/>
          <w:b/>
          <w:bCs/>
          <w:color w:val="0A1628"/>
          <w:sz w:val="32"/>
          <w:szCs w:val="32"/>
        </w:rPr>
        <w:t xml:space="preserve">2. System Overview and Architecture</w:t>
      </w:r>
      <w:bookmarkEnd w:id="100001"/>
    </w:p>
    <w:p>
      <w:pPr>
        <w:pStyle w:val="Heading2"/>
        <w:spacing w:after="120" w:before="280" w:line="312"/>
      </w:pPr>
      <w:bookmarkStart w:id="100002" w:name="_Toc100002"/>
      <w:r>
        <w:rPr>
          <w:rFonts w:ascii="Times New Roman"/>
          <w:b/>
          <w:bCs/>
          <w:color w:val="0A1628"/>
          <w:sz w:val="28"/>
          <w:szCs w:val="28"/>
        </w:rPr>
        <w:t xml:space="preserve">2.1 Platform Context</w:t>
      </w:r>
      <w:bookmarkEnd w:id="100002"/>
    </w:p>
    <w:p>
      <w:pPr>
        <w:spacing w:after="120" w:line="312"/>
        <w:jc w:val="both"/>
      </w:pPr>
      <w:r>
        <w:rPr>
          <w:rFonts w:ascii="Times New Roman"/>
          <w:color w:val="000000"/>
          <w:sz w:val="24"/>
          <w:szCs w:val="24"/>
        </w:rPr>
        <w:t xml:space="preserve">TurfBook operates as a centralized SaaS platform that sits between facility owners and end customers. Unlike simple booking apps that serve a single venue, TurfBook is designed to manage multiple facilities simultaneously, each with its own set of resources, pricing rules, staff members, and customer base. The platform generates revenue through a per-booking platform fee of 15 BDT, creating a sustainable business model that scales with transaction volume rather than requiring upfront subscription payments from facility owners.</w:t>
      </w:r>
    </w:p>
    <w:p>
      <w:pPr>
        <w:spacing w:after="120" w:line="312"/>
        <w:jc w:val="both"/>
      </w:pPr>
      <w:r>
        <w:rPr>
          <w:rFonts w:ascii="Times New Roman"/>
          <w:color w:val="000000"/>
          <w:sz w:val="24"/>
          <w:szCs w:val="24"/>
        </w:rPr>
        <w:t xml:space="preserve">The platform supports multiple resource types beyond football turfs, including badminton courts, swimming pools, snooker tables, cricket nets, and other bookable facilities. This multi-resource capability makes TurfBook suitable for diverse sports and recreation businesses, from single-turf operations to large multi-sport complexes. Each facility maintains independent control over its resources, pricing, and operational policies while benefiting from shared platform infrastructure for payments, notifications, and customer management.</w:t>
      </w:r>
    </w:p>
    <w:p>
      <w:pPr>
        <w:pStyle w:val="Heading2"/>
        <w:spacing w:after="120" w:before="280" w:line="312"/>
      </w:pPr>
      <w:bookmarkStart w:id="100003" w:name="_Toc100003"/>
      <w:r>
        <w:rPr>
          <w:rFonts w:ascii="Times New Roman"/>
          <w:b/>
          <w:bCs/>
          <w:color w:val="0A1628"/>
          <w:sz w:val="28"/>
          <w:szCs w:val="28"/>
        </w:rPr>
        <w:t xml:space="preserve">2.2 High-Level Architecture</w:t>
      </w:r>
      <w:bookmarkEnd w:id="100003"/>
    </w:p>
    <w:p>
      <w:pPr>
        <w:spacing w:after="120" w:line="312"/>
        <w:jc w:val="both"/>
      </w:pPr>
      <w:r>
        <w:rPr>
          <w:rFonts w:ascii="Times New Roman"/>
          <w:color w:val="000000"/>
          <w:sz w:val="24"/>
          <w:szCs w:val="24"/>
        </w:rPr>
        <w:t xml:space="preserve">The TurfBook platform follows a three-tier architecture with clear separation between the presentation layer (web and mobile interfaces), the business logic layer (API server and background workers), and the data layer (relational database and file storage). The system is designed as a multi-tenant application where each facility operates as an isolated tenant with its own data scope, while the Platform Admin has cross-tenant visibility for monitoring and control purposes.</w:t>
      </w:r>
    </w:p>
    <w:p>
      <w:pPr>
        <w:spacing w:after="120" w:line="312"/>
        <w:jc w:val="both"/>
      </w:pPr>
      <w:r>
        <w:rPr>
          <w:rFonts w:ascii="Times New Roman"/>
          <w:color w:val="000000"/>
          <w:sz w:val="24"/>
          <w:szCs w:val="24"/>
        </w:rPr>
        <w:t xml:space="preserve">Communication between the client applications and the server follows a RESTful API pattern with JSON request/response payloads. Real-time features such as booking confirmations and slot availability updates can be handled through WebSocket connections where applicable. The payment flow uses an offline verification model where customers submit payment proofs (bKash/Nagad transaction IDs) that facility owners verify manually before confirming bookings, a design decision that aligns with the prevailing mobile financial service infrastructure in Bangladesh.</w:t>
      </w:r>
    </w:p>
    <w:p>
      <w:pPr>
        <w:pStyle w:val="Heading2"/>
        <w:spacing w:after="120" w:before="280" w:line="312"/>
      </w:pPr>
      <w:bookmarkStart w:id="100004" w:name="_Toc100004"/>
      <w:r>
        <w:rPr>
          <w:rFonts w:ascii="Times New Roman"/>
          <w:b/>
          <w:bCs/>
          <w:color w:val="0A1628"/>
          <w:sz w:val="28"/>
          <w:szCs w:val="28"/>
        </w:rPr>
        <w:t xml:space="preserve">2.3 Role Hierarchy</w:t>
      </w:r>
      <w:bookmarkEnd w:id="100004"/>
    </w:p>
    <w:p>
      <w:pPr>
        <w:spacing w:after="120" w:line="312"/>
        <w:jc w:val="both"/>
      </w:pPr>
      <w:r>
        <w:rPr>
          <w:rFonts w:ascii="Times New Roman"/>
          <w:color w:val="000000"/>
          <w:sz w:val="24"/>
          <w:szCs w:val="24"/>
        </w:rPr>
        <w:t xml:space="preserve">The TurfBook platform implements a strict hierarchical role-based access control (RBAC) model with five distinct roles. Each role inherits a subset of permissions from the roles above it, ensuring that lower-privilege roles cannot access functionality reserved for higher-privilege roles. This hierarchy is enforced at both the API level (through middleware) and the UI level (through conditional rendering).</w:t>
      </w:r>
    </w:p>
    <w:p>
      <w:pPr>
        <w:keepNext/>
        <w:spacing w:after="80" w:before="200"/>
      </w:pPr>
      <w:r>
        <w:rPr>
          <w:rFonts w:ascii="Times New Roman"/>
          <w:b/>
          <w:bCs/>
          <w:color w:val="6878A0"/>
          <w:sz w:val="21"/>
          <w:szCs w:val="21"/>
        </w:rPr>
        <w:t xml:space="preserve">Table 1: Role Hierarchy and Permission Scope</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22%"/>
            <w:shd w:fill="F4F8FC" w:val="clear"/>
            <w:tcMar>
              <w:top w:type="dxa" w:w="60"/>
              <w:left w:type="dxa" w:w="120"/>
              <w:bottom w:type="dxa" w:w="60"/>
              <w:right w:type="dxa" w:w="120"/>
            </w:tcMar>
          </w:tcPr>
          <w:p>
            <w:r>
              <w:rPr>
                <w:rFonts w:ascii="Times New Roman"/>
                <w:b/>
                <w:bCs/>
                <w:color w:val="0A1628"/>
                <w:sz w:val="21"/>
                <w:szCs w:val="21"/>
              </w:rPr>
              <w:t xml:space="preserve">Role</w:t>
            </w:r>
          </w:p>
        </w:tc>
        <w:tc>
          <w:tcPr>
            <w:tcW w:type="pct" w:w="28%"/>
            <w:shd w:fill="F4F8FC" w:val="clear"/>
            <w:tcMar>
              <w:top w:type="dxa" w:w="60"/>
              <w:left w:type="dxa" w:w="120"/>
              <w:bottom w:type="dxa" w:w="60"/>
              <w:right w:type="dxa" w:w="120"/>
            </w:tcMar>
          </w:tcPr>
          <w:p>
            <w:r>
              <w:rPr>
                <w:rFonts w:ascii="Times New Roman"/>
                <w:b/>
                <w:bCs/>
                <w:color w:val="0A1628"/>
                <w:sz w:val="21"/>
                <w:szCs w:val="21"/>
              </w:rPr>
              <w:t xml:space="preserve">Scope</w:t>
            </w:r>
          </w:p>
        </w:tc>
        <w:tc>
          <w:tcPr>
            <w:tcW w:type="pct" w:w="50%"/>
            <w:shd w:fill="F4F8FC" w:val="clear"/>
            <w:tcMar>
              <w:top w:type="dxa" w:w="60"/>
              <w:left w:type="dxa" w:w="120"/>
              <w:bottom w:type="dxa" w:w="60"/>
              <w:right w:type="dxa" w:w="120"/>
            </w:tcMar>
          </w:tcPr>
          <w:p>
            <w:r>
              <w:rPr>
                <w:rFonts w:ascii="Times New Roman"/>
                <w:b/>
                <w:bCs/>
                <w:color w:val="0A1628"/>
                <w:sz w:val="21"/>
                <w:szCs w:val="21"/>
              </w:rPr>
              <w:t xml:space="preserve">Key Capabilities</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PlatformAdmin</w:t>
            </w:r>
          </w:p>
        </w:tc>
        <w:tc>
          <w:tcPr>
            <w:tcW w:type="pct" w:w="28%"/>
            <w:tcMar>
              <w:top w:type="dxa" w:w="60"/>
              <w:left w:type="dxa" w:w="120"/>
              <w:bottom w:type="dxa" w:w="60"/>
              <w:right w:type="dxa" w:w="120"/>
            </w:tcMar>
          </w:tcPr>
          <w:p>
            <w:r>
              <w:rPr>
                <w:rFonts w:ascii="Times New Roman"/>
                <w:color w:val="000000"/>
                <w:sz w:val="21"/>
                <w:szCs w:val="21"/>
              </w:rPr>
              <w:t xml:space="preserve">Global - All Facilities</w:t>
            </w:r>
          </w:p>
        </w:tc>
        <w:tc>
          <w:tcPr>
            <w:tcW w:type="pct" w:w="50%"/>
            <w:tcMar>
              <w:top w:type="dxa" w:w="60"/>
              <w:left w:type="dxa" w:w="120"/>
              <w:bottom w:type="dxa" w:w="60"/>
              <w:right w:type="dxa" w:w="120"/>
            </w:tcMar>
          </w:tcPr>
          <w:p>
            <w:r>
              <w:rPr>
                <w:rFonts w:ascii="Times New Roman"/>
                <w:color w:val="000000"/>
                <w:sz w:val="21"/>
                <w:szCs w:val="21"/>
              </w:rPr>
              <w:t xml:space="preserve">Facility approval, platform settings, fee monitoring, blacklist management</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FacilityOwner</w:t>
            </w:r>
          </w:p>
        </w:tc>
        <w:tc>
          <w:tcPr>
            <w:tcW w:type="pct" w:w="28%"/>
            <w:tcMar>
              <w:top w:type="dxa" w:w="60"/>
              <w:left w:type="dxa" w:w="120"/>
              <w:bottom w:type="dxa" w:w="60"/>
              <w:right w:type="dxa" w:w="120"/>
            </w:tcMar>
          </w:tcPr>
          <w:p>
            <w:r>
              <w:rPr>
                <w:rFonts w:ascii="Times New Roman"/>
                <w:color w:val="000000"/>
                <w:sz w:val="21"/>
                <w:szCs w:val="21"/>
              </w:rPr>
              <w:t xml:space="preserve">Single Facility - Full</w:t>
            </w:r>
          </w:p>
        </w:tc>
        <w:tc>
          <w:tcPr>
            <w:tcW w:type="pct" w:w="50%"/>
            <w:tcMar>
              <w:top w:type="dxa" w:w="60"/>
              <w:left w:type="dxa" w:w="120"/>
              <w:bottom w:type="dxa" w:w="60"/>
              <w:right w:type="dxa" w:w="120"/>
            </w:tcMar>
          </w:tcPr>
          <w:p>
            <w:r>
              <w:rPr>
                <w:rFonts w:ascii="Times New Roman"/>
                <w:color w:val="000000"/>
                <w:sz w:val="21"/>
                <w:szCs w:val="21"/>
              </w:rPr>
              <w:t xml:space="preserve">Revenue, expense, staff, booking, resource, reports, settings</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Manager</w:t>
            </w:r>
          </w:p>
        </w:tc>
        <w:tc>
          <w:tcPr>
            <w:tcW w:type="pct" w:w="28%"/>
            <w:tcMar>
              <w:top w:type="dxa" w:w="60"/>
              <w:left w:type="dxa" w:w="120"/>
              <w:bottom w:type="dxa" w:w="60"/>
              <w:right w:type="dxa" w:w="120"/>
            </w:tcMar>
          </w:tcPr>
          <w:p>
            <w:r>
              <w:rPr>
                <w:rFonts w:ascii="Times New Roman"/>
                <w:color w:val="000000"/>
                <w:sz w:val="21"/>
                <w:szCs w:val="21"/>
              </w:rPr>
              <w:t xml:space="preserve">Single Facility - Partial</w:t>
            </w:r>
          </w:p>
        </w:tc>
        <w:tc>
          <w:tcPr>
            <w:tcW w:type="pct" w:w="50%"/>
            <w:tcMar>
              <w:top w:type="dxa" w:w="60"/>
              <w:left w:type="dxa" w:w="120"/>
              <w:bottom w:type="dxa" w:w="60"/>
              <w:right w:type="dxa" w:w="120"/>
            </w:tcMar>
          </w:tcPr>
          <w:p>
            <w:r>
              <w:rPr>
                <w:rFonts w:ascii="Times New Roman"/>
                <w:color w:val="000000"/>
                <w:sz w:val="21"/>
                <w:szCs w:val="21"/>
              </w:rPr>
              <w:t xml:space="preserve">Booking oversight, staff scheduling, resource management</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Operator/Staff</w:t>
            </w:r>
          </w:p>
        </w:tc>
        <w:tc>
          <w:tcPr>
            <w:tcW w:type="pct" w:w="28%"/>
            <w:tcMar>
              <w:top w:type="dxa" w:w="60"/>
              <w:left w:type="dxa" w:w="120"/>
              <w:bottom w:type="dxa" w:w="60"/>
              <w:right w:type="dxa" w:w="120"/>
            </w:tcMar>
          </w:tcPr>
          <w:p>
            <w:r>
              <w:rPr>
                <w:rFonts w:ascii="Times New Roman"/>
                <w:color w:val="000000"/>
                <w:sz w:val="21"/>
                <w:szCs w:val="21"/>
              </w:rPr>
              <w:t xml:space="preserve">Single Facility - Daily Ops</w:t>
            </w:r>
          </w:p>
        </w:tc>
        <w:tc>
          <w:tcPr>
            <w:tcW w:type="pct" w:w="50%"/>
            <w:tcMar>
              <w:top w:type="dxa" w:w="60"/>
              <w:left w:type="dxa" w:w="120"/>
              <w:bottom w:type="dxa" w:w="60"/>
              <w:right w:type="dxa" w:w="120"/>
            </w:tcMar>
          </w:tcPr>
          <w:p>
            <w:r>
              <w:rPr>
                <w:rFonts w:ascii="Times New Roman"/>
                <w:color w:val="000000"/>
                <w:sz w:val="21"/>
                <w:szCs w:val="21"/>
              </w:rPr>
              <w:t xml:space="preserve">Check-in/out, payment verification, slot status, customer support</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Booker/Customer</w:t>
            </w:r>
          </w:p>
        </w:tc>
        <w:tc>
          <w:tcPr>
            <w:tcW w:type="pct" w:w="28%"/>
            <w:tcMar>
              <w:top w:type="dxa" w:w="60"/>
              <w:left w:type="dxa" w:w="120"/>
              <w:bottom w:type="dxa" w:w="60"/>
              <w:right w:type="dxa" w:w="120"/>
            </w:tcMar>
          </w:tcPr>
          <w:p>
            <w:r>
              <w:rPr>
                <w:rFonts w:ascii="Times New Roman"/>
                <w:color w:val="000000"/>
                <w:sz w:val="21"/>
                <w:szCs w:val="21"/>
              </w:rPr>
              <w:t xml:space="preserve">Own Bookings Only</w:t>
            </w:r>
          </w:p>
        </w:tc>
        <w:tc>
          <w:tcPr>
            <w:tcW w:type="pct" w:w="50%"/>
            <w:tcMar>
              <w:top w:type="dxa" w:w="60"/>
              <w:left w:type="dxa" w:w="120"/>
              <w:bottom w:type="dxa" w:w="60"/>
              <w:right w:type="dxa" w:w="120"/>
            </w:tcMar>
          </w:tcPr>
          <w:p>
            <w:r>
              <w:rPr>
                <w:rFonts w:ascii="Times New Roman"/>
                <w:color w:val="000000"/>
                <w:sz w:val="21"/>
                <w:szCs w:val="21"/>
              </w:rPr>
              <w:t xml:space="preserve">Search, book, pay, cancel, view history, tournament registration</w:t>
            </w:r>
          </w:p>
        </w:tc>
      </w:tr>
    </w:tbl>
    <w:p>
      <w:pPr>
        <w:pStyle w:val="Heading1"/>
        <w:spacing w:after="160" w:before="360" w:line="312"/>
      </w:pPr>
      <w:bookmarkStart w:id="100005" w:name="_Toc100005"/>
      <w:r>
        <w:rPr>
          <w:rFonts w:ascii="Times New Roman"/>
          <w:b/>
          <w:bCs/>
          <w:color w:val="0A1628"/>
          <w:sz w:val="32"/>
          <w:szCs w:val="32"/>
        </w:rPr>
        <w:t xml:space="preserve">3. Role-Based Access Control Model</w:t>
      </w:r>
      <w:bookmarkEnd w:id="100005"/>
    </w:p>
    <w:p>
      <w:pPr>
        <w:pStyle w:val="Heading2"/>
        <w:spacing w:after="120" w:before="280" w:line="312"/>
      </w:pPr>
      <w:bookmarkStart w:id="100006" w:name="_Toc100006"/>
      <w:r>
        <w:rPr>
          <w:rFonts w:ascii="Times New Roman"/>
          <w:b/>
          <w:bCs/>
          <w:color w:val="0A1628"/>
          <w:sz w:val="28"/>
          <w:szCs w:val="28"/>
        </w:rPr>
        <w:t xml:space="preserve">3.1 Permission Matrix</w:t>
      </w:r>
      <w:bookmarkEnd w:id="100006"/>
    </w:p>
    <w:p>
      <w:pPr>
        <w:spacing w:after="120" w:line="312"/>
        <w:jc w:val="both"/>
      </w:pPr>
      <w:r>
        <w:rPr>
          <w:rFonts w:ascii="Times New Roman"/>
          <w:color w:val="000000"/>
          <w:sz w:val="24"/>
          <w:szCs w:val="24"/>
        </w:rPr>
        <w:t xml:space="preserve">The RBAC system is designed around a permission matrix that maps each role to a set of allowed actions across all platform modules. Permissions are stored in the database and evaluated on every API request. The permission matrix is defined at the module level, where each module (Booking, Payment, Resource, etc.) has a set of actions (Create, Read, Update, Delete, Approve, Export) that can be individually assigned to roles. This granular approach allows the Platform Admin to customize operator permissions without modifying code.</w:t>
      </w:r>
    </w:p>
    <w:p>
      <w:pPr>
        <w:spacing w:after="120" w:line="312"/>
        <w:jc w:val="both"/>
      </w:pPr>
      <w:r>
        <w:rPr>
          <w:rFonts w:ascii="Times New Roman"/>
          <w:color w:val="000000"/>
          <w:sz w:val="24"/>
          <w:szCs w:val="24"/>
        </w:rPr>
        <w:t xml:space="preserve">The Facility Owner has full control over their facility and can delegate specific permissions to Managers and Operators. For example, an Owner can grant an Operator permission to verify payments and check in customers, but restrict them from viewing revenue reports or modifying pricing rules. This delegation model is critical for facilities with multiple staff members who need different levels of access based on their job responsibilities.</w:t>
      </w:r>
    </w:p>
    <w:p>
      <w:pPr>
        <w:pStyle w:val="Heading2"/>
        <w:spacing w:after="120" w:before="280" w:line="312"/>
      </w:pPr>
      <w:bookmarkStart w:id="100007" w:name="_Toc100007"/>
      <w:r>
        <w:rPr>
          <w:rFonts w:ascii="Times New Roman"/>
          <w:b/>
          <w:bCs/>
          <w:color w:val="0A1628"/>
          <w:sz w:val="28"/>
          <w:szCs w:val="28"/>
        </w:rPr>
        <w:t xml:space="preserve">3.2 Authentication Flow</w:t>
      </w:r>
      <w:bookmarkEnd w:id="100007"/>
    </w:p>
    <w:p>
      <w:pPr>
        <w:spacing w:after="120" w:line="312"/>
        <w:jc w:val="both"/>
      </w:pPr>
      <w:r>
        <w:rPr>
          <w:rFonts w:ascii="Times New Roman"/>
          <w:color w:val="000000"/>
          <w:sz w:val="24"/>
          <w:szCs w:val="24"/>
        </w:rPr>
        <w:t xml:space="preserve">Each role uses a different authentication mechanism appropriate to its access pattern. Platform Admins and Facility Owners use email/password authentication with optional two-factor authentication. Operators and Staff use a simplified login with credentials provided by their Facility Owner. Customers use mobile-number-based OTP authentication, which serves the dual purpose of verifying identity and ensuring valid contact information for booking notifications.</w:t>
      </w:r>
    </w:p>
    <w:p>
      <w:pPr>
        <w:spacing w:after="120" w:line="312"/>
        <w:jc w:val="both"/>
      </w:pPr>
      <w:r>
        <w:rPr>
          <w:rFonts w:ascii="Times New Roman"/>
          <w:color w:val="000000"/>
          <w:sz w:val="24"/>
          <w:szCs w:val="24"/>
        </w:rPr>
        <w:t xml:space="preserve">Session management uses JWT (JSON Web Token) tokens with short expiration times (15 minutes for admin roles, 60 minutes for customers). Refresh tokens are stored in HTTP-only cookies to prevent XSS attacks. The token payload includes the user ID, role, and facility ID (where applicable), allowing the API layer to enforce role-based data scoping without additional database queries on every request.</w:t>
      </w:r>
    </w:p>
    <w:p>
      <w:pPr>
        <w:pStyle w:val="Heading1"/>
        <w:spacing w:after="160" w:before="360" w:line="312"/>
      </w:pPr>
      <w:bookmarkStart w:id="100008" w:name="_Toc100008"/>
      <w:r>
        <w:rPr>
          <w:rFonts w:ascii="Times New Roman"/>
          <w:b/>
          <w:bCs/>
          <w:color w:val="0A1628"/>
          <w:sz w:val="32"/>
          <w:szCs w:val="32"/>
        </w:rPr>
        <w:t xml:space="preserve">4. Platform Admin Side</w:t>
      </w:r>
      <w:bookmarkEnd w:id="100008"/>
    </w:p>
    <w:p>
      <w:pPr>
        <w:spacing w:after="120" w:line="312"/>
        <w:jc w:val="both"/>
      </w:pPr>
      <w:r>
        <w:rPr>
          <w:rFonts w:ascii="Times New Roman"/>
          <w:color w:val="000000"/>
          <w:sz w:val="24"/>
          <w:szCs w:val="24"/>
        </w:rPr>
        <w:t xml:space="preserve">The Platform Admin side serves as the central control panel for the TurfBook platform operator. This interface provides comprehensive oversight of all facilities, bookings, payments, and system configuration. The Platform Admin is responsible for onboarding new facilities, monitoring platform health, managing disputes, and configuring global system settings that affect all tenants.</w:t>
      </w:r>
    </w:p>
    <w:p>
      <w:pPr>
        <w:pStyle w:val="Heading2"/>
        <w:spacing w:after="120" w:before="280" w:line="312"/>
      </w:pPr>
      <w:bookmarkStart w:id="100009" w:name="_Toc100009"/>
      <w:r>
        <w:rPr>
          <w:rFonts w:ascii="Times New Roman"/>
          <w:b/>
          <w:bCs/>
          <w:color w:val="0A1628"/>
          <w:sz w:val="28"/>
          <w:szCs w:val="28"/>
        </w:rPr>
        <w:t xml:space="preserve">4.1 Dashboard</w:t>
      </w:r>
      <w:bookmarkEnd w:id="100009"/>
    </w:p>
    <w:p>
      <w:pPr>
        <w:spacing w:after="120" w:line="312"/>
        <w:jc w:val="both"/>
      </w:pPr>
      <w:r>
        <w:rPr>
          <w:rFonts w:ascii="Times New Roman"/>
          <w:color w:val="000000"/>
          <w:sz w:val="24"/>
          <w:szCs w:val="24"/>
        </w:rPr>
        <w:t xml:space="preserve">The Platform Admin dashboard provides a real-time overview of the entire platform, displaying key performance indicators that reflect the health and growth of the TurfBook ecosystem. The dashboard shows total registered facilities, active bookings across all facilities, cumulative platform fee revenue, new facility applications pending review, and customer registration trends. These metrics are computed through aggregated database queries and cached with a short TTL (60 seconds) to ensure responsive page loads without overloading the database during peak traffic periods.</w:t>
      </w:r>
    </w:p>
    <w:p>
      <w:pPr>
        <w:pStyle w:val="Heading2"/>
        <w:spacing w:after="120" w:before="280" w:line="312"/>
      </w:pPr>
      <w:bookmarkStart w:id="100010" w:name="_Toc100010"/>
      <w:r>
        <w:rPr>
          <w:rFonts w:ascii="Times New Roman"/>
          <w:b/>
          <w:bCs/>
          <w:color w:val="0A1628"/>
          <w:sz w:val="28"/>
          <w:szCs w:val="28"/>
        </w:rPr>
        <w:t xml:space="preserve">4.2 Facility Applications and Onboarding</w:t>
      </w:r>
      <w:bookmarkEnd w:id="100010"/>
    </w:p>
    <w:p>
      <w:pPr>
        <w:spacing w:after="120" w:line="312"/>
        <w:jc w:val="both"/>
      </w:pPr>
      <w:r>
        <w:rPr>
          <w:rFonts w:ascii="Times New Roman"/>
          <w:color w:val="000000"/>
          <w:sz w:val="24"/>
          <w:szCs w:val="24"/>
        </w:rPr>
        <w:t xml:space="preserve">When a facility owner submits an onboarding application, the Platform Admin reviews the submitted information including business name, address, contact details, proposed resource types, and ownership documentation. The review process involves verifying the submitted information, checking for duplicate or fraudulent applications, and either approving or rejecting the application. Upon approval, the system automatically generates login credentials for the facility admin account and sends them to the owner via SMS and email. This automated credential distribution ensures a smooth onboarding experience while maintaining security through temporary passwords that must be changed on first login.</w:t>
      </w:r>
    </w:p>
    <w:p>
      <w:pPr>
        <w:pStyle w:val="Heading2"/>
        <w:spacing w:after="120" w:before="280" w:line="312"/>
      </w:pPr>
      <w:bookmarkStart w:id="100011" w:name="_Toc100011"/>
      <w:r>
        <w:rPr>
          <w:rFonts w:ascii="Times New Roman"/>
          <w:b/>
          <w:bCs/>
          <w:color w:val="0A1628"/>
          <w:sz w:val="28"/>
          <w:szCs w:val="28"/>
        </w:rPr>
        <w:t xml:space="preserve">4.3 Module Specifications</w:t>
      </w:r>
      <w:bookmarkEnd w:id="100011"/>
    </w:p>
    <w:p>
      <w:pPr>
        <w:keepNext/>
        <w:spacing w:after="80" w:before="200"/>
      </w:pPr>
      <w:r>
        <w:rPr>
          <w:rFonts w:ascii="Times New Roman"/>
          <w:b/>
          <w:bCs/>
          <w:color w:val="6878A0"/>
          <w:sz w:val="21"/>
          <w:szCs w:val="21"/>
        </w:rPr>
        <w:t xml:space="preserve">Table 2: Platform Admin Modules</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22%"/>
            <w:shd w:fill="F4F8FC" w:val="clear"/>
            <w:tcMar>
              <w:top w:type="dxa" w:w="60"/>
              <w:left w:type="dxa" w:w="120"/>
              <w:bottom w:type="dxa" w:w="60"/>
              <w:right w:type="dxa" w:w="120"/>
            </w:tcMar>
          </w:tcPr>
          <w:p>
            <w:r>
              <w:rPr>
                <w:rFonts w:ascii="Times New Roman"/>
                <w:b/>
                <w:bCs/>
                <w:color w:val="0A1628"/>
                <w:sz w:val="21"/>
                <w:szCs w:val="21"/>
              </w:rPr>
              <w:t xml:space="preserve">Module</w:t>
            </w:r>
          </w:p>
        </w:tc>
        <w:tc>
          <w:tcPr>
            <w:tcW w:type="pct" w:w="38%"/>
            <w:shd w:fill="F4F8FC" w:val="clear"/>
            <w:tcMar>
              <w:top w:type="dxa" w:w="60"/>
              <w:left w:type="dxa" w:w="120"/>
              <w:bottom w:type="dxa" w:w="60"/>
              <w:right w:type="dxa" w:w="120"/>
            </w:tcMar>
          </w:tcPr>
          <w:p>
            <w:r>
              <w:rPr>
                <w:rFonts w:ascii="Times New Roman"/>
                <w:b/>
                <w:bCs/>
                <w:color w:val="0A1628"/>
                <w:sz w:val="21"/>
                <w:szCs w:val="21"/>
              </w:rPr>
              <w:t xml:space="preserve">Description</w:t>
            </w:r>
          </w:p>
        </w:tc>
        <w:tc>
          <w:tcPr>
            <w:tcW w:type="pct" w:w="40%"/>
            <w:shd w:fill="F4F8FC" w:val="clear"/>
            <w:tcMar>
              <w:top w:type="dxa" w:w="60"/>
              <w:left w:type="dxa" w:w="120"/>
              <w:bottom w:type="dxa" w:w="60"/>
              <w:right w:type="dxa" w:w="120"/>
            </w:tcMar>
          </w:tcPr>
          <w:p>
            <w:r>
              <w:rPr>
                <w:rFonts w:ascii="Times New Roman"/>
                <w:b/>
                <w:bCs/>
                <w:color w:val="0A1628"/>
                <w:sz w:val="21"/>
                <w:szCs w:val="21"/>
              </w:rPr>
              <w:t xml:space="preserve">Key Operations</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Facility Management</w:t>
            </w:r>
          </w:p>
        </w:tc>
        <w:tc>
          <w:tcPr>
            <w:tcW w:type="pct" w:w="38%"/>
            <w:tcMar>
              <w:top w:type="dxa" w:w="60"/>
              <w:left w:type="dxa" w:w="120"/>
              <w:bottom w:type="dxa" w:w="60"/>
              <w:right w:type="dxa" w:w="120"/>
            </w:tcMar>
          </w:tcPr>
          <w:p>
            <w:r>
              <w:rPr>
                <w:rFonts w:ascii="Times New Roman"/>
                <w:color w:val="000000"/>
                <w:sz w:val="21"/>
                <w:szCs w:val="21"/>
              </w:rPr>
              <w:t xml:space="preserve">View and manage all registered facilities</w:t>
            </w:r>
          </w:p>
        </w:tc>
        <w:tc>
          <w:tcPr>
            <w:tcW w:type="pct" w:w="40%"/>
            <w:tcMar>
              <w:top w:type="dxa" w:w="60"/>
              <w:left w:type="dxa" w:w="120"/>
              <w:bottom w:type="dxa" w:w="60"/>
              <w:right w:type="dxa" w:w="120"/>
            </w:tcMar>
          </w:tcPr>
          <w:p>
            <w:r>
              <w:rPr>
                <w:rFonts w:ascii="Times New Roman"/>
                <w:color w:val="000000"/>
                <w:sz w:val="21"/>
                <w:szCs w:val="21"/>
              </w:rPr>
              <w:t xml:space="preserve">List, search, suspend, activate, edit facility details</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Owner/Admin Accounts</w:t>
            </w:r>
          </w:p>
        </w:tc>
        <w:tc>
          <w:tcPr>
            <w:tcW w:type="pct" w:w="38%"/>
            <w:tcMar>
              <w:top w:type="dxa" w:w="60"/>
              <w:left w:type="dxa" w:w="120"/>
              <w:bottom w:type="dxa" w:w="60"/>
              <w:right w:type="dxa" w:w="120"/>
            </w:tcMar>
          </w:tcPr>
          <w:p>
            <w:r>
              <w:rPr>
                <w:rFonts w:ascii="Times New Roman"/>
                <w:color w:val="000000"/>
                <w:sz w:val="21"/>
                <w:szCs w:val="21"/>
              </w:rPr>
              <w:t xml:space="preserve">Manage facility admin and staff accounts</w:t>
            </w:r>
          </w:p>
        </w:tc>
        <w:tc>
          <w:tcPr>
            <w:tcW w:type="pct" w:w="40%"/>
            <w:tcMar>
              <w:top w:type="dxa" w:w="60"/>
              <w:left w:type="dxa" w:w="120"/>
              <w:bottom w:type="dxa" w:w="60"/>
              <w:right w:type="dxa" w:w="120"/>
            </w:tcMar>
          </w:tcPr>
          <w:p>
            <w:r>
              <w:rPr>
                <w:rFonts w:ascii="Times New Roman"/>
                <w:color w:val="000000"/>
                <w:sz w:val="21"/>
                <w:szCs w:val="21"/>
              </w:rPr>
              <w:t xml:space="preserve">Create, disable, reset password, change role</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Booking Monitoring</w:t>
            </w:r>
          </w:p>
        </w:tc>
        <w:tc>
          <w:tcPr>
            <w:tcW w:type="pct" w:w="38%"/>
            <w:tcMar>
              <w:top w:type="dxa" w:w="60"/>
              <w:left w:type="dxa" w:w="120"/>
              <w:bottom w:type="dxa" w:w="60"/>
              <w:right w:type="dxa" w:w="120"/>
            </w:tcMar>
          </w:tcPr>
          <w:p>
            <w:r>
              <w:rPr>
                <w:rFonts w:ascii="Times New Roman"/>
                <w:color w:val="000000"/>
                <w:sz w:val="21"/>
                <w:szCs w:val="21"/>
              </w:rPr>
              <w:t xml:space="preserve">Cross-facility booking visibility</w:t>
            </w:r>
          </w:p>
        </w:tc>
        <w:tc>
          <w:tcPr>
            <w:tcW w:type="pct" w:w="40%"/>
            <w:tcMar>
              <w:top w:type="dxa" w:w="60"/>
              <w:left w:type="dxa" w:w="120"/>
              <w:bottom w:type="dxa" w:w="60"/>
              <w:right w:type="dxa" w:w="120"/>
            </w:tcMar>
          </w:tcPr>
          <w:p>
            <w:r>
              <w:rPr>
                <w:rFonts w:ascii="Times New Roman"/>
                <w:color w:val="000000"/>
                <w:sz w:val="21"/>
                <w:szCs w:val="21"/>
              </w:rPr>
              <w:t xml:space="preserve">View all bookings, filter by status/date/facility</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Platform Fee</w:t>
            </w:r>
          </w:p>
        </w:tc>
        <w:tc>
          <w:tcPr>
            <w:tcW w:type="pct" w:w="38%"/>
            <w:tcMar>
              <w:top w:type="dxa" w:w="60"/>
              <w:left w:type="dxa" w:w="120"/>
              <w:bottom w:type="dxa" w:w="60"/>
              <w:right w:type="dxa" w:w="120"/>
            </w:tcMar>
          </w:tcPr>
          <w:p>
            <w:r>
              <w:rPr>
                <w:rFonts w:ascii="Times New Roman"/>
                <w:color w:val="000000"/>
                <w:sz w:val="21"/>
                <w:szCs w:val="21"/>
              </w:rPr>
              <w:t xml:space="preserve">Per-booking fee tracking (15 BDT/booking)</w:t>
            </w:r>
          </w:p>
        </w:tc>
        <w:tc>
          <w:tcPr>
            <w:tcW w:type="pct" w:w="40%"/>
            <w:tcMar>
              <w:top w:type="dxa" w:w="60"/>
              <w:left w:type="dxa" w:w="120"/>
              <w:bottom w:type="dxa" w:w="60"/>
              <w:right w:type="dxa" w:w="120"/>
            </w:tcMar>
          </w:tcPr>
          <w:p>
            <w:r>
              <w:rPr>
                <w:rFonts w:ascii="Times New Roman"/>
                <w:color w:val="000000"/>
                <w:sz w:val="21"/>
                <w:szCs w:val="21"/>
              </w:rPr>
              <w:t xml:space="preserve">View collected fees, export fee reports</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Payment Monitoring</w:t>
            </w:r>
          </w:p>
        </w:tc>
        <w:tc>
          <w:tcPr>
            <w:tcW w:type="pct" w:w="38%"/>
            <w:tcMar>
              <w:top w:type="dxa" w:w="60"/>
              <w:left w:type="dxa" w:w="120"/>
              <w:bottom w:type="dxa" w:w="60"/>
              <w:right w:type="dxa" w:w="120"/>
            </w:tcMar>
          </w:tcPr>
          <w:p>
            <w:r>
              <w:rPr>
                <w:rFonts w:ascii="Times New Roman"/>
                <w:color w:val="000000"/>
                <w:sz w:val="21"/>
                <w:szCs w:val="21"/>
              </w:rPr>
              <w:t xml:space="preserve">Wallet/payment submission oversight</w:t>
            </w:r>
          </w:p>
        </w:tc>
        <w:tc>
          <w:tcPr>
            <w:tcW w:type="pct" w:w="40%"/>
            <w:tcMar>
              <w:top w:type="dxa" w:w="60"/>
              <w:left w:type="dxa" w:w="120"/>
              <w:bottom w:type="dxa" w:w="60"/>
              <w:right w:type="dxa" w:w="120"/>
            </w:tcMar>
          </w:tcPr>
          <w:p>
            <w:r>
              <w:rPr>
                <w:rFonts w:ascii="Times New Roman"/>
                <w:color w:val="000000"/>
                <w:sz w:val="21"/>
                <w:szCs w:val="21"/>
              </w:rPr>
              <w:t xml:space="preserve">Flag suspicious transactions, view payment proofs</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Customer Management</w:t>
            </w:r>
          </w:p>
        </w:tc>
        <w:tc>
          <w:tcPr>
            <w:tcW w:type="pct" w:w="38%"/>
            <w:tcMar>
              <w:top w:type="dxa" w:w="60"/>
              <w:left w:type="dxa" w:w="120"/>
              <w:bottom w:type="dxa" w:w="60"/>
              <w:right w:type="dxa" w:w="120"/>
            </w:tcMar>
          </w:tcPr>
          <w:p>
            <w:r>
              <w:rPr>
                <w:rFonts w:ascii="Times New Roman"/>
                <w:color w:val="000000"/>
                <w:sz w:val="21"/>
                <w:szCs w:val="21"/>
              </w:rPr>
              <w:t xml:space="preserve">Platform-wide customer database</w:t>
            </w:r>
          </w:p>
        </w:tc>
        <w:tc>
          <w:tcPr>
            <w:tcW w:type="pct" w:w="40%"/>
            <w:tcMar>
              <w:top w:type="dxa" w:w="60"/>
              <w:left w:type="dxa" w:w="120"/>
              <w:bottom w:type="dxa" w:w="60"/>
              <w:right w:type="dxa" w:w="120"/>
            </w:tcMar>
          </w:tcPr>
          <w:p>
            <w:r>
              <w:rPr>
                <w:rFonts w:ascii="Times New Roman"/>
                <w:color w:val="000000"/>
                <w:sz w:val="21"/>
                <w:szCs w:val="21"/>
              </w:rPr>
              <w:t xml:space="preserve">Search customers, view booking history, blacklist</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Tournament Monitoring</w:t>
            </w:r>
          </w:p>
        </w:tc>
        <w:tc>
          <w:tcPr>
            <w:tcW w:type="pct" w:w="38%"/>
            <w:tcMar>
              <w:top w:type="dxa" w:w="60"/>
              <w:left w:type="dxa" w:w="120"/>
              <w:bottom w:type="dxa" w:w="60"/>
              <w:right w:type="dxa" w:w="120"/>
            </w:tcMar>
          </w:tcPr>
          <w:p>
            <w:r>
              <w:rPr>
                <w:rFonts w:ascii="Times New Roman"/>
                <w:color w:val="000000"/>
                <w:sz w:val="21"/>
                <w:szCs w:val="21"/>
              </w:rPr>
              <w:t xml:space="preserve">Track tournaments across facilities</w:t>
            </w:r>
          </w:p>
        </w:tc>
        <w:tc>
          <w:tcPr>
            <w:tcW w:type="pct" w:w="40%"/>
            <w:tcMar>
              <w:top w:type="dxa" w:w="60"/>
              <w:left w:type="dxa" w:w="120"/>
              <w:bottom w:type="dxa" w:w="60"/>
              <w:right w:type="dxa" w:w="120"/>
            </w:tcMar>
          </w:tcPr>
          <w:p>
            <w:r>
              <w:rPr>
                <w:rFonts w:ascii="Times New Roman"/>
                <w:color w:val="000000"/>
                <w:sz w:val="21"/>
                <w:szCs w:val="21"/>
              </w:rPr>
              <w:t xml:space="preserve">View registrations, match schedules, results</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Packages</w:t>
            </w:r>
          </w:p>
        </w:tc>
        <w:tc>
          <w:tcPr>
            <w:tcW w:type="pct" w:w="38%"/>
            <w:tcMar>
              <w:top w:type="dxa" w:w="60"/>
              <w:left w:type="dxa" w:w="120"/>
              <w:bottom w:type="dxa" w:w="60"/>
              <w:right w:type="dxa" w:w="120"/>
            </w:tcMar>
          </w:tcPr>
          <w:p>
            <w:r>
              <w:rPr>
                <w:rFonts w:ascii="Times New Roman"/>
                <w:color w:val="000000"/>
                <w:sz w:val="21"/>
                <w:szCs w:val="21"/>
              </w:rPr>
              <w:t xml:space="preserve">Global package configuration</w:t>
            </w:r>
          </w:p>
        </w:tc>
        <w:tc>
          <w:tcPr>
            <w:tcW w:type="pct" w:w="40%"/>
            <w:tcMar>
              <w:top w:type="dxa" w:w="60"/>
              <w:left w:type="dxa" w:w="120"/>
              <w:bottom w:type="dxa" w:w="60"/>
              <w:right w:type="dxa" w:w="120"/>
            </w:tcMar>
          </w:tcPr>
          <w:p>
            <w:r>
              <w:rPr>
                <w:rFonts w:ascii="Times New Roman"/>
                <w:color w:val="000000"/>
                <w:sz w:val="21"/>
                <w:szCs w:val="21"/>
              </w:rPr>
              <w:t xml:space="preserve">Define package templates, set pricing guidelines</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Blacklist</w:t>
            </w:r>
          </w:p>
        </w:tc>
        <w:tc>
          <w:tcPr>
            <w:tcW w:type="pct" w:w="38%"/>
            <w:tcMar>
              <w:top w:type="dxa" w:w="60"/>
              <w:left w:type="dxa" w:w="120"/>
              <w:bottom w:type="dxa" w:w="60"/>
              <w:right w:type="dxa" w:w="120"/>
            </w:tcMar>
          </w:tcPr>
          <w:p>
            <w:r>
              <w:rPr>
                <w:rFonts w:ascii="Times New Roman"/>
                <w:color w:val="000000"/>
                <w:sz w:val="21"/>
                <w:szCs w:val="21"/>
              </w:rPr>
              <w:t xml:space="preserve">Problematic customer/team management</w:t>
            </w:r>
          </w:p>
        </w:tc>
        <w:tc>
          <w:tcPr>
            <w:tcW w:type="pct" w:w="40%"/>
            <w:tcMar>
              <w:top w:type="dxa" w:w="60"/>
              <w:left w:type="dxa" w:w="120"/>
              <w:bottom w:type="dxa" w:w="60"/>
              <w:right w:type="dxa" w:w="120"/>
            </w:tcMar>
          </w:tcPr>
          <w:p>
            <w:r>
              <w:rPr>
                <w:rFonts w:ascii="Times New Roman"/>
                <w:color w:val="000000"/>
                <w:sz w:val="21"/>
                <w:szCs w:val="21"/>
              </w:rPr>
              <w:t xml:space="preserve">Add/remove blacklist entries, view reasons</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Reports</w:t>
            </w:r>
          </w:p>
        </w:tc>
        <w:tc>
          <w:tcPr>
            <w:tcW w:type="pct" w:w="38%"/>
            <w:tcMar>
              <w:top w:type="dxa" w:w="60"/>
              <w:left w:type="dxa" w:w="120"/>
              <w:bottom w:type="dxa" w:w="60"/>
              <w:right w:type="dxa" w:w="120"/>
            </w:tcMar>
          </w:tcPr>
          <w:p>
            <w:r>
              <w:rPr>
                <w:rFonts w:ascii="Times New Roman"/>
                <w:color w:val="000000"/>
                <w:sz w:val="21"/>
                <w:szCs w:val="21"/>
              </w:rPr>
              <w:t xml:space="preserve">Comprehensive platform analytics</w:t>
            </w:r>
          </w:p>
        </w:tc>
        <w:tc>
          <w:tcPr>
            <w:tcW w:type="pct" w:w="40%"/>
            <w:tcMar>
              <w:top w:type="dxa" w:w="60"/>
              <w:left w:type="dxa" w:w="120"/>
              <w:bottom w:type="dxa" w:w="60"/>
              <w:right w:type="dxa" w:w="120"/>
            </w:tcMar>
          </w:tcPr>
          <w:p>
            <w:r>
              <w:rPr>
                <w:rFonts w:ascii="Times New Roman"/>
                <w:color w:val="000000"/>
                <w:sz w:val="21"/>
                <w:szCs w:val="21"/>
              </w:rPr>
              <w:t xml:space="preserve">Booking, revenue, growth, facility performance</w:t>
            </w:r>
          </w:p>
        </w:tc>
      </w:tr>
      <w:tr>
        <w:trPr>
          <w:cantSplit/>
        </w:trPr>
        <w:tc>
          <w:tcPr>
            <w:tcW w:type="pct" w:w="22%"/>
            <w:tcMar>
              <w:top w:type="dxa" w:w="60"/>
              <w:left w:type="dxa" w:w="120"/>
              <w:bottom w:type="dxa" w:w="60"/>
              <w:right w:type="dxa" w:w="120"/>
            </w:tcMar>
          </w:tcPr>
          <w:p>
            <w:r>
              <w:rPr>
                <w:rFonts w:ascii="Times New Roman"/>
                <w:color w:val="000000"/>
                <w:sz w:val="21"/>
                <w:szCs w:val="21"/>
              </w:rPr>
              <w:t xml:space="preserve">System Settings</w:t>
            </w:r>
          </w:p>
        </w:tc>
        <w:tc>
          <w:tcPr>
            <w:tcW w:type="pct" w:w="38%"/>
            <w:tcMar>
              <w:top w:type="dxa" w:w="60"/>
              <w:left w:type="dxa" w:w="120"/>
              <w:bottom w:type="dxa" w:w="60"/>
              <w:right w:type="dxa" w:w="120"/>
            </w:tcMar>
          </w:tcPr>
          <w:p>
            <w:r>
              <w:rPr>
                <w:rFonts w:ascii="Times New Roman"/>
                <w:color w:val="000000"/>
                <w:sz w:val="21"/>
                <w:szCs w:val="21"/>
              </w:rPr>
              <w:t xml:space="preserve">Global configuration</w:t>
            </w:r>
          </w:p>
        </w:tc>
        <w:tc>
          <w:tcPr>
            <w:tcW w:type="pct" w:w="40%"/>
            <w:tcMar>
              <w:top w:type="dxa" w:w="60"/>
              <w:left w:type="dxa" w:w="120"/>
              <w:bottom w:type="dxa" w:w="60"/>
              <w:right w:type="dxa" w:w="120"/>
            </w:tcMar>
          </w:tcPr>
          <w:p>
            <w:r>
              <w:rPr>
                <w:rFonts w:ascii="Times New Roman"/>
                <w:color w:val="000000"/>
                <w:sz w:val="21"/>
                <w:szCs w:val="21"/>
              </w:rPr>
              <w:t xml:space="preserve">Platform fee amount, SMS provider, email settings</w:t>
            </w:r>
          </w:p>
        </w:tc>
      </w:tr>
    </w:tbl>
    <w:p>
      <w:pPr>
        <w:pStyle w:val="Heading1"/>
        <w:spacing w:after="160" w:before="360" w:line="312"/>
      </w:pPr>
      <w:bookmarkStart w:id="100012" w:name="_Toc100012"/>
      <w:r>
        <w:rPr>
          <w:rFonts w:ascii="Times New Roman"/>
          <w:b/>
          <w:bCs/>
          <w:color w:val="0A1628"/>
          <w:sz w:val="32"/>
          <w:szCs w:val="32"/>
        </w:rPr>
        <w:t xml:space="preserve">5. Facility Owner/Admin Side</w:t>
      </w:r>
      <w:bookmarkEnd w:id="100012"/>
    </w:p>
    <w:p>
      <w:pPr>
        <w:spacing w:after="120" w:line="312"/>
        <w:jc w:val="both"/>
      </w:pPr>
      <w:r>
        <w:rPr>
          <w:rFonts w:ascii="Times New Roman"/>
          <w:color w:val="000000"/>
          <w:sz w:val="24"/>
          <w:szCs w:val="24"/>
        </w:rPr>
        <w:t xml:space="preserve">The Facility Owner/Admin side is the primary operational interface for turf and sports facility managers. After the Platform Admin approves a facility application, the owner gains access to this comprehensive management dashboard. The Owner side encompasses all aspects of facility operations, from configuring resources and setting prices to managing bookings, tracking revenue, and generating financial reports. This is the most feature-rich side of the platform, reflecting the diverse operational needs of facility managers.</w:t>
      </w:r>
    </w:p>
    <w:p>
      <w:pPr>
        <w:pStyle w:val="Heading2"/>
        <w:spacing w:after="120" w:before="280" w:line="312"/>
      </w:pPr>
      <w:bookmarkStart w:id="100013" w:name="_Toc100013"/>
      <w:r>
        <w:rPr>
          <w:rFonts w:ascii="Times New Roman"/>
          <w:b/>
          <w:bCs/>
          <w:color w:val="0A1628"/>
          <w:sz w:val="28"/>
          <w:szCs w:val="28"/>
        </w:rPr>
        <w:t xml:space="preserve">5.1 Owner Dashboard</w:t>
      </w:r>
      <w:bookmarkEnd w:id="100013"/>
    </w:p>
    <w:p>
      <w:pPr>
        <w:spacing w:after="120" w:line="312"/>
        <w:jc w:val="both"/>
      </w:pPr>
      <w:r>
        <w:rPr>
          <w:rFonts w:ascii="Times New Roman"/>
          <w:color w:val="000000"/>
          <w:sz w:val="24"/>
          <w:szCs w:val="24"/>
        </w:rPr>
        <w:t xml:space="preserve">The Owner Dashboard presents a real-time operational summary that facility managers need at the start of each working day. The dashboard displays four primary metric cards: Today's Bookings (count and total value), This Month's Revenue (cumulative), Today's Expenses (if any expense entries exist), and Available Slots (remaining bookable slots for the current day). Below these metric cards, the dashboard shows a chronological list of upcoming bookings for the current day, followed by the daily schedule organized by resource, and a recent payments feed showing the latest payment verifications.</w:t>
      </w:r>
    </w:p>
    <w:p>
      <w:pPr>
        <w:pStyle w:val="Heading2"/>
        <w:spacing w:after="120" w:before="280" w:line="312"/>
      </w:pPr>
      <w:bookmarkStart w:id="100014" w:name="_Toc100014"/>
      <w:r>
        <w:rPr>
          <w:rFonts w:ascii="Times New Roman"/>
          <w:b/>
          <w:bCs/>
          <w:color w:val="0A1628"/>
          <w:sz w:val="28"/>
          <w:szCs w:val="28"/>
        </w:rPr>
        <w:t xml:space="preserve">5.2 Facility Profile Management</w:t>
      </w:r>
      <w:bookmarkEnd w:id="100014"/>
    </w:p>
    <w:p>
      <w:pPr>
        <w:spacing w:after="120" w:line="312"/>
        <w:jc w:val="both"/>
      </w:pPr>
      <w:r>
        <w:rPr>
          <w:rFonts w:ascii="Times New Roman"/>
          <w:color w:val="000000"/>
          <w:sz w:val="24"/>
          <w:szCs w:val="24"/>
        </w:rPr>
        <w:t xml:space="preserve">The Facility Profile module allows owners to maintain comprehensive information about their facility. This includes basic information such as the facility name, logo, phone number, email address, and physical address with Google Maps integration for location display on the public booking page. The profile also supports social media links (primarily Facebook page URL), digital payment account details (bKash and Nagad numbers for payment submission), operating hours (opening and closing times for each day of the week), a textual description of the facility, and a photo gallery that is displayed to customers on the public booking page.</w:t>
      </w:r>
    </w:p>
    <w:p>
      <w:pPr>
        <w:pStyle w:val="Heading2"/>
        <w:spacing w:after="120" w:before="280" w:line="312"/>
      </w:pPr>
      <w:bookmarkStart w:id="100015" w:name="_Toc100015"/>
      <w:r>
        <w:rPr>
          <w:rFonts w:ascii="Times New Roman"/>
          <w:b/>
          <w:bCs/>
          <w:color w:val="0A1628"/>
          <w:sz w:val="28"/>
          <w:szCs w:val="28"/>
        </w:rPr>
        <w:t xml:space="preserve">5.3 Resource Management</w:t>
      </w:r>
      <w:bookmarkEnd w:id="100015"/>
    </w:p>
    <w:p>
      <w:pPr>
        <w:spacing w:after="120" w:line="312"/>
        <w:jc w:val="both"/>
      </w:pPr>
      <w:r>
        <w:rPr>
          <w:rFonts w:ascii="Times New Roman"/>
          <w:color w:val="000000"/>
          <w:sz w:val="24"/>
          <w:szCs w:val="24"/>
        </w:rPr>
        <w:t xml:space="preserve">The Resource Management module is one of the most critical components of the Owner side, as it defines the bookable assets within a facility. A single facility can manage multiple resources of different types. The system supports a flexible resource type taxonomy that includes but is not limited to Football Turf, Badminton Court, Swimming Pool, Snooker Table, Cricket Net, Basketball Court, and Tennis Court. Each resource has a defined name, type classification, player capacity, base price per slot, current availability status (active/inactive/maintenance), and associated schedule template.</w:t>
      </w:r>
    </w:p>
    <w:p>
      <w:pPr>
        <w:spacing w:after="120" w:line="312"/>
        <w:jc w:val="both"/>
      </w:pPr>
      <w:r>
        <w:rPr>
          <w:rFonts w:ascii="Times New Roman"/>
          <w:color w:val="000000"/>
          <w:sz w:val="24"/>
          <w:szCs w:val="24"/>
        </w:rPr>
        <w:t xml:space="preserve">This multi-resource design is essential because many modern sports facilities offer more than just football turf. A single facility might have two football turfs, a badminton court, and a swimming pool, each with independent pricing, scheduling, and availability. The resource management module allows owners to add, edit, deactivate, and reorganize resources without affecting existing bookings, ensuring operational flexibility as the business evolves.</w:t>
      </w:r>
    </w:p>
    <w:p>
      <w:pPr>
        <w:keepNext/>
        <w:spacing w:after="80" w:before="200"/>
      </w:pPr>
      <w:r>
        <w:rPr>
          <w:rFonts w:ascii="Times New Roman"/>
          <w:b/>
          <w:bCs/>
          <w:color w:val="6878A0"/>
          <w:sz w:val="21"/>
          <w:szCs w:val="21"/>
        </w:rPr>
        <w:t xml:space="preserve">Table 3: Resource Entity Fields</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25%"/>
            <w:shd w:fill="F4F8FC" w:val="clear"/>
            <w:tcMar>
              <w:top w:type="dxa" w:w="60"/>
              <w:left w:type="dxa" w:w="120"/>
              <w:bottom w:type="dxa" w:w="60"/>
              <w:right w:type="dxa" w:w="120"/>
            </w:tcMar>
          </w:tcPr>
          <w:p>
            <w:r>
              <w:rPr>
                <w:rFonts w:ascii="Times New Roman"/>
                <w:b/>
                <w:bCs/>
                <w:color w:val="0A1628"/>
                <w:sz w:val="21"/>
                <w:szCs w:val="21"/>
              </w:rPr>
              <w:t xml:space="preserve">Field</w:t>
            </w:r>
          </w:p>
        </w:tc>
        <w:tc>
          <w:tcPr>
            <w:tcW w:type="pct" w:w="15%"/>
            <w:shd w:fill="F4F8FC" w:val="clear"/>
            <w:tcMar>
              <w:top w:type="dxa" w:w="60"/>
              <w:left w:type="dxa" w:w="120"/>
              <w:bottom w:type="dxa" w:w="60"/>
              <w:right w:type="dxa" w:w="120"/>
            </w:tcMar>
          </w:tcPr>
          <w:p>
            <w:r>
              <w:rPr>
                <w:rFonts w:ascii="Times New Roman"/>
                <w:b/>
                <w:bCs/>
                <w:color w:val="0A1628"/>
                <w:sz w:val="21"/>
                <w:szCs w:val="21"/>
              </w:rPr>
              <w:t xml:space="preserve">Type</w:t>
            </w:r>
          </w:p>
        </w:tc>
        <w:tc>
          <w:tcPr>
            <w:tcW w:type="pct" w:w="60%"/>
            <w:shd w:fill="F4F8FC" w:val="clear"/>
            <w:tcMar>
              <w:top w:type="dxa" w:w="60"/>
              <w:left w:type="dxa" w:w="120"/>
              <w:bottom w:type="dxa" w:w="60"/>
              <w:right w:type="dxa" w:w="120"/>
            </w:tcMar>
          </w:tcPr>
          <w:p>
            <w:r>
              <w:rPr>
                <w:rFonts w:ascii="Times New Roman"/>
                <w:b/>
                <w:bCs/>
                <w:color w:val="0A1628"/>
                <w:sz w:val="21"/>
                <w:szCs w:val="21"/>
              </w:rPr>
              <w:t xml:space="preserve">Description</w:t>
            </w:r>
          </w:p>
        </w:tc>
      </w:tr>
      <w:tr>
        <w:trPr>
          <w:cantSplit/>
        </w:trPr>
        <w:tc>
          <w:tcPr>
            <w:tcW w:type="pct" w:w="25%"/>
            <w:tcMar>
              <w:top w:type="dxa" w:w="60"/>
              <w:left w:type="dxa" w:w="120"/>
              <w:bottom w:type="dxa" w:w="60"/>
              <w:right w:type="dxa" w:w="120"/>
            </w:tcMar>
          </w:tcPr>
          <w:p>
            <w:r>
              <w:rPr>
                <w:rFonts w:ascii="Times New Roman"/>
                <w:color w:val="000000"/>
                <w:sz w:val="21"/>
                <w:szCs w:val="21"/>
              </w:rPr>
              <w:t xml:space="preserve">name</w:t>
            </w:r>
          </w:p>
        </w:tc>
        <w:tc>
          <w:tcPr>
            <w:tcW w:type="pct" w:w="15%"/>
            <w:tcMar>
              <w:top w:type="dxa" w:w="60"/>
              <w:left w:type="dxa" w:w="120"/>
              <w:bottom w:type="dxa" w:w="60"/>
              <w:right w:type="dxa" w:w="120"/>
            </w:tcMar>
          </w:tcPr>
          <w:p>
            <w:r>
              <w:rPr>
                <w:rFonts w:ascii="Times New Roman"/>
                <w:color w:val="000000"/>
                <w:sz w:val="21"/>
                <w:szCs w:val="21"/>
              </w:rPr>
              <w:t xml:space="preserve">String</w:t>
            </w:r>
          </w:p>
        </w:tc>
        <w:tc>
          <w:tcPr>
            <w:tcW w:type="pct" w:w="60%"/>
            <w:tcMar>
              <w:top w:type="dxa" w:w="60"/>
              <w:left w:type="dxa" w:w="120"/>
              <w:bottom w:type="dxa" w:w="60"/>
              <w:right w:type="dxa" w:w="120"/>
            </w:tcMar>
          </w:tcPr>
          <w:p>
            <w:r>
              <w:rPr>
                <w:rFonts w:ascii="Times New Roman"/>
                <w:color w:val="000000"/>
                <w:sz w:val="21"/>
                <w:szCs w:val="21"/>
              </w:rPr>
              <w:t xml:space="preserve">Display name (e.g., Football Turf 01)</w:t>
            </w:r>
          </w:p>
        </w:tc>
      </w:tr>
      <w:tr>
        <w:trPr>
          <w:cantSplit/>
        </w:trPr>
        <w:tc>
          <w:tcPr>
            <w:tcW w:type="pct" w:w="25%"/>
            <w:tcMar>
              <w:top w:type="dxa" w:w="60"/>
              <w:left w:type="dxa" w:w="120"/>
              <w:bottom w:type="dxa" w:w="60"/>
              <w:right w:type="dxa" w:w="120"/>
            </w:tcMar>
          </w:tcPr>
          <w:p>
            <w:r>
              <w:rPr>
                <w:rFonts w:ascii="Times New Roman"/>
                <w:color w:val="000000"/>
                <w:sz w:val="21"/>
                <w:szCs w:val="21"/>
              </w:rPr>
              <w:t xml:space="preserve">type</w:t>
            </w:r>
          </w:p>
        </w:tc>
        <w:tc>
          <w:tcPr>
            <w:tcW w:type="pct" w:w="15%"/>
            <w:tcMar>
              <w:top w:type="dxa" w:w="60"/>
              <w:left w:type="dxa" w:w="120"/>
              <w:bottom w:type="dxa" w:w="60"/>
              <w:right w:type="dxa" w:w="120"/>
            </w:tcMar>
          </w:tcPr>
          <w:p>
            <w:r>
              <w:rPr>
                <w:rFonts w:ascii="Times New Roman"/>
                <w:color w:val="000000"/>
                <w:sz w:val="21"/>
                <w:szCs w:val="21"/>
              </w:rPr>
              <w:t xml:space="preserve">Enum</w:t>
            </w:r>
          </w:p>
        </w:tc>
        <w:tc>
          <w:tcPr>
            <w:tcW w:type="pct" w:w="60%"/>
            <w:tcMar>
              <w:top w:type="dxa" w:w="60"/>
              <w:left w:type="dxa" w:w="120"/>
              <w:bottom w:type="dxa" w:w="60"/>
              <w:right w:type="dxa" w:w="120"/>
            </w:tcMar>
          </w:tcPr>
          <w:p>
            <w:r>
              <w:rPr>
                <w:rFonts w:ascii="Times New Roman"/>
                <w:color w:val="000000"/>
                <w:sz w:val="21"/>
                <w:szCs w:val="21"/>
              </w:rPr>
              <w:t xml:space="preserve">ResourceType: FOOTBALL, BADMINTON, POOL, SNOOKER, CRICKET, etc.</w:t>
            </w:r>
          </w:p>
        </w:tc>
      </w:tr>
      <w:tr>
        <w:trPr>
          <w:cantSplit/>
        </w:trPr>
        <w:tc>
          <w:tcPr>
            <w:tcW w:type="pct" w:w="25%"/>
            <w:tcMar>
              <w:top w:type="dxa" w:w="60"/>
              <w:left w:type="dxa" w:w="120"/>
              <w:bottom w:type="dxa" w:w="60"/>
              <w:right w:type="dxa" w:w="120"/>
            </w:tcMar>
          </w:tcPr>
          <w:p>
            <w:r>
              <w:rPr>
                <w:rFonts w:ascii="Times New Roman"/>
                <w:color w:val="000000"/>
                <w:sz w:val="21"/>
                <w:szCs w:val="21"/>
              </w:rPr>
              <w:t xml:space="preserve">capacity</w:t>
            </w:r>
          </w:p>
        </w:tc>
        <w:tc>
          <w:tcPr>
            <w:tcW w:type="pct" w:w="15%"/>
            <w:tcMar>
              <w:top w:type="dxa" w:w="60"/>
              <w:left w:type="dxa" w:w="120"/>
              <w:bottom w:type="dxa" w:w="60"/>
              <w:right w:type="dxa" w:w="120"/>
            </w:tcMar>
          </w:tcPr>
          <w:p>
            <w:r>
              <w:rPr>
                <w:rFonts w:ascii="Times New Roman"/>
                <w:color w:val="000000"/>
                <w:sz w:val="21"/>
                <w:szCs w:val="21"/>
              </w:rPr>
              <w:t xml:space="preserve">Integer</w:t>
            </w:r>
          </w:p>
        </w:tc>
        <w:tc>
          <w:tcPr>
            <w:tcW w:type="pct" w:w="60%"/>
            <w:tcMar>
              <w:top w:type="dxa" w:w="60"/>
              <w:left w:type="dxa" w:w="120"/>
              <w:bottom w:type="dxa" w:w="60"/>
              <w:right w:type="dxa" w:w="120"/>
            </w:tcMar>
          </w:tcPr>
          <w:p>
            <w:r>
              <w:rPr>
                <w:rFonts w:ascii="Times New Roman"/>
                <w:color w:val="000000"/>
                <w:sz w:val="21"/>
                <w:szCs w:val="21"/>
              </w:rPr>
              <w:t xml:space="preserve">Maximum players/users per booking</w:t>
            </w:r>
          </w:p>
        </w:tc>
      </w:tr>
      <w:tr>
        <w:trPr>
          <w:cantSplit/>
        </w:trPr>
        <w:tc>
          <w:tcPr>
            <w:tcW w:type="pct" w:w="25%"/>
            <w:tcMar>
              <w:top w:type="dxa" w:w="60"/>
              <w:left w:type="dxa" w:w="120"/>
              <w:bottom w:type="dxa" w:w="60"/>
              <w:right w:type="dxa" w:w="120"/>
            </w:tcMar>
          </w:tcPr>
          <w:p>
            <w:r>
              <w:rPr>
                <w:rFonts w:ascii="Times New Roman"/>
                <w:color w:val="000000"/>
                <w:sz w:val="21"/>
                <w:szCs w:val="21"/>
              </w:rPr>
              <w:t xml:space="preserve">basePrice</w:t>
            </w:r>
          </w:p>
        </w:tc>
        <w:tc>
          <w:tcPr>
            <w:tcW w:type="pct" w:w="15%"/>
            <w:tcMar>
              <w:top w:type="dxa" w:w="60"/>
              <w:left w:type="dxa" w:w="120"/>
              <w:bottom w:type="dxa" w:w="60"/>
              <w:right w:type="dxa" w:w="120"/>
            </w:tcMar>
          </w:tcPr>
          <w:p>
            <w:r>
              <w:rPr>
                <w:rFonts w:ascii="Times New Roman"/>
                <w:color w:val="000000"/>
                <w:sz w:val="21"/>
                <w:szCs w:val="21"/>
              </w:rPr>
              <w:t xml:space="preserve">Decimal</w:t>
            </w:r>
          </w:p>
        </w:tc>
        <w:tc>
          <w:tcPr>
            <w:tcW w:type="pct" w:w="60%"/>
            <w:tcMar>
              <w:top w:type="dxa" w:w="60"/>
              <w:left w:type="dxa" w:w="120"/>
              <w:bottom w:type="dxa" w:w="60"/>
              <w:right w:type="dxa" w:w="120"/>
            </w:tcMar>
          </w:tcPr>
          <w:p>
            <w:r>
              <w:rPr>
                <w:rFonts w:ascii="Times New Roman"/>
                <w:color w:val="000000"/>
                <w:sz w:val="21"/>
                <w:szCs w:val="21"/>
              </w:rPr>
              <w:t xml:space="preserve">Default price per slot in BDT</w:t>
            </w:r>
          </w:p>
        </w:tc>
      </w:tr>
      <w:tr>
        <w:trPr>
          <w:cantSplit/>
        </w:trPr>
        <w:tc>
          <w:tcPr>
            <w:tcW w:type="pct" w:w="25%"/>
            <w:tcMar>
              <w:top w:type="dxa" w:w="60"/>
              <w:left w:type="dxa" w:w="120"/>
              <w:bottom w:type="dxa" w:w="60"/>
              <w:right w:type="dxa" w:w="120"/>
            </w:tcMar>
          </w:tcPr>
          <w:p>
            <w:r>
              <w:rPr>
                <w:rFonts w:ascii="Times New Roman"/>
                <w:color w:val="000000"/>
                <w:sz w:val="21"/>
                <w:szCs w:val="21"/>
              </w:rPr>
              <w:t xml:space="preserve">status</w:t>
            </w:r>
          </w:p>
        </w:tc>
        <w:tc>
          <w:tcPr>
            <w:tcW w:type="pct" w:w="15%"/>
            <w:tcMar>
              <w:top w:type="dxa" w:w="60"/>
              <w:left w:type="dxa" w:w="120"/>
              <w:bottom w:type="dxa" w:w="60"/>
              <w:right w:type="dxa" w:w="120"/>
            </w:tcMar>
          </w:tcPr>
          <w:p>
            <w:r>
              <w:rPr>
                <w:rFonts w:ascii="Times New Roman"/>
                <w:color w:val="000000"/>
                <w:sz w:val="21"/>
                <w:szCs w:val="21"/>
              </w:rPr>
              <w:t xml:space="preserve">Enum</w:t>
            </w:r>
          </w:p>
        </w:tc>
        <w:tc>
          <w:tcPr>
            <w:tcW w:type="pct" w:w="60%"/>
            <w:tcMar>
              <w:top w:type="dxa" w:w="60"/>
              <w:left w:type="dxa" w:w="120"/>
              <w:bottom w:type="dxa" w:w="60"/>
              <w:right w:type="dxa" w:w="120"/>
            </w:tcMar>
          </w:tcPr>
          <w:p>
            <w:r>
              <w:rPr>
                <w:rFonts w:ascii="Times New Roman"/>
                <w:color w:val="000000"/>
                <w:sz w:val="21"/>
                <w:szCs w:val="21"/>
              </w:rPr>
              <w:t xml:space="preserve">ACTIVE, INACTIVE, MAINTENANCE</w:t>
            </w:r>
          </w:p>
        </w:tc>
      </w:tr>
      <w:tr>
        <w:trPr>
          <w:cantSplit/>
        </w:trPr>
        <w:tc>
          <w:tcPr>
            <w:tcW w:type="pct" w:w="25%"/>
            <w:tcMar>
              <w:top w:type="dxa" w:w="60"/>
              <w:left w:type="dxa" w:w="120"/>
              <w:bottom w:type="dxa" w:w="60"/>
              <w:right w:type="dxa" w:w="120"/>
            </w:tcMar>
          </w:tcPr>
          <w:p>
            <w:r>
              <w:rPr>
                <w:rFonts w:ascii="Times New Roman"/>
                <w:color w:val="000000"/>
                <w:sz w:val="21"/>
                <w:szCs w:val="21"/>
              </w:rPr>
              <w:t xml:space="preserve">scheduleTemplateId</w:t>
            </w:r>
          </w:p>
        </w:tc>
        <w:tc>
          <w:tcPr>
            <w:tcW w:type="pct" w:w="15%"/>
            <w:tcMar>
              <w:top w:type="dxa" w:w="60"/>
              <w:left w:type="dxa" w:w="120"/>
              <w:bottom w:type="dxa" w:w="60"/>
              <w:right w:type="dxa" w:w="120"/>
            </w:tcMar>
          </w:tcPr>
          <w:p>
            <w:r>
              <w:rPr>
                <w:rFonts w:ascii="Times New Roman"/>
                <w:color w:val="000000"/>
                <w:sz w:val="21"/>
                <w:szCs w:val="21"/>
              </w:rPr>
              <w:t xml:space="preserve">FK</w:t>
            </w:r>
          </w:p>
        </w:tc>
        <w:tc>
          <w:tcPr>
            <w:tcW w:type="pct" w:w="60%"/>
            <w:tcMar>
              <w:top w:type="dxa" w:w="60"/>
              <w:left w:type="dxa" w:w="120"/>
              <w:bottom w:type="dxa" w:w="60"/>
              <w:right w:type="dxa" w:w="120"/>
            </w:tcMar>
          </w:tcPr>
          <w:p>
            <w:r>
              <w:rPr>
                <w:rFonts w:ascii="Times New Roman"/>
                <w:color w:val="000000"/>
                <w:sz w:val="21"/>
                <w:szCs w:val="21"/>
              </w:rPr>
              <w:t xml:space="preserve">Reference to slot schedule template</w:t>
            </w:r>
          </w:p>
        </w:tc>
      </w:tr>
      <w:tr>
        <w:trPr>
          <w:cantSplit/>
        </w:trPr>
        <w:tc>
          <w:tcPr>
            <w:tcW w:type="pct" w:w="25%"/>
            <w:tcMar>
              <w:top w:type="dxa" w:w="60"/>
              <w:left w:type="dxa" w:w="120"/>
              <w:bottom w:type="dxa" w:w="60"/>
              <w:right w:type="dxa" w:w="120"/>
            </w:tcMar>
          </w:tcPr>
          <w:p>
            <w:r>
              <w:rPr>
                <w:rFonts w:ascii="Times New Roman"/>
                <w:color w:val="000000"/>
                <w:sz w:val="21"/>
                <w:szCs w:val="21"/>
              </w:rPr>
              <w:t xml:space="preserve">facilityId</w:t>
            </w:r>
          </w:p>
        </w:tc>
        <w:tc>
          <w:tcPr>
            <w:tcW w:type="pct" w:w="15%"/>
            <w:tcMar>
              <w:top w:type="dxa" w:w="60"/>
              <w:left w:type="dxa" w:w="120"/>
              <w:bottom w:type="dxa" w:w="60"/>
              <w:right w:type="dxa" w:w="120"/>
            </w:tcMar>
          </w:tcPr>
          <w:p>
            <w:r>
              <w:rPr>
                <w:rFonts w:ascii="Times New Roman"/>
                <w:color w:val="000000"/>
                <w:sz w:val="21"/>
                <w:szCs w:val="21"/>
              </w:rPr>
              <w:t xml:space="preserve">FK</w:t>
            </w:r>
          </w:p>
        </w:tc>
        <w:tc>
          <w:tcPr>
            <w:tcW w:type="pct" w:w="60%"/>
            <w:tcMar>
              <w:top w:type="dxa" w:w="60"/>
              <w:left w:type="dxa" w:w="120"/>
              <w:bottom w:type="dxa" w:w="60"/>
              <w:right w:type="dxa" w:w="120"/>
            </w:tcMar>
          </w:tcPr>
          <w:p>
            <w:r>
              <w:rPr>
                <w:rFonts w:ascii="Times New Roman"/>
                <w:color w:val="000000"/>
                <w:sz w:val="21"/>
                <w:szCs w:val="21"/>
              </w:rPr>
              <w:t xml:space="preserve">Owning facility reference</w:t>
            </w:r>
          </w:p>
        </w:tc>
      </w:tr>
    </w:tbl>
    <w:p>
      <w:pPr>
        <w:pStyle w:val="Heading2"/>
        <w:spacing w:after="120" w:before="280" w:line="312"/>
      </w:pPr>
      <w:bookmarkStart w:id="100016" w:name="_Toc100016"/>
      <w:r>
        <w:rPr>
          <w:rFonts w:ascii="Times New Roman"/>
          <w:b/>
          <w:bCs/>
          <w:color w:val="0A1628"/>
          <w:sz w:val="28"/>
          <w:szCs w:val="28"/>
        </w:rPr>
        <w:t xml:space="preserve">5.4 Slot Management</w:t>
      </w:r>
      <w:bookmarkEnd w:id="100016"/>
    </w:p>
    <w:p>
      <w:pPr>
        <w:spacing w:after="120" w:line="312"/>
        <w:jc w:val="both"/>
      </w:pPr>
      <w:r>
        <w:rPr>
          <w:rFonts w:ascii="Times New Roman"/>
          <w:color w:val="000000"/>
          <w:sz w:val="24"/>
          <w:szCs w:val="24"/>
        </w:rPr>
        <w:t xml:space="preserve">Slot Management allows owners to define the time windows during which resources can be booked. Each resource has a set of bookable slots, typically one-hour windows (e.g., 4:00 PM - 5:00 PM, 5:00 PM - 6:00 PM), though the system supports custom durations. For each slot, the owner can set an individual price (overriding the resource base price), mark it as peak or off-peak for pricing differentiation, and define holiday schedules that modify normal availability.</w:t>
      </w:r>
    </w:p>
    <w:p>
      <w:pPr>
        <w:spacing w:after="120" w:line="312"/>
        <w:jc w:val="both"/>
      </w:pPr>
      <w:r>
        <w:rPr>
          <w:rFonts w:ascii="Times New Roman"/>
          <w:color w:val="000000"/>
          <w:sz w:val="24"/>
          <w:szCs w:val="24"/>
        </w:rPr>
        <w:t xml:space="preserve">The slot system operates on a daily generation model. At the beginning of each day (or configurable interval), the system generates slot instances for each active resource based on the schedule template. Each slot instance has a status: Available, Booked, Blocked, or Maintenance. This approach ensures that slot availability is always accurate and can be queried efficiently for the customer-facing booking interface.</w:t>
      </w:r>
    </w:p>
    <w:p>
      <w:pPr>
        <w:pStyle w:val="Heading2"/>
        <w:spacing w:after="120" w:before="280" w:line="312"/>
      </w:pPr>
      <w:bookmarkStart w:id="100017" w:name="_Toc100017"/>
      <w:r>
        <w:rPr>
          <w:rFonts w:ascii="Times New Roman"/>
          <w:b/>
          <w:bCs/>
          <w:color w:val="0A1628"/>
          <w:sz w:val="28"/>
          <w:szCs w:val="28"/>
        </w:rPr>
        <w:t xml:space="preserve">5.5 Booking Management</w:t>
      </w:r>
      <w:bookmarkEnd w:id="100017"/>
    </w:p>
    <w:p>
      <w:pPr>
        <w:spacing w:after="120" w:line="312"/>
        <w:jc w:val="both"/>
      </w:pPr>
      <w:r>
        <w:rPr>
          <w:rFonts w:ascii="Times New Roman"/>
          <w:color w:val="000000"/>
          <w:sz w:val="24"/>
          <w:szCs w:val="24"/>
        </w:rPr>
        <w:t xml:space="preserve">The Booking Management module provides owners with a comprehensive view of all bookings for their facility. Each booking record contains the booking ID, customer information, selected resource, date and time, total amount, paid amount, outstanding due, and current status. The booking status follows a defined state machine: Pending (awaiting payment verification), Confirmed (payment verified by owner), Completed (service delivered), Cancelled (by customer or owner), Refunded (payment returned), and No Show (customer did not arrive).</w:t>
      </w:r>
    </w:p>
    <w:p>
      <w:pPr>
        <w:pStyle w:val="Heading2"/>
        <w:spacing w:after="120" w:before="280" w:line="312"/>
      </w:pPr>
      <w:bookmarkStart w:id="100018" w:name="_Toc100018"/>
      <w:r>
        <w:rPr>
          <w:rFonts w:ascii="Times New Roman"/>
          <w:b/>
          <w:bCs/>
          <w:color w:val="0A1628"/>
          <w:sz w:val="28"/>
          <w:szCs w:val="28"/>
        </w:rPr>
        <w:t xml:space="preserve">5.6 Payment and Wallet System</w:t>
      </w:r>
      <w:bookmarkEnd w:id="100018"/>
    </w:p>
    <w:p>
      <w:pPr>
        <w:spacing w:after="120" w:line="312"/>
        <w:jc w:val="both"/>
      </w:pPr>
      <w:r>
        <w:rPr>
          <w:rFonts w:ascii="Times New Roman"/>
          <w:color w:val="000000"/>
          <w:sz w:val="24"/>
          <w:szCs w:val="24"/>
        </w:rPr>
        <w:t xml:space="preserve">The Payment module implements an offline payment verification workflow that is well-suited to the Bangladeshi market where mobile financial services (bKash, Nagad) are the primary payment methods but direct API integration may not always be available or cost-effective. When a customer submits a booking, they are required to provide a payment proof (transaction ID from their bKash or Nagad payment). The owner or operator then verifies this payment against their own mobile financial service account before confirming the booking.</w:t>
      </w:r>
    </w:p>
    <w:p>
      <w:pPr>
        <w:spacing w:after="120" w:line="312"/>
        <w:jc w:val="both"/>
      </w:pPr>
      <w:r>
        <w:rPr>
          <w:rFonts w:ascii="Times New Roman"/>
          <w:color w:val="000000"/>
          <w:sz w:val="24"/>
          <w:szCs w:val="24"/>
        </w:rPr>
        <w:t xml:space="preserve">The Wallet concept in TurfBook refers to a facility-level virtual wallet that tracks all incoming payments and outstanding dues. When a customer pays less than the full booking amount, the remaining balance is recorded as a due amount in the wallet system. The owner can view all pending verifications, verify or reject payment submissions, and track cumulative revenue through the wallet dashboard.</w:t>
      </w:r>
    </w:p>
    <w:p>
      <w:pPr>
        <w:pStyle w:val="Heading2"/>
        <w:spacing w:after="120" w:before="280" w:line="312"/>
      </w:pPr>
      <w:bookmarkStart w:id="100019" w:name="_Toc100019"/>
      <w:r>
        <w:rPr>
          <w:rFonts w:ascii="Times New Roman"/>
          <w:b/>
          <w:bCs/>
          <w:color w:val="0A1628"/>
          <w:sz w:val="28"/>
          <w:szCs w:val="28"/>
        </w:rPr>
        <w:t xml:space="preserve">5.7 Income and Expense Management</w:t>
      </w:r>
      <w:bookmarkEnd w:id="100019"/>
    </w:p>
    <w:p>
      <w:pPr>
        <w:spacing w:after="120" w:line="312"/>
        <w:jc w:val="both"/>
      </w:pPr>
      <w:r>
        <w:rPr>
          <w:rFonts w:ascii="Times New Roman"/>
          <w:color w:val="000000"/>
          <w:sz w:val="24"/>
          <w:szCs w:val="24"/>
        </w:rPr>
        <w:t xml:space="preserve">The Income Management module provides owners with multi-dimensional revenue visibility. Owners can view income broken down by time period (daily, weekly, monthly), by resource type (football turf revenue vs. badminton court revenue), by payment method (bKash vs. Nagad vs. cash), and by revenue source (regular bookings, tournament fees, package purchases, equipment rentals). This multi-dimensional analysis enables data-driven business decisions about pricing, resource allocation, and marketing investment.</w:t>
      </w:r>
    </w:p>
    <w:p>
      <w:pPr>
        <w:spacing w:after="120" w:line="312"/>
        <w:jc w:val="both"/>
      </w:pPr>
      <w:r>
        <w:rPr>
          <w:rFonts w:ascii="Times New Roman"/>
          <w:color w:val="000000"/>
          <w:sz w:val="24"/>
          <w:szCs w:val="24"/>
        </w:rPr>
        <w:t xml:space="preserve">The Expense Management module complements the income tracking by allowing owners to record all operational expenses. Predefined expense categories include Electricity, Staff Salary, Cleaning, Maintenance, Equipment, Marketing, Rent, Repair, Internet, and Other. For each expense entry, owners record the amount, category, date, and an optional description. The system then computes Net Profit as Total Revenue minus Total Expenses, providing a clear picture of business profitability.</w:t>
      </w:r>
    </w:p>
    <w:p>
      <w:pPr>
        <w:pStyle w:val="Heading2"/>
        <w:spacing w:after="120" w:before="280" w:line="312"/>
      </w:pPr>
      <w:bookmarkStart w:id="100020" w:name="_Toc100020"/>
      <w:r>
        <w:rPr>
          <w:rFonts w:ascii="Times New Roman"/>
          <w:b/>
          <w:bCs/>
          <w:color w:val="0A1628"/>
          <w:sz w:val="28"/>
          <w:szCs w:val="28"/>
        </w:rPr>
        <w:t xml:space="preserve">5.8 Tournament Management</w:t>
      </w:r>
      <w:bookmarkEnd w:id="100020"/>
    </w:p>
    <w:p>
      <w:pPr>
        <w:spacing w:after="120" w:line="312"/>
        <w:jc w:val="both"/>
      </w:pPr>
      <w:r>
        <w:rPr>
          <w:rFonts w:ascii="Times New Roman"/>
          <w:color w:val="000000"/>
          <w:sz w:val="24"/>
          <w:szCs w:val="24"/>
        </w:rPr>
        <w:t xml:space="preserve">The Tournament Management module enables facility owners to organize and manage competitive events. The tournament workflow follows a structured lifecycle: the owner creates a tournament with a name, sport type, format (knockout, round-robin, or group stage), and entry fee. Registration opens for teams to sign up, each paying the entry fee through the standard payment submission flow. Once registration closes, the owner generates fixtures and match schedules. As matches are played, results are recorded, and the tournament progresses through its stages until a winner is determined.</w:t>
      </w:r>
    </w:p>
    <w:p>
      <w:pPr>
        <w:pStyle w:val="Heading2"/>
        <w:spacing w:after="120" w:before="280" w:line="312"/>
      </w:pPr>
      <w:bookmarkStart w:id="100021" w:name="_Toc100021"/>
      <w:r>
        <w:rPr>
          <w:rFonts w:ascii="Times New Roman"/>
          <w:b/>
          <w:bCs/>
          <w:color w:val="0A1628"/>
          <w:sz w:val="28"/>
          <w:szCs w:val="28"/>
        </w:rPr>
        <w:t xml:space="preserve">5.9 Package Booking</w:t>
      </w:r>
      <w:bookmarkEnd w:id="100021"/>
    </w:p>
    <w:p>
      <w:pPr>
        <w:spacing w:after="120" w:line="312"/>
        <w:jc w:val="both"/>
      </w:pPr>
      <w:r>
        <w:rPr>
          <w:rFonts w:ascii="Times New Roman"/>
          <w:color w:val="000000"/>
          <w:sz w:val="24"/>
          <w:szCs w:val="24"/>
        </w:rPr>
        <w:t xml:space="preserve">Owners can create booking packages that offer customers a set number of sessions or hours at a discounted rate compared to individual slot bookings. For example, a Monthly Football Package might offer 8 hours of turf time for 10,000 BDT (valid for 30 days), representing a significant discount over the individual slot rate. When a customer purchases a package, the system tracks the remaining sessions or hours, and each subsequent booking against the package deducts from the available balance until the package is exhausted or expires.</w:t>
      </w:r>
    </w:p>
    <w:p>
      <w:pPr>
        <w:pStyle w:val="Heading2"/>
        <w:spacing w:after="120" w:before="280" w:line="312"/>
      </w:pPr>
      <w:bookmarkStart w:id="100022" w:name="_Toc100022"/>
      <w:r>
        <w:rPr>
          <w:rFonts w:ascii="Times New Roman"/>
          <w:b/>
          <w:bCs/>
          <w:color w:val="0A1628"/>
          <w:sz w:val="28"/>
          <w:szCs w:val="28"/>
        </w:rPr>
        <w:t xml:space="preserve">5.10 Blacklist Management</w:t>
      </w:r>
      <w:bookmarkEnd w:id="100022"/>
    </w:p>
    <w:p>
      <w:pPr>
        <w:spacing w:after="120" w:line="312"/>
        <w:jc w:val="both"/>
      </w:pPr>
      <w:r>
        <w:rPr>
          <w:rFonts w:ascii="Times New Roman"/>
          <w:color w:val="000000"/>
          <w:sz w:val="24"/>
          <w:szCs w:val="24"/>
        </w:rPr>
        <w:t xml:space="preserve">The Blacklist module provides owners with a tool to manage problematic customers or teams. Owners can add a customer or team to the blacklist with a documented reason, selecting from predefined categories: Repeated No Show, Payment Fraud, Misconduct, Property Damage, or Verbal Abuse. Blacklisted customers are prevented from making new bookings at the facility, though they can still view the public facility page. The blacklist is enforced at the API level during booking creation, ensuring that blacklisted users cannot circumvent the restriction through direct API calls.</w:t>
      </w:r>
    </w:p>
    <w:p>
      <w:pPr>
        <w:pStyle w:val="Heading2"/>
        <w:spacing w:after="120" w:before="280" w:line="312"/>
      </w:pPr>
      <w:bookmarkStart w:id="100023" w:name="_Toc100023"/>
      <w:r>
        <w:rPr>
          <w:rFonts w:ascii="Times New Roman"/>
          <w:b/>
          <w:bCs/>
          <w:color w:val="0A1628"/>
          <w:sz w:val="28"/>
          <w:szCs w:val="28"/>
        </w:rPr>
        <w:t xml:space="preserve">5.11 Reports and Exports</w:t>
      </w:r>
      <w:bookmarkEnd w:id="100023"/>
    </w:p>
    <w:p>
      <w:pPr>
        <w:spacing w:after="120" w:line="312"/>
        <w:jc w:val="both"/>
      </w:pPr>
      <w:r>
        <w:rPr>
          <w:rFonts w:ascii="Times New Roman"/>
          <w:color w:val="000000"/>
          <w:sz w:val="24"/>
          <w:szCs w:val="24"/>
        </w:rPr>
        <w:t xml:space="preserve">The Reports module provides seven distinct report types, each available for download as PDF or CSV files. The Booking Report shows all bookings within a date range with filtering by resource, status, and customer. The Income Report provides revenue breakdowns by time period, source, and payment method. The Expense Report itemizes all operational expenses by category. The Customer Report shows customer acquisition, retention, and spending patterns. The Resource Report analyzes utilization rates for each resource. The Payment Report tracks all payment submissions and verification statuses. The Tournament Report summarizes tournament participation and revenue.</w:t>
      </w:r>
    </w:p>
    <w:p>
      <w:pPr>
        <w:pStyle w:val="Heading1"/>
        <w:spacing w:after="160" w:before="360" w:line="312"/>
      </w:pPr>
      <w:bookmarkStart w:id="100024" w:name="_Toc100024"/>
      <w:r>
        <w:rPr>
          <w:rFonts w:ascii="Times New Roman"/>
          <w:b/>
          <w:bCs/>
          <w:color w:val="0A1628"/>
          <w:sz w:val="32"/>
          <w:szCs w:val="32"/>
        </w:rPr>
        <w:t xml:space="preserve">6. Operator/Staff Side</w:t>
      </w:r>
      <w:bookmarkEnd w:id="100024"/>
    </w:p>
    <w:p>
      <w:pPr>
        <w:spacing w:after="120" w:line="312"/>
        <w:jc w:val="both"/>
      </w:pPr>
      <w:r>
        <w:rPr>
          <w:rFonts w:ascii="Times New Roman"/>
          <w:color w:val="000000"/>
          <w:sz w:val="24"/>
          <w:szCs w:val="24"/>
        </w:rPr>
        <w:t xml:space="preserve">The Operator/Staff side is a streamlined interface designed for daily operational tasks. Operators are facility employees who interact with customers on a day-to-day basis, checking them in, verifying payments, and managing slot status. The Operator side intentionally excludes sensitive financial modules (revenue settings, expense management, owner account configuration, facility profile settings) to prevent unauthorized access to critical business data.</w:t>
      </w:r>
    </w:p>
    <w:p>
      <w:pPr>
        <w:pStyle w:val="Heading2"/>
        <w:spacing w:after="120" w:before="280" w:line="312"/>
      </w:pPr>
      <w:bookmarkStart w:id="100025" w:name="_Toc100025"/>
      <w:r>
        <w:rPr>
          <w:rFonts w:ascii="Times New Roman"/>
          <w:b/>
          <w:bCs/>
          <w:color w:val="0A1628"/>
          <w:sz w:val="28"/>
          <w:szCs w:val="28"/>
        </w:rPr>
        <w:t xml:space="preserve">6.1 Operator Permissions</w:t>
      </w:r>
      <w:bookmarkEnd w:id="100025"/>
    </w:p>
    <w:p>
      <w:pPr>
        <w:spacing w:after="120" w:line="312"/>
        <w:jc w:val="both"/>
      </w:pPr>
      <w:r>
        <w:rPr>
          <w:rFonts w:ascii="Times New Roman"/>
          <w:color w:val="000000"/>
          <w:sz w:val="24"/>
          <w:szCs w:val="24"/>
        </w:rPr>
        <w:t xml:space="preserve">The Operator role is defined by a specific permission scope that restricts access to the following modules and actions. Operators can view the daily booking schedule and upcoming bookings for today and the next seven days. They can verify or reject payment submissions, which transitions a booking from Pending to Confirmed status. They can perform customer check-in (marking a customer as arrived) and check-out (marking the booking as completed). They can update slot status to reflect real-time availability changes (e.g., marking a slot as blocked due to weather or maintenance). They can access a basic customer search to look up booking details by customer name or mobile number. However, operators cannot access revenue reports, expense management, staff management, facility settings, or platform-level configuration.</w:t>
      </w:r>
    </w:p>
    <w:p>
      <w:pPr>
        <w:pStyle w:val="Heading2"/>
        <w:spacing w:after="120" w:before="280" w:line="312"/>
      </w:pPr>
      <w:bookmarkStart w:id="100026" w:name="_Toc100026"/>
      <w:r>
        <w:rPr>
          <w:rFonts w:ascii="Times New Roman"/>
          <w:b/>
          <w:bCs/>
          <w:color w:val="0A1628"/>
          <w:sz w:val="28"/>
          <w:szCs w:val="28"/>
        </w:rPr>
        <w:t xml:space="preserve">6.2 Daily Operations Workflow</w:t>
      </w:r>
      <w:bookmarkEnd w:id="100026"/>
    </w:p>
    <w:p>
      <w:pPr>
        <w:spacing w:after="120" w:line="312"/>
        <w:jc w:val="both"/>
      </w:pPr>
      <w:r>
        <w:rPr>
          <w:rFonts w:ascii="Times New Roman"/>
          <w:color w:val="000000"/>
          <w:sz w:val="24"/>
          <w:szCs w:val="24"/>
        </w:rPr>
        <w:t xml:space="preserve">A typical operator workflow begins at the start of each shift when the operator logs in and reviews the day's booking schedule. As customers arrive, the operator checks them in by finding the corresponding booking and marking it as checked-in. If a customer has submitted a payment that has not yet been verified, the operator verifies the payment by checking the transaction ID against the facility's bKash/Nagad account before confirming the booking. At the end of each slot, the operator marks the booking as completed and prepares the resource for the next customer. Any no-shows are flagged for follow-up by the facility owner.</w:t>
      </w:r>
    </w:p>
    <w:p>
      <w:pPr>
        <w:pStyle w:val="Heading1"/>
        <w:spacing w:after="160" w:before="360" w:line="312"/>
      </w:pPr>
      <w:bookmarkStart w:id="100027" w:name="_Toc100027"/>
      <w:r>
        <w:rPr>
          <w:rFonts w:ascii="Times New Roman"/>
          <w:b/>
          <w:bCs/>
          <w:color w:val="0A1628"/>
          <w:sz w:val="32"/>
          <w:szCs w:val="32"/>
        </w:rPr>
        <w:t xml:space="preserve">7. Booker/Customer Side</w:t>
      </w:r>
      <w:bookmarkEnd w:id="100027"/>
    </w:p>
    <w:p>
      <w:pPr>
        <w:spacing w:after="120" w:line="312"/>
        <w:jc w:val="both"/>
      </w:pPr>
      <w:r>
        <w:rPr>
          <w:rFonts w:ascii="Times New Roman"/>
          <w:color w:val="000000"/>
          <w:sz w:val="24"/>
          <w:szCs w:val="24"/>
        </w:rPr>
        <w:t xml:space="preserve">The Booker/Customer side is the public-facing interface of the TurfBook platform, accessible to anyone without registration. Customers can discover facilities, browse available resources, check slot availability, and complete bookings through a streamlined flow that prioritizes speed and simplicity. The booking process is designed to minimize friction, requiring only a mobile number and OTP verification before a booking can be confirmed.</w:t>
      </w:r>
    </w:p>
    <w:p>
      <w:pPr>
        <w:pStyle w:val="Heading2"/>
        <w:spacing w:after="120" w:before="280" w:line="312"/>
      </w:pPr>
      <w:bookmarkStart w:id="100028" w:name="_Toc100028"/>
      <w:r>
        <w:rPr>
          <w:rFonts w:ascii="Times New Roman"/>
          <w:b/>
          <w:bCs/>
          <w:color w:val="0A1628"/>
          <w:sz w:val="28"/>
          <w:szCs w:val="28"/>
        </w:rPr>
        <w:t xml:space="preserve">7.1 Facility Discovery and Search</w:t>
      </w:r>
      <w:bookmarkEnd w:id="100028"/>
    </w:p>
    <w:p>
      <w:pPr>
        <w:spacing w:after="120" w:line="312"/>
        <w:jc w:val="both"/>
      </w:pPr>
      <w:r>
        <w:rPr>
          <w:rFonts w:ascii="Times New Roman"/>
          <w:color w:val="000000"/>
          <w:sz w:val="24"/>
          <w:szCs w:val="24"/>
        </w:rPr>
        <w:t xml:space="preserve">The search and discovery module allows customers to find facilities based on location, resource type, date, and preferred time slot. The search interface supports filters for sport type (football, badminton, etc.), date picker for availability checking, time preference for slot filtering, and location-based search with Google Maps integration. Search results display facility cards showing the facility name, available resource types, price range, operating hours, average rating, and distance from the customer's location. This multi-criteria search ensures that customers can quickly find a suitable facility that matches their specific requirements.</w:t>
      </w:r>
    </w:p>
    <w:p>
      <w:pPr>
        <w:pStyle w:val="Heading2"/>
        <w:spacing w:after="120" w:before="280" w:line="312"/>
      </w:pPr>
      <w:bookmarkStart w:id="100029" w:name="_Toc100029"/>
      <w:r>
        <w:rPr>
          <w:rFonts w:ascii="Times New Roman"/>
          <w:b/>
          <w:bCs/>
          <w:color w:val="0A1628"/>
          <w:sz w:val="28"/>
          <w:szCs w:val="28"/>
        </w:rPr>
        <w:t xml:space="preserve">7.2 Public Facility Page</w:t>
      </w:r>
      <w:bookmarkEnd w:id="100029"/>
    </w:p>
    <w:p>
      <w:pPr>
        <w:spacing w:after="120" w:line="312"/>
        <w:jc w:val="both"/>
      </w:pPr>
      <w:r>
        <w:rPr>
          <w:rFonts w:ascii="Times New Roman"/>
          <w:color w:val="000000"/>
          <w:sz w:val="24"/>
          <w:szCs w:val="24"/>
        </w:rPr>
        <w:t xml:space="preserve">When a customer selects a facility from search results, they are taken to the Public Facility Page, which serves as the facility's digital storefront. This page displays the facility name, logo, and cover photo, the facility location with an embedded Google Map, a photo gallery of the facility and its resources, a list of available resources with their prices, the facility's operating hours, contact information (phone, email, Facebook page), and any active packages or upcoming tournaments. The public page is designed to provide customers with all the information they need to make a booking decision without requiring them to create an account first.</w:t>
      </w:r>
    </w:p>
    <w:p>
      <w:pPr>
        <w:pStyle w:val="Heading2"/>
        <w:spacing w:after="120" w:before="280" w:line="312"/>
      </w:pPr>
      <w:bookmarkStart w:id="100030" w:name="_Toc100030"/>
      <w:r>
        <w:rPr>
          <w:rFonts w:ascii="Times New Roman"/>
          <w:b/>
          <w:bCs/>
          <w:color w:val="0A1628"/>
          <w:sz w:val="28"/>
          <w:szCs w:val="28"/>
        </w:rPr>
        <w:t xml:space="preserve">7.3 Booking Flow</w:t>
      </w:r>
      <w:bookmarkEnd w:id="100030"/>
    </w:p>
    <w:p>
      <w:pPr>
        <w:spacing w:after="120" w:line="312"/>
        <w:jc w:val="both"/>
      </w:pPr>
      <w:r>
        <w:rPr>
          <w:rFonts w:ascii="Times New Roman"/>
          <w:color w:val="000000"/>
          <w:sz w:val="24"/>
          <w:szCs w:val="24"/>
        </w:rPr>
        <w:t xml:space="preserve">The customer booking flow is a multi-step process designed to be completed in under two minutes. The customer selects a resource from the facility page, chooses a date from a calendar interface, views available time slots for that date and resource, selects one or more consecutive available slots, reviews the booking summary showing resource name, date, time, duration, and total price, enters their mobile number, receives and submits an OTP code for verification, selects a payment method (bKash or Nagad), enters the transaction ID from their mobile financial service payment, and submits the booking. After submission, the booking enters a Pending state awaiting payment verification by the facility owner or operator.</w:t>
      </w:r>
    </w:p>
    <w:p>
      <w:pPr>
        <w:pStyle w:val="Heading2"/>
        <w:spacing w:after="120" w:before="280" w:line="312"/>
      </w:pPr>
      <w:bookmarkStart w:id="100031" w:name="_Toc100031"/>
      <w:r>
        <w:rPr>
          <w:rFonts w:ascii="Times New Roman"/>
          <w:b/>
          <w:bCs/>
          <w:color w:val="0A1628"/>
          <w:sz w:val="28"/>
          <w:szCs w:val="28"/>
        </w:rPr>
        <w:t xml:space="preserve">7.4 My Bookings and History</w:t>
      </w:r>
      <w:bookmarkEnd w:id="100031"/>
    </w:p>
    <w:p>
      <w:pPr>
        <w:spacing w:after="120" w:line="312"/>
        <w:jc w:val="both"/>
      </w:pPr>
      <w:r>
        <w:rPr>
          <w:rFonts w:ascii="Times New Roman"/>
          <w:color w:val="000000"/>
          <w:sz w:val="24"/>
          <w:szCs w:val="24"/>
        </w:rPr>
        <w:t xml:space="preserve">After completing a booking, customers can view all their bookings organized into three tabs: Upcoming (confirmed future bookings), Completed (past bookings that were fulfilled), and Cancelled (bookings that were cancelled by either party). Each booking entry shows the facility name, resource, date, time slot, amount paid, and current status. Customers can cancel upcoming bookings subject to the facility's cancellation policy, which may include restrictions on how close to the booking time a cancellation is allowed and whether a refund is applicable.</w:t>
      </w:r>
    </w:p>
    <w:p>
      <w:pPr>
        <w:pStyle w:val="Heading2"/>
        <w:spacing w:after="120" w:before="280" w:line="312"/>
      </w:pPr>
      <w:bookmarkStart w:id="100032" w:name="_Toc100032"/>
      <w:r>
        <w:rPr>
          <w:rFonts w:ascii="Times New Roman"/>
          <w:b/>
          <w:bCs/>
          <w:color w:val="0A1628"/>
          <w:sz w:val="28"/>
          <w:szCs w:val="28"/>
        </w:rPr>
        <w:t xml:space="preserve">7.5 Tournament Registration</w:t>
      </w:r>
      <w:bookmarkEnd w:id="100032"/>
    </w:p>
    <w:p>
      <w:pPr>
        <w:spacing w:after="120" w:line="312"/>
        <w:jc w:val="both"/>
      </w:pPr>
      <w:r>
        <w:rPr>
          <w:rFonts w:ascii="Times New Roman"/>
          <w:color w:val="000000"/>
          <w:sz w:val="24"/>
          <w:szCs w:val="24"/>
        </w:rPr>
        <w:t xml:space="preserve">Customers can browse available tournaments at facilities where they have previously booked. The tournament detail page shows the tournament name, sport type, format, entry fee, registration deadline, maximum team count, and current registration status. To register, the team captain provides team name, player list, and contact information, then pays the entry fee through the standard payment submission flow. After the facility owner verifies the payment, the team's registration is confirmed and they appear in the tournament fixture.</w:t>
      </w:r>
    </w:p>
    <w:p>
      <w:pPr>
        <w:pStyle w:val="Heading2"/>
        <w:spacing w:after="120" w:before="280" w:line="312"/>
      </w:pPr>
      <w:bookmarkStart w:id="100033" w:name="_Toc100033"/>
      <w:r>
        <w:rPr>
          <w:rFonts w:ascii="Times New Roman"/>
          <w:b/>
          <w:bCs/>
          <w:color w:val="0A1628"/>
          <w:sz w:val="28"/>
          <w:szCs w:val="28"/>
        </w:rPr>
        <w:t xml:space="preserve">7.6 Notification System</w:t>
      </w:r>
      <w:bookmarkEnd w:id="100033"/>
    </w:p>
    <w:p>
      <w:pPr>
        <w:spacing w:after="120" w:line="312"/>
        <w:jc w:val="both"/>
      </w:pPr>
      <w:r>
        <w:rPr>
          <w:rFonts w:ascii="Times New Roman"/>
          <w:color w:val="000000"/>
          <w:sz w:val="24"/>
          <w:szCs w:val="24"/>
        </w:rPr>
        <w:t xml:space="preserve">The customer notification system delivers timely information about booking status changes, payment confirmations, upcoming booking reminders, tournament updates, and package expiry warnings. Notifications are delivered through SMS (primary channel for booking confirmations and reminders), email (for detailed booking summaries and receipts), and in-app notifications (for real-time updates when the customer is using the web interface). The notification system uses a queue-based architecture to ensure reliable delivery even during high-traffic periods, with retry logic for failed SMS deliveries and batch processing for promotional notifications.</w:t>
      </w:r>
    </w:p>
    <w:p>
      <w:pPr>
        <w:pStyle w:val="Heading1"/>
        <w:spacing w:after="160" w:before="360" w:line="312"/>
      </w:pPr>
      <w:bookmarkStart w:id="100034" w:name="_Toc100034"/>
      <w:r>
        <w:rPr>
          <w:rFonts w:ascii="Times New Roman"/>
          <w:b/>
          <w:bCs/>
          <w:color w:val="0A1628"/>
          <w:sz w:val="32"/>
          <w:szCs w:val="32"/>
        </w:rPr>
        <w:t xml:space="preserve">8. Database Schema Design</w:t>
      </w:r>
      <w:bookmarkEnd w:id="100034"/>
    </w:p>
    <w:p>
      <w:pPr>
        <w:spacing w:after="120" w:line="312"/>
        <w:jc w:val="both"/>
      </w:pPr>
      <w:r>
        <w:rPr>
          <w:rFonts w:ascii="Times New Roman"/>
          <w:color w:val="000000"/>
          <w:sz w:val="24"/>
          <w:szCs w:val="24"/>
        </w:rPr>
        <w:t xml:space="preserve">The TurfBook database uses a relational schema designed for multi-tenancy with clear data isolation between facilities. The schema is organized around core entities that map directly to the business objects described in the module specifications. Foreign key relationships enforce referential integrity, and indexing strategies are optimized for the most common query patterns (booking lookups by date and facility, customer search by mobile number, slot availability queries).</w:t>
      </w:r>
    </w:p>
    <w:p>
      <w:pPr>
        <w:pStyle w:val="Heading2"/>
        <w:spacing w:after="120" w:before="280" w:line="312"/>
      </w:pPr>
      <w:bookmarkStart w:id="100035" w:name="_Toc100035"/>
      <w:r>
        <w:rPr>
          <w:rFonts w:ascii="Times New Roman"/>
          <w:b/>
          <w:bCs/>
          <w:color w:val="0A1628"/>
          <w:sz w:val="28"/>
          <w:szCs w:val="28"/>
        </w:rPr>
        <w:t xml:space="preserve">8.1 Core Entities</w:t>
      </w:r>
      <w:bookmarkEnd w:id="100035"/>
    </w:p>
    <w:p>
      <w:pPr>
        <w:keepNext/>
        <w:spacing w:after="80" w:before="200"/>
      </w:pPr>
      <w:r>
        <w:rPr>
          <w:rFonts w:ascii="Times New Roman"/>
          <w:b/>
          <w:bCs/>
          <w:color w:val="6878A0"/>
          <w:sz w:val="21"/>
          <w:szCs w:val="21"/>
        </w:rPr>
        <w:t xml:space="preserve">Table 4: Primary Database Entities</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20%"/>
            <w:shd w:fill="F4F8FC" w:val="clear"/>
            <w:tcMar>
              <w:top w:type="dxa" w:w="60"/>
              <w:left w:type="dxa" w:w="120"/>
              <w:bottom w:type="dxa" w:w="60"/>
              <w:right w:type="dxa" w:w="120"/>
            </w:tcMar>
          </w:tcPr>
          <w:p>
            <w:r>
              <w:rPr>
                <w:rFonts w:ascii="Times New Roman"/>
                <w:b/>
                <w:bCs/>
                <w:color w:val="0A1628"/>
                <w:sz w:val="21"/>
                <w:szCs w:val="21"/>
              </w:rPr>
              <w:t xml:space="preserve">Entity</w:t>
            </w:r>
          </w:p>
        </w:tc>
        <w:tc>
          <w:tcPr>
            <w:tcW w:type="pct" w:w="42%"/>
            <w:shd w:fill="F4F8FC" w:val="clear"/>
            <w:tcMar>
              <w:top w:type="dxa" w:w="60"/>
              <w:left w:type="dxa" w:w="120"/>
              <w:bottom w:type="dxa" w:w="60"/>
              <w:right w:type="dxa" w:w="120"/>
            </w:tcMar>
          </w:tcPr>
          <w:p>
            <w:r>
              <w:rPr>
                <w:rFonts w:ascii="Times New Roman"/>
                <w:b/>
                <w:bCs/>
                <w:color w:val="0A1628"/>
                <w:sz w:val="21"/>
                <w:szCs w:val="21"/>
              </w:rPr>
              <w:t xml:space="preserve">Description</w:t>
            </w:r>
          </w:p>
        </w:tc>
        <w:tc>
          <w:tcPr>
            <w:tcW w:type="pct" w:w="38%"/>
            <w:shd w:fill="F4F8FC" w:val="clear"/>
            <w:tcMar>
              <w:top w:type="dxa" w:w="60"/>
              <w:left w:type="dxa" w:w="120"/>
              <w:bottom w:type="dxa" w:w="60"/>
              <w:right w:type="dxa" w:w="120"/>
            </w:tcMar>
          </w:tcPr>
          <w:p>
            <w:r>
              <w:rPr>
                <w:rFonts w:ascii="Times New Roman"/>
                <w:b/>
                <w:bCs/>
                <w:color w:val="0A1628"/>
                <w:sz w:val="21"/>
                <w:szCs w:val="21"/>
              </w:rPr>
              <w:t xml:space="preserve">Key Relationships</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User</w:t>
            </w:r>
          </w:p>
        </w:tc>
        <w:tc>
          <w:tcPr>
            <w:tcW w:type="pct" w:w="42%"/>
            <w:tcMar>
              <w:top w:type="dxa" w:w="60"/>
              <w:left w:type="dxa" w:w="120"/>
              <w:bottom w:type="dxa" w:w="60"/>
              <w:right w:type="dxa" w:w="120"/>
            </w:tcMar>
          </w:tcPr>
          <w:p>
            <w:r>
              <w:rPr>
                <w:rFonts w:ascii="Times New Roman"/>
                <w:color w:val="000000"/>
                <w:sz w:val="21"/>
                <w:szCs w:val="21"/>
              </w:rPr>
              <w:t xml:space="preserve">All platform users (admins, owners, staff, customers)</w:t>
            </w:r>
          </w:p>
        </w:tc>
        <w:tc>
          <w:tcPr>
            <w:tcW w:type="pct" w:w="38%"/>
            <w:tcMar>
              <w:top w:type="dxa" w:w="60"/>
              <w:left w:type="dxa" w:w="120"/>
              <w:bottom w:type="dxa" w:w="60"/>
              <w:right w:type="dxa" w:w="120"/>
            </w:tcMar>
          </w:tcPr>
          <w:p>
            <w:r>
              <w:rPr>
                <w:rFonts w:ascii="Times New Roman"/>
                <w:color w:val="000000"/>
                <w:sz w:val="21"/>
                <w:szCs w:val="21"/>
              </w:rPr>
              <w:t xml:space="preserve">has many Bookings, Payments, Notifications</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Role</w:t>
            </w:r>
          </w:p>
        </w:tc>
        <w:tc>
          <w:tcPr>
            <w:tcW w:type="pct" w:w="42%"/>
            <w:tcMar>
              <w:top w:type="dxa" w:w="60"/>
              <w:left w:type="dxa" w:w="120"/>
              <w:bottom w:type="dxa" w:w="60"/>
              <w:right w:type="dxa" w:w="120"/>
            </w:tcMar>
          </w:tcPr>
          <w:p>
            <w:r>
              <w:rPr>
                <w:rFonts w:ascii="Times New Roman"/>
                <w:color w:val="000000"/>
                <w:sz w:val="21"/>
                <w:szCs w:val="21"/>
              </w:rPr>
              <w:t xml:space="preserve">Defined roles: PlatformAdmin, Owner, Manager, Operator, Booker</w:t>
            </w:r>
          </w:p>
        </w:tc>
        <w:tc>
          <w:tcPr>
            <w:tcW w:type="pct" w:w="38%"/>
            <w:tcMar>
              <w:top w:type="dxa" w:w="60"/>
              <w:left w:type="dxa" w:w="120"/>
              <w:bottom w:type="dxa" w:w="60"/>
              <w:right w:type="dxa" w:w="120"/>
            </w:tcMar>
          </w:tcPr>
          <w:p>
            <w:r>
              <w:rPr>
                <w:rFonts w:ascii="Times New Roman"/>
                <w:color w:val="000000"/>
                <w:sz w:val="21"/>
                <w:szCs w:val="21"/>
              </w:rPr>
              <w:t xml:space="preserve">assigned to User</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Facility</w:t>
            </w:r>
          </w:p>
        </w:tc>
        <w:tc>
          <w:tcPr>
            <w:tcW w:type="pct" w:w="42%"/>
            <w:tcMar>
              <w:top w:type="dxa" w:w="60"/>
              <w:left w:type="dxa" w:w="120"/>
              <w:bottom w:type="dxa" w:w="60"/>
              <w:right w:type="dxa" w:w="120"/>
            </w:tcMar>
          </w:tcPr>
          <w:p>
            <w:r>
              <w:rPr>
                <w:rFonts w:ascii="Times New Roman"/>
                <w:color w:val="000000"/>
                <w:sz w:val="21"/>
                <w:szCs w:val="21"/>
              </w:rPr>
              <w:t xml:space="preserve">Registered sports facility/venue</w:t>
            </w:r>
          </w:p>
        </w:tc>
        <w:tc>
          <w:tcPr>
            <w:tcW w:type="pct" w:w="38%"/>
            <w:tcMar>
              <w:top w:type="dxa" w:w="60"/>
              <w:left w:type="dxa" w:w="120"/>
              <w:bottom w:type="dxa" w:w="60"/>
              <w:right w:type="dxa" w:w="120"/>
            </w:tcMar>
          </w:tcPr>
          <w:p>
            <w:r>
              <w:rPr>
                <w:rFonts w:ascii="Times New Roman"/>
                <w:color w:val="000000"/>
                <w:sz w:val="21"/>
                <w:szCs w:val="21"/>
              </w:rPr>
              <w:t xml:space="preserve">belongs to Owner; has many Resources, Staff</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Resource</w:t>
            </w:r>
          </w:p>
        </w:tc>
        <w:tc>
          <w:tcPr>
            <w:tcW w:type="pct" w:w="42%"/>
            <w:tcMar>
              <w:top w:type="dxa" w:w="60"/>
              <w:left w:type="dxa" w:w="120"/>
              <w:bottom w:type="dxa" w:w="60"/>
              <w:right w:type="dxa" w:w="120"/>
            </w:tcMar>
          </w:tcPr>
          <w:p>
            <w:r>
              <w:rPr>
                <w:rFonts w:ascii="Times New Roman"/>
                <w:color w:val="000000"/>
                <w:sz w:val="21"/>
                <w:szCs w:val="21"/>
              </w:rPr>
              <w:t xml:space="preserve">Bookable unit within a facility</w:t>
            </w:r>
          </w:p>
        </w:tc>
        <w:tc>
          <w:tcPr>
            <w:tcW w:type="pct" w:w="38%"/>
            <w:tcMar>
              <w:top w:type="dxa" w:w="60"/>
              <w:left w:type="dxa" w:w="120"/>
              <w:bottom w:type="dxa" w:w="60"/>
              <w:right w:type="dxa" w:w="120"/>
            </w:tcMar>
          </w:tcPr>
          <w:p>
            <w:r>
              <w:rPr>
                <w:rFonts w:ascii="Times New Roman"/>
                <w:color w:val="000000"/>
                <w:sz w:val="21"/>
                <w:szCs w:val="21"/>
              </w:rPr>
              <w:t xml:space="preserve">belongs to Facility; has many Slots, Bookings</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ResourceType</w:t>
            </w:r>
          </w:p>
        </w:tc>
        <w:tc>
          <w:tcPr>
            <w:tcW w:type="pct" w:w="42%"/>
            <w:tcMar>
              <w:top w:type="dxa" w:w="60"/>
              <w:left w:type="dxa" w:w="120"/>
              <w:bottom w:type="dxa" w:w="60"/>
              <w:right w:type="dxa" w:w="120"/>
            </w:tcMar>
          </w:tcPr>
          <w:p>
            <w:r>
              <w:rPr>
                <w:rFonts w:ascii="Times New Roman"/>
                <w:color w:val="000000"/>
                <w:sz w:val="21"/>
                <w:szCs w:val="21"/>
              </w:rPr>
              <w:t xml:space="preserve">Classification of resource types</w:t>
            </w:r>
          </w:p>
        </w:tc>
        <w:tc>
          <w:tcPr>
            <w:tcW w:type="pct" w:w="38%"/>
            <w:tcMar>
              <w:top w:type="dxa" w:w="60"/>
              <w:left w:type="dxa" w:w="120"/>
              <w:bottom w:type="dxa" w:w="60"/>
              <w:right w:type="dxa" w:w="120"/>
            </w:tcMar>
          </w:tcPr>
          <w:p>
            <w:r>
              <w:rPr>
                <w:rFonts w:ascii="Times New Roman"/>
                <w:color w:val="000000"/>
                <w:sz w:val="21"/>
                <w:szCs w:val="21"/>
              </w:rPr>
              <w:t xml:space="preserve">referenced by Resource</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Slot</w:t>
            </w:r>
          </w:p>
        </w:tc>
        <w:tc>
          <w:tcPr>
            <w:tcW w:type="pct" w:w="42%"/>
            <w:tcMar>
              <w:top w:type="dxa" w:w="60"/>
              <w:left w:type="dxa" w:w="120"/>
              <w:bottom w:type="dxa" w:w="60"/>
              <w:right w:type="dxa" w:w="120"/>
            </w:tcMar>
          </w:tcPr>
          <w:p>
            <w:r>
              <w:rPr>
                <w:rFonts w:ascii="Times New Roman"/>
                <w:color w:val="000000"/>
                <w:sz w:val="21"/>
                <w:szCs w:val="21"/>
              </w:rPr>
              <w:t xml:space="preserve">Time window for a resource on a specific date</w:t>
            </w:r>
          </w:p>
        </w:tc>
        <w:tc>
          <w:tcPr>
            <w:tcW w:type="pct" w:w="38%"/>
            <w:tcMar>
              <w:top w:type="dxa" w:w="60"/>
              <w:left w:type="dxa" w:w="120"/>
              <w:bottom w:type="dxa" w:w="60"/>
              <w:right w:type="dxa" w:w="120"/>
            </w:tcMar>
          </w:tcPr>
          <w:p>
            <w:r>
              <w:rPr>
                <w:rFonts w:ascii="Times New Roman"/>
                <w:color w:val="000000"/>
                <w:sz w:val="21"/>
                <w:szCs w:val="21"/>
              </w:rPr>
              <w:t xml:space="preserve">belongs to Resource; has one Booking</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PricingRule</w:t>
            </w:r>
          </w:p>
        </w:tc>
        <w:tc>
          <w:tcPr>
            <w:tcW w:type="pct" w:w="42%"/>
            <w:tcMar>
              <w:top w:type="dxa" w:w="60"/>
              <w:left w:type="dxa" w:w="120"/>
              <w:bottom w:type="dxa" w:w="60"/>
              <w:right w:type="dxa" w:w="120"/>
            </w:tcMar>
          </w:tcPr>
          <w:p>
            <w:r>
              <w:rPr>
                <w:rFonts w:ascii="Times New Roman"/>
                <w:color w:val="000000"/>
                <w:sz w:val="21"/>
                <w:szCs w:val="21"/>
              </w:rPr>
              <w:t xml:space="preserve">Price override rules (peak/off-peak/holiday)</w:t>
            </w:r>
          </w:p>
        </w:tc>
        <w:tc>
          <w:tcPr>
            <w:tcW w:type="pct" w:w="38%"/>
            <w:tcMar>
              <w:top w:type="dxa" w:w="60"/>
              <w:left w:type="dxa" w:w="120"/>
              <w:bottom w:type="dxa" w:w="60"/>
              <w:right w:type="dxa" w:w="120"/>
            </w:tcMar>
          </w:tcPr>
          <w:p>
            <w:r>
              <w:rPr>
                <w:rFonts w:ascii="Times New Roman"/>
                <w:color w:val="000000"/>
                <w:sz w:val="21"/>
                <w:szCs w:val="21"/>
              </w:rPr>
              <w:t xml:space="preserve">applies to Resource/Slot</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Customer</w:t>
            </w:r>
          </w:p>
        </w:tc>
        <w:tc>
          <w:tcPr>
            <w:tcW w:type="pct" w:w="42%"/>
            <w:tcMar>
              <w:top w:type="dxa" w:w="60"/>
              <w:left w:type="dxa" w:w="120"/>
              <w:bottom w:type="dxa" w:w="60"/>
              <w:right w:type="dxa" w:w="120"/>
            </w:tcMar>
          </w:tcPr>
          <w:p>
            <w:r>
              <w:rPr>
                <w:rFonts w:ascii="Times New Roman"/>
                <w:color w:val="000000"/>
                <w:sz w:val="21"/>
                <w:szCs w:val="21"/>
              </w:rPr>
              <w:t xml:space="preserve">Customer profile linked to User</w:t>
            </w:r>
          </w:p>
        </w:tc>
        <w:tc>
          <w:tcPr>
            <w:tcW w:type="pct" w:w="38%"/>
            <w:tcMar>
              <w:top w:type="dxa" w:w="60"/>
              <w:left w:type="dxa" w:w="120"/>
              <w:bottom w:type="dxa" w:w="60"/>
              <w:right w:type="dxa" w:w="120"/>
            </w:tcMar>
          </w:tcPr>
          <w:p>
            <w:r>
              <w:rPr>
                <w:rFonts w:ascii="Times New Roman"/>
                <w:color w:val="000000"/>
                <w:sz w:val="21"/>
                <w:szCs w:val="21"/>
              </w:rPr>
              <w:t xml:space="preserve">has many Bookings, PackagePurchases</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Booking</w:t>
            </w:r>
          </w:p>
        </w:tc>
        <w:tc>
          <w:tcPr>
            <w:tcW w:type="pct" w:w="42%"/>
            <w:tcMar>
              <w:top w:type="dxa" w:w="60"/>
              <w:left w:type="dxa" w:w="120"/>
              <w:bottom w:type="dxa" w:w="60"/>
              <w:right w:type="dxa" w:w="120"/>
            </w:tcMar>
          </w:tcPr>
          <w:p>
            <w:r>
              <w:rPr>
                <w:rFonts w:ascii="Times New Roman"/>
                <w:color w:val="000000"/>
                <w:sz w:val="21"/>
                <w:szCs w:val="21"/>
              </w:rPr>
              <w:t xml:space="preserve">Reservation record</w:t>
            </w:r>
          </w:p>
        </w:tc>
        <w:tc>
          <w:tcPr>
            <w:tcW w:type="pct" w:w="38%"/>
            <w:tcMar>
              <w:top w:type="dxa" w:w="60"/>
              <w:left w:type="dxa" w:w="120"/>
              <w:bottom w:type="dxa" w:w="60"/>
              <w:right w:type="dxa" w:w="120"/>
            </w:tcMar>
          </w:tcPr>
          <w:p>
            <w:r>
              <w:rPr>
                <w:rFonts w:ascii="Times New Roman"/>
                <w:color w:val="000000"/>
                <w:sz w:val="21"/>
                <w:szCs w:val="21"/>
              </w:rPr>
              <w:t xml:space="preserve">belongs to Customer, Resource, Slot</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BookingItem</w:t>
            </w:r>
          </w:p>
        </w:tc>
        <w:tc>
          <w:tcPr>
            <w:tcW w:type="pct" w:w="42%"/>
            <w:tcMar>
              <w:top w:type="dxa" w:w="60"/>
              <w:left w:type="dxa" w:w="120"/>
              <w:bottom w:type="dxa" w:w="60"/>
              <w:right w:type="dxa" w:w="120"/>
            </w:tcMar>
          </w:tcPr>
          <w:p>
            <w:r>
              <w:rPr>
                <w:rFonts w:ascii="Times New Roman"/>
                <w:color w:val="000000"/>
                <w:sz w:val="21"/>
                <w:szCs w:val="21"/>
              </w:rPr>
              <w:t xml:space="preserve">Individual slot within a booking</w:t>
            </w:r>
          </w:p>
        </w:tc>
        <w:tc>
          <w:tcPr>
            <w:tcW w:type="pct" w:w="38%"/>
            <w:tcMar>
              <w:top w:type="dxa" w:w="60"/>
              <w:left w:type="dxa" w:w="120"/>
              <w:bottom w:type="dxa" w:w="60"/>
              <w:right w:type="dxa" w:w="120"/>
            </w:tcMar>
          </w:tcPr>
          <w:p>
            <w:r>
              <w:rPr>
                <w:rFonts w:ascii="Times New Roman"/>
                <w:color w:val="000000"/>
                <w:sz w:val="21"/>
                <w:szCs w:val="21"/>
              </w:rPr>
              <w:t xml:space="preserve">belongs to Booking, Slot</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Payment</w:t>
            </w:r>
          </w:p>
        </w:tc>
        <w:tc>
          <w:tcPr>
            <w:tcW w:type="pct" w:w="42%"/>
            <w:tcMar>
              <w:top w:type="dxa" w:w="60"/>
              <w:left w:type="dxa" w:w="120"/>
              <w:bottom w:type="dxa" w:w="60"/>
              <w:right w:type="dxa" w:w="120"/>
            </w:tcMar>
          </w:tcPr>
          <w:p>
            <w:r>
              <w:rPr>
                <w:rFonts w:ascii="Times New Roman"/>
                <w:color w:val="000000"/>
                <w:sz w:val="21"/>
                <w:szCs w:val="21"/>
              </w:rPr>
              <w:t xml:space="preserve">Payment transaction record</w:t>
            </w:r>
          </w:p>
        </w:tc>
        <w:tc>
          <w:tcPr>
            <w:tcW w:type="pct" w:w="38%"/>
            <w:tcMar>
              <w:top w:type="dxa" w:w="60"/>
              <w:left w:type="dxa" w:w="120"/>
              <w:bottom w:type="dxa" w:w="60"/>
              <w:right w:type="dxa" w:w="120"/>
            </w:tcMar>
          </w:tcPr>
          <w:p>
            <w:r>
              <w:rPr>
                <w:rFonts w:ascii="Times New Roman"/>
                <w:color w:val="000000"/>
                <w:sz w:val="21"/>
                <w:szCs w:val="21"/>
              </w:rPr>
              <w:t xml:space="preserve">belongs to Booking</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Package</w:t>
            </w:r>
          </w:p>
        </w:tc>
        <w:tc>
          <w:tcPr>
            <w:tcW w:type="pct" w:w="42%"/>
            <w:tcMar>
              <w:top w:type="dxa" w:w="60"/>
              <w:left w:type="dxa" w:w="120"/>
              <w:bottom w:type="dxa" w:w="60"/>
              <w:right w:type="dxa" w:w="120"/>
            </w:tcMar>
          </w:tcPr>
          <w:p>
            <w:r>
              <w:rPr>
                <w:rFonts w:ascii="Times New Roman"/>
                <w:color w:val="000000"/>
                <w:sz w:val="21"/>
                <w:szCs w:val="21"/>
              </w:rPr>
              <w:t xml:space="preserve">Bookable package definition</w:t>
            </w:r>
          </w:p>
        </w:tc>
        <w:tc>
          <w:tcPr>
            <w:tcW w:type="pct" w:w="38%"/>
            <w:tcMar>
              <w:top w:type="dxa" w:w="60"/>
              <w:left w:type="dxa" w:w="120"/>
              <w:bottom w:type="dxa" w:w="60"/>
              <w:right w:type="dxa" w:w="120"/>
            </w:tcMar>
          </w:tcPr>
          <w:p>
            <w:r>
              <w:rPr>
                <w:rFonts w:ascii="Times New Roman"/>
                <w:color w:val="000000"/>
                <w:sz w:val="21"/>
                <w:szCs w:val="21"/>
              </w:rPr>
              <w:t xml:space="preserve">belongs to Facility</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PackagePurchase</w:t>
            </w:r>
          </w:p>
        </w:tc>
        <w:tc>
          <w:tcPr>
            <w:tcW w:type="pct" w:w="42%"/>
            <w:tcMar>
              <w:top w:type="dxa" w:w="60"/>
              <w:left w:type="dxa" w:w="120"/>
              <w:bottom w:type="dxa" w:w="60"/>
              <w:right w:type="dxa" w:w="120"/>
            </w:tcMar>
          </w:tcPr>
          <w:p>
            <w:r>
              <w:rPr>
                <w:rFonts w:ascii="Times New Roman"/>
                <w:color w:val="000000"/>
                <w:sz w:val="21"/>
                <w:szCs w:val="21"/>
              </w:rPr>
              <w:t xml:space="preserve">Customer package purchase</w:t>
            </w:r>
          </w:p>
        </w:tc>
        <w:tc>
          <w:tcPr>
            <w:tcW w:type="pct" w:w="38%"/>
            <w:tcMar>
              <w:top w:type="dxa" w:w="60"/>
              <w:left w:type="dxa" w:w="120"/>
              <w:bottom w:type="dxa" w:w="60"/>
              <w:right w:type="dxa" w:w="120"/>
            </w:tcMar>
          </w:tcPr>
          <w:p>
            <w:r>
              <w:rPr>
                <w:rFonts w:ascii="Times New Roman"/>
                <w:color w:val="000000"/>
                <w:sz w:val="21"/>
                <w:szCs w:val="21"/>
              </w:rPr>
              <w:t xml:space="preserve">belongs to Customer, Package</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Tournament</w:t>
            </w:r>
          </w:p>
        </w:tc>
        <w:tc>
          <w:tcPr>
            <w:tcW w:type="pct" w:w="42%"/>
            <w:tcMar>
              <w:top w:type="dxa" w:w="60"/>
              <w:left w:type="dxa" w:w="120"/>
              <w:bottom w:type="dxa" w:w="60"/>
              <w:right w:type="dxa" w:w="120"/>
            </w:tcMar>
          </w:tcPr>
          <w:p>
            <w:r>
              <w:rPr>
                <w:rFonts w:ascii="Times New Roman"/>
                <w:color w:val="000000"/>
                <w:sz w:val="21"/>
                <w:szCs w:val="21"/>
              </w:rPr>
              <w:t xml:space="preserve">Tournament event</w:t>
            </w:r>
          </w:p>
        </w:tc>
        <w:tc>
          <w:tcPr>
            <w:tcW w:type="pct" w:w="38%"/>
            <w:tcMar>
              <w:top w:type="dxa" w:w="60"/>
              <w:left w:type="dxa" w:w="120"/>
              <w:bottom w:type="dxa" w:w="60"/>
              <w:right w:type="dxa" w:w="120"/>
            </w:tcMar>
          </w:tcPr>
          <w:p>
            <w:r>
              <w:rPr>
                <w:rFonts w:ascii="Times New Roman"/>
                <w:color w:val="000000"/>
                <w:sz w:val="21"/>
                <w:szCs w:val="21"/>
              </w:rPr>
              <w:t xml:space="preserve">belongs to Facility</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TournamentTeam</w:t>
            </w:r>
          </w:p>
        </w:tc>
        <w:tc>
          <w:tcPr>
            <w:tcW w:type="pct" w:w="42%"/>
            <w:tcMar>
              <w:top w:type="dxa" w:w="60"/>
              <w:left w:type="dxa" w:w="120"/>
              <w:bottom w:type="dxa" w:w="60"/>
              <w:right w:type="dxa" w:w="120"/>
            </w:tcMar>
          </w:tcPr>
          <w:p>
            <w:r>
              <w:rPr>
                <w:rFonts w:ascii="Times New Roman"/>
                <w:color w:val="000000"/>
                <w:sz w:val="21"/>
                <w:szCs w:val="21"/>
              </w:rPr>
              <w:t xml:space="preserve">Team registered in tournament</w:t>
            </w:r>
          </w:p>
        </w:tc>
        <w:tc>
          <w:tcPr>
            <w:tcW w:type="pct" w:w="38%"/>
            <w:tcMar>
              <w:top w:type="dxa" w:w="60"/>
              <w:left w:type="dxa" w:w="120"/>
              <w:bottom w:type="dxa" w:w="60"/>
              <w:right w:type="dxa" w:w="120"/>
            </w:tcMar>
          </w:tcPr>
          <w:p>
            <w:r>
              <w:rPr>
                <w:rFonts w:ascii="Times New Roman"/>
                <w:color w:val="000000"/>
                <w:sz w:val="21"/>
                <w:szCs w:val="21"/>
              </w:rPr>
              <w:t xml:space="preserve">belongs to Tournament, Customer</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TournamentMatch</w:t>
            </w:r>
          </w:p>
        </w:tc>
        <w:tc>
          <w:tcPr>
            <w:tcW w:type="pct" w:w="42%"/>
            <w:tcMar>
              <w:top w:type="dxa" w:w="60"/>
              <w:left w:type="dxa" w:w="120"/>
              <w:bottom w:type="dxa" w:w="60"/>
              <w:right w:type="dxa" w:w="120"/>
            </w:tcMar>
          </w:tcPr>
          <w:p>
            <w:r>
              <w:rPr>
                <w:rFonts w:ascii="Times New Roman"/>
                <w:color w:val="000000"/>
                <w:sz w:val="21"/>
                <w:szCs w:val="21"/>
              </w:rPr>
              <w:t xml:space="preserve">Match within a tournament</w:t>
            </w:r>
          </w:p>
        </w:tc>
        <w:tc>
          <w:tcPr>
            <w:tcW w:type="pct" w:w="38%"/>
            <w:tcMar>
              <w:top w:type="dxa" w:w="60"/>
              <w:left w:type="dxa" w:w="120"/>
              <w:bottom w:type="dxa" w:w="60"/>
              <w:right w:type="dxa" w:w="120"/>
            </w:tcMar>
          </w:tcPr>
          <w:p>
            <w:r>
              <w:rPr>
                <w:rFonts w:ascii="Times New Roman"/>
                <w:color w:val="000000"/>
                <w:sz w:val="21"/>
                <w:szCs w:val="21"/>
              </w:rPr>
              <w:t xml:space="preserve">belongs to Tournament</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Expense</w:t>
            </w:r>
          </w:p>
        </w:tc>
        <w:tc>
          <w:tcPr>
            <w:tcW w:type="pct" w:w="42%"/>
            <w:tcMar>
              <w:top w:type="dxa" w:w="60"/>
              <w:left w:type="dxa" w:w="120"/>
              <w:bottom w:type="dxa" w:w="60"/>
              <w:right w:type="dxa" w:w="120"/>
            </w:tcMar>
          </w:tcPr>
          <w:p>
            <w:r>
              <w:rPr>
                <w:rFonts w:ascii="Times New Roman"/>
                <w:color w:val="000000"/>
                <w:sz w:val="21"/>
                <w:szCs w:val="21"/>
              </w:rPr>
              <w:t xml:space="preserve">Facility expense entry</w:t>
            </w:r>
          </w:p>
        </w:tc>
        <w:tc>
          <w:tcPr>
            <w:tcW w:type="pct" w:w="38%"/>
            <w:tcMar>
              <w:top w:type="dxa" w:w="60"/>
              <w:left w:type="dxa" w:w="120"/>
              <w:bottom w:type="dxa" w:w="60"/>
              <w:right w:type="dxa" w:w="120"/>
            </w:tcMar>
          </w:tcPr>
          <w:p>
            <w:r>
              <w:rPr>
                <w:rFonts w:ascii="Times New Roman"/>
                <w:color w:val="000000"/>
                <w:sz w:val="21"/>
                <w:szCs w:val="21"/>
              </w:rPr>
              <w:t xml:space="preserve">belongs to Facility</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Blacklist</w:t>
            </w:r>
          </w:p>
        </w:tc>
        <w:tc>
          <w:tcPr>
            <w:tcW w:type="pct" w:w="42%"/>
            <w:tcMar>
              <w:top w:type="dxa" w:w="60"/>
              <w:left w:type="dxa" w:w="120"/>
              <w:bottom w:type="dxa" w:w="60"/>
              <w:right w:type="dxa" w:w="120"/>
            </w:tcMar>
          </w:tcPr>
          <w:p>
            <w:r>
              <w:rPr>
                <w:rFonts w:ascii="Times New Roman"/>
                <w:color w:val="000000"/>
                <w:sz w:val="21"/>
                <w:szCs w:val="21"/>
              </w:rPr>
              <w:t xml:space="preserve">Blacklisted customer/team</w:t>
            </w:r>
          </w:p>
        </w:tc>
        <w:tc>
          <w:tcPr>
            <w:tcW w:type="pct" w:w="38%"/>
            <w:tcMar>
              <w:top w:type="dxa" w:w="60"/>
              <w:left w:type="dxa" w:w="120"/>
              <w:bottom w:type="dxa" w:w="60"/>
              <w:right w:type="dxa" w:w="120"/>
            </w:tcMar>
          </w:tcPr>
          <w:p>
            <w:r>
              <w:rPr>
                <w:rFonts w:ascii="Times New Roman"/>
                <w:color w:val="000000"/>
                <w:sz w:val="21"/>
                <w:szCs w:val="21"/>
              </w:rPr>
              <w:t xml:space="preserve">belongs to Facility</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Notification</w:t>
            </w:r>
          </w:p>
        </w:tc>
        <w:tc>
          <w:tcPr>
            <w:tcW w:type="pct" w:w="42%"/>
            <w:tcMar>
              <w:top w:type="dxa" w:w="60"/>
              <w:left w:type="dxa" w:w="120"/>
              <w:bottom w:type="dxa" w:w="60"/>
              <w:right w:type="dxa" w:w="120"/>
            </w:tcMar>
          </w:tcPr>
          <w:p>
            <w:r>
              <w:rPr>
                <w:rFonts w:ascii="Times New Roman"/>
                <w:color w:val="000000"/>
                <w:sz w:val="21"/>
                <w:szCs w:val="21"/>
              </w:rPr>
              <w:t xml:space="preserve">Notification record</w:t>
            </w:r>
          </w:p>
        </w:tc>
        <w:tc>
          <w:tcPr>
            <w:tcW w:type="pct" w:w="38%"/>
            <w:tcMar>
              <w:top w:type="dxa" w:w="60"/>
              <w:left w:type="dxa" w:w="120"/>
              <w:bottom w:type="dxa" w:w="60"/>
              <w:right w:type="dxa" w:w="120"/>
            </w:tcMar>
          </w:tcPr>
          <w:p>
            <w:r>
              <w:rPr>
                <w:rFonts w:ascii="Times New Roman"/>
                <w:color w:val="000000"/>
                <w:sz w:val="21"/>
                <w:szCs w:val="21"/>
              </w:rPr>
              <w:t xml:space="preserve">belongs to User</w:t>
            </w:r>
          </w:p>
        </w:tc>
      </w:tr>
      <w:tr>
        <w:trPr>
          <w:cantSplit/>
        </w:trPr>
        <w:tc>
          <w:tcPr>
            <w:tcW w:type="pct" w:w="20%"/>
            <w:tcMar>
              <w:top w:type="dxa" w:w="60"/>
              <w:left w:type="dxa" w:w="120"/>
              <w:bottom w:type="dxa" w:w="60"/>
              <w:right w:type="dxa" w:w="120"/>
            </w:tcMar>
          </w:tcPr>
          <w:p>
            <w:r>
              <w:rPr>
                <w:rFonts w:ascii="Times New Roman"/>
                <w:color w:val="000000"/>
                <w:sz w:val="21"/>
                <w:szCs w:val="21"/>
              </w:rPr>
              <w:t xml:space="preserve">Maintenance</w:t>
            </w:r>
          </w:p>
        </w:tc>
        <w:tc>
          <w:tcPr>
            <w:tcW w:type="pct" w:w="42%"/>
            <w:tcMar>
              <w:top w:type="dxa" w:w="60"/>
              <w:left w:type="dxa" w:w="120"/>
              <w:bottom w:type="dxa" w:w="60"/>
              <w:right w:type="dxa" w:w="120"/>
            </w:tcMar>
          </w:tcPr>
          <w:p>
            <w:r>
              <w:rPr>
                <w:rFonts w:ascii="Times New Roman"/>
                <w:color w:val="000000"/>
                <w:sz w:val="21"/>
                <w:szCs w:val="21"/>
              </w:rPr>
              <w:t xml:space="preserve">Resource maintenance schedule</w:t>
            </w:r>
          </w:p>
        </w:tc>
        <w:tc>
          <w:tcPr>
            <w:tcW w:type="pct" w:w="38%"/>
            <w:tcMar>
              <w:top w:type="dxa" w:w="60"/>
              <w:left w:type="dxa" w:w="120"/>
              <w:bottom w:type="dxa" w:w="60"/>
              <w:right w:type="dxa" w:w="120"/>
            </w:tcMar>
          </w:tcPr>
          <w:p>
            <w:r>
              <w:rPr>
                <w:rFonts w:ascii="Times New Roman"/>
                <w:color w:val="000000"/>
                <w:sz w:val="21"/>
                <w:szCs w:val="21"/>
              </w:rPr>
              <w:t xml:space="preserve">belongs to Resource</w:t>
            </w:r>
          </w:p>
        </w:tc>
      </w:tr>
    </w:tbl>
    <w:p>
      <w:pPr>
        <w:pStyle w:val="Heading2"/>
        <w:spacing w:after="120" w:before="280" w:line="312"/>
      </w:pPr>
      <w:bookmarkStart w:id="100036" w:name="_Toc100036"/>
      <w:r>
        <w:rPr>
          <w:rFonts w:ascii="Times New Roman"/>
          <w:b/>
          <w:bCs/>
          <w:color w:val="0A1628"/>
          <w:sz w:val="28"/>
          <w:szCs w:val="28"/>
        </w:rPr>
        <w:t xml:space="preserve">8.2 Key Schema Relationships</w:t>
      </w:r>
      <w:bookmarkEnd w:id="100036"/>
    </w:p>
    <w:p>
      <w:pPr>
        <w:spacing w:after="120" w:line="312"/>
        <w:jc w:val="both"/>
      </w:pPr>
      <w:r>
        <w:rPr>
          <w:rFonts w:ascii="Times New Roman"/>
          <w:color w:val="000000"/>
          <w:sz w:val="24"/>
          <w:szCs w:val="24"/>
        </w:rPr>
        <w:t xml:space="preserve">The most critical relationship in the schema is the Facility-Resource-Slot-Booking chain. A Facility owns multiple Resources, each Resource generates daily Slot instances, and each Slot can have at most one Booking. This one-to-one relationship between Slot and Booking ensures that double-booking is impossible at the database level. The Booking entity links to a Customer (through the user system), a Payment record, and one or more BookingItem records that reference specific Slots. This normalized structure supports multi-slot bookings (where a customer books consecutive hours) while maintaining individual slot-level tracking for availability queries.</w:t>
      </w:r>
    </w:p>
    <w:p>
      <w:pPr>
        <w:spacing w:after="120" w:line="312"/>
        <w:jc w:val="both"/>
      </w:pPr>
      <w:r>
        <w:rPr>
          <w:rFonts w:ascii="Times New Roman"/>
          <w:color w:val="000000"/>
          <w:sz w:val="24"/>
          <w:szCs w:val="24"/>
        </w:rPr>
        <w:t xml:space="preserve">The multi-tenancy isolation is achieved by scoping all facility-specific queries through the facility_id foreign key. When an Owner or Operator makes an API request, the authentication middleware extracts the facility_id from the JWT token and applies it as a mandatory filter on all database queries. This ensures that a facility owner cannot accidentally or intentionally access another facility's data. The Platform Admin bypasses this filter and has access to all facilities.</w:t>
      </w:r>
    </w:p>
    <w:p>
      <w:pPr>
        <w:pStyle w:val="Heading1"/>
        <w:spacing w:after="160" w:before="360" w:line="312"/>
      </w:pPr>
      <w:bookmarkStart w:id="100037" w:name="_Toc100037"/>
      <w:r>
        <w:rPr>
          <w:rFonts w:ascii="Times New Roman"/>
          <w:b/>
          <w:bCs/>
          <w:color w:val="0A1628"/>
          <w:sz w:val="32"/>
          <w:szCs w:val="32"/>
        </w:rPr>
        <w:t xml:space="preserve">9. Core Business Flows</w:t>
      </w:r>
      <w:bookmarkEnd w:id="100037"/>
    </w:p>
    <w:p>
      <w:pPr>
        <w:pStyle w:val="Heading2"/>
        <w:spacing w:after="120" w:before="280" w:line="312"/>
      </w:pPr>
      <w:bookmarkStart w:id="100038" w:name="_Toc100038"/>
      <w:r>
        <w:rPr>
          <w:rFonts w:ascii="Times New Roman"/>
          <w:b/>
          <w:bCs/>
          <w:color w:val="0A1628"/>
          <w:sz w:val="28"/>
          <w:szCs w:val="28"/>
        </w:rPr>
        <w:t xml:space="preserve">9.1 Facility Onboarding Flow</w:t>
      </w:r>
      <w:bookmarkEnd w:id="100038"/>
    </w:p>
    <w:p>
      <w:pPr>
        <w:spacing w:after="120" w:line="312"/>
        <w:jc w:val="both"/>
      </w:pPr>
      <w:r>
        <w:rPr>
          <w:rFonts w:ascii="Times New Roman"/>
          <w:color w:val="000000"/>
          <w:sz w:val="24"/>
          <w:szCs w:val="24"/>
        </w:rPr>
        <w:t xml:space="preserve">The facility onboarding flow is the entry point for new businesses joining the TurfBook platform. The process begins when a prospective facility owner submits an application through the TurfBook website, providing business details, contact information, and documentation. The Platform Admin reviews the application for completeness and legitimacy, checking for duplicate applications, verifying business registration documents, and assessing whether the facility meets TurfBook's quality standards. If the application is approved, the system creates a Facility record, generates a Facility Owner account with temporary credentials, and sends the login details to the owner via SMS and email. The owner then logs in, changes their password, and begins configuring their facility profile, resources, and pricing.</w:t>
      </w:r>
    </w:p>
    <w:p>
      <w:pPr>
        <w:pStyle w:val="Heading2"/>
        <w:spacing w:after="120" w:before="280" w:line="312"/>
      </w:pPr>
      <w:bookmarkStart w:id="100039" w:name="_Toc100039"/>
      <w:r>
        <w:rPr>
          <w:rFonts w:ascii="Times New Roman"/>
          <w:b/>
          <w:bCs/>
          <w:color w:val="0A1628"/>
          <w:sz w:val="28"/>
          <w:szCs w:val="28"/>
        </w:rPr>
        <w:t xml:space="preserve">9.2 Customer Booking Flow</w:t>
      </w:r>
      <w:bookmarkEnd w:id="100039"/>
    </w:p>
    <w:p>
      <w:pPr>
        <w:spacing w:after="120" w:line="312"/>
        <w:jc w:val="both"/>
      </w:pPr>
      <w:r>
        <w:rPr>
          <w:rFonts w:ascii="Times New Roman"/>
          <w:color w:val="000000"/>
          <w:sz w:val="24"/>
          <w:szCs w:val="24"/>
        </w:rPr>
        <w:t xml:space="preserve">The customer booking flow is the primary value-generating process in the TurfBook ecosystem. The customer discovers a facility through search or direct link, browses available resources and time slots, selects their desired slot, and initiates the booking process. After entering their mobile number and verifying via OTP, the customer selects a payment method (bKash or Nagad) and completes the payment through their mobile financial service app. They then submit the transaction ID as payment proof through the TurfBook interface. The booking enters a Pending state and appears in the facility owner's payment verification queue. The owner or operator verifies the payment, confirms the booking, and the customer receives a confirmation notification.</w:t>
      </w:r>
    </w:p>
    <w:p>
      <w:pPr>
        <w:pStyle w:val="Heading2"/>
        <w:spacing w:after="120" w:before="280" w:line="312"/>
      </w:pPr>
      <w:bookmarkStart w:id="100040" w:name="_Toc100040"/>
      <w:r>
        <w:rPr>
          <w:rFonts w:ascii="Times New Roman"/>
          <w:b/>
          <w:bCs/>
          <w:color w:val="0A1628"/>
          <w:sz w:val="28"/>
          <w:szCs w:val="28"/>
        </w:rPr>
        <w:t xml:space="preserve">9.3 Money Flow and Platform Fee</w:t>
      </w:r>
      <w:bookmarkEnd w:id="100040"/>
    </w:p>
    <w:p>
      <w:pPr>
        <w:spacing w:after="120" w:line="312"/>
        <w:jc w:val="both"/>
      </w:pPr>
      <w:r>
        <w:rPr>
          <w:rFonts w:ascii="Times New Roman"/>
          <w:color w:val="000000"/>
          <w:sz w:val="24"/>
          <w:szCs w:val="24"/>
        </w:rPr>
        <w:t xml:space="preserve">The money flow in TurfBook follows a straightforward path: the customer pays the full booking amount directly to the facility's bKash or Nagad account, and the platform charges a fixed fee of 15 BDT per booking. This platform fee can be collected through two mechanisms: at payment time (deducted from the customer's payment before it reaches the facility) or at settlement time (deducted from periodic payments made by the facility to the platform). The chosen mechanism must be explicitly configured in the system settings and communicated to facility owners during onboarding. The system tracks all platform fee obligations and provides the Platform Admin with a comprehensive fee collection report.</w:t>
      </w:r>
    </w:p>
    <w:p>
      <w:pPr>
        <w:pStyle w:val="Heading2"/>
        <w:spacing w:after="120" w:before="280" w:line="312"/>
      </w:pPr>
      <w:bookmarkStart w:id="100041" w:name="_Toc100041"/>
      <w:r>
        <w:rPr>
          <w:rFonts w:ascii="Times New Roman"/>
          <w:b/>
          <w:bCs/>
          <w:color w:val="0A1628"/>
          <w:sz w:val="28"/>
          <w:szCs w:val="28"/>
        </w:rPr>
        <w:t xml:space="preserve">9.4 Cancellation and Refund Flow</w:t>
      </w:r>
      <w:bookmarkEnd w:id="100041"/>
    </w:p>
    <w:p>
      <w:pPr>
        <w:spacing w:after="120" w:line="312"/>
        <w:jc w:val="both"/>
      </w:pPr>
      <w:r>
        <w:rPr>
          <w:rFonts w:ascii="Times New Roman"/>
          <w:color w:val="000000"/>
          <w:sz w:val="24"/>
          <w:szCs w:val="24"/>
        </w:rPr>
        <w:t xml:space="preserve">The cancellation flow is governed by each facility's cancellation policy, which defines the minimum notice period required for a full refund, partial refund, or no refund. When a customer requests a cancellation, the system checks the booking's time against the facility's policy and determines the refund eligibility. If a refund is applicable, the facility owner processes the refund manually through their mobile financial service account, and the system records the refund in the payment history. The platform fee is not refunded on cancelled bookings, as it represents the cost of the platform service that was already consumed.</w:t>
      </w:r>
    </w:p>
    <w:p>
      <w:pPr>
        <w:pStyle w:val="Heading1"/>
        <w:spacing w:after="160" w:before="360" w:line="312"/>
      </w:pPr>
      <w:bookmarkStart w:id="100042" w:name="_Toc100042"/>
      <w:r>
        <w:rPr>
          <w:rFonts w:ascii="Times New Roman"/>
          <w:b/>
          <w:bCs/>
          <w:color w:val="0A1628"/>
          <w:sz w:val="32"/>
          <w:szCs w:val="32"/>
        </w:rPr>
        <w:t xml:space="preserve">10. API Architecture</w:t>
      </w:r>
      <w:bookmarkEnd w:id="100042"/>
    </w:p>
    <w:p>
      <w:pPr>
        <w:pStyle w:val="Heading2"/>
        <w:spacing w:after="120" w:before="280" w:line="312"/>
      </w:pPr>
      <w:bookmarkStart w:id="100043" w:name="_Toc100043"/>
      <w:r>
        <w:rPr>
          <w:rFonts w:ascii="Times New Roman"/>
          <w:b/>
          <w:bCs/>
          <w:color w:val="0A1628"/>
          <w:sz w:val="28"/>
          <w:szCs w:val="28"/>
        </w:rPr>
        <w:t xml:space="preserve">10.1 API Design Principles</w:t>
      </w:r>
      <w:bookmarkEnd w:id="100043"/>
    </w:p>
    <w:p>
      <w:pPr>
        <w:spacing w:after="120" w:line="312"/>
        <w:jc w:val="both"/>
      </w:pPr>
      <w:r>
        <w:rPr>
          <w:rFonts w:ascii="Times New Roman"/>
          <w:color w:val="000000"/>
          <w:sz w:val="24"/>
          <w:szCs w:val="24"/>
        </w:rPr>
        <w:t xml:space="preserve">The TurfBook API follows RESTful design principles with consistent URL patterns, HTTP method semantics, and JSON request/response formats. All API endpoints are versioned under the /api/v1/ prefix, allowing future API evolution without breaking existing clients. Authentication is handled through Bearer tokens in the Authorization header, with different token types for each role. Rate limiting is applied per-user to prevent abuse, with higher limits for admin roles and lower limits for public endpoints. All API responses follow a standard envelope format containing a status code, message, data payload, and optional pagination metadata.</w:t>
      </w:r>
    </w:p>
    <w:p>
      <w:pPr>
        <w:pStyle w:val="Heading2"/>
        <w:spacing w:after="120" w:before="280" w:line="312"/>
      </w:pPr>
      <w:bookmarkStart w:id="100044" w:name="_Toc100044"/>
      <w:r>
        <w:rPr>
          <w:rFonts w:ascii="Times New Roman"/>
          <w:b/>
          <w:bCs/>
          <w:color w:val="0A1628"/>
          <w:sz w:val="28"/>
          <w:szCs w:val="28"/>
        </w:rPr>
        <w:t xml:space="preserve">10.2 Endpoint Groups</w:t>
      </w:r>
      <w:bookmarkEnd w:id="100044"/>
    </w:p>
    <w:p>
      <w:pPr>
        <w:keepNext/>
        <w:spacing w:after="80" w:before="200"/>
      </w:pPr>
      <w:r>
        <w:rPr>
          <w:rFonts w:ascii="Times New Roman"/>
          <w:b/>
          <w:bCs/>
          <w:color w:val="6878A0"/>
          <w:sz w:val="21"/>
          <w:szCs w:val="21"/>
        </w:rPr>
        <w:t xml:space="preserve">Table 5: API Endpoint Groups</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tblGrid>
      <w:tr>
        <w:trPr>
          <w:cantSplit/>
          <w:tblHeader/>
        </w:trPr>
        <w:tc>
          <w:tcPr>
            <w:tcW w:type="pct" w:w="18%"/>
            <w:shd w:fill="F4F8FC" w:val="clear"/>
            <w:tcMar>
              <w:top w:type="dxa" w:w="60"/>
              <w:left w:type="dxa" w:w="120"/>
              <w:bottom w:type="dxa" w:w="60"/>
              <w:right w:type="dxa" w:w="120"/>
            </w:tcMar>
          </w:tcPr>
          <w:p>
            <w:r>
              <w:rPr>
                <w:rFonts w:ascii="Times New Roman"/>
                <w:b/>
                <w:bCs/>
                <w:color w:val="0A1628"/>
                <w:sz w:val="21"/>
                <w:szCs w:val="21"/>
              </w:rPr>
              <w:t xml:space="preserve">Group</w:t>
            </w:r>
          </w:p>
        </w:tc>
        <w:tc>
          <w:tcPr>
            <w:tcW w:type="pct" w:w="25%"/>
            <w:shd w:fill="F4F8FC" w:val="clear"/>
            <w:tcMar>
              <w:top w:type="dxa" w:w="60"/>
              <w:left w:type="dxa" w:w="120"/>
              <w:bottom w:type="dxa" w:w="60"/>
              <w:right w:type="dxa" w:w="120"/>
            </w:tcMar>
          </w:tcPr>
          <w:p>
            <w:r>
              <w:rPr>
                <w:rFonts w:ascii="Times New Roman"/>
                <w:b/>
                <w:bCs/>
                <w:color w:val="0A1628"/>
                <w:sz w:val="21"/>
                <w:szCs w:val="21"/>
              </w:rPr>
              <w:t xml:space="preserve">Prefix</w:t>
            </w:r>
          </w:p>
        </w:tc>
        <w:tc>
          <w:tcPr>
            <w:tcW w:type="pct" w:w="20%"/>
            <w:shd w:fill="F4F8FC" w:val="clear"/>
            <w:tcMar>
              <w:top w:type="dxa" w:w="60"/>
              <w:left w:type="dxa" w:w="120"/>
              <w:bottom w:type="dxa" w:w="60"/>
              <w:right w:type="dxa" w:w="120"/>
            </w:tcMar>
          </w:tcPr>
          <w:p>
            <w:r>
              <w:rPr>
                <w:rFonts w:ascii="Times New Roman"/>
                <w:b/>
                <w:bCs/>
                <w:color w:val="0A1628"/>
                <w:sz w:val="21"/>
                <w:szCs w:val="21"/>
              </w:rPr>
              <w:t xml:space="preserve">Access</w:t>
            </w:r>
          </w:p>
        </w:tc>
        <w:tc>
          <w:tcPr>
            <w:tcW w:type="pct" w:w="37%"/>
            <w:shd w:fill="F4F8FC" w:val="clear"/>
            <w:tcMar>
              <w:top w:type="dxa" w:w="60"/>
              <w:left w:type="dxa" w:w="120"/>
              <w:bottom w:type="dxa" w:w="60"/>
              <w:right w:type="dxa" w:w="120"/>
            </w:tcMar>
          </w:tcPr>
          <w:p>
            <w:r>
              <w:rPr>
                <w:rFonts w:ascii="Times New Roman"/>
                <w:b/>
                <w:bCs/>
                <w:color w:val="0A1628"/>
                <w:sz w:val="21"/>
                <w:szCs w:val="21"/>
              </w:rPr>
              <w:t xml:space="preserve">Description</w:t>
            </w:r>
          </w:p>
        </w:tc>
      </w:tr>
      <w:tr>
        <w:trPr>
          <w:cantSplit/>
        </w:trPr>
        <w:tc>
          <w:tcPr>
            <w:tcW w:type="pct" w:w="18%"/>
            <w:tcMar>
              <w:top w:type="dxa" w:w="60"/>
              <w:left w:type="dxa" w:w="120"/>
              <w:bottom w:type="dxa" w:w="60"/>
              <w:right w:type="dxa" w:w="120"/>
            </w:tcMar>
          </w:tcPr>
          <w:p>
            <w:r>
              <w:rPr>
                <w:rFonts w:ascii="Times New Roman"/>
                <w:color w:val="000000"/>
                <w:sz w:val="21"/>
                <w:szCs w:val="21"/>
              </w:rPr>
              <w:t xml:space="preserve">Auth</w:t>
            </w:r>
          </w:p>
        </w:tc>
        <w:tc>
          <w:tcPr>
            <w:tcW w:type="pct" w:w="25%"/>
            <w:tcMar>
              <w:top w:type="dxa" w:w="60"/>
              <w:left w:type="dxa" w:w="120"/>
              <w:bottom w:type="dxa" w:w="60"/>
              <w:right w:type="dxa" w:w="120"/>
            </w:tcMar>
          </w:tcPr>
          <w:p>
            <w:r>
              <w:rPr>
                <w:rFonts w:ascii="Times New Roman"/>
                <w:color w:val="000000"/>
                <w:sz w:val="21"/>
                <w:szCs w:val="21"/>
              </w:rPr>
              <w:t xml:space="preserve">/api/v1/auth</w:t>
            </w:r>
          </w:p>
        </w:tc>
        <w:tc>
          <w:tcPr>
            <w:tcW w:type="pct" w:w="20%"/>
            <w:tcMar>
              <w:top w:type="dxa" w:w="60"/>
              <w:left w:type="dxa" w:w="120"/>
              <w:bottom w:type="dxa" w:w="60"/>
              <w:right w:type="dxa" w:w="120"/>
            </w:tcMar>
          </w:tcPr>
          <w:p>
            <w:r>
              <w:rPr>
                <w:rFonts w:ascii="Times New Roman"/>
                <w:color w:val="000000"/>
                <w:sz w:val="21"/>
                <w:szCs w:val="21"/>
              </w:rPr>
              <w:t xml:space="preserve">Public</w:t>
            </w:r>
          </w:p>
        </w:tc>
        <w:tc>
          <w:tcPr>
            <w:tcW w:type="pct" w:w="37%"/>
            <w:tcMar>
              <w:top w:type="dxa" w:w="60"/>
              <w:left w:type="dxa" w:w="120"/>
              <w:bottom w:type="dxa" w:w="60"/>
              <w:right w:type="dxa" w:w="120"/>
            </w:tcMar>
          </w:tcPr>
          <w:p>
            <w:r>
              <w:rPr>
                <w:rFonts w:ascii="Times New Roman"/>
                <w:color w:val="000000"/>
                <w:sz w:val="21"/>
                <w:szCs w:val="21"/>
              </w:rPr>
              <w:t xml:space="preserve">Login, OTP, token refresh</w:t>
            </w:r>
          </w:p>
        </w:tc>
      </w:tr>
      <w:tr>
        <w:trPr>
          <w:cantSplit/>
        </w:trPr>
        <w:tc>
          <w:tcPr>
            <w:tcW w:type="pct" w:w="18%"/>
            <w:tcMar>
              <w:top w:type="dxa" w:w="60"/>
              <w:left w:type="dxa" w:w="120"/>
              <w:bottom w:type="dxa" w:w="60"/>
              <w:right w:type="dxa" w:w="120"/>
            </w:tcMar>
          </w:tcPr>
          <w:p>
            <w:r>
              <w:rPr>
                <w:rFonts w:ascii="Times New Roman"/>
                <w:color w:val="000000"/>
                <w:sz w:val="21"/>
                <w:szCs w:val="21"/>
              </w:rPr>
              <w:t xml:space="preserve">Facilities</w:t>
            </w:r>
          </w:p>
        </w:tc>
        <w:tc>
          <w:tcPr>
            <w:tcW w:type="pct" w:w="25%"/>
            <w:tcMar>
              <w:top w:type="dxa" w:w="60"/>
              <w:left w:type="dxa" w:w="120"/>
              <w:bottom w:type="dxa" w:w="60"/>
              <w:right w:type="dxa" w:w="120"/>
            </w:tcMar>
          </w:tcPr>
          <w:p>
            <w:r>
              <w:rPr>
                <w:rFonts w:ascii="Times New Roman"/>
                <w:color w:val="000000"/>
                <w:sz w:val="21"/>
                <w:szCs w:val="21"/>
              </w:rPr>
              <w:t xml:space="preserve">/api/v1/facilities</w:t>
            </w:r>
          </w:p>
        </w:tc>
        <w:tc>
          <w:tcPr>
            <w:tcW w:type="pct" w:w="20%"/>
            <w:tcMar>
              <w:top w:type="dxa" w:w="60"/>
              <w:left w:type="dxa" w:w="120"/>
              <w:bottom w:type="dxa" w:w="60"/>
              <w:right w:type="dxa" w:w="120"/>
            </w:tcMar>
          </w:tcPr>
          <w:p>
            <w:r>
              <w:rPr>
                <w:rFonts w:ascii="Times New Roman"/>
                <w:color w:val="000000"/>
                <w:sz w:val="21"/>
                <w:szCs w:val="21"/>
              </w:rPr>
              <w:t xml:space="preserve">Public + Auth</w:t>
            </w:r>
          </w:p>
        </w:tc>
        <w:tc>
          <w:tcPr>
            <w:tcW w:type="pct" w:w="37%"/>
            <w:tcMar>
              <w:top w:type="dxa" w:w="60"/>
              <w:left w:type="dxa" w:w="120"/>
              <w:bottom w:type="dxa" w:w="60"/>
              <w:right w:type="dxa" w:w="120"/>
            </w:tcMar>
          </w:tcPr>
          <w:p>
            <w:r>
              <w:rPr>
                <w:rFonts w:ascii="Times New Roman"/>
                <w:color w:val="000000"/>
                <w:sz w:val="21"/>
                <w:szCs w:val="21"/>
              </w:rPr>
              <w:t xml:space="preserve">Search, public profiles, booking pages</w:t>
            </w:r>
          </w:p>
        </w:tc>
      </w:tr>
      <w:tr>
        <w:trPr>
          <w:cantSplit/>
        </w:trPr>
        <w:tc>
          <w:tcPr>
            <w:tcW w:type="pct" w:w="18%"/>
            <w:tcMar>
              <w:top w:type="dxa" w:w="60"/>
              <w:left w:type="dxa" w:w="120"/>
              <w:bottom w:type="dxa" w:w="60"/>
              <w:right w:type="dxa" w:w="120"/>
            </w:tcMar>
          </w:tcPr>
          <w:p>
            <w:r>
              <w:rPr>
                <w:rFonts w:ascii="Times New Roman"/>
                <w:color w:val="000000"/>
                <w:sz w:val="21"/>
                <w:szCs w:val="21"/>
              </w:rPr>
              <w:t xml:space="preserve">Bookings</w:t>
            </w:r>
          </w:p>
        </w:tc>
        <w:tc>
          <w:tcPr>
            <w:tcW w:type="pct" w:w="25%"/>
            <w:tcMar>
              <w:top w:type="dxa" w:w="60"/>
              <w:left w:type="dxa" w:w="120"/>
              <w:bottom w:type="dxa" w:w="60"/>
              <w:right w:type="dxa" w:w="120"/>
            </w:tcMar>
          </w:tcPr>
          <w:p>
            <w:r>
              <w:rPr>
                <w:rFonts w:ascii="Times New Roman"/>
                <w:color w:val="000000"/>
                <w:sz w:val="21"/>
                <w:szCs w:val="21"/>
              </w:rPr>
              <w:t xml:space="preserve">/api/v1/bookings</w:t>
            </w:r>
          </w:p>
        </w:tc>
        <w:tc>
          <w:tcPr>
            <w:tcW w:type="pct" w:w="20%"/>
            <w:tcMar>
              <w:top w:type="dxa" w:w="60"/>
              <w:left w:type="dxa" w:w="120"/>
              <w:bottom w:type="dxa" w:w="60"/>
              <w:right w:type="dxa" w:w="120"/>
            </w:tcMar>
          </w:tcPr>
          <w:p>
            <w:r>
              <w:rPr>
                <w:rFonts w:ascii="Times New Roman"/>
                <w:color w:val="000000"/>
                <w:sz w:val="21"/>
                <w:szCs w:val="21"/>
              </w:rPr>
              <w:t xml:space="preserve">Authenticated</w:t>
            </w:r>
          </w:p>
        </w:tc>
        <w:tc>
          <w:tcPr>
            <w:tcW w:type="pct" w:w="37%"/>
            <w:tcMar>
              <w:top w:type="dxa" w:w="60"/>
              <w:left w:type="dxa" w:w="120"/>
              <w:bottom w:type="dxa" w:w="60"/>
              <w:right w:type="dxa" w:w="120"/>
            </w:tcMar>
          </w:tcPr>
          <w:p>
            <w:r>
              <w:rPr>
                <w:rFonts w:ascii="Times New Roman"/>
                <w:color w:val="000000"/>
                <w:sz w:val="21"/>
                <w:szCs w:val="21"/>
              </w:rPr>
              <w:t xml:space="preserve">Create, view, cancel bookings</w:t>
            </w:r>
          </w:p>
        </w:tc>
      </w:tr>
      <w:tr>
        <w:trPr>
          <w:cantSplit/>
        </w:trPr>
        <w:tc>
          <w:tcPr>
            <w:tcW w:type="pct" w:w="18%"/>
            <w:tcMar>
              <w:top w:type="dxa" w:w="60"/>
              <w:left w:type="dxa" w:w="120"/>
              <w:bottom w:type="dxa" w:w="60"/>
              <w:right w:type="dxa" w:w="120"/>
            </w:tcMar>
          </w:tcPr>
          <w:p>
            <w:r>
              <w:rPr>
                <w:rFonts w:ascii="Times New Roman"/>
                <w:color w:val="000000"/>
                <w:sz w:val="21"/>
                <w:szCs w:val="21"/>
              </w:rPr>
              <w:t xml:space="preserve">Payments</w:t>
            </w:r>
          </w:p>
        </w:tc>
        <w:tc>
          <w:tcPr>
            <w:tcW w:type="pct" w:w="25%"/>
            <w:tcMar>
              <w:top w:type="dxa" w:w="60"/>
              <w:left w:type="dxa" w:w="120"/>
              <w:bottom w:type="dxa" w:w="60"/>
              <w:right w:type="dxa" w:w="120"/>
            </w:tcMar>
          </w:tcPr>
          <w:p>
            <w:r>
              <w:rPr>
                <w:rFonts w:ascii="Times New Roman"/>
                <w:color w:val="000000"/>
                <w:sz w:val="21"/>
                <w:szCs w:val="21"/>
              </w:rPr>
              <w:t xml:space="preserve">/api/v1/payments</w:t>
            </w:r>
          </w:p>
        </w:tc>
        <w:tc>
          <w:tcPr>
            <w:tcW w:type="pct" w:w="20%"/>
            <w:tcMar>
              <w:top w:type="dxa" w:w="60"/>
              <w:left w:type="dxa" w:w="120"/>
              <w:bottom w:type="dxa" w:w="60"/>
              <w:right w:type="dxa" w:w="120"/>
            </w:tcMar>
          </w:tcPr>
          <w:p>
            <w:r>
              <w:rPr>
                <w:rFonts w:ascii="Times New Roman"/>
                <w:color w:val="000000"/>
                <w:sz w:val="21"/>
                <w:szCs w:val="21"/>
              </w:rPr>
              <w:t xml:space="preserve">Owner + Operator</w:t>
            </w:r>
          </w:p>
        </w:tc>
        <w:tc>
          <w:tcPr>
            <w:tcW w:type="pct" w:w="37%"/>
            <w:tcMar>
              <w:top w:type="dxa" w:w="60"/>
              <w:left w:type="dxa" w:w="120"/>
              <w:bottom w:type="dxa" w:w="60"/>
              <w:right w:type="dxa" w:w="120"/>
            </w:tcMar>
          </w:tcPr>
          <w:p>
            <w:r>
              <w:rPr>
                <w:rFonts w:ascii="Times New Roman"/>
                <w:color w:val="000000"/>
                <w:sz w:val="21"/>
                <w:szCs w:val="21"/>
              </w:rPr>
              <w:t xml:space="preserve">Submit, verify, list payments</w:t>
            </w:r>
          </w:p>
        </w:tc>
      </w:tr>
      <w:tr>
        <w:trPr>
          <w:cantSplit/>
        </w:trPr>
        <w:tc>
          <w:tcPr>
            <w:tcW w:type="pct" w:w="18%"/>
            <w:tcMar>
              <w:top w:type="dxa" w:w="60"/>
              <w:left w:type="dxa" w:w="120"/>
              <w:bottom w:type="dxa" w:w="60"/>
              <w:right w:type="dxa" w:w="120"/>
            </w:tcMar>
          </w:tcPr>
          <w:p>
            <w:r>
              <w:rPr>
                <w:rFonts w:ascii="Times New Roman"/>
                <w:color w:val="000000"/>
                <w:sz w:val="21"/>
                <w:szCs w:val="21"/>
              </w:rPr>
              <w:t xml:space="preserve">Resources</w:t>
            </w:r>
          </w:p>
        </w:tc>
        <w:tc>
          <w:tcPr>
            <w:tcW w:type="pct" w:w="25%"/>
            <w:tcMar>
              <w:top w:type="dxa" w:w="60"/>
              <w:left w:type="dxa" w:w="120"/>
              <w:bottom w:type="dxa" w:w="60"/>
              <w:right w:type="dxa" w:w="120"/>
            </w:tcMar>
          </w:tcPr>
          <w:p>
            <w:r>
              <w:rPr>
                <w:rFonts w:ascii="Times New Roman"/>
                <w:color w:val="000000"/>
                <w:sz w:val="21"/>
                <w:szCs w:val="21"/>
              </w:rPr>
              <w:t xml:space="preserve">/api/v1/resources</w:t>
            </w:r>
          </w:p>
        </w:tc>
        <w:tc>
          <w:tcPr>
            <w:tcW w:type="pct" w:w="20%"/>
            <w:tcMar>
              <w:top w:type="dxa" w:w="60"/>
              <w:left w:type="dxa" w:w="120"/>
              <w:bottom w:type="dxa" w:w="60"/>
              <w:right w:type="dxa" w:w="120"/>
            </w:tcMar>
          </w:tcPr>
          <w:p>
            <w:r>
              <w:rPr>
                <w:rFonts w:ascii="Times New Roman"/>
                <w:color w:val="000000"/>
                <w:sz w:val="21"/>
                <w:szCs w:val="21"/>
              </w:rPr>
              <w:t xml:space="preserve">Owner</w:t>
            </w:r>
          </w:p>
        </w:tc>
        <w:tc>
          <w:tcPr>
            <w:tcW w:type="pct" w:w="37%"/>
            <w:tcMar>
              <w:top w:type="dxa" w:w="60"/>
              <w:left w:type="dxa" w:w="120"/>
              <w:bottom w:type="dxa" w:w="60"/>
              <w:right w:type="dxa" w:w="120"/>
            </w:tcMar>
          </w:tcPr>
          <w:p>
            <w:r>
              <w:rPr>
                <w:rFonts w:ascii="Times New Roman"/>
                <w:color w:val="000000"/>
                <w:sz w:val="21"/>
                <w:szCs w:val="21"/>
              </w:rPr>
              <w:t xml:space="preserve">CRUD for facility resources</w:t>
            </w:r>
          </w:p>
        </w:tc>
      </w:tr>
      <w:tr>
        <w:trPr>
          <w:cantSplit/>
        </w:trPr>
        <w:tc>
          <w:tcPr>
            <w:tcW w:type="pct" w:w="18%"/>
            <w:tcMar>
              <w:top w:type="dxa" w:w="60"/>
              <w:left w:type="dxa" w:w="120"/>
              <w:bottom w:type="dxa" w:w="60"/>
              <w:right w:type="dxa" w:w="120"/>
            </w:tcMar>
          </w:tcPr>
          <w:p>
            <w:r>
              <w:rPr>
                <w:rFonts w:ascii="Times New Roman"/>
                <w:color w:val="000000"/>
                <w:sz w:val="21"/>
                <w:szCs w:val="21"/>
              </w:rPr>
              <w:t xml:space="preserve">Slots</w:t>
            </w:r>
          </w:p>
        </w:tc>
        <w:tc>
          <w:tcPr>
            <w:tcW w:type="pct" w:w="25%"/>
            <w:tcMar>
              <w:top w:type="dxa" w:w="60"/>
              <w:left w:type="dxa" w:w="120"/>
              <w:bottom w:type="dxa" w:w="60"/>
              <w:right w:type="dxa" w:w="120"/>
            </w:tcMar>
          </w:tcPr>
          <w:p>
            <w:r>
              <w:rPr>
                <w:rFonts w:ascii="Times New Roman"/>
                <w:color w:val="000000"/>
                <w:sz w:val="21"/>
                <w:szCs w:val="21"/>
              </w:rPr>
              <w:t xml:space="preserve">/api/v1/slots</w:t>
            </w:r>
          </w:p>
        </w:tc>
        <w:tc>
          <w:tcPr>
            <w:tcW w:type="pct" w:w="20%"/>
            <w:tcMar>
              <w:top w:type="dxa" w:w="60"/>
              <w:left w:type="dxa" w:w="120"/>
              <w:bottom w:type="dxa" w:w="60"/>
              <w:right w:type="dxa" w:w="120"/>
            </w:tcMar>
          </w:tcPr>
          <w:p>
            <w:r>
              <w:rPr>
                <w:rFonts w:ascii="Times New Roman"/>
                <w:color w:val="000000"/>
                <w:sz w:val="21"/>
                <w:szCs w:val="21"/>
              </w:rPr>
              <w:t xml:space="preserve">Owner + Public</w:t>
            </w:r>
          </w:p>
        </w:tc>
        <w:tc>
          <w:tcPr>
            <w:tcW w:type="pct" w:w="37%"/>
            <w:tcMar>
              <w:top w:type="dxa" w:w="60"/>
              <w:left w:type="dxa" w:w="120"/>
              <w:bottom w:type="dxa" w:w="60"/>
              <w:right w:type="dxa" w:w="120"/>
            </w:tcMar>
          </w:tcPr>
          <w:p>
            <w:r>
              <w:rPr>
                <w:rFonts w:ascii="Times New Roman"/>
                <w:color w:val="000000"/>
                <w:sz w:val="21"/>
                <w:szCs w:val="21"/>
              </w:rPr>
              <w:t xml:space="preserve">Generate, update, query availability</w:t>
            </w:r>
          </w:p>
        </w:tc>
      </w:tr>
      <w:tr>
        <w:trPr>
          <w:cantSplit/>
        </w:trPr>
        <w:tc>
          <w:tcPr>
            <w:tcW w:type="pct" w:w="18%"/>
            <w:tcMar>
              <w:top w:type="dxa" w:w="60"/>
              <w:left w:type="dxa" w:w="120"/>
              <w:bottom w:type="dxa" w:w="60"/>
              <w:right w:type="dxa" w:w="120"/>
            </w:tcMar>
          </w:tcPr>
          <w:p>
            <w:r>
              <w:rPr>
                <w:rFonts w:ascii="Times New Roman"/>
                <w:color w:val="000000"/>
                <w:sz w:val="21"/>
                <w:szCs w:val="21"/>
              </w:rPr>
              <w:t xml:space="preserve">Admin</w:t>
            </w:r>
          </w:p>
        </w:tc>
        <w:tc>
          <w:tcPr>
            <w:tcW w:type="pct" w:w="25%"/>
            <w:tcMar>
              <w:top w:type="dxa" w:w="60"/>
              <w:left w:type="dxa" w:w="120"/>
              <w:bottom w:type="dxa" w:w="60"/>
              <w:right w:type="dxa" w:w="120"/>
            </w:tcMar>
          </w:tcPr>
          <w:p>
            <w:r>
              <w:rPr>
                <w:rFonts w:ascii="Times New Roman"/>
                <w:color w:val="000000"/>
                <w:sz w:val="21"/>
                <w:szCs w:val="21"/>
              </w:rPr>
              <w:t xml:space="preserve">/api/v1/admin</w:t>
            </w:r>
          </w:p>
        </w:tc>
        <w:tc>
          <w:tcPr>
            <w:tcW w:type="pct" w:w="20%"/>
            <w:tcMar>
              <w:top w:type="dxa" w:w="60"/>
              <w:left w:type="dxa" w:w="120"/>
              <w:bottom w:type="dxa" w:w="60"/>
              <w:right w:type="dxa" w:w="120"/>
            </w:tcMar>
          </w:tcPr>
          <w:p>
            <w:r>
              <w:rPr>
                <w:rFonts w:ascii="Times New Roman"/>
                <w:color w:val="000000"/>
                <w:sz w:val="21"/>
                <w:szCs w:val="21"/>
              </w:rPr>
              <w:t xml:space="preserve">Platform Admin</w:t>
            </w:r>
          </w:p>
        </w:tc>
        <w:tc>
          <w:tcPr>
            <w:tcW w:type="pct" w:w="37%"/>
            <w:tcMar>
              <w:top w:type="dxa" w:w="60"/>
              <w:left w:type="dxa" w:w="120"/>
              <w:bottom w:type="dxa" w:w="60"/>
              <w:right w:type="dxa" w:w="120"/>
            </w:tcMar>
          </w:tcPr>
          <w:p>
            <w:r>
              <w:rPr>
                <w:rFonts w:ascii="Times New Roman"/>
                <w:color w:val="000000"/>
                <w:sz w:val="21"/>
                <w:szCs w:val="21"/>
              </w:rPr>
              <w:t xml:space="preserve">Facility approval, platform settings</w:t>
            </w:r>
          </w:p>
        </w:tc>
      </w:tr>
      <w:tr>
        <w:trPr>
          <w:cantSplit/>
        </w:trPr>
        <w:tc>
          <w:tcPr>
            <w:tcW w:type="pct" w:w="18%"/>
            <w:tcMar>
              <w:top w:type="dxa" w:w="60"/>
              <w:left w:type="dxa" w:w="120"/>
              <w:bottom w:type="dxa" w:w="60"/>
              <w:right w:type="dxa" w:w="120"/>
            </w:tcMar>
          </w:tcPr>
          <w:p>
            <w:r>
              <w:rPr>
                <w:rFonts w:ascii="Times New Roman"/>
                <w:color w:val="000000"/>
                <w:sz w:val="21"/>
                <w:szCs w:val="21"/>
              </w:rPr>
              <w:t xml:space="preserve">Tournaments</w:t>
            </w:r>
          </w:p>
        </w:tc>
        <w:tc>
          <w:tcPr>
            <w:tcW w:type="pct" w:w="25%"/>
            <w:tcMar>
              <w:top w:type="dxa" w:w="60"/>
              <w:left w:type="dxa" w:w="120"/>
              <w:bottom w:type="dxa" w:w="60"/>
              <w:right w:type="dxa" w:w="120"/>
            </w:tcMar>
          </w:tcPr>
          <w:p>
            <w:r>
              <w:rPr>
                <w:rFonts w:ascii="Times New Roman"/>
                <w:color w:val="000000"/>
                <w:sz w:val="21"/>
                <w:szCs w:val="21"/>
              </w:rPr>
              <w:t xml:space="preserve">/api/v1/tournaments</w:t>
            </w:r>
          </w:p>
        </w:tc>
        <w:tc>
          <w:tcPr>
            <w:tcW w:type="pct" w:w="20%"/>
            <w:tcMar>
              <w:top w:type="dxa" w:w="60"/>
              <w:left w:type="dxa" w:w="120"/>
              <w:bottom w:type="dxa" w:w="60"/>
              <w:right w:type="dxa" w:w="120"/>
            </w:tcMar>
          </w:tcPr>
          <w:p>
            <w:r>
              <w:rPr>
                <w:rFonts w:ascii="Times New Roman"/>
                <w:color w:val="000000"/>
                <w:sz w:val="21"/>
                <w:szCs w:val="21"/>
              </w:rPr>
              <w:t xml:space="preserve">Owner + Public</w:t>
            </w:r>
          </w:p>
        </w:tc>
        <w:tc>
          <w:tcPr>
            <w:tcW w:type="pct" w:w="37%"/>
            <w:tcMar>
              <w:top w:type="dxa" w:w="60"/>
              <w:left w:type="dxa" w:w="120"/>
              <w:bottom w:type="dxa" w:w="60"/>
              <w:right w:type="dxa" w:w="120"/>
            </w:tcMar>
          </w:tcPr>
          <w:p>
            <w:r>
              <w:rPr>
                <w:rFonts w:ascii="Times New Roman"/>
                <w:color w:val="000000"/>
                <w:sz w:val="21"/>
                <w:szCs w:val="21"/>
              </w:rPr>
              <w:t xml:space="preserve">Create, register, manage tournaments</w:t>
            </w:r>
          </w:p>
        </w:tc>
      </w:tr>
      <w:tr>
        <w:trPr>
          <w:cantSplit/>
        </w:trPr>
        <w:tc>
          <w:tcPr>
            <w:tcW w:type="pct" w:w="18%"/>
            <w:tcMar>
              <w:top w:type="dxa" w:w="60"/>
              <w:left w:type="dxa" w:w="120"/>
              <w:bottom w:type="dxa" w:w="60"/>
              <w:right w:type="dxa" w:w="120"/>
            </w:tcMar>
          </w:tcPr>
          <w:p>
            <w:r>
              <w:rPr>
                <w:rFonts w:ascii="Times New Roman"/>
                <w:color w:val="000000"/>
                <w:sz w:val="21"/>
                <w:szCs w:val="21"/>
              </w:rPr>
              <w:t xml:space="preserve">Packages</w:t>
            </w:r>
          </w:p>
        </w:tc>
        <w:tc>
          <w:tcPr>
            <w:tcW w:type="pct" w:w="25%"/>
            <w:tcMar>
              <w:top w:type="dxa" w:w="60"/>
              <w:left w:type="dxa" w:w="120"/>
              <w:bottom w:type="dxa" w:w="60"/>
              <w:right w:type="dxa" w:w="120"/>
            </w:tcMar>
          </w:tcPr>
          <w:p>
            <w:r>
              <w:rPr>
                <w:rFonts w:ascii="Times New Roman"/>
                <w:color w:val="000000"/>
                <w:sz w:val="21"/>
                <w:szCs w:val="21"/>
              </w:rPr>
              <w:t xml:space="preserve">/api/v1/packages</w:t>
            </w:r>
          </w:p>
        </w:tc>
        <w:tc>
          <w:tcPr>
            <w:tcW w:type="pct" w:w="20%"/>
            <w:tcMar>
              <w:top w:type="dxa" w:w="60"/>
              <w:left w:type="dxa" w:w="120"/>
              <w:bottom w:type="dxa" w:w="60"/>
              <w:right w:type="dxa" w:w="120"/>
            </w:tcMar>
          </w:tcPr>
          <w:p>
            <w:r>
              <w:rPr>
                <w:rFonts w:ascii="Times New Roman"/>
                <w:color w:val="000000"/>
                <w:sz w:val="21"/>
                <w:szCs w:val="21"/>
              </w:rPr>
              <w:t xml:space="preserve">Owner + Public</w:t>
            </w:r>
          </w:p>
        </w:tc>
        <w:tc>
          <w:tcPr>
            <w:tcW w:type="pct" w:w="37%"/>
            <w:tcMar>
              <w:top w:type="dxa" w:w="60"/>
              <w:left w:type="dxa" w:w="120"/>
              <w:bottom w:type="dxa" w:w="60"/>
              <w:right w:type="dxa" w:w="120"/>
            </w:tcMar>
          </w:tcPr>
          <w:p>
            <w:r>
              <w:rPr>
                <w:rFonts w:ascii="Times New Roman"/>
                <w:color w:val="000000"/>
                <w:sz w:val="21"/>
                <w:szCs w:val="21"/>
              </w:rPr>
              <w:t xml:space="preserve">Create, purchase, track packages</w:t>
            </w:r>
          </w:p>
        </w:tc>
      </w:tr>
      <w:tr>
        <w:trPr>
          <w:cantSplit/>
        </w:trPr>
        <w:tc>
          <w:tcPr>
            <w:tcW w:type="pct" w:w="18%"/>
            <w:tcMar>
              <w:top w:type="dxa" w:w="60"/>
              <w:left w:type="dxa" w:w="120"/>
              <w:bottom w:type="dxa" w:w="60"/>
              <w:right w:type="dxa" w:w="120"/>
            </w:tcMar>
          </w:tcPr>
          <w:p>
            <w:r>
              <w:rPr>
                <w:rFonts w:ascii="Times New Roman"/>
                <w:color w:val="000000"/>
                <w:sz w:val="21"/>
                <w:szCs w:val="21"/>
              </w:rPr>
              <w:t xml:space="preserve">Reports</w:t>
            </w:r>
          </w:p>
        </w:tc>
        <w:tc>
          <w:tcPr>
            <w:tcW w:type="pct" w:w="25%"/>
            <w:tcMar>
              <w:top w:type="dxa" w:w="60"/>
              <w:left w:type="dxa" w:w="120"/>
              <w:bottom w:type="dxa" w:w="60"/>
              <w:right w:type="dxa" w:w="120"/>
            </w:tcMar>
          </w:tcPr>
          <w:p>
            <w:r>
              <w:rPr>
                <w:rFonts w:ascii="Times New Roman"/>
                <w:color w:val="000000"/>
                <w:sz w:val="21"/>
                <w:szCs w:val="21"/>
              </w:rPr>
              <w:t xml:space="preserve">/api/v1/reports</w:t>
            </w:r>
          </w:p>
        </w:tc>
        <w:tc>
          <w:tcPr>
            <w:tcW w:type="pct" w:w="20%"/>
            <w:tcMar>
              <w:top w:type="dxa" w:w="60"/>
              <w:left w:type="dxa" w:w="120"/>
              <w:bottom w:type="dxa" w:w="60"/>
              <w:right w:type="dxa" w:w="120"/>
            </w:tcMar>
          </w:tcPr>
          <w:p>
            <w:r>
              <w:rPr>
                <w:rFonts w:ascii="Times New Roman"/>
                <w:color w:val="000000"/>
                <w:sz w:val="21"/>
                <w:szCs w:val="21"/>
              </w:rPr>
              <w:t xml:space="preserve">Owner + Admin</w:t>
            </w:r>
          </w:p>
        </w:tc>
        <w:tc>
          <w:tcPr>
            <w:tcW w:type="pct" w:w="37%"/>
            <w:tcMar>
              <w:top w:type="dxa" w:w="60"/>
              <w:left w:type="dxa" w:w="120"/>
              <w:bottom w:type="dxa" w:w="60"/>
              <w:right w:type="dxa" w:w="120"/>
            </w:tcMar>
          </w:tcPr>
          <w:p>
            <w:r>
              <w:rPr>
                <w:rFonts w:ascii="Times New Roman"/>
                <w:color w:val="000000"/>
                <w:sz w:val="21"/>
                <w:szCs w:val="21"/>
              </w:rPr>
              <w:t xml:space="preserve">Generate and export reports</w:t>
            </w:r>
          </w:p>
        </w:tc>
      </w:tr>
      <w:tr>
        <w:trPr>
          <w:cantSplit/>
        </w:trPr>
        <w:tc>
          <w:tcPr>
            <w:tcW w:type="pct" w:w="18%"/>
            <w:tcMar>
              <w:top w:type="dxa" w:w="60"/>
              <w:left w:type="dxa" w:w="120"/>
              <w:bottom w:type="dxa" w:w="60"/>
              <w:right w:type="dxa" w:w="120"/>
            </w:tcMar>
          </w:tcPr>
          <w:p>
            <w:r>
              <w:rPr>
                <w:rFonts w:ascii="Times New Roman"/>
                <w:color w:val="000000"/>
                <w:sz w:val="21"/>
                <w:szCs w:val="21"/>
              </w:rPr>
              <w:t xml:space="preserve">Notifications</w:t>
            </w:r>
          </w:p>
        </w:tc>
        <w:tc>
          <w:tcPr>
            <w:tcW w:type="pct" w:w="25%"/>
            <w:tcMar>
              <w:top w:type="dxa" w:w="60"/>
              <w:left w:type="dxa" w:w="120"/>
              <w:bottom w:type="dxa" w:w="60"/>
              <w:right w:type="dxa" w:w="120"/>
            </w:tcMar>
          </w:tcPr>
          <w:p>
            <w:r>
              <w:rPr>
                <w:rFonts w:ascii="Times New Roman"/>
                <w:color w:val="000000"/>
                <w:sz w:val="21"/>
                <w:szCs w:val="21"/>
              </w:rPr>
              <w:t xml:space="preserve">/api/v1/notifications</w:t>
            </w:r>
          </w:p>
        </w:tc>
        <w:tc>
          <w:tcPr>
            <w:tcW w:type="pct" w:w="20%"/>
            <w:tcMar>
              <w:top w:type="dxa" w:w="60"/>
              <w:left w:type="dxa" w:w="120"/>
              <w:bottom w:type="dxa" w:w="60"/>
              <w:right w:type="dxa" w:w="120"/>
            </w:tcMar>
          </w:tcPr>
          <w:p>
            <w:r>
              <w:rPr>
                <w:rFonts w:ascii="Times New Roman"/>
                <w:color w:val="000000"/>
                <w:sz w:val="21"/>
                <w:szCs w:val="21"/>
              </w:rPr>
              <w:t xml:space="preserve">Authenticated</w:t>
            </w:r>
          </w:p>
        </w:tc>
        <w:tc>
          <w:tcPr>
            <w:tcW w:type="pct" w:w="37%"/>
            <w:tcMar>
              <w:top w:type="dxa" w:w="60"/>
              <w:left w:type="dxa" w:w="120"/>
              <w:bottom w:type="dxa" w:w="60"/>
              <w:right w:type="dxa" w:w="120"/>
            </w:tcMar>
          </w:tcPr>
          <w:p>
            <w:r>
              <w:rPr>
                <w:rFonts w:ascii="Times New Roman"/>
                <w:color w:val="000000"/>
                <w:sz w:val="21"/>
                <w:szCs w:val="21"/>
              </w:rPr>
              <w:t xml:space="preserve">List, mark read, preferences</w:t>
            </w:r>
          </w:p>
        </w:tc>
      </w:tr>
    </w:tbl>
    <w:p>
      <w:pPr>
        <w:pStyle w:val="Heading1"/>
        <w:spacing w:after="160" w:before="360" w:line="312"/>
      </w:pPr>
      <w:bookmarkStart w:id="100045" w:name="_Toc100045"/>
      <w:r>
        <w:rPr>
          <w:rFonts w:ascii="Times New Roman"/>
          <w:b/>
          <w:bCs/>
          <w:color w:val="0A1628"/>
          <w:sz w:val="32"/>
          <w:szCs w:val="32"/>
        </w:rPr>
        <w:t xml:space="preserve">11. Technology Stack and Implementation Notes</w:t>
      </w:r>
      <w:bookmarkEnd w:id="100045"/>
    </w:p>
    <w:p>
      <w:pPr>
        <w:pStyle w:val="Heading2"/>
        <w:spacing w:after="120" w:before="280" w:line="312"/>
      </w:pPr>
      <w:bookmarkStart w:id="100046" w:name="_Toc100046"/>
      <w:r>
        <w:rPr>
          <w:rFonts w:ascii="Times New Roman"/>
          <w:b/>
          <w:bCs/>
          <w:color w:val="0A1628"/>
          <w:sz w:val="28"/>
          <w:szCs w:val="28"/>
        </w:rPr>
        <w:t xml:space="preserve">11.1 Recommended Technology Stack</w:t>
      </w:r>
      <w:bookmarkEnd w:id="100046"/>
    </w:p>
    <w:p>
      <w:pPr>
        <w:keepNext/>
        <w:spacing w:after="80" w:before="200"/>
      </w:pPr>
      <w:r>
        <w:rPr>
          <w:rFonts w:ascii="Times New Roman"/>
          <w:b/>
          <w:bCs/>
          <w:color w:val="6878A0"/>
          <w:sz w:val="21"/>
          <w:szCs w:val="21"/>
        </w:rPr>
        <w:t xml:space="preserve">Table 6: Technology Stack</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28%"/>
            <w:shd w:fill="F4F8FC" w:val="clear"/>
            <w:tcMar>
              <w:top w:type="dxa" w:w="60"/>
              <w:left w:type="dxa" w:w="120"/>
              <w:bottom w:type="dxa" w:w="60"/>
              <w:right w:type="dxa" w:w="120"/>
            </w:tcMar>
          </w:tcPr>
          <w:p>
            <w:r>
              <w:rPr>
                <w:rFonts w:ascii="Times New Roman"/>
                <w:b/>
                <w:bCs/>
                <w:color w:val="0A1628"/>
                <w:sz w:val="21"/>
                <w:szCs w:val="21"/>
              </w:rPr>
              <w:t xml:space="preserve">Layer</w:t>
            </w:r>
          </w:p>
        </w:tc>
        <w:tc>
          <w:tcPr>
            <w:tcW w:type="pct" w:w="32%"/>
            <w:shd w:fill="F4F8FC" w:val="clear"/>
            <w:tcMar>
              <w:top w:type="dxa" w:w="60"/>
              <w:left w:type="dxa" w:w="120"/>
              <w:bottom w:type="dxa" w:w="60"/>
              <w:right w:type="dxa" w:w="120"/>
            </w:tcMar>
          </w:tcPr>
          <w:p>
            <w:r>
              <w:rPr>
                <w:rFonts w:ascii="Times New Roman"/>
                <w:b/>
                <w:bCs/>
                <w:color w:val="0A1628"/>
                <w:sz w:val="21"/>
                <w:szCs w:val="21"/>
              </w:rPr>
              <w:t xml:space="preserve">Technology</w:t>
            </w:r>
          </w:p>
        </w:tc>
        <w:tc>
          <w:tcPr>
            <w:tcW w:type="pct" w:w="40%"/>
            <w:shd w:fill="F4F8FC" w:val="clear"/>
            <w:tcMar>
              <w:top w:type="dxa" w:w="60"/>
              <w:left w:type="dxa" w:w="120"/>
              <w:bottom w:type="dxa" w:w="60"/>
              <w:right w:type="dxa" w:w="120"/>
            </w:tcMar>
          </w:tcPr>
          <w:p>
            <w:r>
              <w:rPr>
                <w:rFonts w:ascii="Times New Roman"/>
                <w:b/>
                <w:bCs/>
                <w:color w:val="0A1628"/>
                <w:sz w:val="21"/>
                <w:szCs w:val="21"/>
              </w:rPr>
              <w:t xml:space="preserve">Justification</w:t>
            </w:r>
          </w:p>
        </w:tc>
      </w:tr>
      <w:tr>
        <w:trPr>
          <w:cantSplit/>
        </w:trPr>
        <w:tc>
          <w:tcPr>
            <w:tcW w:type="pct" w:w="28%"/>
            <w:tcMar>
              <w:top w:type="dxa" w:w="60"/>
              <w:left w:type="dxa" w:w="120"/>
              <w:bottom w:type="dxa" w:w="60"/>
              <w:right w:type="dxa" w:w="120"/>
            </w:tcMar>
          </w:tcPr>
          <w:p>
            <w:r>
              <w:rPr>
                <w:rFonts w:ascii="Times New Roman"/>
                <w:color w:val="000000"/>
                <w:sz w:val="21"/>
                <w:szCs w:val="21"/>
              </w:rPr>
              <w:t xml:space="preserve">Frontend (Owner/Admin)</w:t>
            </w:r>
          </w:p>
        </w:tc>
        <w:tc>
          <w:tcPr>
            <w:tcW w:type="pct" w:w="32%"/>
            <w:tcMar>
              <w:top w:type="dxa" w:w="60"/>
              <w:left w:type="dxa" w:w="120"/>
              <w:bottom w:type="dxa" w:w="60"/>
              <w:right w:type="dxa" w:w="120"/>
            </w:tcMar>
          </w:tcPr>
          <w:p>
            <w:r>
              <w:rPr>
                <w:rFonts w:ascii="Times New Roman"/>
                <w:color w:val="000000"/>
                <w:sz w:val="21"/>
                <w:szCs w:val="21"/>
              </w:rPr>
              <w:t xml:space="preserve">Next.js 16 + TypeScript</w:t>
            </w:r>
          </w:p>
        </w:tc>
        <w:tc>
          <w:tcPr>
            <w:tcW w:type="pct" w:w="40%"/>
            <w:tcMar>
              <w:top w:type="dxa" w:w="60"/>
              <w:left w:type="dxa" w:w="120"/>
              <w:bottom w:type="dxa" w:w="60"/>
              <w:right w:type="dxa" w:w="120"/>
            </w:tcMar>
          </w:tcPr>
          <w:p>
            <w:r>
              <w:rPr>
                <w:rFonts w:ascii="Times New Roman"/>
                <w:color w:val="000000"/>
                <w:sz w:val="21"/>
                <w:szCs w:val="21"/>
              </w:rPr>
              <w:t xml:space="preserve">App Router, SSR for dashboard, strong typing</w:t>
            </w:r>
          </w:p>
        </w:tc>
      </w:tr>
      <w:tr>
        <w:trPr>
          <w:cantSplit/>
        </w:trPr>
        <w:tc>
          <w:tcPr>
            <w:tcW w:type="pct" w:w="28%"/>
            <w:tcMar>
              <w:top w:type="dxa" w:w="60"/>
              <w:left w:type="dxa" w:w="120"/>
              <w:bottom w:type="dxa" w:w="60"/>
              <w:right w:type="dxa" w:w="120"/>
            </w:tcMar>
          </w:tcPr>
          <w:p>
            <w:r>
              <w:rPr>
                <w:rFonts w:ascii="Times New Roman"/>
                <w:color w:val="000000"/>
                <w:sz w:val="21"/>
                <w:szCs w:val="21"/>
              </w:rPr>
              <w:t xml:space="preserve">Frontend (Customer)</w:t>
            </w:r>
          </w:p>
        </w:tc>
        <w:tc>
          <w:tcPr>
            <w:tcW w:type="pct" w:w="32%"/>
            <w:tcMar>
              <w:top w:type="dxa" w:w="60"/>
              <w:left w:type="dxa" w:w="120"/>
              <w:bottom w:type="dxa" w:w="60"/>
              <w:right w:type="dxa" w:w="120"/>
            </w:tcMar>
          </w:tcPr>
          <w:p>
            <w:r>
              <w:rPr>
                <w:rFonts w:ascii="Times New Roman"/>
                <w:color w:val="000000"/>
                <w:sz w:val="21"/>
                <w:szCs w:val="21"/>
              </w:rPr>
              <w:t xml:space="preserve">Next.js 16 + TypeScript</w:t>
            </w:r>
          </w:p>
        </w:tc>
        <w:tc>
          <w:tcPr>
            <w:tcW w:type="pct" w:w="40%"/>
            <w:tcMar>
              <w:top w:type="dxa" w:w="60"/>
              <w:left w:type="dxa" w:w="120"/>
              <w:bottom w:type="dxa" w:w="60"/>
              <w:right w:type="dxa" w:w="120"/>
            </w:tcMar>
          </w:tcPr>
          <w:p>
            <w:r>
              <w:rPr>
                <w:rFonts w:ascii="Times New Roman"/>
                <w:color w:val="000000"/>
                <w:sz w:val="21"/>
                <w:szCs w:val="21"/>
              </w:rPr>
              <w:t xml:space="preserve">Shared codebase, responsive PWA</w:t>
            </w:r>
          </w:p>
        </w:tc>
      </w:tr>
      <w:tr>
        <w:trPr>
          <w:cantSplit/>
        </w:trPr>
        <w:tc>
          <w:tcPr>
            <w:tcW w:type="pct" w:w="28%"/>
            <w:tcMar>
              <w:top w:type="dxa" w:w="60"/>
              <w:left w:type="dxa" w:w="120"/>
              <w:bottom w:type="dxa" w:w="60"/>
              <w:right w:type="dxa" w:w="120"/>
            </w:tcMar>
          </w:tcPr>
          <w:p>
            <w:r>
              <w:rPr>
                <w:rFonts w:ascii="Times New Roman"/>
                <w:color w:val="000000"/>
                <w:sz w:val="21"/>
                <w:szCs w:val="21"/>
              </w:rPr>
              <w:t xml:space="preserve">UI Components</w:t>
            </w:r>
          </w:p>
        </w:tc>
        <w:tc>
          <w:tcPr>
            <w:tcW w:type="pct" w:w="32%"/>
            <w:tcMar>
              <w:top w:type="dxa" w:w="60"/>
              <w:left w:type="dxa" w:w="120"/>
              <w:bottom w:type="dxa" w:w="60"/>
              <w:right w:type="dxa" w:w="120"/>
            </w:tcMar>
          </w:tcPr>
          <w:p>
            <w:r>
              <w:rPr>
                <w:rFonts w:ascii="Times New Roman"/>
                <w:color w:val="000000"/>
                <w:sz w:val="21"/>
                <w:szCs w:val="21"/>
              </w:rPr>
              <w:t xml:space="preserve">Tailwind CSS 4 + shadcn/ui</w:t>
            </w:r>
          </w:p>
        </w:tc>
        <w:tc>
          <w:tcPr>
            <w:tcW w:type="pct" w:w="40%"/>
            <w:tcMar>
              <w:top w:type="dxa" w:w="60"/>
              <w:left w:type="dxa" w:w="120"/>
              <w:bottom w:type="dxa" w:w="60"/>
              <w:right w:type="dxa" w:w="120"/>
            </w:tcMar>
          </w:tcPr>
          <w:p>
            <w:r>
              <w:rPr>
                <w:rFonts w:ascii="Times New Roman"/>
                <w:color w:val="000000"/>
                <w:sz w:val="21"/>
                <w:szCs w:val="21"/>
              </w:rPr>
              <w:t xml:space="preserve">Consistent design, rapid development</w:t>
            </w:r>
          </w:p>
        </w:tc>
      </w:tr>
      <w:tr>
        <w:trPr>
          <w:cantSplit/>
        </w:trPr>
        <w:tc>
          <w:tcPr>
            <w:tcW w:type="pct" w:w="28%"/>
            <w:tcMar>
              <w:top w:type="dxa" w:w="60"/>
              <w:left w:type="dxa" w:w="120"/>
              <w:bottom w:type="dxa" w:w="60"/>
              <w:right w:type="dxa" w:w="120"/>
            </w:tcMar>
          </w:tcPr>
          <w:p>
            <w:r>
              <w:rPr>
                <w:rFonts w:ascii="Times New Roman"/>
                <w:color w:val="000000"/>
                <w:sz w:val="21"/>
                <w:szCs w:val="21"/>
              </w:rPr>
              <w:t xml:space="preserve">Backend API</w:t>
            </w:r>
          </w:p>
        </w:tc>
        <w:tc>
          <w:tcPr>
            <w:tcW w:type="pct" w:w="32%"/>
            <w:tcMar>
              <w:top w:type="dxa" w:w="60"/>
              <w:left w:type="dxa" w:w="120"/>
              <w:bottom w:type="dxa" w:w="60"/>
              <w:right w:type="dxa" w:w="120"/>
            </w:tcMar>
          </w:tcPr>
          <w:p>
            <w:r>
              <w:rPr>
                <w:rFonts w:ascii="Times New Roman"/>
                <w:color w:val="000000"/>
                <w:sz w:val="21"/>
                <w:szCs w:val="21"/>
              </w:rPr>
              <w:t xml:space="preserve">Next.js API Routes</w:t>
            </w:r>
          </w:p>
        </w:tc>
        <w:tc>
          <w:tcPr>
            <w:tcW w:type="pct" w:w="40%"/>
            <w:tcMar>
              <w:top w:type="dxa" w:w="60"/>
              <w:left w:type="dxa" w:w="120"/>
              <w:bottom w:type="dxa" w:w="60"/>
              <w:right w:type="dxa" w:w="120"/>
            </w:tcMar>
          </w:tcPr>
          <w:p>
            <w:r>
              <w:rPr>
                <w:rFonts w:ascii="Times New Roman"/>
                <w:color w:val="000000"/>
                <w:sz w:val="21"/>
                <w:szCs w:val="21"/>
              </w:rPr>
              <w:t xml:space="preserve">Unified fullstack, type safety</w:t>
            </w:r>
          </w:p>
        </w:tc>
      </w:tr>
      <w:tr>
        <w:trPr>
          <w:cantSplit/>
        </w:trPr>
        <w:tc>
          <w:tcPr>
            <w:tcW w:type="pct" w:w="28%"/>
            <w:tcMar>
              <w:top w:type="dxa" w:w="60"/>
              <w:left w:type="dxa" w:w="120"/>
              <w:bottom w:type="dxa" w:w="60"/>
              <w:right w:type="dxa" w:w="120"/>
            </w:tcMar>
          </w:tcPr>
          <w:p>
            <w:r>
              <w:rPr>
                <w:rFonts w:ascii="Times New Roman"/>
                <w:color w:val="000000"/>
                <w:sz w:val="21"/>
                <w:szCs w:val="21"/>
              </w:rPr>
              <w:t xml:space="preserve">Database</w:t>
            </w:r>
          </w:p>
        </w:tc>
        <w:tc>
          <w:tcPr>
            <w:tcW w:type="pct" w:w="32%"/>
            <w:tcMar>
              <w:top w:type="dxa" w:w="60"/>
              <w:left w:type="dxa" w:w="120"/>
              <w:bottom w:type="dxa" w:w="60"/>
              <w:right w:type="dxa" w:w="120"/>
            </w:tcMar>
          </w:tcPr>
          <w:p>
            <w:r>
              <w:rPr>
                <w:rFonts w:ascii="Times New Roman"/>
                <w:color w:val="000000"/>
                <w:sz w:val="21"/>
                <w:szCs w:val="21"/>
              </w:rPr>
              <w:t xml:space="preserve">PostgreSQL + Prisma ORM</w:t>
            </w:r>
          </w:p>
        </w:tc>
        <w:tc>
          <w:tcPr>
            <w:tcW w:type="pct" w:w="40%"/>
            <w:tcMar>
              <w:top w:type="dxa" w:w="60"/>
              <w:left w:type="dxa" w:w="120"/>
              <w:bottom w:type="dxa" w:w="60"/>
              <w:right w:type="dxa" w:w="120"/>
            </w:tcMar>
          </w:tcPr>
          <w:p>
            <w:r>
              <w:rPr>
                <w:rFonts w:ascii="Times New Roman"/>
                <w:color w:val="000000"/>
                <w:sz w:val="21"/>
                <w:szCs w:val="21"/>
              </w:rPr>
              <w:t xml:space="preserve">Relational data, multi-tenancy, migrations</w:t>
            </w:r>
          </w:p>
        </w:tc>
      </w:tr>
      <w:tr>
        <w:trPr>
          <w:cantSplit/>
        </w:trPr>
        <w:tc>
          <w:tcPr>
            <w:tcW w:type="pct" w:w="28%"/>
            <w:tcMar>
              <w:top w:type="dxa" w:w="60"/>
              <w:left w:type="dxa" w:w="120"/>
              <w:bottom w:type="dxa" w:w="60"/>
              <w:right w:type="dxa" w:w="120"/>
            </w:tcMar>
          </w:tcPr>
          <w:p>
            <w:r>
              <w:rPr>
                <w:rFonts w:ascii="Times New Roman"/>
                <w:color w:val="000000"/>
                <w:sz w:val="21"/>
                <w:szCs w:val="21"/>
              </w:rPr>
              <w:t xml:space="preserve">Authentication</w:t>
            </w:r>
          </w:p>
        </w:tc>
        <w:tc>
          <w:tcPr>
            <w:tcW w:type="pct" w:w="32%"/>
            <w:tcMar>
              <w:top w:type="dxa" w:w="60"/>
              <w:left w:type="dxa" w:w="120"/>
              <w:bottom w:type="dxa" w:w="60"/>
              <w:right w:type="dxa" w:w="120"/>
            </w:tcMar>
          </w:tcPr>
          <w:p>
            <w:r>
              <w:rPr>
                <w:rFonts w:ascii="Times New Roman"/>
                <w:color w:val="000000"/>
                <w:sz w:val="21"/>
                <w:szCs w:val="21"/>
              </w:rPr>
              <w:t xml:space="preserve">NextAuth.js v4</w:t>
            </w:r>
          </w:p>
        </w:tc>
        <w:tc>
          <w:tcPr>
            <w:tcW w:type="pct" w:w="40%"/>
            <w:tcMar>
              <w:top w:type="dxa" w:w="60"/>
              <w:left w:type="dxa" w:w="120"/>
              <w:bottom w:type="dxa" w:w="60"/>
              <w:right w:type="dxa" w:w="120"/>
            </w:tcMar>
          </w:tcPr>
          <w:p>
            <w:r>
              <w:rPr>
                <w:rFonts w:ascii="Times New Roman"/>
                <w:color w:val="000000"/>
                <w:sz w:val="21"/>
                <w:szCs w:val="21"/>
              </w:rPr>
              <w:t xml:space="preserve">Multiple providers, session management</w:t>
            </w:r>
          </w:p>
        </w:tc>
      </w:tr>
      <w:tr>
        <w:trPr>
          <w:cantSplit/>
        </w:trPr>
        <w:tc>
          <w:tcPr>
            <w:tcW w:type="pct" w:w="28%"/>
            <w:tcMar>
              <w:top w:type="dxa" w:w="60"/>
              <w:left w:type="dxa" w:w="120"/>
              <w:bottom w:type="dxa" w:w="60"/>
              <w:right w:type="dxa" w:w="120"/>
            </w:tcMar>
          </w:tcPr>
          <w:p>
            <w:r>
              <w:rPr>
                <w:rFonts w:ascii="Times New Roman"/>
                <w:color w:val="000000"/>
                <w:sz w:val="21"/>
                <w:szCs w:val="21"/>
              </w:rPr>
              <w:t xml:space="preserve">Real-time</w:t>
            </w:r>
          </w:p>
        </w:tc>
        <w:tc>
          <w:tcPr>
            <w:tcW w:type="pct" w:w="32%"/>
            <w:tcMar>
              <w:top w:type="dxa" w:w="60"/>
              <w:left w:type="dxa" w:w="120"/>
              <w:bottom w:type="dxa" w:w="60"/>
              <w:right w:type="dxa" w:w="120"/>
            </w:tcMar>
          </w:tcPr>
          <w:p>
            <w:r>
              <w:rPr>
                <w:rFonts w:ascii="Times New Roman"/>
                <w:color w:val="000000"/>
                <w:sz w:val="21"/>
                <w:szCs w:val="21"/>
              </w:rPr>
              <w:t xml:space="preserve">Socket.io / WebSocket</w:t>
            </w:r>
          </w:p>
        </w:tc>
        <w:tc>
          <w:tcPr>
            <w:tcW w:type="pct" w:w="40%"/>
            <w:tcMar>
              <w:top w:type="dxa" w:w="60"/>
              <w:left w:type="dxa" w:w="120"/>
              <w:bottom w:type="dxa" w:w="60"/>
              <w:right w:type="dxa" w:w="120"/>
            </w:tcMar>
          </w:tcPr>
          <w:p>
            <w:r>
              <w:rPr>
                <w:rFonts w:ascii="Times New Roman"/>
                <w:color w:val="000000"/>
                <w:sz w:val="21"/>
                <w:szCs w:val="21"/>
              </w:rPr>
              <w:t xml:space="preserve">Booking updates, notifications</w:t>
            </w:r>
          </w:p>
        </w:tc>
      </w:tr>
      <w:tr>
        <w:trPr>
          <w:cantSplit/>
        </w:trPr>
        <w:tc>
          <w:tcPr>
            <w:tcW w:type="pct" w:w="28%"/>
            <w:tcMar>
              <w:top w:type="dxa" w:w="60"/>
              <w:left w:type="dxa" w:w="120"/>
              <w:bottom w:type="dxa" w:w="60"/>
              <w:right w:type="dxa" w:w="120"/>
            </w:tcMar>
          </w:tcPr>
          <w:p>
            <w:r>
              <w:rPr>
                <w:rFonts w:ascii="Times New Roman"/>
                <w:color w:val="000000"/>
                <w:sz w:val="21"/>
                <w:szCs w:val="21"/>
              </w:rPr>
              <w:t xml:space="preserve">SMS Gateway</w:t>
            </w:r>
          </w:p>
        </w:tc>
        <w:tc>
          <w:tcPr>
            <w:tcW w:type="pct" w:w="32%"/>
            <w:tcMar>
              <w:top w:type="dxa" w:w="60"/>
              <w:left w:type="dxa" w:w="120"/>
              <w:bottom w:type="dxa" w:w="60"/>
              <w:right w:type="dxa" w:w="120"/>
            </w:tcMar>
          </w:tcPr>
          <w:p>
            <w:r>
              <w:rPr>
                <w:rFonts w:ascii="Times New Roman"/>
                <w:color w:val="000000"/>
                <w:sz w:val="21"/>
                <w:szCs w:val="21"/>
              </w:rPr>
              <w:t xml:space="preserve">Bulk SMS API (BD provider)</w:t>
            </w:r>
          </w:p>
        </w:tc>
        <w:tc>
          <w:tcPr>
            <w:tcW w:type="pct" w:w="40%"/>
            <w:tcMar>
              <w:top w:type="dxa" w:w="60"/>
              <w:left w:type="dxa" w:w="120"/>
              <w:bottom w:type="dxa" w:w="60"/>
              <w:right w:type="dxa" w:w="120"/>
            </w:tcMar>
          </w:tcPr>
          <w:p>
            <w:r>
              <w:rPr>
                <w:rFonts w:ascii="Times New Roman"/>
                <w:color w:val="000000"/>
                <w:sz w:val="21"/>
                <w:szCs w:val="21"/>
              </w:rPr>
              <w:t xml:space="preserve">OTP, booking confirmations</w:t>
            </w:r>
          </w:p>
        </w:tc>
      </w:tr>
      <w:tr>
        <w:trPr>
          <w:cantSplit/>
        </w:trPr>
        <w:tc>
          <w:tcPr>
            <w:tcW w:type="pct" w:w="28%"/>
            <w:tcMar>
              <w:top w:type="dxa" w:w="60"/>
              <w:left w:type="dxa" w:w="120"/>
              <w:bottom w:type="dxa" w:w="60"/>
              <w:right w:type="dxa" w:w="120"/>
            </w:tcMar>
          </w:tcPr>
          <w:p>
            <w:r>
              <w:rPr>
                <w:rFonts w:ascii="Times New Roman"/>
                <w:color w:val="000000"/>
                <w:sz w:val="21"/>
                <w:szCs w:val="21"/>
              </w:rPr>
              <w:t xml:space="preserve">File Storage</w:t>
            </w:r>
          </w:p>
        </w:tc>
        <w:tc>
          <w:tcPr>
            <w:tcW w:type="pct" w:w="32%"/>
            <w:tcMar>
              <w:top w:type="dxa" w:w="60"/>
              <w:left w:type="dxa" w:w="120"/>
              <w:bottom w:type="dxa" w:w="60"/>
              <w:right w:type="dxa" w:w="120"/>
            </w:tcMar>
          </w:tcPr>
          <w:p>
            <w:r>
              <w:rPr>
                <w:rFonts w:ascii="Times New Roman"/>
                <w:color w:val="000000"/>
                <w:sz w:val="21"/>
                <w:szCs w:val="21"/>
              </w:rPr>
              <w:t xml:space="preserve">Cloud storage (S3-compatible)</w:t>
            </w:r>
          </w:p>
        </w:tc>
        <w:tc>
          <w:tcPr>
            <w:tcW w:type="pct" w:w="40%"/>
            <w:tcMar>
              <w:top w:type="dxa" w:w="60"/>
              <w:left w:type="dxa" w:w="120"/>
              <w:bottom w:type="dxa" w:w="60"/>
              <w:right w:type="dxa" w:w="120"/>
            </w:tcMar>
          </w:tcPr>
          <w:p>
            <w:r>
              <w:rPr>
                <w:rFonts w:ascii="Times New Roman"/>
                <w:color w:val="000000"/>
                <w:sz w:val="21"/>
                <w:szCs w:val="21"/>
              </w:rPr>
              <w:t xml:space="preserve">Facility photos, documents</w:t>
            </w:r>
          </w:p>
        </w:tc>
      </w:tr>
      <w:tr>
        <w:trPr>
          <w:cantSplit/>
        </w:trPr>
        <w:tc>
          <w:tcPr>
            <w:tcW w:type="pct" w:w="28%"/>
            <w:tcMar>
              <w:top w:type="dxa" w:w="60"/>
              <w:left w:type="dxa" w:w="120"/>
              <w:bottom w:type="dxa" w:w="60"/>
              <w:right w:type="dxa" w:w="120"/>
            </w:tcMar>
          </w:tcPr>
          <w:p>
            <w:r>
              <w:rPr>
                <w:rFonts w:ascii="Times New Roman"/>
                <w:color w:val="000000"/>
                <w:sz w:val="21"/>
                <w:szCs w:val="21"/>
              </w:rPr>
              <w:t xml:space="preserve">Maps</w:t>
            </w:r>
          </w:p>
        </w:tc>
        <w:tc>
          <w:tcPr>
            <w:tcW w:type="pct" w:w="32%"/>
            <w:tcMar>
              <w:top w:type="dxa" w:w="60"/>
              <w:left w:type="dxa" w:w="120"/>
              <w:bottom w:type="dxa" w:w="60"/>
              <w:right w:type="dxa" w:w="120"/>
            </w:tcMar>
          </w:tcPr>
          <w:p>
            <w:r>
              <w:rPr>
                <w:rFonts w:ascii="Times New Roman"/>
                <w:color w:val="000000"/>
                <w:sz w:val="21"/>
                <w:szCs w:val="21"/>
              </w:rPr>
              <w:t xml:space="preserve">Google Maps API</w:t>
            </w:r>
          </w:p>
        </w:tc>
        <w:tc>
          <w:tcPr>
            <w:tcW w:type="pct" w:w="40%"/>
            <w:tcMar>
              <w:top w:type="dxa" w:w="60"/>
              <w:left w:type="dxa" w:w="120"/>
              <w:bottom w:type="dxa" w:w="60"/>
              <w:right w:type="dxa" w:w="120"/>
            </w:tcMar>
          </w:tcPr>
          <w:p>
            <w:r>
              <w:rPr>
                <w:rFonts w:ascii="Times New Roman"/>
                <w:color w:val="000000"/>
                <w:sz w:val="21"/>
                <w:szCs w:val="21"/>
              </w:rPr>
              <w:t xml:space="preserve">Facility location, search radius</w:t>
            </w:r>
          </w:p>
        </w:tc>
      </w:tr>
      <w:tr>
        <w:trPr>
          <w:cantSplit/>
        </w:trPr>
        <w:tc>
          <w:tcPr>
            <w:tcW w:type="pct" w:w="28%"/>
            <w:tcMar>
              <w:top w:type="dxa" w:w="60"/>
              <w:left w:type="dxa" w:w="120"/>
              <w:bottom w:type="dxa" w:w="60"/>
              <w:right w:type="dxa" w:w="120"/>
            </w:tcMar>
          </w:tcPr>
          <w:p>
            <w:r>
              <w:rPr>
                <w:rFonts w:ascii="Times New Roman"/>
                <w:color w:val="000000"/>
                <w:sz w:val="21"/>
                <w:szCs w:val="21"/>
              </w:rPr>
              <w:t xml:space="preserve">State Mgmt</w:t>
            </w:r>
          </w:p>
        </w:tc>
        <w:tc>
          <w:tcPr>
            <w:tcW w:type="pct" w:w="32%"/>
            <w:tcMar>
              <w:top w:type="dxa" w:w="60"/>
              <w:left w:type="dxa" w:w="120"/>
              <w:bottom w:type="dxa" w:w="60"/>
              <w:right w:type="dxa" w:w="120"/>
            </w:tcMar>
          </w:tcPr>
          <w:p>
            <w:r>
              <w:rPr>
                <w:rFonts w:ascii="Times New Roman"/>
                <w:color w:val="000000"/>
                <w:sz w:val="21"/>
                <w:szCs w:val="21"/>
              </w:rPr>
              <w:t xml:space="preserve">Zustand + TanStack Query</w:t>
            </w:r>
          </w:p>
        </w:tc>
        <w:tc>
          <w:tcPr>
            <w:tcW w:type="pct" w:w="40%"/>
            <w:tcMar>
              <w:top w:type="dxa" w:w="60"/>
              <w:left w:type="dxa" w:w="120"/>
              <w:bottom w:type="dxa" w:w="60"/>
              <w:right w:type="dxa" w:w="120"/>
            </w:tcMar>
          </w:tcPr>
          <w:p>
            <w:r>
              <w:rPr>
                <w:rFonts w:ascii="Times New Roman"/>
                <w:color w:val="000000"/>
                <w:sz w:val="21"/>
                <w:szCs w:val="21"/>
              </w:rPr>
              <w:t xml:space="preserve">Client + server state separation</w:t>
            </w:r>
          </w:p>
        </w:tc>
      </w:tr>
      <w:tr>
        <w:trPr>
          <w:cantSplit/>
        </w:trPr>
        <w:tc>
          <w:tcPr>
            <w:tcW w:type="pct" w:w="28%"/>
            <w:tcMar>
              <w:top w:type="dxa" w:w="60"/>
              <w:left w:type="dxa" w:w="120"/>
              <w:bottom w:type="dxa" w:w="60"/>
              <w:right w:type="dxa" w:w="120"/>
            </w:tcMar>
          </w:tcPr>
          <w:p>
            <w:r>
              <w:rPr>
                <w:rFonts w:ascii="Times New Roman"/>
                <w:color w:val="000000"/>
                <w:sz w:val="21"/>
                <w:szCs w:val="21"/>
              </w:rPr>
              <w:t xml:space="preserve">Deployment</w:t>
            </w:r>
          </w:p>
        </w:tc>
        <w:tc>
          <w:tcPr>
            <w:tcW w:type="pct" w:w="32%"/>
            <w:tcMar>
              <w:top w:type="dxa" w:w="60"/>
              <w:left w:type="dxa" w:w="120"/>
              <w:bottom w:type="dxa" w:w="60"/>
              <w:right w:type="dxa" w:w="120"/>
            </w:tcMar>
          </w:tcPr>
          <w:p>
            <w:r>
              <w:rPr>
                <w:rFonts w:ascii="Times New Roman"/>
                <w:color w:val="000000"/>
                <w:sz w:val="21"/>
                <w:szCs w:val="21"/>
              </w:rPr>
              <w:t xml:space="preserve">Docker + Vercel/AWS</w:t>
            </w:r>
          </w:p>
        </w:tc>
        <w:tc>
          <w:tcPr>
            <w:tcW w:type="pct" w:w="40%"/>
            <w:tcMar>
              <w:top w:type="dxa" w:w="60"/>
              <w:left w:type="dxa" w:w="120"/>
              <w:bottom w:type="dxa" w:w="60"/>
              <w:right w:type="dxa" w:w="120"/>
            </w:tcMar>
          </w:tcPr>
          <w:p>
            <w:r>
              <w:rPr>
                <w:rFonts w:ascii="Times New Roman"/>
                <w:color w:val="000000"/>
                <w:sz w:val="21"/>
                <w:szCs w:val="21"/>
              </w:rPr>
              <w:t xml:space="preserve">Containerized, auto-scaling</w:t>
            </w:r>
          </w:p>
        </w:tc>
      </w:tr>
    </w:tbl>
    <w:p>
      <w:pPr>
        <w:pStyle w:val="Heading2"/>
        <w:spacing w:after="120" w:before="280" w:line="312"/>
      </w:pPr>
      <w:bookmarkStart w:id="100047" w:name="_Toc100047"/>
      <w:r>
        <w:rPr>
          <w:rFonts w:ascii="Times New Roman"/>
          <w:b/>
          <w:bCs/>
          <w:color w:val="0A1628"/>
          <w:sz w:val="28"/>
          <w:szCs w:val="28"/>
        </w:rPr>
        <w:t xml:space="preserve">11.2 Implementation Priority</w:t>
      </w:r>
      <w:bookmarkEnd w:id="100047"/>
    </w:p>
    <w:p>
      <w:pPr>
        <w:spacing w:after="120" w:line="312"/>
        <w:jc w:val="both"/>
      </w:pPr>
      <w:r>
        <w:rPr>
          <w:rFonts w:ascii="Times New Roman"/>
          <w:color w:val="000000"/>
          <w:sz w:val="24"/>
          <w:szCs w:val="24"/>
        </w:rPr>
        <w:t xml:space="preserve">The implementation should follow a phased approach. Phase 1 (MVP) focuses on the core booking flow: facility onboarding, resource and slot management, customer booking with OTP, payment submission and verification, and basic booking status tracking. Phase 2 adds revenue and expense management, customer database, blacklist functionality, and reporting with PDF/CSV export. Phase 3 introduces tournament management, package booking, advanced notification system with SMS/email, and public search and discovery. Phase 4 covers operator-specific interfaces, advanced analytics, platform fee automation, and mobile app development.</w:t>
      </w:r>
    </w:p>
    <w:p>
      <w:pPr>
        <w:spacing w:after="120" w:line="312"/>
        <w:jc w:val="both"/>
      </w:pPr>
      <w:r>
        <w:rPr>
          <w:rFonts w:ascii="Times New Roman"/>
          <w:color w:val="000000"/>
          <w:sz w:val="24"/>
          <w:szCs w:val="24"/>
        </w:rPr>
        <w:t xml:space="preserve">This phased approach ensures that the most critical business functionality (the ability to book and manage turf slots) is available first, generating real-world usage data that informs the development of subsequent phases. Each phase should include thorough testing, user feedback collection, and performance benchmarking before the next phase begins.</w:t>
      </w:r>
    </w:p>
    <w:p>
      <w:pPr>
        <w:pStyle w:val="Heading1"/>
        <w:spacing w:after="160" w:before="360" w:line="312"/>
      </w:pPr>
      <w:bookmarkStart w:id="100048" w:name="_Toc100048"/>
      <w:r>
        <w:rPr>
          <w:rFonts w:ascii="Times New Roman"/>
          <w:b/>
          <w:bCs/>
          <w:color w:val="0A1628"/>
          <w:sz w:val="32"/>
          <w:szCs w:val="32"/>
        </w:rPr>
        <w:t xml:space="preserve">12. Security Considerations</w:t>
      </w:r>
      <w:bookmarkEnd w:id="100048"/>
    </w:p>
    <w:p>
      <w:pPr>
        <w:spacing w:after="120" w:line="312"/>
        <w:jc w:val="both"/>
      </w:pPr>
      <w:r>
        <w:rPr>
          <w:rFonts w:ascii="Times New Roman"/>
          <w:color w:val="000000"/>
          <w:sz w:val="24"/>
          <w:szCs w:val="24"/>
        </w:rPr>
        <w:t xml:space="preserve">Security is a critical cross-cutting concern for the TurfBook platform. The system handles financial transactions, personal customer data (mobile numbers, names), and business-critical facility information. All API communications must use HTTPS with TLS 1.2 or higher. Authentication tokens must use strong signing algorithms (RS256) and short expiration times. Password hashes must use bcrypt with a minimum work factor of 12. The OTP system must enforce rate limiting (maximum 5 attempts per mobile number per hour) and use cryptographically secure random number generation for OTP codes.</w:t>
      </w:r>
    </w:p>
    <w:p>
      <w:pPr>
        <w:spacing w:after="120" w:line="312"/>
        <w:jc w:val="both"/>
      </w:pPr>
      <w:r>
        <w:rPr>
          <w:rFonts w:ascii="Times New Roman"/>
          <w:color w:val="000000"/>
          <w:sz w:val="24"/>
          <w:szCs w:val="24"/>
        </w:rPr>
        <w:t xml:space="preserve">Multi-tenancy security requires that every database query includes the appropriate facility_id scope filter, preventing cross-tenant data access. SQL injection prevention is handled through parameterized queries via Prisma ORM. Cross-site scripting (XSS) prevention is handled through React's built-in output escaping, supplemented by Content Security Policy headers. Cross-site request forgery (CSRF) protection uses the SameSite cookie attribute combined with token-based authentication. All file uploads must be validated for type, size, and content to prevent malicious file uploads.</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 PAGE \* arabic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TurfBook System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TurfBook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2026-08-18T11:48:18.869Z</dcterms:created>
  <dcterms:modified xsi:type="dcterms:W3CDTF">2026-08-18T11:48:18.870Z</dcterms:modified>
</cp:coreProperties>
</file>

<file path=docProps/custom.xml><?xml version="1.0" encoding="utf-8"?>
<Properties xmlns="http://schemas.openxmlformats.org/officeDocument/2006/custom-properties" xmlns:vt="http://schemas.openxmlformats.org/officeDocument/2006/docPropsVTypes"/>
</file>