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B263F" w14:textId="173E1F36" w:rsidR="00F96DEC" w:rsidRDefault="009254D6" w:rsidP="009254D6">
      <w:pPr>
        <w:ind w:left="1416" w:firstLine="708"/>
        <w:rPr>
          <w:b/>
          <w:bCs/>
          <w:u w:val="single"/>
          <w:lang w:val="es-ES"/>
        </w:rPr>
      </w:pPr>
      <w:r w:rsidRPr="009254D6">
        <w:rPr>
          <w:b/>
          <w:bCs/>
          <w:u w:val="single"/>
          <w:lang w:val="es-ES"/>
        </w:rPr>
        <w:t>Investigación para TransplantChai</w:t>
      </w:r>
      <w:r>
        <w:rPr>
          <w:b/>
          <w:bCs/>
          <w:u w:val="single"/>
          <w:lang w:val="es-ES"/>
        </w:rPr>
        <w:t>n</w:t>
      </w:r>
    </w:p>
    <w:p w14:paraId="7322BD5D" w14:textId="00EC1875" w:rsidR="009254D6" w:rsidRPr="009254D6" w:rsidRDefault="009254D6" w:rsidP="009254D6">
      <w:r w:rsidRPr="009254D6">
        <w:t xml:space="preserve">El sistema de trasplantes en Argentina está regulado, coordinado y fiscalizado por el </w:t>
      </w:r>
      <w:hyperlink r:id="rId5" w:tgtFrame="_blank" w:history="1">
        <w:r w:rsidRPr="009254D6">
          <w:rPr>
            <w:rStyle w:val="Hipervnculo"/>
          </w:rPr>
          <w:t>INCUCAI</w:t>
        </w:r>
      </w:hyperlink>
      <w:r w:rsidRPr="009254D6">
        <w:t xml:space="preserve"> (Instituto Nacional Central Único Coordinador de Ablación e Implante). Es un proceso </w:t>
      </w:r>
      <w:r w:rsidRPr="009254D6">
        <w:rPr>
          <w:b/>
          <w:bCs/>
        </w:rPr>
        <w:t>altamente transparente, nacional y automatizado</w:t>
      </w:r>
      <w:r w:rsidRPr="009254D6">
        <w:t xml:space="preserve"> que funciona las 24 horas del día a través del sistema informático </w:t>
      </w:r>
      <w:hyperlink r:id="rId6" w:tgtFrame="_blank" w:history="1">
        <w:r w:rsidRPr="009254D6">
          <w:rPr>
            <w:rStyle w:val="Hipervnculo"/>
          </w:rPr>
          <w:t>SINTRA</w:t>
        </w:r>
      </w:hyperlink>
      <w:r w:rsidRPr="009254D6">
        <w:t>.</w:t>
      </w:r>
    </w:p>
    <w:p w14:paraId="4D3CDBBF" w14:textId="77777777" w:rsidR="009254D6" w:rsidRPr="009254D6" w:rsidRDefault="009254D6" w:rsidP="009254D6">
      <w:pPr>
        <w:rPr>
          <w:b/>
          <w:bCs/>
        </w:rPr>
      </w:pPr>
      <w:r w:rsidRPr="009254D6">
        <w:rPr>
          <w:b/>
          <w:bCs/>
        </w:rPr>
        <w:t>El Listado de Pacientes y Criterios de Prioridad</w:t>
      </w:r>
    </w:p>
    <w:p w14:paraId="32C71F01" w14:textId="1AF504FD" w:rsidR="009254D6" w:rsidRPr="009254D6" w:rsidRDefault="009254D6" w:rsidP="009254D6">
      <w:r w:rsidRPr="009254D6">
        <w:t xml:space="preserve">La lista de espera en Argentina es </w:t>
      </w:r>
      <w:r w:rsidRPr="009254D6">
        <w:rPr>
          <w:b/>
          <w:bCs/>
        </w:rPr>
        <w:t>única y nacional</w:t>
      </w:r>
      <w:r w:rsidRPr="009254D6">
        <w:t xml:space="preserve"> para cada órgano o tejido. No existen listas por clínicas, obras sociales ni provincias. </w:t>
      </w:r>
    </w:p>
    <w:p w14:paraId="1BFD436E" w14:textId="7C72FA45" w:rsidR="009254D6" w:rsidRDefault="009254D6" w:rsidP="009254D6">
      <w:r w:rsidRPr="009254D6">
        <w:t xml:space="preserve">Cuando se detecta un donante, el sistema SINTRA genera de forma automática una </w:t>
      </w:r>
      <w:r w:rsidRPr="009254D6">
        <w:rPr>
          <w:b/>
          <w:bCs/>
        </w:rPr>
        <w:t>lista de distribución</w:t>
      </w:r>
      <w:r w:rsidRPr="009254D6">
        <w:t xml:space="preserve"> cruzando los datos del donante con los de los receptores. El orden de prioridad absoluto se rige bajo tres pilares fundamentales:</w:t>
      </w:r>
    </w:p>
    <w:p w14:paraId="1C93EBD2" w14:textId="77777777" w:rsidR="009254D6" w:rsidRPr="009254D6" w:rsidRDefault="009254D6" w:rsidP="009254D6">
      <w:r w:rsidRPr="009254D6">
        <w:rPr>
          <w:b/>
          <w:bCs/>
        </w:rPr>
        <w:t>Gravedad Clínica (Situación del Paciente):</w:t>
      </w:r>
    </w:p>
    <w:p w14:paraId="71CA88D0" w14:textId="77777777" w:rsidR="009254D6" w:rsidRPr="009254D6" w:rsidRDefault="009254D6" w:rsidP="009254D6">
      <w:pPr>
        <w:numPr>
          <w:ilvl w:val="0"/>
          <w:numId w:val="1"/>
        </w:numPr>
      </w:pPr>
      <w:r w:rsidRPr="009254D6">
        <w:rPr>
          <w:b/>
          <w:bCs/>
        </w:rPr>
        <w:t>Emergencia:</w:t>
      </w:r>
      <w:r w:rsidRPr="009254D6">
        <w:t xml:space="preserve"> Pacientes en riesgo inminente de muerte (pocas horas o días) si no reciben el órgano. Tienen prioridad absoluta sobre todo el resto.</w:t>
      </w:r>
    </w:p>
    <w:p w14:paraId="01EF963E" w14:textId="77777777" w:rsidR="009254D6" w:rsidRPr="009254D6" w:rsidRDefault="009254D6" w:rsidP="009254D6">
      <w:pPr>
        <w:numPr>
          <w:ilvl w:val="0"/>
          <w:numId w:val="1"/>
        </w:numPr>
      </w:pPr>
      <w:r w:rsidRPr="009254D6">
        <w:rPr>
          <w:b/>
          <w:bCs/>
        </w:rPr>
        <w:t>Urgencia:</w:t>
      </w:r>
      <w:r w:rsidRPr="009254D6">
        <w:t xml:space="preserve"> Pacientes con un cuadro grave pero estable en comparación con la emergencia.</w:t>
      </w:r>
    </w:p>
    <w:p w14:paraId="5F63739B" w14:textId="670722D1" w:rsidR="009254D6" w:rsidRDefault="009254D6" w:rsidP="009254D6">
      <w:pPr>
        <w:numPr>
          <w:ilvl w:val="0"/>
          <w:numId w:val="1"/>
        </w:numPr>
      </w:pPr>
      <w:r w:rsidRPr="009254D6">
        <w:rPr>
          <w:b/>
          <w:bCs/>
        </w:rPr>
        <w:t>Lista General (Puntaje MELD/PELD):</w:t>
      </w:r>
      <w:r w:rsidRPr="009254D6">
        <w:t xml:space="preserve"> Para órganos como el hígado, se usa un score científico internacional basado en análisis de laboratorio. A mayor gravedad, más puntaje y más arriba se posiciona el paciente. </w:t>
      </w:r>
    </w:p>
    <w:p w14:paraId="109BD2BF" w14:textId="4A3876F9" w:rsidR="009254D6" w:rsidRDefault="009254D6" w:rsidP="009254D6">
      <w:r w:rsidRPr="009254D6">
        <w:rPr>
          <w:b/>
          <w:bCs/>
        </w:rPr>
        <w:t>Compatibilidad Biológica:</w:t>
      </w:r>
      <w:r w:rsidRPr="009254D6">
        <w:t xml:space="preserve"> Se analiza obligatoriamente el grupo sanguíneo, la compatibilidad inmunológica y la antropometría (que el tamaño del órgano del donante sea adecuado para el cuerpo del receptor)</w:t>
      </w:r>
    </w:p>
    <w:p w14:paraId="03FA4DEE" w14:textId="207AE67C" w:rsidR="009254D6" w:rsidRDefault="009254D6" w:rsidP="009254D6">
      <w:r w:rsidRPr="009254D6">
        <w:rPr>
          <w:b/>
          <w:bCs/>
        </w:rPr>
        <w:t>Edad del Receptor:</w:t>
      </w:r>
      <w:r w:rsidRPr="009254D6">
        <w:t xml:space="preserve"> El sistema otorga una fuerte </w:t>
      </w:r>
      <w:r w:rsidRPr="009254D6">
        <w:rPr>
          <w:b/>
          <w:bCs/>
        </w:rPr>
        <w:t>priorización pediátrica</w:t>
      </w:r>
      <w:r w:rsidRPr="009254D6">
        <w:t xml:space="preserve"> (menores de 18 años) para asegurar que los niños tengan mayores oportunidades de desarrollo. </w:t>
      </w:r>
    </w:p>
    <w:p w14:paraId="73CD7E11" w14:textId="03BB629E" w:rsidR="009254D6" w:rsidRDefault="009254D6" w:rsidP="009254D6">
      <w:r w:rsidRPr="009254D6">
        <w:rPr>
          <w:b/>
          <w:bCs/>
        </w:rPr>
        <w:t>Territorialidad (Regionalidad):</w:t>
      </w:r>
      <w:r w:rsidRPr="009254D6">
        <w:t xml:space="preserve"> Para reducir el "tiempo de isquemia fría" (las horas que un órgano puede sobrevivir fuera del cuerpo), se prioriza a los receptores que se encuentran en la misma provincia o región geográfica que el donante. </w:t>
      </w:r>
    </w:p>
    <w:p w14:paraId="37093596" w14:textId="49D45DB2" w:rsidR="00ED3A47" w:rsidRDefault="009254D6" w:rsidP="009254D6">
      <w:r w:rsidRPr="009254D6">
        <w:rPr>
          <w:b/>
          <w:bCs/>
        </w:rPr>
        <w:t>Antigüedad en Lista de Espera:</w:t>
      </w:r>
      <w:r w:rsidRPr="009254D6">
        <w:t xml:space="preserve"> Se utiliza como criterio de desempate si dos pacientes poseen exactamente la misma compatibilidad y gravedad médica. </w:t>
      </w:r>
    </w:p>
    <w:p w14:paraId="41DF99C5" w14:textId="7DE9D5C2" w:rsidR="00ED3A47" w:rsidRDefault="00ED3A47" w:rsidP="009254D6">
      <w:r w:rsidRPr="00ED3A47">
        <w:t xml:space="preserve">La posición de un paciente en la lista de espera no es fija ni tiene un orden numérico preestablecido. El orden se altera y calcula dinámicamente en el momento exacto en que surge un donante, priorizando a quienes presentan una urgencia médica crítica y mayor compatibilidad. </w:t>
      </w:r>
    </w:p>
    <w:p w14:paraId="4855C22F" w14:textId="77777777" w:rsidR="00ED3A47" w:rsidRPr="00ED3A47" w:rsidRDefault="00ED3A47" w:rsidP="00ED3A47">
      <w:pPr>
        <w:rPr>
          <w:b/>
          <w:bCs/>
        </w:rPr>
      </w:pPr>
      <w:r w:rsidRPr="00ED3A47">
        <w:rPr>
          <w:b/>
          <w:bCs/>
        </w:rPr>
        <w:lastRenderedPageBreak/>
        <w:t>Cómo se altera y prioriza la lista al recibir un trasplante</w:t>
      </w:r>
    </w:p>
    <w:p w14:paraId="1D0763A3" w14:textId="77777777" w:rsidR="00ED3A47" w:rsidRPr="00ED3A47" w:rsidRDefault="00ED3A47" w:rsidP="00ED3A47">
      <w:r w:rsidRPr="00ED3A47">
        <w:t>El sistema informático, como el Sistema Nacional de Información de Procuración y Trasplante (SINTRA) en Argentina, clasifica a los pacientes evaluando cuatro criterios fundamentales de forma simultánea: [</w:t>
      </w:r>
      <w:hyperlink r:id="rId7" w:history="1">
        <w:r w:rsidRPr="00ED3A47">
          <w:rPr>
            <w:rStyle w:val="Hipervnculo"/>
          </w:rPr>
          <w:t>1</w:t>
        </w:r>
      </w:hyperlink>
      <w:r w:rsidRPr="00ED3A47">
        <w:t xml:space="preserve">, </w:t>
      </w:r>
      <w:hyperlink r:id="rId8" w:history="1">
        <w:r w:rsidRPr="00ED3A47">
          <w:rPr>
            <w:rStyle w:val="Hipervnculo"/>
          </w:rPr>
          <w:t>2</w:t>
        </w:r>
      </w:hyperlink>
      <w:r w:rsidRPr="00ED3A47">
        <w:t>]</w:t>
      </w:r>
    </w:p>
    <w:p w14:paraId="6B15005D" w14:textId="77777777" w:rsidR="00ED3A47" w:rsidRPr="00ED3A47" w:rsidRDefault="00ED3A47" w:rsidP="00ED3A47">
      <w:pPr>
        <w:numPr>
          <w:ilvl w:val="0"/>
          <w:numId w:val="5"/>
        </w:numPr>
      </w:pPr>
      <w:r w:rsidRPr="00ED3A47">
        <w:rPr>
          <w:b/>
          <w:bCs/>
        </w:rPr>
        <w:t>Urgencia médica:</w:t>
      </w:r>
      <w:r w:rsidRPr="00ED3A47">
        <w:t xml:space="preserve"> Los pacientes en situación de </w:t>
      </w:r>
      <w:r w:rsidRPr="00ED3A47">
        <w:rPr>
          <w:b/>
          <w:bCs/>
        </w:rPr>
        <w:t>emergencia o urgencia</w:t>
      </w:r>
      <w:r w:rsidRPr="00ED3A47">
        <w:t xml:space="preserve"> (riesgo de vida inminente) tienen prioridad absoluta. Esta condición modifica su estatus en el sistema en tiempo real. [</w:t>
      </w:r>
      <w:hyperlink r:id="rId9" w:history="1">
        <w:r w:rsidRPr="00ED3A47">
          <w:rPr>
            <w:rStyle w:val="Hipervnculo"/>
          </w:rPr>
          <w:t>1</w:t>
        </w:r>
      </w:hyperlink>
      <w:r w:rsidRPr="00ED3A47">
        <w:t xml:space="preserve">, </w:t>
      </w:r>
      <w:hyperlink r:id="rId10" w:history="1">
        <w:r w:rsidRPr="00ED3A47">
          <w:rPr>
            <w:rStyle w:val="Hipervnculo"/>
          </w:rPr>
          <w:t>2</w:t>
        </w:r>
      </w:hyperlink>
      <w:r w:rsidRPr="00ED3A47">
        <w:t xml:space="preserve">, </w:t>
      </w:r>
      <w:hyperlink r:id="rId11" w:history="1">
        <w:r w:rsidRPr="00ED3A47">
          <w:rPr>
            <w:rStyle w:val="Hipervnculo"/>
          </w:rPr>
          <w:t>3</w:t>
        </w:r>
      </w:hyperlink>
      <w:r w:rsidRPr="00ED3A47">
        <w:t>]</w:t>
      </w:r>
    </w:p>
    <w:p w14:paraId="1FBBE1C1" w14:textId="77777777" w:rsidR="00ED3A47" w:rsidRPr="00ED3A47" w:rsidRDefault="00ED3A47" w:rsidP="00ED3A47">
      <w:pPr>
        <w:numPr>
          <w:ilvl w:val="0"/>
          <w:numId w:val="5"/>
        </w:numPr>
      </w:pPr>
      <w:r w:rsidRPr="00ED3A47">
        <w:rPr>
          <w:b/>
          <w:bCs/>
        </w:rPr>
        <w:t>Compatibilidad:</w:t>
      </w:r>
      <w:r w:rsidRPr="00ED3A47">
        <w:t xml:space="preserve"> Se analiza el grupo sanguíneo (sistema ABO), los estudios inmunológicos (HLA) y la antropometría (tamaño y peso del órgano versus el receptor) para evitar el rechazo. [</w:t>
      </w:r>
      <w:hyperlink r:id="rId12" w:history="1">
        <w:r w:rsidRPr="00ED3A47">
          <w:rPr>
            <w:rStyle w:val="Hipervnculo"/>
          </w:rPr>
          <w:t>1</w:t>
        </w:r>
      </w:hyperlink>
      <w:r w:rsidRPr="00ED3A47">
        <w:t xml:space="preserve">, </w:t>
      </w:r>
      <w:hyperlink r:id="rId13" w:history="1">
        <w:r w:rsidRPr="00ED3A47">
          <w:rPr>
            <w:rStyle w:val="Hipervnculo"/>
          </w:rPr>
          <w:t>2</w:t>
        </w:r>
      </w:hyperlink>
      <w:r w:rsidRPr="00ED3A47">
        <w:t>]</w:t>
      </w:r>
    </w:p>
    <w:p w14:paraId="05D0673C" w14:textId="77777777" w:rsidR="00ED3A47" w:rsidRPr="00ED3A47" w:rsidRDefault="00ED3A47" w:rsidP="00ED3A47">
      <w:pPr>
        <w:numPr>
          <w:ilvl w:val="0"/>
          <w:numId w:val="5"/>
        </w:numPr>
      </w:pPr>
      <w:r w:rsidRPr="00ED3A47">
        <w:rPr>
          <w:b/>
          <w:bCs/>
        </w:rPr>
        <w:t>Tiempo de espera:</w:t>
      </w:r>
      <w:r w:rsidRPr="00ED3A47">
        <w:t xml:space="preserve"> Es un factor que se considera cuando existe paridad en la urgencia y la compatibilidad entre varios pacientes. [</w:t>
      </w:r>
      <w:hyperlink r:id="rId14" w:history="1">
        <w:r w:rsidRPr="00ED3A47">
          <w:rPr>
            <w:rStyle w:val="Hipervnculo"/>
          </w:rPr>
          <w:t>1</w:t>
        </w:r>
      </w:hyperlink>
      <w:r w:rsidRPr="00ED3A47">
        <w:t>]</w:t>
      </w:r>
    </w:p>
    <w:p w14:paraId="27150C2A" w14:textId="77777777" w:rsidR="00ED3A47" w:rsidRPr="00ED3A47" w:rsidRDefault="00ED3A47" w:rsidP="00ED3A47">
      <w:pPr>
        <w:numPr>
          <w:ilvl w:val="0"/>
          <w:numId w:val="5"/>
        </w:numPr>
      </w:pPr>
      <w:r w:rsidRPr="00ED3A47">
        <w:rPr>
          <w:b/>
          <w:bCs/>
        </w:rPr>
        <w:t>Criterios geográficos:</w:t>
      </w:r>
      <w:r w:rsidRPr="00ED3A47">
        <w:t xml:space="preserve"> La distribución busca respetar la región donde se procura el órgano para garantizar un tiempo de isquemia (tiempo fuera del cuerpo) seguro. [</w:t>
      </w:r>
      <w:hyperlink r:id="rId15" w:history="1">
        <w:r w:rsidRPr="00ED3A47">
          <w:rPr>
            <w:rStyle w:val="Hipervnculo"/>
          </w:rPr>
          <w:t>1</w:t>
        </w:r>
      </w:hyperlink>
      <w:r w:rsidRPr="00ED3A47">
        <w:t xml:space="preserve">, </w:t>
      </w:r>
      <w:hyperlink r:id="rId16" w:history="1">
        <w:r w:rsidRPr="00ED3A47">
          <w:rPr>
            <w:rStyle w:val="Hipervnculo"/>
          </w:rPr>
          <w:t>2</w:t>
        </w:r>
      </w:hyperlink>
      <w:r w:rsidRPr="00ED3A47">
        <w:t>]</w:t>
      </w:r>
    </w:p>
    <w:p w14:paraId="6D8076E7" w14:textId="77777777" w:rsidR="00ED3A47" w:rsidRPr="00ED3A47" w:rsidRDefault="00ED3A47" w:rsidP="00ED3A47">
      <w:pPr>
        <w:rPr>
          <w:b/>
          <w:bCs/>
        </w:rPr>
      </w:pPr>
      <w:r w:rsidRPr="00ED3A47">
        <w:rPr>
          <w:b/>
          <w:bCs/>
        </w:rPr>
        <w:t>¿Qué ocurre durante la revisión médica?</w:t>
      </w:r>
    </w:p>
    <w:p w14:paraId="65794B4A" w14:textId="26643D00" w:rsidR="00ED3A47" w:rsidRDefault="00ED3A47" w:rsidP="009254D6">
      <w:r w:rsidRPr="00ED3A47">
        <w:t xml:space="preserve">Si el equipo médico detecta que un paciente en lista de espera sufre una complicación, una infección aguda o no cumple con los criterios de aptitud física para tolerar la cirugía, el estado del paciente en el sistema cambia temporalmente a </w:t>
      </w:r>
      <w:r w:rsidRPr="00ED3A47">
        <w:rPr>
          <w:b/>
          <w:bCs/>
        </w:rPr>
        <w:t>"inactivo" o "en baja transitoria"</w:t>
      </w:r>
      <w:r w:rsidRPr="00ED3A47">
        <w:t>. Esto significa que el paciente no será considerado para un trasplante mientras dure la revisión médica, alterando su oportunidad de recibir el órgano hasta que su cuadro clínico sea favorable nuevamente.</w:t>
      </w:r>
    </w:p>
    <w:p w14:paraId="60809726" w14:textId="77777777" w:rsidR="009254D6" w:rsidRPr="009254D6" w:rsidRDefault="009254D6" w:rsidP="009254D6">
      <w:pPr>
        <w:rPr>
          <w:b/>
          <w:bCs/>
        </w:rPr>
      </w:pPr>
      <w:r w:rsidRPr="009254D6">
        <w:rPr>
          <w:b/>
          <w:bCs/>
        </w:rPr>
        <w:t>¿Cómo funciona la Obtención de Trasplantes?</w:t>
      </w:r>
    </w:p>
    <w:p w14:paraId="4033690B" w14:textId="79A47729" w:rsidR="009254D6" w:rsidRDefault="009254D6" w:rsidP="009254D6">
      <w:r w:rsidRPr="009254D6">
        <w:t>El proceso operativo es complejo, requiere máxima velocidad y consta de los siguientes pasos:</w:t>
      </w:r>
    </w:p>
    <w:p w14:paraId="19CF318F" w14:textId="798DE12D" w:rsidR="009254D6" w:rsidRPr="009254D6" w:rsidRDefault="009254D6" w:rsidP="009254D6">
      <w:r w:rsidRPr="009254D6">
        <w:rPr>
          <w:b/>
          <w:bCs/>
        </w:rPr>
        <w:t>Detección del Potencial Donante:</w:t>
      </w:r>
      <w:r w:rsidRPr="009254D6">
        <w:t xml:space="preserve"> El inicio ocurre en las Unidades de Terapia Intensiva de cualquier hospital del país. Cuando un paciente fallece bajo criterios neurológicos (</w:t>
      </w:r>
      <w:r w:rsidRPr="009254D6">
        <w:rPr>
          <w:b/>
          <w:bCs/>
        </w:rPr>
        <w:t>muerte encefálica</w:t>
      </w:r>
      <w:r w:rsidRPr="009254D6">
        <w:t>), el médico comunica el caso de inmediato al INCUCAI o al organismo provincial correspondiente. [</w:t>
      </w:r>
      <w:hyperlink r:id="rId17" w:history="1">
        <w:r w:rsidRPr="009254D6">
          <w:rPr>
            <w:rStyle w:val="Hipervnculo"/>
          </w:rPr>
          <w:t>1</w:t>
        </w:r>
      </w:hyperlink>
      <w:r w:rsidRPr="009254D6">
        <w:t xml:space="preserve">, </w:t>
      </w:r>
      <w:hyperlink r:id="rId18" w:history="1">
        <w:r w:rsidRPr="009254D6">
          <w:rPr>
            <w:rStyle w:val="Hipervnculo"/>
          </w:rPr>
          <w:t>2</w:t>
        </w:r>
      </w:hyperlink>
      <w:r w:rsidRPr="009254D6">
        <w:t>]</w:t>
      </w:r>
    </w:p>
    <w:p w14:paraId="3CAD0AF9" w14:textId="24B3E2ED" w:rsidR="009254D6" w:rsidRPr="009254D6" w:rsidRDefault="009254D6" w:rsidP="009254D6">
      <w:r w:rsidRPr="009254D6">
        <w:rPr>
          <w:b/>
          <w:bCs/>
        </w:rPr>
        <w:t>Mantenimiento y Certificación:</w:t>
      </w:r>
      <w:r w:rsidRPr="009254D6">
        <w:t xml:space="preserve"> Mientras se certifica legalmente el fallecimiento, el equipo médico mantiene artificialmente el cuerpo para asegurar la correcta oxigenación y viabilidad de los órganos. Se realizan estudios para descartar enfermedades infectocontagiosas.</w:t>
      </w:r>
    </w:p>
    <w:p w14:paraId="7E997B2C" w14:textId="6A0A7E5D" w:rsidR="009254D6" w:rsidRPr="009254D6" w:rsidRDefault="009254D6" w:rsidP="009254D6">
      <w:r w:rsidRPr="009254D6">
        <w:rPr>
          <w:b/>
          <w:bCs/>
        </w:rPr>
        <w:lastRenderedPageBreak/>
        <w:t>La Ley del Donante Presunto:</w:t>
      </w:r>
      <w:r w:rsidRPr="009254D6">
        <w:t xml:space="preserve"> Según la legislación vigente en Argentina, </w:t>
      </w:r>
      <w:r w:rsidRPr="009254D6">
        <w:rPr>
          <w:b/>
          <w:bCs/>
        </w:rPr>
        <w:t>toda persona mayor de 18 años es donante de órganos</w:t>
      </w:r>
      <w:r w:rsidRPr="009254D6">
        <w:t xml:space="preserve"> a menos que haya dejado expresa constancia de su oposición en vida. En el caso de menores de 18 años, se requiere la autorización de los padres o tutores legales</w:t>
      </w:r>
    </w:p>
    <w:p w14:paraId="7380117E" w14:textId="38830A1A" w:rsidR="009254D6" w:rsidRPr="009254D6" w:rsidRDefault="009254D6" w:rsidP="009254D6">
      <w:r w:rsidRPr="009254D6">
        <w:rPr>
          <w:b/>
          <w:bCs/>
        </w:rPr>
        <w:t>Detección del Potencial Donante:</w:t>
      </w:r>
      <w:r w:rsidRPr="009254D6">
        <w:t xml:space="preserve"> El inicio ocurre en las Unidades de Terapia Intensiva de cualquier hospital del país. Cuando un paciente fallece bajo criterios neurológicos (</w:t>
      </w:r>
      <w:r w:rsidRPr="009254D6">
        <w:rPr>
          <w:b/>
          <w:bCs/>
        </w:rPr>
        <w:t>muerte encefálica</w:t>
      </w:r>
      <w:r w:rsidRPr="009254D6">
        <w:t>), el médico comunica el caso de inmediato al INCUCAI o al organismo provincial correspondiente.</w:t>
      </w:r>
    </w:p>
    <w:p w14:paraId="132C1187" w14:textId="4E22F020" w:rsidR="009254D6" w:rsidRPr="009254D6" w:rsidRDefault="009254D6" w:rsidP="009254D6">
      <w:r w:rsidRPr="009254D6">
        <w:rPr>
          <w:b/>
          <w:bCs/>
        </w:rPr>
        <w:t>Mantenimiento y Certificación:</w:t>
      </w:r>
      <w:r w:rsidRPr="009254D6">
        <w:t xml:space="preserve"> Mientras se certifica legalmente el fallecimiento, el equipo médico mantiene artificialmente el cuerpo para asegurar la correcta oxigenación y viabilidad de los órganos. Se realizan estudios para descartar enfermedades infectocontagiosas.</w:t>
      </w:r>
    </w:p>
    <w:p w14:paraId="1BAAA98E" w14:textId="33C5A2D9" w:rsidR="009254D6" w:rsidRPr="009254D6" w:rsidRDefault="009254D6" w:rsidP="009254D6">
      <w:r w:rsidRPr="009254D6">
        <w:rPr>
          <w:b/>
          <w:bCs/>
        </w:rPr>
        <w:t>La Ley del Donante Presunto:</w:t>
      </w:r>
      <w:r w:rsidRPr="009254D6">
        <w:t xml:space="preserve"> Según la legislación vigente en Argentina, </w:t>
      </w:r>
      <w:r w:rsidRPr="009254D6">
        <w:rPr>
          <w:b/>
          <w:bCs/>
        </w:rPr>
        <w:t>toda persona mayor de 18 años es donante de órganos</w:t>
      </w:r>
      <w:r w:rsidRPr="009254D6">
        <w:t xml:space="preserve"> a menos que haya dejado expresa constancia de su oposición en vida. En el caso de menores de 18 años, se requiere la autorización de los padres o tutores legales</w:t>
      </w:r>
    </w:p>
    <w:p w14:paraId="52964F1E" w14:textId="77777777" w:rsidR="009254D6" w:rsidRDefault="00000000" w:rsidP="009254D6">
      <w:pPr>
        <w:spacing w:before="480" w:after="480"/>
        <w:rPr>
          <w:rFonts w:ascii="Arial" w:hAnsi="Arial" w:cs="Arial"/>
          <w:sz w:val="21"/>
          <w:szCs w:val="21"/>
        </w:rPr>
      </w:pPr>
      <w:r>
        <w:pict w14:anchorId="38EC0C08">
          <v:rect id="_x0000_i1025" style="width:0;height:1.5pt" o:hralign="center" o:hrstd="t" o:hr="t" fillcolor="#a0a0a0" stroked="f"/>
        </w:pict>
      </w:r>
    </w:p>
    <w:p w14:paraId="6A5E11B8" w14:textId="77777777" w:rsidR="009254D6" w:rsidRDefault="009254D6" w:rsidP="009254D6">
      <w:pPr>
        <w:rPr>
          <w:b/>
          <w:bCs/>
          <w:u w:val="single"/>
        </w:rPr>
      </w:pPr>
    </w:p>
    <w:p w14:paraId="01E0DD5E" w14:textId="00341D8B" w:rsidR="009254D6" w:rsidRPr="009254D6" w:rsidRDefault="009254D6" w:rsidP="009254D6">
      <w:pPr>
        <w:rPr>
          <w:b/>
          <w:bCs/>
          <w:u w:val="single"/>
        </w:rPr>
      </w:pPr>
      <w:r w:rsidRPr="009254D6">
        <w:rPr>
          <w:b/>
          <w:bCs/>
          <w:u w:val="single"/>
        </w:rPr>
        <w:t>Derechos de los Pacientes en Argentina</w:t>
      </w:r>
    </w:p>
    <w:p w14:paraId="2A9913C1" w14:textId="71A060FD" w:rsidR="009254D6" w:rsidRDefault="009254D6" w:rsidP="009254D6">
      <w:r w:rsidRPr="009254D6">
        <w:t xml:space="preserve">La </w:t>
      </w:r>
      <w:hyperlink r:id="rId19" w:tgtFrame="_blank" w:history="1">
        <w:r w:rsidRPr="009254D6">
          <w:rPr>
            <w:rStyle w:val="Hipervnculo"/>
          </w:rPr>
          <w:t>Ley Nº 26.928</w:t>
        </w:r>
      </w:hyperlink>
      <w:r w:rsidRPr="009254D6">
        <w:t xml:space="preserve"> establece un Sistema de Protección Integral para personas trasplantadas o en lista de espera. Brinda beneficios clave como la </w:t>
      </w:r>
      <w:r w:rsidRPr="009254D6">
        <w:rPr>
          <w:b/>
          <w:bCs/>
        </w:rPr>
        <w:t>cobertura del 100%</w:t>
      </w:r>
      <w:r w:rsidRPr="009254D6">
        <w:t xml:space="preserve"> en medicamentos y estudios por parte de obras sociales y prepagas, licencias laborales especiales y la gratuidad en pasajes de transporte público terrestre de corta y larga distancia. </w:t>
      </w:r>
    </w:p>
    <w:p w14:paraId="622FEAEE" w14:textId="77777777" w:rsidR="009254D6" w:rsidRPr="009254D6" w:rsidRDefault="009254D6" w:rsidP="009254D6">
      <w:pPr>
        <w:rPr>
          <w:b/>
          <w:bCs/>
        </w:rPr>
      </w:pPr>
      <w:r w:rsidRPr="009254D6">
        <w:rPr>
          <w:b/>
          <w:bCs/>
        </w:rPr>
        <w:t>1. Criterios de Asignación por Órgano Específico</w:t>
      </w:r>
    </w:p>
    <w:p w14:paraId="63548D0B" w14:textId="77777777" w:rsidR="009254D6" w:rsidRPr="009254D6" w:rsidRDefault="009254D6" w:rsidP="009254D6">
      <w:r w:rsidRPr="009254D6">
        <w:t xml:space="preserve">Cada tipo de órgano posee reglas particulares dictadas por resoluciones del </w:t>
      </w:r>
      <w:hyperlink r:id="rId20" w:tgtFrame="_blank" w:history="1">
        <w:r w:rsidRPr="009254D6">
          <w:rPr>
            <w:rStyle w:val="Hipervnculo"/>
          </w:rPr>
          <w:t>INCUCAI</w:t>
        </w:r>
      </w:hyperlink>
      <w:r w:rsidRPr="009254D6">
        <w:t xml:space="preserve"> para garantizar criterios médicos y de compatibilidad rigurosos: [</w:t>
      </w:r>
      <w:hyperlink r:id="rId21" w:history="1">
        <w:r w:rsidRPr="009254D6">
          <w:rPr>
            <w:rStyle w:val="Hipervnculo"/>
          </w:rPr>
          <w:t>1</w:t>
        </w:r>
      </w:hyperlink>
      <w:r w:rsidRPr="009254D6">
        <w:t xml:space="preserve">, </w:t>
      </w:r>
      <w:hyperlink r:id="rId22" w:history="1">
        <w:r w:rsidRPr="009254D6">
          <w:rPr>
            <w:rStyle w:val="Hipervnculo"/>
          </w:rPr>
          <w:t>2</w:t>
        </w:r>
      </w:hyperlink>
      <w:r w:rsidRPr="009254D6">
        <w:t>]</w:t>
      </w:r>
    </w:p>
    <w:p w14:paraId="3DB3BE01" w14:textId="77777777" w:rsidR="009254D6" w:rsidRPr="009254D6" w:rsidRDefault="009254D6" w:rsidP="009254D6">
      <w:pPr>
        <w:numPr>
          <w:ilvl w:val="0"/>
          <w:numId w:val="2"/>
        </w:numPr>
      </w:pPr>
      <w:r w:rsidRPr="009254D6">
        <w:rPr>
          <w:b/>
          <w:bCs/>
        </w:rPr>
        <w:t>Riñón:</w:t>
      </w:r>
      <w:r w:rsidRPr="009254D6">
        <w:t xml:space="preserve"> La asignación de injertos renales se rige por la </w:t>
      </w:r>
      <w:hyperlink r:id="rId23" w:tgtFrame="_blank" w:history="1">
        <w:r w:rsidRPr="009254D6">
          <w:rPr>
            <w:rStyle w:val="Hipervnculo"/>
          </w:rPr>
          <w:t>Resolución INCUCAI Nº 341/21</w:t>
        </w:r>
      </w:hyperlink>
      <w:r w:rsidRPr="009254D6">
        <w:t xml:space="preserve">. El ordenamiento de la lista se determina mediante un </w:t>
      </w:r>
      <w:r w:rsidRPr="009254D6">
        <w:rPr>
          <w:b/>
          <w:bCs/>
        </w:rPr>
        <w:t>sistema de puntuación acumulativo</w:t>
      </w:r>
      <w:r w:rsidRPr="009254D6">
        <w:t>. Las variables clave incluyen los años acumulados en tratamiento de diálisis, la edad del receptor, la compatibilidad del grupo sanguíneo y el grado de compatibilidad inmunológica (HLA). También se evalúa críticamente la viabilidad de los accesos vasculares activos del paciente. [</w:t>
      </w:r>
      <w:hyperlink r:id="rId24" w:history="1">
        <w:r w:rsidRPr="009254D6">
          <w:rPr>
            <w:rStyle w:val="Hipervnculo"/>
          </w:rPr>
          <w:t>1</w:t>
        </w:r>
      </w:hyperlink>
      <w:r w:rsidRPr="009254D6">
        <w:t>]</w:t>
      </w:r>
    </w:p>
    <w:p w14:paraId="7D769D01" w14:textId="77777777" w:rsidR="009254D6" w:rsidRDefault="009254D6" w:rsidP="009254D6">
      <w:pPr>
        <w:pStyle w:val="z1qcye"/>
        <w:numPr>
          <w:ilvl w:val="0"/>
          <w:numId w:val="2"/>
        </w:numPr>
        <w:spacing w:before="0" w:beforeAutospacing="0" w:after="0" w:afterAutospacing="0"/>
        <w:rPr>
          <w:rFonts w:ascii="Arial" w:hAnsi="Arial" w:cs="Arial"/>
        </w:rPr>
      </w:pPr>
      <w:r>
        <w:rPr>
          <w:rStyle w:val="Textoennegrita"/>
          <w:rFonts w:ascii="Arial" w:eastAsiaTheme="majorEastAsia" w:hAnsi="Arial" w:cs="Arial"/>
        </w:rPr>
        <w:lastRenderedPageBreak/>
        <w:t>Hígado:</w:t>
      </w:r>
      <w:r>
        <w:rPr>
          <w:rStyle w:val="t286pc"/>
          <w:rFonts w:ascii="Arial" w:eastAsiaTheme="majorEastAsia" w:hAnsi="Arial" w:cs="Arial"/>
        </w:rPr>
        <w:t xml:space="preserve"> El criterio de prioridad principal en la lista de espera hepática es la </w:t>
      </w:r>
      <w:r>
        <w:rPr>
          <w:rStyle w:val="Textoennegrita"/>
          <w:rFonts w:ascii="Arial" w:eastAsiaTheme="majorEastAsia" w:hAnsi="Arial" w:cs="Arial"/>
        </w:rPr>
        <w:t>gravedad clínica del paciente</w:t>
      </w:r>
      <w:r>
        <w:rPr>
          <w:rStyle w:val="t286pc"/>
          <w:rFonts w:ascii="Arial" w:eastAsiaTheme="majorEastAsia" w:hAnsi="Arial" w:cs="Arial"/>
        </w:rPr>
        <w:t xml:space="preserve">. Esta condición médica se mide de forma estandarizada internacionalmente a través del </w:t>
      </w:r>
      <w:r>
        <w:rPr>
          <w:rStyle w:val="Textoennegrita"/>
          <w:rFonts w:ascii="Arial" w:eastAsiaTheme="majorEastAsia" w:hAnsi="Arial" w:cs="Arial"/>
        </w:rPr>
        <w:t>Score MELD</w:t>
      </w:r>
      <w:r>
        <w:rPr>
          <w:rStyle w:val="t286pc"/>
          <w:rFonts w:ascii="Arial" w:eastAsiaTheme="majorEastAsia" w:hAnsi="Arial" w:cs="Arial"/>
        </w:rPr>
        <w:t xml:space="preserve"> (en adultos) o </w:t>
      </w:r>
      <w:r>
        <w:rPr>
          <w:rStyle w:val="Textoennegrita"/>
          <w:rFonts w:ascii="Arial" w:eastAsiaTheme="majorEastAsia" w:hAnsi="Arial" w:cs="Arial"/>
        </w:rPr>
        <w:t>PELD</w:t>
      </w:r>
      <w:r>
        <w:rPr>
          <w:rStyle w:val="t286pc"/>
          <w:rFonts w:ascii="Arial" w:eastAsiaTheme="majorEastAsia" w:hAnsi="Arial" w:cs="Arial"/>
        </w:rPr>
        <w:t xml:space="preserve"> (en pacientes pediátricos). El puntaje se calcula automáticamente mediante parámetros de laboratorio, ubicando en las posiciones superiores a quienes presentan un riesgo más alto de mortalidad a corto plazo.</w:t>
      </w:r>
      <w:r>
        <w:rPr>
          <w:rFonts w:ascii="Arial" w:hAnsi="Arial" w:cs="Arial"/>
        </w:rPr>
        <w:t xml:space="preserve"> [</w:t>
      </w:r>
      <w:hyperlink r:id="rId25" w:history="1">
        <w:r>
          <w:rPr>
            <w:rStyle w:val="Hipervnculo"/>
            <w:rFonts w:ascii="Arial" w:eastAsiaTheme="majorEastAsia" w:hAnsi="Arial" w:cs="Arial"/>
          </w:rPr>
          <w:t>1</w:t>
        </w:r>
      </w:hyperlink>
      <w:r>
        <w:rPr>
          <w:rFonts w:ascii="Arial" w:hAnsi="Arial" w:cs="Arial"/>
        </w:rPr>
        <w:t>]</w:t>
      </w:r>
    </w:p>
    <w:p w14:paraId="4A721C9C" w14:textId="77777777" w:rsidR="009254D6" w:rsidRDefault="009254D6" w:rsidP="009254D6">
      <w:pPr>
        <w:pStyle w:val="z1qcye"/>
        <w:numPr>
          <w:ilvl w:val="0"/>
          <w:numId w:val="2"/>
        </w:numPr>
        <w:spacing w:before="0" w:beforeAutospacing="0" w:after="0" w:afterAutospacing="0"/>
        <w:rPr>
          <w:rFonts w:ascii="Arial" w:hAnsi="Arial" w:cs="Arial"/>
        </w:rPr>
      </w:pPr>
      <w:r>
        <w:rPr>
          <w:rStyle w:val="Textoennegrita"/>
          <w:rFonts w:ascii="Arial" w:eastAsiaTheme="majorEastAsia" w:hAnsi="Arial" w:cs="Arial"/>
        </w:rPr>
        <w:t>Corazón:</w:t>
      </w:r>
      <w:r>
        <w:rPr>
          <w:rStyle w:val="t286pc"/>
          <w:rFonts w:ascii="Arial" w:eastAsiaTheme="majorEastAsia" w:hAnsi="Arial" w:cs="Arial"/>
        </w:rPr>
        <w:t xml:space="preserve"> La distribución cardíaca se define fuertemente por la </w:t>
      </w:r>
      <w:r>
        <w:rPr>
          <w:rStyle w:val="Textoennegrita"/>
          <w:rFonts w:ascii="Arial" w:eastAsiaTheme="majorEastAsia" w:hAnsi="Arial" w:cs="Arial"/>
        </w:rPr>
        <w:t>emergencia médica</w:t>
      </w:r>
      <w:r>
        <w:rPr>
          <w:rStyle w:val="t286pc"/>
          <w:rFonts w:ascii="Arial" w:eastAsiaTheme="majorEastAsia" w:hAnsi="Arial" w:cs="Arial"/>
        </w:rPr>
        <w:t xml:space="preserve"> y la compatibilidad antropométrica estricta (el tamaño y peso del corazón del donante deben ser proporcionales a la estructura física del receptor). Los pacientes internados en terapia intensiva con asistencia circulatoria mecánica o fármacos inotrópicos continuos ingresan de manera inmediata en estado de Emergencia Nacional.</w:t>
      </w:r>
    </w:p>
    <w:p w14:paraId="16C06038" w14:textId="77777777" w:rsidR="009254D6" w:rsidRDefault="00000000" w:rsidP="009254D6">
      <w:pPr>
        <w:spacing w:before="480" w:after="480"/>
        <w:rPr>
          <w:rFonts w:ascii="Arial" w:hAnsi="Arial" w:cs="Arial"/>
          <w:sz w:val="21"/>
          <w:szCs w:val="21"/>
        </w:rPr>
      </w:pPr>
      <w:r>
        <w:pict w14:anchorId="2EE760BA">
          <v:rect id="_x0000_i1026" style="width:0;height:1.5pt" o:hralign="center" o:hrstd="t" o:hr="t" fillcolor="#a0a0a0" stroked="f"/>
        </w:pict>
      </w:r>
    </w:p>
    <w:p w14:paraId="5F8C4CC2" w14:textId="77777777" w:rsidR="009254D6" w:rsidRPr="009254D6" w:rsidRDefault="009254D6" w:rsidP="009254D6">
      <w:pPr>
        <w:rPr>
          <w:b/>
          <w:bCs/>
        </w:rPr>
      </w:pPr>
      <w:r w:rsidRPr="009254D6">
        <w:rPr>
          <w:b/>
          <w:bCs/>
        </w:rPr>
        <w:t>3. Acompañamiento Legal y Económico (Ley Nº 26.928)</w:t>
      </w:r>
    </w:p>
    <w:p w14:paraId="246990DC" w14:textId="77777777" w:rsidR="009254D6" w:rsidRPr="009254D6" w:rsidRDefault="009254D6" w:rsidP="009254D6">
      <w:r w:rsidRPr="009254D6">
        <w:t xml:space="preserve">El </w:t>
      </w:r>
      <w:hyperlink r:id="rId26" w:tgtFrame="_blank" w:history="1">
        <w:r w:rsidRPr="009254D6">
          <w:rPr>
            <w:rStyle w:val="Hipervnculo"/>
          </w:rPr>
          <w:t>Sistema de Protección Integral para Personas Trasplantadas</w:t>
        </w:r>
      </w:hyperlink>
      <w:r w:rsidRPr="009254D6">
        <w:t xml:space="preserve"> ampara tanto a los pacientes que ya recibieron un implante como a aquellos que se encuentran inscriptos en lista de espera activa. Para acceder a estos beneficios, es requisito tramitar la </w:t>
      </w:r>
      <w:r w:rsidRPr="009254D6">
        <w:rPr>
          <w:b/>
          <w:bCs/>
        </w:rPr>
        <w:t>Credencial de la Ley 26.928</w:t>
      </w:r>
      <w:r w:rsidRPr="009254D6">
        <w:t xml:space="preserve"> ante el organismo provincial de salud correspondiente. [</w:t>
      </w:r>
      <w:hyperlink r:id="rId27" w:history="1">
        <w:r w:rsidRPr="009254D6">
          <w:rPr>
            <w:rStyle w:val="Hipervnculo"/>
          </w:rPr>
          <w:t>1</w:t>
        </w:r>
      </w:hyperlink>
      <w:r w:rsidRPr="009254D6">
        <w:t xml:space="preserve">, </w:t>
      </w:r>
      <w:hyperlink r:id="rId28" w:history="1">
        <w:r w:rsidRPr="009254D6">
          <w:rPr>
            <w:rStyle w:val="Hipervnculo"/>
          </w:rPr>
          <w:t>2</w:t>
        </w:r>
      </w:hyperlink>
      <w:r w:rsidRPr="009254D6">
        <w:t>]</w:t>
      </w:r>
    </w:p>
    <w:p w14:paraId="00E70E5C" w14:textId="77777777" w:rsidR="009254D6" w:rsidRPr="009254D6" w:rsidRDefault="009254D6" w:rsidP="009254D6">
      <w:pPr>
        <w:rPr>
          <w:b/>
          <w:bCs/>
        </w:rPr>
      </w:pPr>
      <w:r w:rsidRPr="009254D6">
        <w:rPr>
          <w:b/>
          <w:bCs/>
        </w:rPr>
        <w:t>Cobertura Médica Integral</w:t>
      </w:r>
    </w:p>
    <w:p w14:paraId="3B1E8902" w14:textId="77777777" w:rsidR="009254D6" w:rsidRPr="009254D6" w:rsidRDefault="009254D6" w:rsidP="009254D6">
      <w:r w:rsidRPr="009254D6">
        <w:t xml:space="preserve">Los agentes del seguro de salud (obras sociales nacionales, provinciales y empresas de medicina prepaga) tienen la obligación legal de brindar una </w:t>
      </w:r>
      <w:r w:rsidRPr="009254D6">
        <w:rPr>
          <w:b/>
          <w:bCs/>
        </w:rPr>
        <w:t>cobertura del 100%</w:t>
      </w:r>
      <w:r w:rsidRPr="009254D6">
        <w:t xml:space="preserve"> en la provisión de medicamentos, estudios diagnósticos y prácticas médicas vinculadas de forma directa o indirecta con el trasplante y el estado de salud general del paciente. [</w:t>
      </w:r>
      <w:hyperlink r:id="rId29" w:history="1">
        <w:r w:rsidRPr="009254D6">
          <w:rPr>
            <w:rStyle w:val="Hipervnculo"/>
          </w:rPr>
          <w:t>1</w:t>
        </w:r>
      </w:hyperlink>
      <w:r w:rsidRPr="009254D6">
        <w:t>]</w:t>
      </w:r>
    </w:p>
    <w:p w14:paraId="216592CD" w14:textId="77777777" w:rsidR="009254D6" w:rsidRPr="009254D6" w:rsidRDefault="009254D6" w:rsidP="009254D6">
      <w:pPr>
        <w:rPr>
          <w:b/>
          <w:bCs/>
        </w:rPr>
      </w:pPr>
      <w:r w:rsidRPr="009254D6">
        <w:rPr>
          <w:b/>
          <w:bCs/>
        </w:rPr>
        <w:t>Asignación Económica Mensual</w:t>
      </w:r>
    </w:p>
    <w:p w14:paraId="50BD82FC" w14:textId="77777777" w:rsidR="009254D6" w:rsidRPr="009254D6" w:rsidRDefault="009254D6" w:rsidP="009254D6">
      <w:r w:rsidRPr="009254D6">
        <w:t xml:space="preserve">Las personas beneficiarias que se encuentren en situación de </w:t>
      </w:r>
      <w:r w:rsidRPr="009254D6">
        <w:rPr>
          <w:b/>
          <w:bCs/>
        </w:rPr>
        <w:t>desempleo forzado</w:t>
      </w:r>
      <w:r w:rsidRPr="009254D6">
        <w:t xml:space="preserve">, que no perciban ningún tipo de ingreso bajo relación de dependencia, jubilación, pensión o registro de monotributo, pueden gestionar una </w:t>
      </w:r>
      <w:hyperlink r:id="rId30" w:tgtFrame="_blank" w:history="1">
        <w:r w:rsidRPr="009254D6">
          <w:rPr>
            <w:rStyle w:val="Hipervnculo"/>
          </w:rPr>
          <w:t>asignación mensual no contributiva</w:t>
        </w:r>
      </w:hyperlink>
      <w:r w:rsidRPr="009254D6">
        <w:t xml:space="preserve">. El monto de este subsidio equivale al </w:t>
      </w:r>
      <w:r w:rsidRPr="009254D6">
        <w:rPr>
          <w:b/>
          <w:bCs/>
        </w:rPr>
        <w:t>70% de una jubilación mínima nacional</w:t>
      </w:r>
      <w:r w:rsidRPr="009254D6">
        <w:t>. El trámite de solicitud se efectúa a través de la plataforma web de Trámites a Distancia (TAD) adjuntando el DNI, la credencial habilitante y la certificación negativa emitida por ANSES. [</w:t>
      </w:r>
      <w:hyperlink r:id="rId31" w:history="1">
        <w:r w:rsidRPr="009254D6">
          <w:rPr>
            <w:rStyle w:val="Hipervnculo"/>
          </w:rPr>
          <w:t>1</w:t>
        </w:r>
      </w:hyperlink>
      <w:r w:rsidRPr="009254D6">
        <w:t xml:space="preserve">, </w:t>
      </w:r>
      <w:hyperlink r:id="rId32" w:history="1">
        <w:r w:rsidRPr="009254D6">
          <w:rPr>
            <w:rStyle w:val="Hipervnculo"/>
          </w:rPr>
          <w:t>2</w:t>
        </w:r>
      </w:hyperlink>
      <w:r w:rsidRPr="009254D6">
        <w:t>]</w:t>
      </w:r>
    </w:p>
    <w:p w14:paraId="0BB69DAA" w14:textId="77777777" w:rsidR="009254D6" w:rsidRPr="009254D6" w:rsidRDefault="009254D6" w:rsidP="009254D6">
      <w:pPr>
        <w:rPr>
          <w:b/>
          <w:bCs/>
        </w:rPr>
      </w:pPr>
      <w:r w:rsidRPr="009254D6">
        <w:rPr>
          <w:b/>
          <w:bCs/>
        </w:rPr>
        <w:t>Transporte, Empleo y Vivienda</w:t>
      </w:r>
    </w:p>
    <w:p w14:paraId="77CB436B" w14:textId="77777777" w:rsidR="009254D6" w:rsidRPr="009254D6" w:rsidRDefault="009254D6" w:rsidP="009254D6">
      <w:pPr>
        <w:numPr>
          <w:ilvl w:val="0"/>
          <w:numId w:val="4"/>
        </w:numPr>
      </w:pPr>
      <w:r w:rsidRPr="009254D6">
        <w:rPr>
          <w:b/>
          <w:bCs/>
        </w:rPr>
        <w:lastRenderedPageBreak/>
        <w:t>Pases de Transporte:</w:t>
      </w:r>
      <w:r w:rsidRPr="009254D6">
        <w:t xml:space="preserve"> Derecho a viajar de forma </w:t>
      </w:r>
      <w:r w:rsidRPr="009254D6">
        <w:rPr>
          <w:b/>
          <w:bCs/>
        </w:rPr>
        <w:t>totalmente gratuita</w:t>
      </w:r>
      <w:r w:rsidRPr="009254D6">
        <w:t xml:space="preserve"> en transporte público terrestre de corta, media y larga distancia dentro del territorio nacional, aplicable también para un acompañante en caso de necesidad médica certificada. [</w:t>
      </w:r>
      <w:hyperlink r:id="rId33" w:history="1">
        <w:r w:rsidRPr="009254D6">
          <w:rPr>
            <w:rStyle w:val="Hipervnculo"/>
          </w:rPr>
          <w:t>1</w:t>
        </w:r>
      </w:hyperlink>
      <w:r w:rsidRPr="009254D6">
        <w:t xml:space="preserve">, </w:t>
      </w:r>
      <w:hyperlink r:id="rId34" w:history="1">
        <w:r w:rsidRPr="009254D6">
          <w:rPr>
            <w:rStyle w:val="Hipervnculo"/>
          </w:rPr>
          <w:t>2</w:t>
        </w:r>
      </w:hyperlink>
      <w:r w:rsidRPr="009254D6">
        <w:t>]</w:t>
      </w:r>
    </w:p>
    <w:p w14:paraId="4BE656B5" w14:textId="77777777" w:rsidR="009254D6" w:rsidRPr="009254D6" w:rsidRDefault="009254D6" w:rsidP="009254D6">
      <w:pPr>
        <w:numPr>
          <w:ilvl w:val="0"/>
          <w:numId w:val="4"/>
        </w:numPr>
      </w:pPr>
      <w:r w:rsidRPr="009254D6">
        <w:rPr>
          <w:b/>
          <w:bCs/>
        </w:rPr>
        <w:t>Protección e Incentivo Laboral:</w:t>
      </w:r>
      <w:r w:rsidRPr="009254D6">
        <w:t xml:space="preserve"> Otorgamiento de licencias laborales especiales para controles médicos. Los empleadores que incorporen trabajadores bajo este régimen gozan de deducciones impositivas en el Impuesto a las Ganancias. [</w:t>
      </w:r>
      <w:hyperlink r:id="rId35" w:history="1">
        <w:r w:rsidRPr="009254D6">
          <w:rPr>
            <w:rStyle w:val="Hipervnculo"/>
          </w:rPr>
          <w:t>1</w:t>
        </w:r>
      </w:hyperlink>
      <w:r w:rsidRPr="009254D6">
        <w:t>]</w:t>
      </w:r>
    </w:p>
    <w:p w14:paraId="5E993AE3" w14:textId="77777777" w:rsidR="009254D6" w:rsidRPr="009254D6" w:rsidRDefault="009254D6" w:rsidP="009254D6">
      <w:pPr>
        <w:numPr>
          <w:ilvl w:val="0"/>
          <w:numId w:val="4"/>
        </w:numPr>
      </w:pPr>
      <w:r w:rsidRPr="009254D6">
        <w:rPr>
          <w:b/>
          <w:bCs/>
        </w:rPr>
        <w:t>Planes de Vivienda:</w:t>
      </w:r>
      <w:r w:rsidRPr="009254D6">
        <w:t xml:space="preserve"> Prioridad de acceso y asignación en programas sociales de vivienda promovidos por el Estado, adaptados a las exigencias sanitarias que demande el postoperatorio del paciente.</w:t>
      </w:r>
    </w:p>
    <w:p w14:paraId="41597798" w14:textId="63B8775F" w:rsidR="009254D6" w:rsidRPr="009254D6" w:rsidRDefault="009254D6" w:rsidP="009254D6"/>
    <w:p w14:paraId="4521A3A0" w14:textId="77777777" w:rsidR="009254D6" w:rsidRPr="009254D6" w:rsidRDefault="009254D6" w:rsidP="009254D6">
      <w:pPr>
        <w:rPr>
          <w:lang w:val="es-ES"/>
        </w:rPr>
      </w:pPr>
    </w:p>
    <w:sectPr w:rsidR="009254D6" w:rsidRPr="009254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D87AC9"/>
    <w:multiLevelType w:val="multilevel"/>
    <w:tmpl w:val="AD8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60BDD"/>
    <w:multiLevelType w:val="multilevel"/>
    <w:tmpl w:val="91AA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93163"/>
    <w:multiLevelType w:val="multilevel"/>
    <w:tmpl w:val="D794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F373D"/>
    <w:multiLevelType w:val="multilevel"/>
    <w:tmpl w:val="B7CC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16FC0"/>
    <w:multiLevelType w:val="multilevel"/>
    <w:tmpl w:val="D12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626217">
    <w:abstractNumId w:val="4"/>
  </w:num>
  <w:num w:numId="2" w16cid:durableId="1413888072">
    <w:abstractNumId w:val="1"/>
  </w:num>
  <w:num w:numId="3" w16cid:durableId="1585186660">
    <w:abstractNumId w:val="3"/>
  </w:num>
  <w:num w:numId="4" w16cid:durableId="1449470661">
    <w:abstractNumId w:val="0"/>
  </w:num>
  <w:num w:numId="5" w16cid:durableId="17677684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4D6"/>
    <w:rsid w:val="00775774"/>
    <w:rsid w:val="009254D6"/>
    <w:rsid w:val="00ED3A47"/>
    <w:rsid w:val="00F22E55"/>
    <w:rsid w:val="00F96DEC"/>
    <w:rsid w:val="00FE506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9CB8"/>
  <w15:chartTrackingRefBased/>
  <w15:docId w15:val="{70B0E96B-40F0-445A-9E59-EAA2BE6A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5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25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254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254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254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54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54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54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54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54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254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254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254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254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254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54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54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54D6"/>
    <w:rPr>
      <w:rFonts w:eastAsiaTheme="majorEastAsia" w:cstheme="majorBidi"/>
      <w:color w:val="272727" w:themeColor="text1" w:themeTint="D8"/>
    </w:rPr>
  </w:style>
  <w:style w:type="paragraph" w:styleId="Ttulo">
    <w:name w:val="Title"/>
    <w:basedOn w:val="Normal"/>
    <w:next w:val="Normal"/>
    <w:link w:val="TtuloCar"/>
    <w:uiPriority w:val="10"/>
    <w:qFormat/>
    <w:rsid w:val="00925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54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54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54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54D6"/>
    <w:pPr>
      <w:spacing w:before="160"/>
      <w:jc w:val="center"/>
    </w:pPr>
    <w:rPr>
      <w:i/>
      <w:iCs/>
      <w:color w:val="404040" w:themeColor="text1" w:themeTint="BF"/>
    </w:rPr>
  </w:style>
  <w:style w:type="character" w:customStyle="1" w:styleId="CitaCar">
    <w:name w:val="Cita Car"/>
    <w:basedOn w:val="Fuentedeprrafopredeter"/>
    <w:link w:val="Cita"/>
    <w:uiPriority w:val="29"/>
    <w:rsid w:val="009254D6"/>
    <w:rPr>
      <w:i/>
      <w:iCs/>
      <w:color w:val="404040" w:themeColor="text1" w:themeTint="BF"/>
    </w:rPr>
  </w:style>
  <w:style w:type="paragraph" w:styleId="Prrafodelista">
    <w:name w:val="List Paragraph"/>
    <w:basedOn w:val="Normal"/>
    <w:uiPriority w:val="34"/>
    <w:qFormat/>
    <w:rsid w:val="009254D6"/>
    <w:pPr>
      <w:ind w:left="720"/>
      <w:contextualSpacing/>
    </w:pPr>
  </w:style>
  <w:style w:type="character" w:styleId="nfasisintenso">
    <w:name w:val="Intense Emphasis"/>
    <w:basedOn w:val="Fuentedeprrafopredeter"/>
    <w:uiPriority w:val="21"/>
    <w:qFormat/>
    <w:rsid w:val="009254D6"/>
    <w:rPr>
      <w:i/>
      <w:iCs/>
      <w:color w:val="0F4761" w:themeColor="accent1" w:themeShade="BF"/>
    </w:rPr>
  </w:style>
  <w:style w:type="paragraph" w:styleId="Citadestacada">
    <w:name w:val="Intense Quote"/>
    <w:basedOn w:val="Normal"/>
    <w:next w:val="Normal"/>
    <w:link w:val="CitadestacadaCar"/>
    <w:uiPriority w:val="30"/>
    <w:qFormat/>
    <w:rsid w:val="00925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54D6"/>
    <w:rPr>
      <w:i/>
      <w:iCs/>
      <w:color w:val="0F4761" w:themeColor="accent1" w:themeShade="BF"/>
    </w:rPr>
  </w:style>
  <w:style w:type="character" w:styleId="Referenciaintensa">
    <w:name w:val="Intense Reference"/>
    <w:basedOn w:val="Fuentedeprrafopredeter"/>
    <w:uiPriority w:val="32"/>
    <w:qFormat/>
    <w:rsid w:val="009254D6"/>
    <w:rPr>
      <w:b/>
      <w:bCs/>
      <w:smallCaps/>
      <w:color w:val="0F4761" w:themeColor="accent1" w:themeShade="BF"/>
      <w:spacing w:val="5"/>
    </w:rPr>
  </w:style>
  <w:style w:type="character" w:styleId="Hipervnculo">
    <w:name w:val="Hyperlink"/>
    <w:basedOn w:val="Fuentedeprrafopredeter"/>
    <w:uiPriority w:val="99"/>
    <w:unhideWhenUsed/>
    <w:rsid w:val="009254D6"/>
    <w:rPr>
      <w:color w:val="467886" w:themeColor="hyperlink"/>
      <w:u w:val="single"/>
    </w:rPr>
  </w:style>
  <w:style w:type="character" w:styleId="Mencinsinresolver">
    <w:name w:val="Unresolved Mention"/>
    <w:basedOn w:val="Fuentedeprrafopredeter"/>
    <w:uiPriority w:val="99"/>
    <w:semiHidden/>
    <w:unhideWhenUsed/>
    <w:rsid w:val="009254D6"/>
    <w:rPr>
      <w:color w:val="605E5C"/>
      <w:shd w:val="clear" w:color="auto" w:fill="E1DFDD"/>
    </w:rPr>
  </w:style>
  <w:style w:type="paragraph" w:customStyle="1" w:styleId="z1qcye">
    <w:name w:val="z1qcye"/>
    <w:basedOn w:val="Normal"/>
    <w:rsid w:val="009254D6"/>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character" w:customStyle="1" w:styleId="t286pc">
    <w:name w:val="t286pc"/>
    <w:basedOn w:val="Fuentedeprrafopredeter"/>
    <w:rsid w:val="009254D6"/>
  </w:style>
  <w:style w:type="character" w:styleId="Textoennegrita">
    <w:name w:val="Strong"/>
    <w:basedOn w:val="Fuentedeprrafopredeter"/>
    <w:uiPriority w:val="22"/>
    <w:qFormat/>
    <w:rsid w:val="00925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732635">
      <w:bodyDiv w:val="1"/>
      <w:marLeft w:val="0"/>
      <w:marRight w:val="0"/>
      <w:marTop w:val="0"/>
      <w:marBottom w:val="0"/>
      <w:divBdr>
        <w:top w:val="none" w:sz="0" w:space="0" w:color="auto"/>
        <w:left w:val="none" w:sz="0" w:space="0" w:color="auto"/>
        <w:bottom w:val="none" w:sz="0" w:space="0" w:color="auto"/>
        <w:right w:val="none" w:sz="0" w:space="0" w:color="auto"/>
      </w:divBdr>
      <w:divsChild>
        <w:div w:id="2042391057">
          <w:marLeft w:val="0"/>
          <w:marRight w:val="0"/>
          <w:marTop w:val="360"/>
          <w:marBottom w:val="180"/>
          <w:divBdr>
            <w:top w:val="none" w:sz="0" w:space="0" w:color="auto"/>
            <w:left w:val="none" w:sz="0" w:space="0" w:color="auto"/>
            <w:bottom w:val="none" w:sz="0" w:space="0" w:color="auto"/>
            <w:right w:val="none" w:sz="0" w:space="0" w:color="auto"/>
          </w:divBdr>
        </w:div>
      </w:divsChild>
    </w:div>
    <w:div w:id="231357564">
      <w:bodyDiv w:val="1"/>
      <w:marLeft w:val="0"/>
      <w:marRight w:val="0"/>
      <w:marTop w:val="0"/>
      <w:marBottom w:val="0"/>
      <w:divBdr>
        <w:top w:val="none" w:sz="0" w:space="0" w:color="auto"/>
        <w:left w:val="none" w:sz="0" w:space="0" w:color="auto"/>
        <w:bottom w:val="none" w:sz="0" w:space="0" w:color="auto"/>
        <w:right w:val="none" w:sz="0" w:space="0" w:color="auto"/>
      </w:divBdr>
      <w:divsChild>
        <w:div w:id="702248035">
          <w:marLeft w:val="0"/>
          <w:marRight w:val="0"/>
          <w:marTop w:val="360"/>
          <w:marBottom w:val="180"/>
          <w:divBdr>
            <w:top w:val="none" w:sz="0" w:space="0" w:color="auto"/>
            <w:left w:val="none" w:sz="0" w:space="0" w:color="auto"/>
            <w:bottom w:val="none" w:sz="0" w:space="0" w:color="auto"/>
            <w:right w:val="none" w:sz="0" w:space="0" w:color="auto"/>
          </w:divBdr>
        </w:div>
        <w:div w:id="778640857">
          <w:marLeft w:val="0"/>
          <w:marRight w:val="0"/>
          <w:marTop w:val="180"/>
          <w:marBottom w:val="240"/>
          <w:divBdr>
            <w:top w:val="none" w:sz="0" w:space="0" w:color="auto"/>
            <w:left w:val="none" w:sz="0" w:space="0" w:color="auto"/>
            <w:bottom w:val="none" w:sz="0" w:space="0" w:color="auto"/>
            <w:right w:val="none" w:sz="0" w:space="0" w:color="auto"/>
          </w:divBdr>
        </w:div>
      </w:divsChild>
    </w:div>
    <w:div w:id="279797256">
      <w:bodyDiv w:val="1"/>
      <w:marLeft w:val="0"/>
      <w:marRight w:val="0"/>
      <w:marTop w:val="0"/>
      <w:marBottom w:val="0"/>
      <w:divBdr>
        <w:top w:val="none" w:sz="0" w:space="0" w:color="auto"/>
        <w:left w:val="none" w:sz="0" w:space="0" w:color="auto"/>
        <w:bottom w:val="none" w:sz="0" w:space="0" w:color="auto"/>
        <w:right w:val="none" w:sz="0" w:space="0" w:color="auto"/>
      </w:divBdr>
      <w:divsChild>
        <w:div w:id="1076053747">
          <w:marLeft w:val="0"/>
          <w:marRight w:val="0"/>
          <w:marTop w:val="360"/>
          <w:marBottom w:val="180"/>
          <w:divBdr>
            <w:top w:val="none" w:sz="0" w:space="0" w:color="auto"/>
            <w:left w:val="none" w:sz="0" w:space="0" w:color="auto"/>
            <w:bottom w:val="none" w:sz="0" w:space="0" w:color="auto"/>
            <w:right w:val="none" w:sz="0" w:space="0" w:color="auto"/>
          </w:divBdr>
        </w:div>
        <w:div w:id="71005549">
          <w:marLeft w:val="0"/>
          <w:marRight w:val="0"/>
          <w:marTop w:val="180"/>
          <w:marBottom w:val="240"/>
          <w:divBdr>
            <w:top w:val="none" w:sz="0" w:space="0" w:color="auto"/>
            <w:left w:val="none" w:sz="0" w:space="0" w:color="auto"/>
            <w:bottom w:val="none" w:sz="0" w:space="0" w:color="auto"/>
            <w:right w:val="none" w:sz="0" w:space="0" w:color="auto"/>
          </w:divBdr>
        </w:div>
      </w:divsChild>
    </w:div>
    <w:div w:id="370032985">
      <w:bodyDiv w:val="1"/>
      <w:marLeft w:val="0"/>
      <w:marRight w:val="0"/>
      <w:marTop w:val="0"/>
      <w:marBottom w:val="0"/>
      <w:divBdr>
        <w:top w:val="none" w:sz="0" w:space="0" w:color="auto"/>
        <w:left w:val="none" w:sz="0" w:space="0" w:color="auto"/>
        <w:bottom w:val="none" w:sz="0" w:space="0" w:color="auto"/>
        <w:right w:val="none" w:sz="0" w:space="0" w:color="auto"/>
      </w:divBdr>
      <w:divsChild>
        <w:div w:id="1304895580">
          <w:marLeft w:val="0"/>
          <w:marRight w:val="0"/>
          <w:marTop w:val="360"/>
          <w:marBottom w:val="180"/>
          <w:divBdr>
            <w:top w:val="none" w:sz="0" w:space="0" w:color="auto"/>
            <w:left w:val="none" w:sz="0" w:space="0" w:color="auto"/>
            <w:bottom w:val="none" w:sz="0" w:space="0" w:color="auto"/>
            <w:right w:val="none" w:sz="0" w:space="0" w:color="auto"/>
          </w:divBdr>
        </w:div>
      </w:divsChild>
    </w:div>
    <w:div w:id="630208337">
      <w:bodyDiv w:val="1"/>
      <w:marLeft w:val="0"/>
      <w:marRight w:val="0"/>
      <w:marTop w:val="0"/>
      <w:marBottom w:val="0"/>
      <w:divBdr>
        <w:top w:val="none" w:sz="0" w:space="0" w:color="auto"/>
        <w:left w:val="none" w:sz="0" w:space="0" w:color="auto"/>
        <w:bottom w:val="none" w:sz="0" w:space="0" w:color="auto"/>
        <w:right w:val="none" w:sz="0" w:space="0" w:color="auto"/>
      </w:divBdr>
      <w:divsChild>
        <w:div w:id="1238398738">
          <w:marLeft w:val="0"/>
          <w:marRight w:val="0"/>
          <w:marTop w:val="360"/>
          <w:marBottom w:val="180"/>
          <w:divBdr>
            <w:top w:val="none" w:sz="0" w:space="0" w:color="auto"/>
            <w:left w:val="none" w:sz="0" w:space="0" w:color="auto"/>
            <w:bottom w:val="none" w:sz="0" w:space="0" w:color="auto"/>
            <w:right w:val="none" w:sz="0" w:space="0" w:color="auto"/>
          </w:divBdr>
        </w:div>
        <w:div w:id="359553057">
          <w:marLeft w:val="0"/>
          <w:marRight w:val="0"/>
          <w:marTop w:val="180"/>
          <w:marBottom w:val="240"/>
          <w:divBdr>
            <w:top w:val="none" w:sz="0" w:space="0" w:color="auto"/>
            <w:left w:val="none" w:sz="0" w:space="0" w:color="auto"/>
            <w:bottom w:val="none" w:sz="0" w:space="0" w:color="auto"/>
            <w:right w:val="none" w:sz="0" w:space="0" w:color="auto"/>
          </w:divBdr>
        </w:div>
        <w:div w:id="50350069">
          <w:marLeft w:val="0"/>
          <w:marRight w:val="0"/>
          <w:marTop w:val="180"/>
          <w:marBottom w:val="240"/>
          <w:divBdr>
            <w:top w:val="none" w:sz="0" w:space="0" w:color="auto"/>
            <w:left w:val="none" w:sz="0" w:space="0" w:color="auto"/>
            <w:bottom w:val="none" w:sz="0" w:space="0" w:color="auto"/>
            <w:right w:val="none" w:sz="0" w:space="0" w:color="auto"/>
          </w:divBdr>
        </w:div>
      </w:divsChild>
    </w:div>
    <w:div w:id="734011558">
      <w:bodyDiv w:val="1"/>
      <w:marLeft w:val="0"/>
      <w:marRight w:val="0"/>
      <w:marTop w:val="0"/>
      <w:marBottom w:val="0"/>
      <w:divBdr>
        <w:top w:val="none" w:sz="0" w:space="0" w:color="auto"/>
        <w:left w:val="none" w:sz="0" w:space="0" w:color="auto"/>
        <w:bottom w:val="none" w:sz="0" w:space="0" w:color="auto"/>
        <w:right w:val="none" w:sz="0" w:space="0" w:color="auto"/>
      </w:divBdr>
    </w:div>
    <w:div w:id="775365962">
      <w:bodyDiv w:val="1"/>
      <w:marLeft w:val="0"/>
      <w:marRight w:val="0"/>
      <w:marTop w:val="0"/>
      <w:marBottom w:val="0"/>
      <w:divBdr>
        <w:top w:val="none" w:sz="0" w:space="0" w:color="auto"/>
        <w:left w:val="none" w:sz="0" w:space="0" w:color="auto"/>
        <w:bottom w:val="none" w:sz="0" w:space="0" w:color="auto"/>
        <w:right w:val="none" w:sz="0" w:space="0" w:color="auto"/>
      </w:divBdr>
    </w:div>
    <w:div w:id="783500904">
      <w:bodyDiv w:val="1"/>
      <w:marLeft w:val="0"/>
      <w:marRight w:val="0"/>
      <w:marTop w:val="0"/>
      <w:marBottom w:val="0"/>
      <w:divBdr>
        <w:top w:val="none" w:sz="0" w:space="0" w:color="auto"/>
        <w:left w:val="none" w:sz="0" w:space="0" w:color="auto"/>
        <w:bottom w:val="none" w:sz="0" w:space="0" w:color="auto"/>
        <w:right w:val="none" w:sz="0" w:space="0" w:color="auto"/>
      </w:divBdr>
      <w:divsChild>
        <w:div w:id="1193882072">
          <w:marLeft w:val="0"/>
          <w:marRight w:val="0"/>
          <w:marTop w:val="360"/>
          <w:marBottom w:val="180"/>
          <w:divBdr>
            <w:top w:val="none" w:sz="0" w:space="0" w:color="auto"/>
            <w:left w:val="none" w:sz="0" w:space="0" w:color="auto"/>
            <w:bottom w:val="none" w:sz="0" w:space="0" w:color="auto"/>
            <w:right w:val="none" w:sz="0" w:space="0" w:color="auto"/>
          </w:divBdr>
        </w:div>
        <w:div w:id="1422725920">
          <w:marLeft w:val="0"/>
          <w:marRight w:val="0"/>
          <w:marTop w:val="180"/>
          <w:marBottom w:val="240"/>
          <w:divBdr>
            <w:top w:val="none" w:sz="0" w:space="0" w:color="auto"/>
            <w:left w:val="none" w:sz="0" w:space="0" w:color="auto"/>
            <w:bottom w:val="none" w:sz="0" w:space="0" w:color="auto"/>
            <w:right w:val="none" w:sz="0" w:space="0" w:color="auto"/>
          </w:divBdr>
        </w:div>
      </w:divsChild>
    </w:div>
    <w:div w:id="945425741">
      <w:bodyDiv w:val="1"/>
      <w:marLeft w:val="0"/>
      <w:marRight w:val="0"/>
      <w:marTop w:val="0"/>
      <w:marBottom w:val="0"/>
      <w:divBdr>
        <w:top w:val="none" w:sz="0" w:space="0" w:color="auto"/>
        <w:left w:val="none" w:sz="0" w:space="0" w:color="auto"/>
        <w:bottom w:val="none" w:sz="0" w:space="0" w:color="auto"/>
        <w:right w:val="none" w:sz="0" w:space="0" w:color="auto"/>
      </w:divBdr>
      <w:divsChild>
        <w:div w:id="2029717748">
          <w:marLeft w:val="0"/>
          <w:marRight w:val="0"/>
          <w:marTop w:val="360"/>
          <w:marBottom w:val="180"/>
          <w:divBdr>
            <w:top w:val="none" w:sz="0" w:space="0" w:color="auto"/>
            <w:left w:val="none" w:sz="0" w:space="0" w:color="auto"/>
            <w:bottom w:val="none" w:sz="0" w:space="0" w:color="auto"/>
            <w:right w:val="none" w:sz="0" w:space="0" w:color="auto"/>
          </w:divBdr>
        </w:div>
        <w:div w:id="20399133">
          <w:marLeft w:val="0"/>
          <w:marRight w:val="0"/>
          <w:marTop w:val="180"/>
          <w:marBottom w:val="240"/>
          <w:divBdr>
            <w:top w:val="none" w:sz="0" w:space="0" w:color="auto"/>
            <w:left w:val="none" w:sz="0" w:space="0" w:color="auto"/>
            <w:bottom w:val="none" w:sz="0" w:space="0" w:color="auto"/>
            <w:right w:val="none" w:sz="0" w:space="0" w:color="auto"/>
          </w:divBdr>
        </w:div>
      </w:divsChild>
    </w:div>
    <w:div w:id="961502248">
      <w:bodyDiv w:val="1"/>
      <w:marLeft w:val="0"/>
      <w:marRight w:val="0"/>
      <w:marTop w:val="0"/>
      <w:marBottom w:val="0"/>
      <w:divBdr>
        <w:top w:val="none" w:sz="0" w:space="0" w:color="auto"/>
        <w:left w:val="none" w:sz="0" w:space="0" w:color="auto"/>
        <w:bottom w:val="none" w:sz="0" w:space="0" w:color="auto"/>
        <w:right w:val="none" w:sz="0" w:space="0" w:color="auto"/>
      </w:divBdr>
      <w:divsChild>
        <w:div w:id="463157035">
          <w:marLeft w:val="0"/>
          <w:marRight w:val="0"/>
          <w:marTop w:val="360"/>
          <w:marBottom w:val="180"/>
          <w:divBdr>
            <w:top w:val="none" w:sz="0" w:space="0" w:color="auto"/>
            <w:left w:val="none" w:sz="0" w:space="0" w:color="auto"/>
            <w:bottom w:val="none" w:sz="0" w:space="0" w:color="auto"/>
            <w:right w:val="none" w:sz="0" w:space="0" w:color="auto"/>
          </w:divBdr>
        </w:div>
        <w:div w:id="240217414">
          <w:marLeft w:val="0"/>
          <w:marRight w:val="0"/>
          <w:marTop w:val="180"/>
          <w:marBottom w:val="240"/>
          <w:divBdr>
            <w:top w:val="none" w:sz="0" w:space="0" w:color="auto"/>
            <w:left w:val="none" w:sz="0" w:space="0" w:color="auto"/>
            <w:bottom w:val="none" w:sz="0" w:space="0" w:color="auto"/>
            <w:right w:val="none" w:sz="0" w:space="0" w:color="auto"/>
          </w:divBdr>
        </w:div>
      </w:divsChild>
    </w:div>
    <w:div w:id="1133598786">
      <w:bodyDiv w:val="1"/>
      <w:marLeft w:val="0"/>
      <w:marRight w:val="0"/>
      <w:marTop w:val="0"/>
      <w:marBottom w:val="0"/>
      <w:divBdr>
        <w:top w:val="none" w:sz="0" w:space="0" w:color="auto"/>
        <w:left w:val="none" w:sz="0" w:space="0" w:color="auto"/>
        <w:bottom w:val="none" w:sz="0" w:space="0" w:color="auto"/>
        <w:right w:val="none" w:sz="0" w:space="0" w:color="auto"/>
      </w:divBdr>
      <w:divsChild>
        <w:div w:id="180555239">
          <w:marLeft w:val="0"/>
          <w:marRight w:val="0"/>
          <w:marTop w:val="360"/>
          <w:marBottom w:val="180"/>
          <w:divBdr>
            <w:top w:val="none" w:sz="0" w:space="0" w:color="auto"/>
            <w:left w:val="none" w:sz="0" w:space="0" w:color="auto"/>
            <w:bottom w:val="none" w:sz="0" w:space="0" w:color="auto"/>
            <w:right w:val="none" w:sz="0" w:space="0" w:color="auto"/>
          </w:divBdr>
        </w:div>
        <w:div w:id="1824658892">
          <w:marLeft w:val="0"/>
          <w:marRight w:val="0"/>
          <w:marTop w:val="180"/>
          <w:marBottom w:val="240"/>
          <w:divBdr>
            <w:top w:val="none" w:sz="0" w:space="0" w:color="auto"/>
            <w:left w:val="none" w:sz="0" w:space="0" w:color="auto"/>
            <w:bottom w:val="none" w:sz="0" w:space="0" w:color="auto"/>
            <w:right w:val="none" w:sz="0" w:space="0" w:color="auto"/>
          </w:divBdr>
        </w:div>
      </w:divsChild>
    </w:div>
    <w:div w:id="1410620353">
      <w:bodyDiv w:val="1"/>
      <w:marLeft w:val="0"/>
      <w:marRight w:val="0"/>
      <w:marTop w:val="0"/>
      <w:marBottom w:val="0"/>
      <w:divBdr>
        <w:top w:val="none" w:sz="0" w:space="0" w:color="auto"/>
        <w:left w:val="none" w:sz="0" w:space="0" w:color="auto"/>
        <w:bottom w:val="none" w:sz="0" w:space="0" w:color="auto"/>
        <w:right w:val="none" w:sz="0" w:space="0" w:color="auto"/>
      </w:divBdr>
    </w:div>
    <w:div w:id="1478718452">
      <w:bodyDiv w:val="1"/>
      <w:marLeft w:val="0"/>
      <w:marRight w:val="0"/>
      <w:marTop w:val="0"/>
      <w:marBottom w:val="0"/>
      <w:divBdr>
        <w:top w:val="none" w:sz="0" w:space="0" w:color="auto"/>
        <w:left w:val="none" w:sz="0" w:space="0" w:color="auto"/>
        <w:bottom w:val="none" w:sz="0" w:space="0" w:color="auto"/>
        <w:right w:val="none" w:sz="0" w:space="0" w:color="auto"/>
      </w:divBdr>
      <w:divsChild>
        <w:div w:id="916746561">
          <w:marLeft w:val="0"/>
          <w:marRight w:val="0"/>
          <w:marTop w:val="360"/>
          <w:marBottom w:val="180"/>
          <w:divBdr>
            <w:top w:val="none" w:sz="0" w:space="0" w:color="auto"/>
            <w:left w:val="none" w:sz="0" w:space="0" w:color="auto"/>
            <w:bottom w:val="none" w:sz="0" w:space="0" w:color="auto"/>
            <w:right w:val="none" w:sz="0" w:space="0" w:color="auto"/>
          </w:divBdr>
        </w:div>
        <w:div w:id="2131052370">
          <w:marLeft w:val="0"/>
          <w:marRight w:val="0"/>
          <w:marTop w:val="180"/>
          <w:marBottom w:val="240"/>
          <w:divBdr>
            <w:top w:val="none" w:sz="0" w:space="0" w:color="auto"/>
            <w:left w:val="none" w:sz="0" w:space="0" w:color="auto"/>
            <w:bottom w:val="none" w:sz="0" w:space="0" w:color="auto"/>
            <w:right w:val="none" w:sz="0" w:space="0" w:color="auto"/>
          </w:divBdr>
        </w:div>
        <w:div w:id="1042486196">
          <w:marLeft w:val="0"/>
          <w:marRight w:val="0"/>
          <w:marTop w:val="360"/>
          <w:marBottom w:val="180"/>
          <w:divBdr>
            <w:top w:val="none" w:sz="0" w:space="0" w:color="auto"/>
            <w:left w:val="none" w:sz="0" w:space="0" w:color="auto"/>
            <w:bottom w:val="none" w:sz="0" w:space="0" w:color="auto"/>
            <w:right w:val="none" w:sz="0" w:space="0" w:color="auto"/>
          </w:divBdr>
        </w:div>
        <w:div w:id="1834953606">
          <w:marLeft w:val="0"/>
          <w:marRight w:val="0"/>
          <w:marTop w:val="180"/>
          <w:marBottom w:val="240"/>
          <w:divBdr>
            <w:top w:val="none" w:sz="0" w:space="0" w:color="auto"/>
            <w:left w:val="none" w:sz="0" w:space="0" w:color="auto"/>
            <w:bottom w:val="none" w:sz="0" w:space="0" w:color="auto"/>
            <w:right w:val="none" w:sz="0" w:space="0" w:color="auto"/>
          </w:divBdr>
        </w:div>
      </w:divsChild>
    </w:div>
    <w:div w:id="1517647145">
      <w:bodyDiv w:val="1"/>
      <w:marLeft w:val="0"/>
      <w:marRight w:val="0"/>
      <w:marTop w:val="0"/>
      <w:marBottom w:val="0"/>
      <w:divBdr>
        <w:top w:val="none" w:sz="0" w:space="0" w:color="auto"/>
        <w:left w:val="none" w:sz="0" w:space="0" w:color="auto"/>
        <w:bottom w:val="none" w:sz="0" w:space="0" w:color="auto"/>
        <w:right w:val="none" w:sz="0" w:space="0" w:color="auto"/>
      </w:divBdr>
      <w:divsChild>
        <w:div w:id="1845319814">
          <w:marLeft w:val="0"/>
          <w:marRight w:val="0"/>
          <w:marTop w:val="360"/>
          <w:marBottom w:val="180"/>
          <w:divBdr>
            <w:top w:val="none" w:sz="0" w:space="0" w:color="auto"/>
            <w:left w:val="none" w:sz="0" w:space="0" w:color="auto"/>
            <w:bottom w:val="none" w:sz="0" w:space="0" w:color="auto"/>
            <w:right w:val="none" w:sz="0" w:space="0" w:color="auto"/>
          </w:divBdr>
        </w:div>
        <w:div w:id="1076126307">
          <w:marLeft w:val="0"/>
          <w:marRight w:val="0"/>
          <w:marTop w:val="180"/>
          <w:marBottom w:val="240"/>
          <w:divBdr>
            <w:top w:val="none" w:sz="0" w:space="0" w:color="auto"/>
            <w:left w:val="none" w:sz="0" w:space="0" w:color="auto"/>
            <w:bottom w:val="none" w:sz="0" w:space="0" w:color="auto"/>
            <w:right w:val="none" w:sz="0" w:space="0" w:color="auto"/>
          </w:divBdr>
        </w:div>
        <w:div w:id="395129327">
          <w:marLeft w:val="0"/>
          <w:marRight w:val="0"/>
          <w:marTop w:val="360"/>
          <w:marBottom w:val="180"/>
          <w:divBdr>
            <w:top w:val="none" w:sz="0" w:space="0" w:color="auto"/>
            <w:left w:val="none" w:sz="0" w:space="0" w:color="auto"/>
            <w:bottom w:val="none" w:sz="0" w:space="0" w:color="auto"/>
            <w:right w:val="none" w:sz="0" w:space="0" w:color="auto"/>
          </w:divBdr>
        </w:div>
        <w:div w:id="596643283">
          <w:marLeft w:val="0"/>
          <w:marRight w:val="0"/>
          <w:marTop w:val="180"/>
          <w:marBottom w:val="240"/>
          <w:divBdr>
            <w:top w:val="none" w:sz="0" w:space="0" w:color="auto"/>
            <w:left w:val="none" w:sz="0" w:space="0" w:color="auto"/>
            <w:bottom w:val="none" w:sz="0" w:space="0" w:color="auto"/>
            <w:right w:val="none" w:sz="0" w:space="0" w:color="auto"/>
          </w:divBdr>
        </w:div>
      </w:divsChild>
    </w:div>
    <w:div w:id="1649288671">
      <w:bodyDiv w:val="1"/>
      <w:marLeft w:val="0"/>
      <w:marRight w:val="0"/>
      <w:marTop w:val="0"/>
      <w:marBottom w:val="0"/>
      <w:divBdr>
        <w:top w:val="none" w:sz="0" w:space="0" w:color="auto"/>
        <w:left w:val="none" w:sz="0" w:space="0" w:color="auto"/>
        <w:bottom w:val="none" w:sz="0" w:space="0" w:color="auto"/>
        <w:right w:val="none" w:sz="0" w:space="0" w:color="auto"/>
      </w:divBdr>
    </w:div>
    <w:div w:id="1652758095">
      <w:bodyDiv w:val="1"/>
      <w:marLeft w:val="0"/>
      <w:marRight w:val="0"/>
      <w:marTop w:val="0"/>
      <w:marBottom w:val="0"/>
      <w:divBdr>
        <w:top w:val="none" w:sz="0" w:space="0" w:color="auto"/>
        <w:left w:val="none" w:sz="0" w:space="0" w:color="auto"/>
        <w:bottom w:val="none" w:sz="0" w:space="0" w:color="auto"/>
        <w:right w:val="none" w:sz="0" w:space="0" w:color="auto"/>
      </w:divBdr>
      <w:divsChild>
        <w:div w:id="1201474396">
          <w:marLeft w:val="0"/>
          <w:marRight w:val="0"/>
          <w:marTop w:val="360"/>
          <w:marBottom w:val="180"/>
          <w:divBdr>
            <w:top w:val="none" w:sz="0" w:space="0" w:color="auto"/>
            <w:left w:val="none" w:sz="0" w:space="0" w:color="auto"/>
            <w:bottom w:val="none" w:sz="0" w:space="0" w:color="auto"/>
            <w:right w:val="none" w:sz="0" w:space="0" w:color="auto"/>
          </w:divBdr>
        </w:div>
        <w:div w:id="1099525358">
          <w:marLeft w:val="0"/>
          <w:marRight w:val="0"/>
          <w:marTop w:val="180"/>
          <w:marBottom w:val="240"/>
          <w:divBdr>
            <w:top w:val="none" w:sz="0" w:space="0" w:color="auto"/>
            <w:left w:val="none" w:sz="0" w:space="0" w:color="auto"/>
            <w:bottom w:val="none" w:sz="0" w:space="0" w:color="auto"/>
            <w:right w:val="none" w:sz="0" w:space="0" w:color="auto"/>
          </w:divBdr>
        </w:div>
        <w:div w:id="125514608">
          <w:marLeft w:val="0"/>
          <w:marRight w:val="0"/>
          <w:marTop w:val="180"/>
          <w:marBottom w:val="240"/>
          <w:divBdr>
            <w:top w:val="none" w:sz="0" w:space="0" w:color="auto"/>
            <w:left w:val="none" w:sz="0" w:space="0" w:color="auto"/>
            <w:bottom w:val="none" w:sz="0" w:space="0" w:color="auto"/>
            <w:right w:val="none" w:sz="0" w:space="0" w:color="auto"/>
          </w:divBdr>
        </w:div>
      </w:divsChild>
    </w:div>
    <w:div w:id="1668632232">
      <w:bodyDiv w:val="1"/>
      <w:marLeft w:val="0"/>
      <w:marRight w:val="0"/>
      <w:marTop w:val="0"/>
      <w:marBottom w:val="0"/>
      <w:divBdr>
        <w:top w:val="none" w:sz="0" w:space="0" w:color="auto"/>
        <w:left w:val="none" w:sz="0" w:space="0" w:color="auto"/>
        <w:bottom w:val="none" w:sz="0" w:space="0" w:color="auto"/>
        <w:right w:val="none" w:sz="0" w:space="0" w:color="auto"/>
      </w:divBdr>
      <w:divsChild>
        <w:div w:id="374231995">
          <w:marLeft w:val="0"/>
          <w:marRight w:val="0"/>
          <w:marTop w:val="360"/>
          <w:marBottom w:val="180"/>
          <w:divBdr>
            <w:top w:val="none" w:sz="0" w:space="0" w:color="auto"/>
            <w:left w:val="none" w:sz="0" w:space="0" w:color="auto"/>
            <w:bottom w:val="none" w:sz="0" w:space="0" w:color="auto"/>
            <w:right w:val="none" w:sz="0" w:space="0" w:color="auto"/>
          </w:divBdr>
        </w:div>
        <w:div w:id="1357195368">
          <w:marLeft w:val="0"/>
          <w:marRight w:val="0"/>
          <w:marTop w:val="180"/>
          <w:marBottom w:val="240"/>
          <w:divBdr>
            <w:top w:val="none" w:sz="0" w:space="0" w:color="auto"/>
            <w:left w:val="none" w:sz="0" w:space="0" w:color="auto"/>
            <w:bottom w:val="none" w:sz="0" w:space="0" w:color="auto"/>
            <w:right w:val="none" w:sz="0" w:space="0" w:color="auto"/>
          </w:divBdr>
        </w:div>
      </w:divsChild>
    </w:div>
    <w:div w:id="1676952349">
      <w:bodyDiv w:val="1"/>
      <w:marLeft w:val="0"/>
      <w:marRight w:val="0"/>
      <w:marTop w:val="0"/>
      <w:marBottom w:val="0"/>
      <w:divBdr>
        <w:top w:val="none" w:sz="0" w:space="0" w:color="auto"/>
        <w:left w:val="none" w:sz="0" w:space="0" w:color="auto"/>
        <w:bottom w:val="none" w:sz="0" w:space="0" w:color="auto"/>
        <w:right w:val="none" w:sz="0" w:space="0" w:color="auto"/>
      </w:divBdr>
    </w:div>
    <w:div w:id="1750811404">
      <w:bodyDiv w:val="1"/>
      <w:marLeft w:val="0"/>
      <w:marRight w:val="0"/>
      <w:marTop w:val="0"/>
      <w:marBottom w:val="0"/>
      <w:divBdr>
        <w:top w:val="none" w:sz="0" w:space="0" w:color="auto"/>
        <w:left w:val="none" w:sz="0" w:space="0" w:color="auto"/>
        <w:bottom w:val="none" w:sz="0" w:space="0" w:color="auto"/>
        <w:right w:val="none" w:sz="0" w:space="0" w:color="auto"/>
      </w:divBdr>
      <w:divsChild>
        <w:div w:id="2107338994">
          <w:marLeft w:val="0"/>
          <w:marRight w:val="0"/>
          <w:marTop w:val="360"/>
          <w:marBottom w:val="180"/>
          <w:divBdr>
            <w:top w:val="none" w:sz="0" w:space="0" w:color="auto"/>
            <w:left w:val="none" w:sz="0" w:space="0" w:color="auto"/>
            <w:bottom w:val="none" w:sz="0" w:space="0" w:color="auto"/>
            <w:right w:val="none" w:sz="0" w:space="0" w:color="auto"/>
          </w:divBdr>
        </w:div>
        <w:div w:id="377124084">
          <w:marLeft w:val="0"/>
          <w:marRight w:val="0"/>
          <w:marTop w:val="180"/>
          <w:marBottom w:val="240"/>
          <w:divBdr>
            <w:top w:val="none" w:sz="0" w:space="0" w:color="auto"/>
            <w:left w:val="none" w:sz="0" w:space="0" w:color="auto"/>
            <w:bottom w:val="none" w:sz="0" w:space="0" w:color="auto"/>
            <w:right w:val="none" w:sz="0" w:space="0" w:color="auto"/>
          </w:divBdr>
        </w:div>
      </w:divsChild>
    </w:div>
    <w:div w:id="1838686669">
      <w:bodyDiv w:val="1"/>
      <w:marLeft w:val="0"/>
      <w:marRight w:val="0"/>
      <w:marTop w:val="0"/>
      <w:marBottom w:val="0"/>
      <w:divBdr>
        <w:top w:val="none" w:sz="0" w:space="0" w:color="auto"/>
        <w:left w:val="none" w:sz="0" w:space="0" w:color="auto"/>
        <w:bottom w:val="none" w:sz="0" w:space="0" w:color="auto"/>
        <w:right w:val="none" w:sz="0" w:space="0" w:color="auto"/>
      </w:divBdr>
      <w:divsChild>
        <w:div w:id="1196117766">
          <w:marLeft w:val="0"/>
          <w:marRight w:val="0"/>
          <w:marTop w:val="360"/>
          <w:marBottom w:val="180"/>
          <w:divBdr>
            <w:top w:val="none" w:sz="0" w:space="0" w:color="auto"/>
            <w:left w:val="none" w:sz="0" w:space="0" w:color="auto"/>
            <w:bottom w:val="none" w:sz="0" w:space="0" w:color="auto"/>
            <w:right w:val="none" w:sz="0" w:space="0" w:color="auto"/>
          </w:divBdr>
        </w:div>
        <w:div w:id="635918492">
          <w:marLeft w:val="0"/>
          <w:marRight w:val="0"/>
          <w:marTop w:val="180"/>
          <w:marBottom w:val="240"/>
          <w:divBdr>
            <w:top w:val="none" w:sz="0" w:space="0" w:color="auto"/>
            <w:left w:val="none" w:sz="0" w:space="0" w:color="auto"/>
            <w:bottom w:val="none" w:sz="0" w:space="0" w:color="auto"/>
            <w:right w:val="none" w:sz="0" w:space="0" w:color="auto"/>
          </w:divBdr>
        </w:div>
      </w:divsChild>
    </w:div>
    <w:div w:id="1936985301">
      <w:bodyDiv w:val="1"/>
      <w:marLeft w:val="0"/>
      <w:marRight w:val="0"/>
      <w:marTop w:val="0"/>
      <w:marBottom w:val="0"/>
      <w:divBdr>
        <w:top w:val="none" w:sz="0" w:space="0" w:color="auto"/>
        <w:left w:val="none" w:sz="0" w:space="0" w:color="auto"/>
        <w:bottom w:val="none" w:sz="0" w:space="0" w:color="auto"/>
        <w:right w:val="none" w:sz="0" w:space="0" w:color="auto"/>
      </w:divBdr>
      <w:divsChild>
        <w:div w:id="1128430330">
          <w:marLeft w:val="0"/>
          <w:marRight w:val="0"/>
          <w:marTop w:val="360"/>
          <w:marBottom w:val="180"/>
          <w:divBdr>
            <w:top w:val="none" w:sz="0" w:space="0" w:color="auto"/>
            <w:left w:val="none" w:sz="0" w:space="0" w:color="auto"/>
            <w:bottom w:val="none" w:sz="0" w:space="0" w:color="auto"/>
            <w:right w:val="none" w:sz="0" w:space="0" w:color="auto"/>
          </w:divBdr>
        </w:div>
        <w:div w:id="1779450354">
          <w:marLeft w:val="0"/>
          <w:marRight w:val="0"/>
          <w:marTop w:val="180"/>
          <w:marBottom w:val="240"/>
          <w:divBdr>
            <w:top w:val="none" w:sz="0" w:space="0" w:color="auto"/>
            <w:left w:val="none" w:sz="0" w:space="0" w:color="auto"/>
            <w:bottom w:val="none" w:sz="0" w:space="0" w:color="auto"/>
            <w:right w:val="none" w:sz="0" w:space="0" w:color="auto"/>
          </w:divBdr>
        </w:div>
      </w:divsChild>
    </w:div>
    <w:div w:id="1954286421">
      <w:bodyDiv w:val="1"/>
      <w:marLeft w:val="0"/>
      <w:marRight w:val="0"/>
      <w:marTop w:val="0"/>
      <w:marBottom w:val="0"/>
      <w:divBdr>
        <w:top w:val="none" w:sz="0" w:space="0" w:color="auto"/>
        <w:left w:val="none" w:sz="0" w:space="0" w:color="auto"/>
        <w:bottom w:val="none" w:sz="0" w:space="0" w:color="auto"/>
        <w:right w:val="none" w:sz="0" w:space="0" w:color="auto"/>
      </w:divBdr>
      <w:divsChild>
        <w:div w:id="1744329731">
          <w:marLeft w:val="0"/>
          <w:marRight w:val="0"/>
          <w:marTop w:val="180"/>
          <w:marBottom w:val="240"/>
          <w:divBdr>
            <w:top w:val="none" w:sz="0" w:space="0" w:color="auto"/>
            <w:left w:val="none" w:sz="0" w:space="0" w:color="auto"/>
            <w:bottom w:val="none" w:sz="0" w:space="0" w:color="auto"/>
            <w:right w:val="none" w:sz="0" w:space="0" w:color="auto"/>
          </w:divBdr>
        </w:div>
      </w:divsChild>
    </w:div>
    <w:div w:id="1957708573">
      <w:bodyDiv w:val="1"/>
      <w:marLeft w:val="0"/>
      <w:marRight w:val="0"/>
      <w:marTop w:val="0"/>
      <w:marBottom w:val="0"/>
      <w:divBdr>
        <w:top w:val="none" w:sz="0" w:space="0" w:color="auto"/>
        <w:left w:val="none" w:sz="0" w:space="0" w:color="auto"/>
        <w:bottom w:val="none" w:sz="0" w:space="0" w:color="auto"/>
        <w:right w:val="none" w:sz="0" w:space="0" w:color="auto"/>
      </w:divBdr>
      <w:divsChild>
        <w:div w:id="54815526">
          <w:marLeft w:val="0"/>
          <w:marRight w:val="0"/>
          <w:marTop w:val="360"/>
          <w:marBottom w:val="180"/>
          <w:divBdr>
            <w:top w:val="none" w:sz="0" w:space="0" w:color="auto"/>
            <w:left w:val="none" w:sz="0" w:space="0" w:color="auto"/>
            <w:bottom w:val="none" w:sz="0" w:space="0" w:color="auto"/>
            <w:right w:val="none" w:sz="0" w:space="0" w:color="auto"/>
          </w:divBdr>
        </w:div>
        <w:div w:id="1150251085">
          <w:marLeft w:val="0"/>
          <w:marRight w:val="0"/>
          <w:marTop w:val="180"/>
          <w:marBottom w:val="240"/>
          <w:divBdr>
            <w:top w:val="none" w:sz="0" w:space="0" w:color="auto"/>
            <w:left w:val="none" w:sz="0" w:space="0" w:color="auto"/>
            <w:bottom w:val="none" w:sz="0" w:space="0" w:color="auto"/>
            <w:right w:val="none" w:sz="0" w:space="0" w:color="auto"/>
          </w:divBdr>
        </w:div>
      </w:divsChild>
    </w:div>
    <w:div w:id="2034921090">
      <w:bodyDiv w:val="1"/>
      <w:marLeft w:val="0"/>
      <w:marRight w:val="0"/>
      <w:marTop w:val="0"/>
      <w:marBottom w:val="0"/>
      <w:divBdr>
        <w:top w:val="none" w:sz="0" w:space="0" w:color="auto"/>
        <w:left w:val="none" w:sz="0" w:space="0" w:color="auto"/>
        <w:bottom w:val="none" w:sz="0" w:space="0" w:color="auto"/>
        <w:right w:val="none" w:sz="0" w:space="0" w:color="auto"/>
      </w:divBdr>
    </w:div>
    <w:div w:id="2073429237">
      <w:bodyDiv w:val="1"/>
      <w:marLeft w:val="0"/>
      <w:marRight w:val="0"/>
      <w:marTop w:val="0"/>
      <w:marBottom w:val="0"/>
      <w:divBdr>
        <w:top w:val="none" w:sz="0" w:space="0" w:color="auto"/>
        <w:left w:val="none" w:sz="0" w:space="0" w:color="auto"/>
        <w:bottom w:val="none" w:sz="0" w:space="0" w:color="auto"/>
        <w:right w:val="none" w:sz="0" w:space="0" w:color="auto"/>
      </w:divBdr>
      <w:divsChild>
        <w:div w:id="347369907">
          <w:marLeft w:val="0"/>
          <w:marRight w:val="0"/>
          <w:marTop w:val="180"/>
          <w:marBottom w:val="240"/>
          <w:divBdr>
            <w:top w:val="none" w:sz="0" w:space="0" w:color="auto"/>
            <w:left w:val="none" w:sz="0" w:space="0" w:color="auto"/>
            <w:bottom w:val="none" w:sz="0" w:space="0" w:color="auto"/>
            <w:right w:val="none" w:sz="0" w:space="0" w:color="auto"/>
          </w:divBdr>
        </w:div>
      </w:divsChild>
    </w:div>
    <w:div w:id="2095205971">
      <w:bodyDiv w:val="1"/>
      <w:marLeft w:val="0"/>
      <w:marRight w:val="0"/>
      <w:marTop w:val="0"/>
      <w:marBottom w:val="0"/>
      <w:divBdr>
        <w:top w:val="none" w:sz="0" w:space="0" w:color="auto"/>
        <w:left w:val="none" w:sz="0" w:space="0" w:color="auto"/>
        <w:bottom w:val="none" w:sz="0" w:space="0" w:color="auto"/>
        <w:right w:val="none" w:sz="0" w:space="0" w:color="auto"/>
      </w:divBdr>
      <w:divsChild>
        <w:div w:id="1569999437">
          <w:marLeft w:val="0"/>
          <w:marRight w:val="0"/>
          <w:marTop w:val="360"/>
          <w:marBottom w:val="180"/>
          <w:divBdr>
            <w:top w:val="none" w:sz="0" w:space="0" w:color="auto"/>
            <w:left w:val="none" w:sz="0" w:space="0" w:color="auto"/>
            <w:bottom w:val="none" w:sz="0" w:space="0" w:color="auto"/>
            <w:right w:val="none" w:sz="0" w:space="0" w:color="auto"/>
          </w:divBdr>
        </w:div>
        <w:div w:id="255093570">
          <w:marLeft w:val="0"/>
          <w:marRight w:val="0"/>
          <w:marTop w:val="180"/>
          <w:marBottom w:val="240"/>
          <w:divBdr>
            <w:top w:val="none" w:sz="0" w:space="0" w:color="auto"/>
            <w:left w:val="none" w:sz="0" w:space="0" w:color="auto"/>
            <w:bottom w:val="none" w:sz="0" w:space="0" w:color="auto"/>
            <w:right w:val="none" w:sz="0" w:space="0" w:color="auto"/>
          </w:divBdr>
        </w:div>
      </w:divsChild>
    </w:div>
    <w:div w:id="2145465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nacion.com.ar/sociedad/trasplantes-quien-decide-y-como-la-asignacion-de-organos-en-el-pais-nid2085402/" TargetMode="External"/><Relationship Id="rId18" Type="http://schemas.openxmlformats.org/officeDocument/2006/relationships/hyperlink" Target="https://www.youtube.com/watch?v=7Fc9zD-J2ZE" TargetMode="External"/><Relationship Id="rId26" Type="http://schemas.openxmlformats.org/officeDocument/2006/relationships/hyperlink" Target="https://www.argentina.gob.ar/salud/incucai/ley-trasplantados" TargetMode="External"/><Relationship Id="rId21" Type="http://schemas.openxmlformats.org/officeDocument/2006/relationships/hyperlink" Target="https://www.argentina.gob.ar/salud/incucai/pacientes/distribucion-de-organos" TargetMode="External"/><Relationship Id="rId34" Type="http://schemas.openxmlformats.org/officeDocument/2006/relationships/hyperlink" Target="https://ligadelconsorcista.org/legislacion/trasplantes-ley-26928-crease-el-sistema-proteccion-integral-personas-trasplantadas" TargetMode="External"/><Relationship Id="rId7" Type="http://schemas.openxmlformats.org/officeDocument/2006/relationships/hyperlink" Target="https://www.argentina.gob.ar/salud/incucai/comunidad-hospitalaria/pasos-operativos" TargetMode="External"/><Relationship Id="rId12" Type="http://schemas.openxmlformats.org/officeDocument/2006/relationships/hyperlink" Target="https://www.garrahan.gov.ar/preguntas-frecuentes" TargetMode="External"/><Relationship Id="rId17" Type="http://schemas.openxmlformats.org/officeDocument/2006/relationships/hyperlink" Target="https://www.youtube.com/watch?v=U1iof_eZ5ZA" TargetMode="External"/><Relationship Id="rId25" Type="http://schemas.openxmlformats.org/officeDocument/2006/relationships/hyperlink" Target="https://www.argentina.gob.ar/salud/incucai/pacientes/distribucion-de-organos" TargetMode="External"/><Relationship Id="rId33" Type="http://schemas.openxmlformats.org/officeDocument/2006/relationships/hyperlink" Target="https://www.argentina.gob.ar/justicia/derechofacil/leysimple/proteccion-integral-para-personas-trasplantadas" TargetMode="External"/><Relationship Id="rId2" Type="http://schemas.openxmlformats.org/officeDocument/2006/relationships/styles" Target="styles.xml"/><Relationship Id="rId16" Type="http://schemas.openxmlformats.org/officeDocument/2006/relationships/hyperlink" Target="https://servicios.infoleg.gob.ar/infolegInternet/anexos/355000-359999/357337/res341-3.pdf" TargetMode="External"/><Relationship Id="rId20" Type="http://schemas.openxmlformats.org/officeDocument/2006/relationships/hyperlink" Target="https://www.argentina.gob.ar/salud/incucai" TargetMode="External"/><Relationship Id="rId29" Type="http://schemas.openxmlformats.org/officeDocument/2006/relationships/hyperlink" Target="https://ligadelconsorcista.org/legislacion/trasplantes-ley-26928-crease-el-sistema-proteccion-integral-personas-trasplantadas" TargetMode="External"/><Relationship Id="rId1" Type="http://schemas.openxmlformats.org/officeDocument/2006/relationships/numbering" Target="numbering.xml"/><Relationship Id="rId6" Type="http://schemas.openxmlformats.org/officeDocument/2006/relationships/hyperlink" Target="https://sintra.incucai.gov.ar/" TargetMode="External"/><Relationship Id="rId11" Type="http://schemas.openxmlformats.org/officeDocument/2006/relationships/hyperlink" Target="http://www.cucaiba.gba.gov.ar/?page_id=399" TargetMode="External"/><Relationship Id="rId24" Type="http://schemas.openxmlformats.org/officeDocument/2006/relationships/hyperlink" Target="https://www.argentina.gob.ar/salud/incucai/pacientes/distribucion-renal" TargetMode="External"/><Relationship Id="rId32" Type="http://schemas.openxmlformats.org/officeDocument/2006/relationships/hyperlink" Target="https://www.argentina.gob.ar/salud/incucai/ley-trasplantados-asignacion-mensual-empleo" TargetMode="External"/><Relationship Id="rId37" Type="http://schemas.openxmlformats.org/officeDocument/2006/relationships/theme" Target="theme/theme1.xml"/><Relationship Id="rId5" Type="http://schemas.openxmlformats.org/officeDocument/2006/relationships/hyperlink" Target="https://www.argentina.gob.ar/salud/incucai" TargetMode="External"/><Relationship Id="rId15" Type="http://schemas.openxmlformats.org/officeDocument/2006/relationships/hyperlink" Target="https://www.intramed.net/content/que-criterios-emplea-el-incucai-para-la-asignacion-de-organos" TargetMode="External"/><Relationship Id="rId23" Type="http://schemas.openxmlformats.org/officeDocument/2006/relationships/hyperlink" Target="https://www.argentina.gob.ar/salud/incucai/pacientes/distribucion-renal" TargetMode="External"/><Relationship Id="rId28" Type="http://schemas.openxmlformats.org/officeDocument/2006/relationships/hyperlink" Target="https://ligadelconsorcista.org/legislacion/trasplantes-ley-26928-crease-el-sistema-proteccion-integral-personas-trasplantadas" TargetMode="External"/><Relationship Id="rId36" Type="http://schemas.openxmlformats.org/officeDocument/2006/relationships/fontTable" Target="fontTable.xml"/><Relationship Id="rId10" Type="http://schemas.openxmlformats.org/officeDocument/2006/relationships/hyperlink" Target="https://www.sergas.gal/cas/servicios/docs/DoazonETransplantes/Seleccion_de_enfermos.htm" TargetMode="External"/><Relationship Id="rId19" Type="http://schemas.openxmlformats.org/officeDocument/2006/relationships/hyperlink" Target="https://www.argentina.gob.ar/salud/incucai/ley-trasplantados" TargetMode="External"/><Relationship Id="rId31" Type="http://schemas.openxmlformats.org/officeDocument/2006/relationships/hyperlink" Target="https://www.argentina.gob.ar/noticias/la-asignacion-mensual-no-contributiva-por-trasplante-se-podra-gestionar-traves-del-tramite" TargetMode="External"/><Relationship Id="rId4" Type="http://schemas.openxmlformats.org/officeDocument/2006/relationships/webSettings" Target="webSettings.xml"/><Relationship Id="rId9" Type="http://schemas.openxmlformats.org/officeDocument/2006/relationships/hyperlink" Target="https://www.lanacion.com.ar/sociedad/trasplantes-quien-decide-y-como-la-asignacion-de-organos-en-el-pais-nid2085402/" TargetMode="External"/><Relationship Id="rId14" Type="http://schemas.openxmlformats.org/officeDocument/2006/relationships/hyperlink" Target="https://www.garrahan.gov.ar/preguntas-frecuentes" TargetMode="External"/><Relationship Id="rId22" Type="http://schemas.openxmlformats.org/officeDocument/2006/relationships/hyperlink" Target="https://www.argentina.gob.ar/salud/incucai/pacientes/distribucion-renal" TargetMode="External"/><Relationship Id="rId27" Type="http://schemas.openxmlformats.org/officeDocument/2006/relationships/hyperlink" Target="https://www.facebook.com/incucaioficial/videos/-si-recibiste-un-trasplante-o-est%C3%A1s-en-lista-de-espera-pod%C3%A9s-acceder-a-los-derec/863017158385063/" TargetMode="External"/><Relationship Id="rId30" Type="http://schemas.openxmlformats.org/officeDocument/2006/relationships/hyperlink" Target="https://www.argentina.gob.ar/salud/incucai/ley-trasplantados-asignacion-mensual-empleo" TargetMode="External"/><Relationship Id="rId35" Type="http://schemas.openxmlformats.org/officeDocument/2006/relationships/hyperlink" Target="https://ligadelconsorcista.org/legislacion/trasplantes-ley-26928-crease-el-sistema-proteccion-integral-personas-trasplantadas" TargetMode="External"/><Relationship Id="rId8" Type="http://schemas.openxmlformats.org/officeDocument/2006/relationships/hyperlink" Target="https://sintra.incucai.gov.ar/"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1939</Words>
  <Characters>10668</Characters>
  <Application>Microsoft Office Word</Application>
  <DocSecurity>0</DocSecurity>
  <Lines>88</Lines>
  <Paragraphs>25</Paragraphs>
  <ScaleCrop>false</ScaleCrop>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Elias Gomez Lopez</dc:creator>
  <cp:keywords/>
  <dc:description/>
  <cp:lastModifiedBy>Franco Elias Gomez Lopez</cp:lastModifiedBy>
  <cp:revision>2</cp:revision>
  <dcterms:created xsi:type="dcterms:W3CDTF">2026-06-11T22:07:00Z</dcterms:created>
  <dcterms:modified xsi:type="dcterms:W3CDTF">2026-06-17T22:42:00Z</dcterms:modified>
</cp:coreProperties>
</file>