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4E79"/>
          <w:sz w:val="48"/>
          <w:szCs w:val="48"/>
        </w:rPr>
        <w:t xml:space="preserve">Radioréactivité aux faibles doses :</w:t>
      </w:r>
    </w:p>
    <w:p>
      <w:pPr>
        <w:spacing w:after="200"/>
        <w:jc w:val="center"/>
      </w:pPr>
      <w:r>
        <w:rPr>
          <w:color w:val="404040"/>
          <w:sz w:val="32"/>
          <w:szCs w:val="32"/>
        </w:rPr>
        <w:t xml:space="preserve">Hyper-radiosensibilité et radiorésistance induite dans les cellules de mammifères</w:t>
      </w:r>
    </w:p>
    <w:p>
      <w:pPr>
        <w:spacing w:after="80"/>
        <w:jc w:val="center"/>
      </w:pPr>
      <w:r>
        <w:rPr>
          <w:b/>
          <w:bCs/>
          <w:sz w:val="24"/>
          <w:szCs w:val="24"/>
        </w:rPr>
        <w:t xml:space="preserve">Kirsten A. Skov</w:t>
      </w:r>
    </w:p>
    <w:p>
      <w:pPr>
        <w:spacing w:after="300"/>
        <w:jc w:val="center"/>
      </w:pPr>
      <w:r>
        <w:rPr>
          <w:i/>
          <w:iCs/>
          <w:sz w:val="20"/>
          <w:szCs w:val="20"/>
        </w:rPr>
        <w:t xml:space="preserve">Mutation Research - Fundamental and Molecular Mechanisms of Mutagenesis</w:t>
      </w:r>
    </w:p>
    <w:p>
      <w:pPr>
        <w:spacing w:after="400"/>
        <w:jc w:val="center"/>
      </w:pPr>
      <w:r>
        <w:rPr>
          <w:color w:val="666666"/>
          <w:sz w:val="20"/>
          <w:szCs w:val="20"/>
        </w:rPr>
        <w:t xml:space="preserve">Volume 430, Numéro 2, 6 décembre 1999, Pages 241-253</w:t>
      </w:r>
    </w:p>
    <w:p>
      <w:pPr>
        <w:pStyle w:val="Heading1"/>
      </w:pPr>
      <w:r>
        <w:t xml:space="preserve">Résumé</w:t>
      </w:r>
    </w:p>
    <w:p>
      <w:pPr>
        <w:spacing w:after="120"/>
      </w:pPr>
      <w:r>
        <w:t xml:space="preserve">La justification et l'importance de la recherche sur les effets des radiations à « faibles doses » sont exposées. Ces études radiobiologiques fondamentales sur l'induction d'enzymes de réparation, les mécanismes de protection, l'amorçage (priming) et l'hypersensibilité sont certainement toutes pertinentes pour le traitement du cancer.</w:t>
      </w:r>
    </w:p>
    <w:p>
      <w:pPr>
        <w:spacing w:after="120"/>
      </w:pPr>
      <w:r>
        <w:t xml:space="preserve">Cet article inclut des exemples de nombreux groupes utilisant différents critères d'évaluation pour étudier la possibilité d'une résistance induite, qui a été comparée à la réponse adaptative. Il ne s'agit pas d'une revue exhaustive, mais plutôt d'une réintroduction de concepts tels que l'amorçage et d'un bref aperçu des approches moléculaires pour comprendre la résistance induite.</w:t>
      </w:r>
    </w:p>
    <w:p>
      <w:pPr>
        <w:spacing w:after="120"/>
      </w:pPr>
      <w:r>
        <w:t xml:space="preserve">Il n'est pas possible d'extrapoler aux faibles doses à partir d'études à fortes doses. Les réponses biologiques varient probablement avec la dose, le TEL (Transfert d'Énergie Linéique), et présentent des échelles de temps variables.</w:t>
      </w:r>
    </w:p>
    <w:p>
      <w:pPr>
        <w:pStyle w:val="Heading2"/>
      </w:pPr>
      <w:r>
        <w:t xml:space="preserve">Mots-clés</w:t>
      </w:r>
    </w:p>
    <w:p>
      <w:pPr>
        <w:spacing w:after="120"/>
      </w:pPr>
      <w:r>
        <w:rPr>
          <w:i/>
          <w:iCs/>
        </w:rPr>
        <w:t xml:space="preserve">Réponses inductibles • Amorçage • Réponse adaptative • Faibles doses de radiation • Radiosensibilité</w:t>
      </w:r>
    </w:p>
    <w:p>
      <w:pPr>
        <w:pStyle w:val="Heading1"/>
      </w:pPr>
      <w:r>
        <w:t xml:space="preserve">1. Études aux faibles doses — pertinence pour le traitement du cancer</w:t>
      </w:r>
    </w:p>
    <w:p>
      <w:pPr>
        <w:spacing w:after="120"/>
      </w:pPr>
      <w:r>
        <w:t xml:space="preserve">Les rayonnements ionisants sont utilisés pour traiter environ 60% des patients atteints de cancer au Canada. Une meilleure compréhension des agents qui affectent la destruction cellulaire par les radiations est nécessaire, en particulier aux doses utilisées en clinique.</w:t>
      </w:r>
    </w:p>
    <w:p>
      <w:pPr>
        <w:pStyle w:val="Heading2"/>
      </w:pPr>
      <w:r>
        <w:t xml:space="preserve">1.1. Survie des cellules de mammifères</w:t>
      </w:r>
    </w:p>
    <w:p>
      <w:pPr>
        <w:spacing w:after="120"/>
      </w:pPr>
      <w:r>
        <w:t xml:space="preserve">Le test clonogénique original se prête à l'étude des effets des rayonnements ionisants sur les cellules de mammifères à des doses relativement élevées, mais les extrapolations basées sur divers modèles théoriques et empiriques vers des régions de dose d'intérêt clinique peuvent être invalides.</w:t>
      </w:r>
    </w:p>
    <w:p>
      <w:pPr>
        <w:spacing w:after="120"/>
      </w:pPr>
      <w:r>
        <w:t xml:space="preserve">Avec l'amélioration de la technologie fournissant des méthodes pour mesurer avec précision les effets aux faibles doses, des anomalies aux faibles doses ont été confirmées :</w:t>
      </w:r>
    </w:p>
    <w:p>
      <w:pPr>
        <w:pStyle w:val="ListParagraph"/>
        <w:numPr>
          <w:ilvl w:val="0"/>
          <w:numId w:val="2"/>
        </w:numPr>
        <w:spacing w:after="60"/>
      </w:pPr>
      <w:r>
        <w:t xml:space="preserve">La diminution inexpliquée de la sensibilisation par l'oxygène aux faibles doses a été mesurée directement.</w:t>
      </w:r>
    </w:p>
    <w:p>
      <w:pPr>
        <w:pStyle w:val="ListParagraph"/>
        <w:numPr>
          <w:ilvl w:val="0"/>
          <w:numId w:val="2"/>
        </w:numPr>
        <w:spacing w:after="60"/>
      </w:pPr>
      <w:r>
        <w:t xml:space="preserve">L'hyper-radiosensibilité (HRS) aux faibles doses in vitro a confirmé les résultats in vivo et les indications antérieures d'anomalie dans la réponse des cellules de mammifères.</w:t>
      </w:r>
    </w:p>
    <w:p>
      <w:pPr>
        <w:shd w:fill="F0F0F0" w:val="clear"/>
        <w:spacing w:before="200" w:after="200"/>
      </w:pPr>
      <w:r>
        <w:rPr>
          <w:b/>
          <w:bCs/>
        </w:rPr>
        <w:t xml:space="preserve">Figure 1. Structure stylisée IRR/HRS. </w:t>
      </w:r>
      <w:r>
        <w:t xml:space="preserve">La structure anormale aux faibles doses : l'HRS (jusqu'à environ 0,25 Gy) est suivie d'une radiorésistance accrue (IRR, jusqu'à environ 1 Gy). LQ : L'ajustement linéaire-quadratique est représenté par la ligne pointillée.</w:t>
      </w:r>
    </w:p>
    <w:p>
      <w:pPr>
        <w:pStyle w:val="Heading2"/>
      </w:pPr>
      <w:r>
        <w:t xml:space="preserve">1.2. Amorçage (Priming), un aspect supplémentaire de l'HRS/IRR</w:t>
      </w:r>
    </w:p>
    <w:p>
      <w:pPr>
        <w:spacing w:after="120"/>
      </w:pPr>
      <w:r>
        <w:t xml:space="preserve">Dans les années 1980, le groupe de Wolff a décrit un phénomène dans les lymphocytes, appelé réponse adaptative, par lequel certains traitements amorçaient les cellules, les rendant plus radiorésistantes.</w:t>
      </w:r>
    </w:p>
    <w:p>
      <w:pPr>
        <w:spacing w:after="120"/>
      </w:pPr>
      <w:r>
        <w:t xml:space="preserve">Dans le cas de l'HRS/IRR, l'amorçage a d'abord été observé après traitement avec les mêmes agents utilisés dans les premières études sur la réponse adaptative : le peroxyde d'hydrogène ou les rayons X (0,2 Gy), qui éliminent la portion HRS de sorte que la courbe suit la prédiction LQ.</w:t>
      </w:r>
    </w:p>
    <w:p>
      <w:pPr>
        <w:pStyle w:val="Heading2"/>
      </w:pPr>
      <w:r>
        <w:t xml:space="preserve">1.3. Autres systèmes, autres agents</w:t>
      </w:r>
    </w:p>
    <w:p>
      <w:pPr>
        <w:spacing w:after="120"/>
      </w:pPr>
      <w:r>
        <w:t xml:space="preserve">Historiquement, il y a eu d'autres exemples de formes anormales de courbes en réponse à de faibles doses de radiation (cellules d'insectes, pollen, protozoaires, algues et fougères). Malgré ces preuves provenant de nombreux domaines, il y a eu une certaine réticence à accepter qu'il existe dans certains cas une région hypersensible.</w:t>
      </w:r>
    </w:p>
    <w:p>
      <w:pPr>
        <w:spacing w:after="120"/>
      </w:pPr>
      <w:r>
        <w:t xml:space="preserve">Cependant, il existe une base biologique réaliste car la cellule doit être préparée à faire face aux agressions environnementales, si les dommages spontanés et naturels à l'ADN chaque heure sont équivalents à 50-100 cGy, ce qui approche la dose d'amorçage aiguë pour l'IRR dans les cellules de mammifères (~0,25 Gy).</w:t>
      </w:r>
    </w:p>
    <w:p>
      <w:pPr>
        <w:pStyle w:val="Heading2"/>
      </w:pPr>
      <w:r>
        <w:t xml:space="preserve">1.4. Pertinence clinique de l'HRS/IRR</w:t>
      </w:r>
    </w:p>
    <w:p>
      <w:pPr>
        <w:spacing w:after="120"/>
      </w:pPr>
      <w:r>
        <w:t xml:space="preserve">Il est important de comprendre la nature des effets des faibles doses de radiation sur les systèmes biologiques. Cela a une pertinence clinique dans plusieurs domaines :</w:t>
      </w:r>
    </w:p>
    <w:p>
      <w:pPr>
        <w:pStyle w:val="ListParagraph"/>
        <w:numPr>
          <w:ilvl w:val="0"/>
          <w:numId w:val="2"/>
        </w:numPr>
        <w:spacing w:after="60"/>
      </w:pPr>
      <w:r>
        <w:t xml:space="preserve">La réponse des tissus normaux aux radiations (effets tardifs ou précoces) et les conséquences possibles subséquentes.</w:t>
      </w:r>
    </w:p>
    <w:p>
      <w:pPr>
        <w:pStyle w:val="ListParagraph"/>
        <w:numPr>
          <w:ilvl w:val="0"/>
          <w:numId w:val="2"/>
        </w:numPr>
        <w:spacing w:after="60"/>
      </w:pPr>
      <w:r>
        <w:t xml:space="preserve">Les effets du fractionnement accru des doses, et donc également l'effet des faibles débits de dose et de la curiethérapie.</w:t>
      </w:r>
    </w:p>
    <w:p>
      <w:pPr>
        <w:pStyle w:val="ListParagraph"/>
        <w:numPr>
          <w:ilvl w:val="0"/>
          <w:numId w:val="2"/>
        </w:numPr>
        <w:spacing w:after="60"/>
      </w:pPr>
      <w:r>
        <w:t xml:space="preserve">Le REO (Rapport d'Enhancement par l'Oxygène) variable, puisque la région HRS existe dans les cellules irradiées en hypoxie.</w:t>
      </w:r>
    </w:p>
    <w:p>
      <w:pPr>
        <w:pStyle w:val="ListParagraph"/>
        <w:numPr>
          <w:ilvl w:val="0"/>
          <w:numId w:val="2"/>
        </w:numPr>
        <w:spacing w:after="60"/>
      </w:pPr>
      <w:r>
        <w:t xml:space="preserve">L'application potentielle dans les tests prédictifs, car différents types de cellules ont une radiosensibilité intrinsèque variable.</w:t>
      </w:r>
    </w:p>
    <w:p>
      <w:pPr>
        <w:pStyle w:val="Heading2"/>
      </w:pPr>
      <w:r>
        <w:t xml:space="preserve">1.5. Mécanismes possibles</w:t>
      </w:r>
    </w:p>
    <w:p>
      <w:pPr>
        <w:spacing w:after="120"/>
      </w:pPr>
      <w:r>
        <w:t xml:space="preserve">À quoi est dû l'IRR ? Qu'est-ce qui est activé/désactivé ? Quel est le déclencheur ? Plusieurs groupes se sont intéressés à la possibilité d'une réparation induite aux faibles doses de radiation, qui suit l'HRS (typiquement jusqu'à ~0,25 Gy).</w:t>
      </w:r>
    </w:p>
    <w:p>
      <w:pPr>
        <w:spacing w:after="120"/>
      </w:pPr>
      <w:r>
        <w:t xml:space="preserve">Les dommages à l'ADN sont souvent suggérés comme déclencheur de l'IRR, avec une réparation induite (réparation de l'ADN impliquée) suggérée comme cause de l'IRR. L'inhibition du développement de la protection dans l'IRR et les réponses adaptatives par un inhibiteur de la poly(ADP-ribose) polymérase soutient l'implication de la réparation des dommages à l'ADN dans la réponse protectrice.</w:t>
      </w:r>
    </w:p>
    <w:p>
      <w:pPr>
        <w:pStyle w:val="Heading2"/>
      </w:pPr>
      <w:r>
        <w:t xml:space="preserve">1.5.1. Approches moléculaires</w:t>
      </w:r>
    </w:p>
    <w:p>
      <w:pPr>
        <w:spacing w:after="120"/>
      </w:pPr>
      <w:r>
        <w:t xml:space="preserve">Si un mécanisme moléculaire pour l'IRR était trouvé, il pourrait être possible de trouver une sonde pour la radiosensibilité intrinsèque afin d'aider à la planification du traitement. La connaissance des effets au niveau moléculaire causés par les rayonnements ionisants a explosé :</w:t>
      </w:r>
    </w:p>
    <w:p>
      <w:pPr>
        <w:pStyle w:val="ListParagraph"/>
        <w:numPr>
          <w:ilvl w:val="0"/>
          <w:numId w:val="2"/>
        </w:numPr>
        <w:spacing w:after="60"/>
      </w:pPr>
      <w:r>
        <w:t xml:space="preserve">Gènes activés et désactivés</w:t>
      </w:r>
    </w:p>
    <w:p>
      <w:pPr>
        <w:pStyle w:val="ListParagraph"/>
        <w:numPr>
          <w:ilvl w:val="0"/>
          <w:numId w:val="2"/>
        </w:numPr>
        <w:spacing w:after="60"/>
      </w:pPr>
      <w:r>
        <w:t xml:space="preserve">Apoptose</w:t>
      </w:r>
    </w:p>
    <w:p>
      <w:pPr>
        <w:pStyle w:val="ListParagraph"/>
        <w:numPr>
          <w:ilvl w:val="0"/>
          <w:numId w:val="2"/>
        </w:numPr>
        <w:spacing w:after="60"/>
      </w:pPr>
      <w:r>
        <w:t xml:space="preserve">Transduction du signal</w:t>
      </w:r>
    </w:p>
    <w:p>
      <w:pPr>
        <w:pStyle w:val="ListParagraph"/>
        <w:numPr>
          <w:ilvl w:val="0"/>
          <w:numId w:val="2"/>
        </w:numPr>
        <w:spacing w:after="60"/>
      </w:pPr>
      <w:r>
        <w:t xml:space="preserve">Cycle cellulaire/points de contrôle/cyclines</w:t>
      </w:r>
    </w:p>
    <w:p>
      <w:pPr>
        <w:pStyle w:val="ListParagraph"/>
        <w:numPr>
          <w:ilvl w:val="0"/>
          <w:numId w:val="2"/>
        </w:numPr>
        <w:spacing w:after="60"/>
      </w:pPr>
      <w:r>
        <w:t xml:space="preserve">Effets sur les protéines nucléaires</w:t>
      </w:r>
    </w:p>
    <w:p>
      <w:pPr>
        <w:pStyle w:val="Heading1"/>
      </w:pPr>
      <w:r>
        <w:t xml:space="preserve">2. Pertinence possible des concepts d'IRR pour l'exposition aux radiations</w:t>
      </w:r>
    </w:p>
    <w:p>
      <w:pPr>
        <w:spacing w:after="120"/>
      </w:pPr>
      <w:r>
        <w:t xml:space="preserve">Les possibilités d'amorçage pour la résistance aux faibles doses sont pertinentes pour les directives concernant ceux qui travaillent dans des conditions dangereuses où le concept d'une dose seuil et la réponse adaptative sont des domaines d'investigation constante.</w:t>
      </w:r>
    </w:p>
    <w:p>
      <w:pPr>
        <w:pStyle w:val="Heading2"/>
      </w:pPr>
      <w:r>
        <w:t xml:space="preserve">2.1. Réponses dans les tissus/cellules normaux</w:t>
      </w:r>
    </w:p>
    <w:p>
      <w:pPr>
        <w:spacing w:after="120"/>
      </w:pPr>
      <w:r>
        <w:t xml:space="preserve">Les lignées cellulaires normales présentent également une hypersensibilité ou une résistance inductible. Des études animales antérieures avaient suggéré l'HRS dans les organes normaux à des doses par fraction allant jusqu'à ~1 Gy.</w:t>
      </w:r>
    </w:p>
    <w:p>
      <w:pPr>
        <w:pStyle w:val="Heading2"/>
      </w:pPr>
      <w:r>
        <w:t xml:space="preserve">2.2. Sensibilité individuelle</w:t>
      </w:r>
    </w:p>
    <w:p>
      <w:pPr>
        <w:spacing w:after="120"/>
      </w:pPr>
      <w:r>
        <w:t xml:space="preserve">De nombreuses personnes atteintes de maladies génétiques impliquant la réparation de l'ADN souffrent d'une sensibilité accrue aux rayonnements ionisants, comme l'ataxie télangiectasie (AT). Une lignée cellulaire AT ne montre pas d'effet de faible débit de dose (alors que les fibroblastes normaux montrent une survie plus élevée après irradiation à faible débit de dose).</w:t>
      </w:r>
    </w:p>
    <w:p>
      <w:pPr>
        <w:pStyle w:val="Heading2"/>
      </w:pPr>
      <w:r>
        <w:t xml:space="preserve">2.3. Protecteurs</w:t>
      </w:r>
    </w:p>
    <w:p>
      <w:pPr>
        <w:spacing w:after="120"/>
      </w:pPr>
      <w:r>
        <w:t xml:space="preserve">Avant d'abandonner l'approche des radioprotecteurs, nous devrions considérer :</w:t>
      </w:r>
    </w:p>
    <w:p>
      <w:pPr>
        <w:pStyle w:val="ListParagraph"/>
        <w:numPr>
          <w:ilvl w:val="0"/>
          <w:numId w:val="2"/>
        </w:numPr>
        <w:spacing w:after="60"/>
      </w:pPr>
      <w:r>
        <w:t xml:space="preserve">La connaissance croissante des nombreuses étapes de la carcinogenèse, pour exploiter pleinement l'intervention à des stades autres que l'initiation.</w:t>
      </w:r>
    </w:p>
    <w:p>
      <w:pPr>
        <w:pStyle w:val="ListParagraph"/>
        <w:numPr>
          <w:ilvl w:val="0"/>
          <w:numId w:val="2"/>
        </w:numPr>
        <w:spacing w:after="60"/>
      </w:pPr>
      <w:r>
        <w:t xml:space="preserve">Le concept que certains agents chimiques amorcent pour protéger contre les rayonnements ionisants.</w:t>
      </w:r>
    </w:p>
    <w:p>
      <w:pPr>
        <w:pStyle w:val="ListParagraph"/>
        <w:numPr>
          <w:ilvl w:val="0"/>
          <w:numId w:val="2"/>
        </w:numPr>
        <w:spacing w:after="60"/>
      </w:pPr>
      <w:r>
        <w:t xml:space="preserve">L'amorçage par d'autres stress que les radiations ou les produits chimiques.</w:t>
      </w:r>
    </w:p>
    <w:p>
      <w:pPr>
        <w:pStyle w:val="ListParagraph"/>
        <w:numPr>
          <w:ilvl w:val="0"/>
          <w:numId w:val="2"/>
        </w:numPr>
        <w:spacing w:after="60"/>
      </w:pPr>
      <w:r>
        <w:t xml:space="preserve">La protection par certains produits naturels vs l'amorçage vs la sensibilisation possible par des facteurs alimentaires.</w:t>
      </w:r>
    </w:p>
    <w:p>
      <w:pPr>
        <w:pStyle w:val="Heading2"/>
      </w:pPr>
      <w:r>
        <w:t xml:space="preserve">2.4. Considérations sur le TEL, l'amorçage et le débit de dose</w:t>
      </w:r>
    </w:p>
    <w:p>
      <w:pPr>
        <w:spacing w:after="120"/>
      </w:pPr>
      <w:r>
        <w:t xml:space="preserve">Y a-t-il des seuils ? L'induction de p53 par les particules alpha n'avait pas de dose seuil, alors qu'il y avait un seuil pour l'induction par les rayons X (10 cGy) et des cinétiques différentes.</w:t>
      </w:r>
    </w:p>
    <w:p>
      <w:pPr>
        <w:spacing w:after="120"/>
      </w:pPr>
      <w:r>
        <w:t xml:space="preserve">Y a-t-il un effet de débit de dose ? Un effet inverse du débit de dose a été noté pour les critères de mutagenèse et également dans une situation clinique.</w:t>
      </w:r>
    </w:p>
    <w:p>
      <w:pPr>
        <w:pStyle w:val="Heading1"/>
      </w:pPr>
      <w:r>
        <w:t xml:space="preserve">Tableau récapitulatif : Domaines de chevauchement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2E74B5" w:val="clear"/>
          </w:tcPr>
          <w:p>
            <w:pPr>
              <w:jc w:val="center"/>
            </w:pPr>
            <w:r>
              <w:rPr>
                <w:b/>
                <w:bCs/>
                <w:color w:val="FFFFFF"/>
              </w:rPr>
              <w:t xml:space="preserve">Domaine</w:t>
            </w:r>
          </w:p>
        </w:tc>
        <w:tc>
          <w:tcPr>
            <w:tcW w:type="dxa" w:w="3430"/>
            <w:tcBorders>
              <w:top w:val="single" w:color="CCCCCC" w:sz="1"/>
              <w:left w:val="single" w:color="CCCCCC" w:sz="1"/>
              <w:bottom w:val="single" w:color="CCCCCC" w:sz="1"/>
              <w:right w:val="single" w:color="CCCCCC" w:sz="1"/>
            </w:tcBorders>
            <w:shd w:fill="2E74B5" w:val="clear"/>
          </w:tcPr>
          <w:p>
            <w:pPr>
              <w:jc w:val="center"/>
            </w:pPr>
            <w:r>
              <w:rPr>
                <w:b/>
                <w:bCs/>
                <w:color w:val="FFFFFF"/>
              </w:rPr>
              <w:t xml:space="preserve">Traitement</w:t>
            </w:r>
          </w:p>
        </w:tc>
        <w:tc>
          <w:tcPr>
            <w:tcW w:type="dxa" w:w="3430"/>
            <w:tcBorders>
              <w:top w:val="single" w:color="CCCCCC" w:sz="1"/>
              <w:left w:val="single" w:color="CCCCCC" w:sz="1"/>
              <w:bottom w:val="single" w:color="CCCCCC" w:sz="1"/>
              <w:right w:val="single" w:color="CCCCCC" w:sz="1"/>
            </w:tcBorders>
            <w:shd w:fill="2E74B5" w:val="clear"/>
          </w:tcPr>
          <w:p>
            <w:pPr>
              <w:jc w:val="center"/>
            </w:pPr>
            <w:r>
              <w:rPr>
                <w:b/>
                <w:bCs/>
                <w:color w:val="FFFFFF"/>
              </w:rPr>
              <w:t xml:space="preserve">Exposition aux radiations</w:t>
            </w:r>
          </w:p>
        </w:tc>
      </w:tr>
      <w:tr>
        <w:tc>
          <w:tcPr>
            <w:tcW w:type="dxa" w:w="2500"/>
            <w:tcBorders>
              <w:top w:val="single" w:color="CCCCCC" w:sz="1"/>
              <w:left w:val="single" w:color="CCCCCC" w:sz="1"/>
              <w:bottom w:val="single" w:color="CCCCCC" w:sz="1"/>
              <w:right w:val="single" w:color="CCCCCC" w:sz="1"/>
            </w:tcBorders>
          </w:tcPr>
          <w:p>
            <w:r>
              <w:rPr>
                <w:b/>
                <w:bCs/>
              </w:rPr>
              <w:t xml:space="preserve">Sensibilité</w:t>
            </w:r>
          </w:p>
        </w:tc>
        <w:tc>
          <w:tcPr>
            <w:tcW w:type="dxa" w:w="3430"/>
            <w:tcBorders>
              <w:top w:val="single" w:color="CCCCCC" w:sz="1"/>
              <w:left w:val="single" w:color="CCCCCC" w:sz="1"/>
              <w:bottom w:val="single" w:color="CCCCCC" w:sz="1"/>
              <w:right w:val="single" w:color="CCCCCC" w:sz="1"/>
            </w:tcBorders>
          </w:tcPr>
          <w:p>
            <w:r>
              <w:t xml:space="preserve">IRR/HRS, déficit par rapport au modèle LQ</w:t>
            </w:r>
          </w:p>
        </w:tc>
        <w:tc>
          <w:tcPr>
            <w:tcW w:type="dxa" w:w="3430"/>
            <w:tcBorders>
              <w:top w:val="single" w:color="CCCCCC" w:sz="1"/>
              <w:left w:val="single" w:color="CCCCCC" w:sz="1"/>
              <w:bottom w:val="single" w:color="CCCCCC" w:sz="1"/>
              <w:right w:val="single" w:color="CCCCCC" w:sz="1"/>
            </w:tcBorders>
          </w:tcPr>
          <w:p>
            <w:r>
              <w:t xml:space="preserve">Cellules normales ont IRR, sensibilité génétique</w:t>
            </w:r>
          </w:p>
        </w:tc>
      </w:tr>
      <w:tr>
        <w:tc>
          <w:tcPr>
            <w:tcW w:type="dxa" w:w="2500"/>
            <w:tcBorders>
              <w:top w:val="single" w:color="CCCCCC" w:sz="1"/>
              <w:left w:val="single" w:color="CCCCCC" w:sz="1"/>
              <w:bottom w:val="single" w:color="CCCCCC" w:sz="1"/>
              <w:right w:val="single" w:color="CCCCCC" w:sz="1"/>
            </w:tcBorders>
          </w:tcPr>
          <w:p>
            <w:r>
              <w:rPr>
                <w:b/>
                <w:bCs/>
              </w:rPr>
              <w:t xml:space="preserve">Amorçage/Protection</w:t>
            </w:r>
          </w:p>
        </w:tc>
        <w:tc>
          <w:tcPr>
            <w:tcW w:type="dxa" w:w="3430"/>
            <w:tcBorders>
              <w:top w:val="single" w:color="CCCCCC" w:sz="1"/>
              <w:left w:val="single" w:color="CCCCCC" w:sz="1"/>
              <w:bottom w:val="single" w:color="CCCCCC" w:sz="1"/>
              <w:right w:val="single" w:color="CCCCCC" w:sz="1"/>
            </w:tcBorders>
          </w:tcPr>
          <w:p>
            <w:r>
              <w:t xml:space="preserve">Amorçage et mécanismes</w:t>
            </w:r>
          </w:p>
        </w:tc>
        <w:tc>
          <w:tcPr>
            <w:tcW w:type="dxa" w:w="3430"/>
            <w:tcBorders>
              <w:top w:val="single" w:color="CCCCCC" w:sz="1"/>
              <w:left w:val="single" w:color="CCCCCC" w:sz="1"/>
              <w:bottom w:val="single" w:color="CCCCCC" w:sz="1"/>
              <w:right w:val="single" w:color="CCCCCC" w:sz="1"/>
            </w:tcBorders>
          </w:tcPr>
          <w:p>
            <w:r>
              <w:t xml:space="preserve">Considérations TEL et seuil</w:t>
            </w:r>
          </w:p>
        </w:tc>
      </w:tr>
      <w:tr>
        <w:tc>
          <w:tcPr>
            <w:tcW w:type="dxa" w:w="2500"/>
            <w:tcBorders>
              <w:top w:val="single" w:color="CCCCCC" w:sz="1"/>
              <w:left w:val="single" w:color="CCCCCC" w:sz="1"/>
              <w:bottom w:val="single" w:color="CCCCCC" w:sz="1"/>
              <w:right w:val="single" w:color="CCCCCC" w:sz="1"/>
            </w:tcBorders>
          </w:tcPr>
          <w:p>
            <w:r>
              <w:rPr>
                <w:b/>
                <w:bCs/>
              </w:rPr>
              <w:t xml:space="preserve">Implications</w:t>
            </w:r>
          </w:p>
        </w:tc>
        <w:tc>
          <w:tcPr>
            <w:tcW w:type="dxa" w:w="3430"/>
            <w:tcBorders>
              <w:top w:val="single" w:color="CCCCCC" w:sz="1"/>
              <w:left w:val="single" w:color="CCCCCC" w:sz="1"/>
              <w:bottom w:val="single" w:color="CCCCCC" w:sz="1"/>
              <w:right w:val="single" w:color="CCCCCC" w:sz="1"/>
            </w:tcBorders>
          </w:tcPr>
          <w:p>
            <w:r>
              <w:t xml:space="preserve">Fractionnement, tissus normaux</w:t>
            </w:r>
          </w:p>
        </w:tc>
        <w:tc>
          <w:tcPr>
            <w:tcW w:type="dxa" w:w="3430"/>
            <w:tcBorders>
              <w:top w:val="single" w:color="CCCCCC" w:sz="1"/>
              <w:left w:val="single" w:color="CCCCCC" w:sz="1"/>
              <w:bottom w:val="single" w:color="CCCCCC" w:sz="1"/>
              <w:right w:val="single" w:color="CCCCCC" w:sz="1"/>
            </w:tcBorders>
          </w:tcPr>
          <w:p>
            <w:r>
              <w:t xml:space="preserve">Hormèse vs hypersensibilité</w:t>
            </w:r>
          </w:p>
        </w:tc>
      </w:tr>
      <w:tr>
        <w:tc>
          <w:tcPr>
            <w:tcW w:type="dxa" w:w="2500"/>
            <w:tcBorders>
              <w:top w:val="single" w:color="CCCCCC" w:sz="1"/>
              <w:left w:val="single" w:color="CCCCCC" w:sz="1"/>
              <w:bottom w:val="single" w:color="CCCCCC" w:sz="1"/>
              <w:right w:val="single" w:color="CCCCCC" w:sz="1"/>
            </w:tcBorders>
          </w:tcPr>
          <w:p>
            <w:r>
              <w:rPr>
                <w:b/>
                <w:bCs/>
              </w:rPr>
              <w:t xml:space="preserve">Gènes</w:t>
            </w:r>
          </w:p>
        </w:tc>
        <w:tc>
          <w:tcPr>
            <w:tcW w:type="dxa" w:w="3430"/>
            <w:tcBorders>
              <w:top w:val="single" w:color="CCCCCC" w:sz="1"/>
              <w:left w:val="single" w:color="CCCCCC" w:sz="1"/>
              <w:bottom w:val="single" w:color="CCCCCC" w:sz="1"/>
              <w:right w:val="single" w:color="CCCCCC" w:sz="1"/>
            </w:tcBorders>
          </w:tcPr>
          <w:p>
            <w:r>
              <w:t xml:space="preserve">Nouveaux tests prédictifs</w:t>
            </w:r>
          </w:p>
        </w:tc>
        <w:tc>
          <w:tcPr>
            <w:tcW w:type="dxa" w:w="3430"/>
            <w:tcBorders>
              <w:top w:val="single" w:color="CCCCCC" w:sz="1"/>
              <w:left w:val="single" w:color="CCCCCC" w:sz="1"/>
              <w:bottom w:val="single" w:color="CCCCCC" w:sz="1"/>
              <w:right w:val="single" w:color="CCCCCC" w:sz="1"/>
            </w:tcBorders>
          </w:tcPr>
          <w:p>
            <w:r>
              <w:t xml:space="preserve">Prédisposition génétique</w:t>
            </w:r>
          </w:p>
        </w:tc>
      </w:tr>
      <w:tr>
        <w:tc>
          <w:tcPr>
            <w:tcW w:type="dxa" w:w="2500"/>
            <w:tcBorders>
              <w:top w:val="single" w:color="CCCCCC" w:sz="1"/>
              <w:left w:val="single" w:color="CCCCCC" w:sz="1"/>
              <w:bottom w:val="single" w:color="CCCCCC" w:sz="1"/>
              <w:right w:val="single" w:color="CCCCCC" w:sz="1"/>
            </w:tcBorders>
          </w:tcPr>
          <w:p>
            <w:r>
              <w:rPr>
                <w:b/>
                <w:bCs/>
              </w:rPr>
              <w:t xml:space="preserve">Apoptose</w:t>
            </w:r>
          </w:p>
        </w:tc>
        <w:tc>
          <w:tcPr>
            <w:tcW w:type="dxa" w:w="3430"/>
            <w:tcBorders>
              <w:top w:val="single" w:color="CCCCCC" w:sz="1"/>
              <w:left w:val="single" w:color="CCCCCC" w:sz="1"/>
              <w:bottom w:val="single" w:color="CCCCCC" w:sz="1"/>
              <w:right w:val="single" w:color="CCCCCC" w:sz="1"/>
            </w:tcBorders>
          </w:tcPr>
          <w:p>
            <w:r>
              <w:t xml:space="preserve">Anti-sens bcl2</w:t>
            </w:r>
          </w:p>
        </w:tc>
        <w:tc>
          <w:tcPr>
            <w:tcW w:type="dxa" w:w="3430"/>
            <w:tcBorders>
              <w:top w:val="single" w:color="CCCCCC" w:sz="1"/>
              <w:left w:val="single" w:color="CCCCCC" w:sz="1"/>
              <w:bottom w:val="single" w:color="CCCCCC" w:sz="1"/>
              <w:right w:val="single" w:color="CCCCCC" w:sz="1"/>
            </w:tcBorders>
          </w:tcPr>
          <w:p>
            <w:r>
              <w:t xml:space="preserve">Anti-sens bax</w:t>
            </w:r>
          </w:p>
        </w:tc>
      </w:tr>
      <w:tr>
        <w:tc>
          <w:tcPr>
            <w:tcW w:type="dxa" w:w="2500"/>
            <w:tcBorders>
              <w:top w:val="single" w:color="CCCCCC" w:sz="1"/>
              <w:left w:val="single" w:color="CCCCCC" w:sz="1"/>
              <w:bottom w:val="single" w:color="CCCCCC" w:sz="1"/>
              <w:right w:val="single" w:color="CCCCCC" w:sz="1"/>
            </w:tcBorders>
          </w:tcPr>
          <w:p>
            <w:r>
              <w:rPr>
                <w:b/>
                <w:bCs/>
              </w:rPr>
              <w:t xml:space="preserve">Agents chimiques</w:t>
            </w:r>
          </w:p>
        </w:tc>
        <w:tc>
          <w:tcPr>
            <w:tcW w:type="dxa" w:w="3430"/>
            <w:tcBorders>
              <w:top w:val="single" w:color="CCCCCC" w:sz="1"/>
              <w:left w:val="single" w:color="CCCCCC" w:sz="1"/>
              <w:bottom w:val="single" w:color="CCCCCC" w:sz="1"/>
              <w:right w:val="single" w:color="CCCCCC" w:sz="1"/>
            </w:tcBorders>
          </w:tcPr>
          <w:p>
            <w:r>
              <w:t xml:space="preserve">Nouveaux sensibilisateurs ou protecteurs</w:t>
            </w:r>
          </w:p>
        </w:tc>
        <w:tc>
          <w:tcPr>
            <w:tcW w:type="dxa" w:w="3430"/>
            <w:tcBorders>
              <w:top w:val="single" w:color="CCCCCC" w:sz="1"/>
              <w:left w:val="single" w:color="CCCCCC" w:sz="1"/>
              <w:bottom w:val="single" w:color="CCCCCC" w:sz="1"/>
              <w:right w:val="single" w:color="CCCCCC" w:sz="1"/>
            </w:tcBorders>
          </w:tcPr>
          <w:p>
            <w:r>
              <w:t xml:space="preserve">Chimioprévention, facteurs nutritionnels</w:t>
            </w:r>
          </w:p>
        </w:tc>
      </w:tr>
      <w:tr>
        <w:tc>
          <w:tcPr>
            <w:tcW w:type="dxa" w:w="2500"/>
            <w:tcBorders>
              <w:top w:val="single" w:color="CCCCCC" w:sz="1"/>
              <w:left w:val="single" w:color="CCCCCC" w:sz="1"/>
              <w:bottom w:val="single" w:color="CCCCCC" w:sz="1"/>
              <w:right w:val="single" w:color="CCCCCC" w:sz="1"/>
            </w:tcBorders>
          </w:tcPr>
          <w:p>
            <w:r>
              <w:rPr>
                <w:b/>
                <w:bCs/>
              </w:rPr>
              <w:t xml:space="preserve">Débit de dose</w:t>
            </w:r>
          </w:p>
        </w:tc>
        <w:tc>
          <w:tcPr>
            <w:tcW w:type="dxa" w:w="3430"/>
            <w:tcBorders>
              <w:top w:val="single" w:color="CCCCCC" w:sz="1"/>
              <w:left w:val="single" w:color="CCCCCC" w:sz="1"/>
              <w:bottom w:val="single" w:color="CCCCCC" w:sz="1"/>
              <w:right w:val="single" w:color="CCCCCC" w:sz="1"/>
            </w:tcBorders>
          </w:tcPr>
          <w:p>
            <w:r>
              <w:t xml:space="preserve">Curiethérapie</w:t>
            </w:r>
          </w:p>
        </w:tc>
        <w:tc>
          <w:tcPr>
            <w:tcW w:type="dxa" w:w="3430"/>
            <w:tcBorders>
              <w:top w:val="single" w:color="CCCCCC" w:sz="1"/>
              <w:left w:val="single" w:color="CCCCCC" w:sz="1"/>
              <w:bottom w:val="single" w:color="CCCCCC" w:sz="1"/>
              <w:right w:val="single" w:color="CCCCCC" w:sz="1"/>
            </w:tcBorders>
          </w:tcPr>
          <w:p>
            <w:r>
              <w:t xml:space="preserve">Inverse ? TEL ?</w:t>
            </w:r>
          </w:p>
        </w:tc>
      </w:tr>
    </w:tbl>
    <w:p>
      <w:pPr>
        <w:pStyle w:val="Heading1"/>
        <w:spacing w:before="400"/>
      </w:pPr>
      <w:r>
        <w:t xml:space="preserve">3. Directions futures</w:t>
      </w:r>
    </w:p>
    <w:p>
      <w:pPr>
        <w:spacing w:after="120"/>
      </w:pPr>
      <w:r>
        <w:t xml:space="preserve">Il est important de déterminer si un certain type de dommage à l'ADN active la réponse protectrice après irradiation ; si cela dépend du TEL ; si d'autres stress peuvent protéger ; si le dommage à l'ADN est une exigence absolue pour de telles réponses ; si l'HRS reflète l'apoptose ; et si c'est la fidélité de la réparation qui compte autant ou en plus du taux de réparation.</w:t>
      </w:r>
    </w:p>
    <w:p>
      <w:pPr>
        <w:spacing w:after="120"/>
      </w:pPr>
      <w:r>
        <w:t xml:space="preserve">Ces questions sont intéressantes tant pour le traitement du cancer que pour la carcinogenèse. La fréquence de mutagenèse peut être plus élevée que prévu dans la région HRS, ou plus faible parce que les cellules endommagées meurent pour éviter les mutations.</w:t>
      </w:r>
    </w:p>
    <w:p>
      <w:pPr>
        <w:spacing w:after="120"/>
      </w:pPr>
      <w:r>
        <w:t xml:space="preserve">Beaucoup plus de travail est nécessaire pour comprendre les seuils dans les dommages causés par les radiations et la possibilité d'hormèse. Il n'y a pas encore assez d'informations sur les effets du TEL dans ces contextes, ni sur les différences qui pourraient résulter d'une exposition aiguë vs chronique.</w:t>
      </w:r>
    </w:p>
    <w:p>
      <w:pPr>
        <w:pStyle w:val="Heading1"/>
      </w:pPr>
      <w:r>
        <w:t xml:space="preserve">4. Conclusions</w:t>
      </w:r>
    </w:p>
    <w:p>
      <w:pPr>
        <w:spacing w:after="120"/>
      </w:pPr>
      <w:r>
        <w:t xml:space="preserve">Il n'est pas possible de prédire les réponses aux faibles doses à partir d'expériences à fortes doses — l'extrapolation n'est pas appropriée, par exemple en utilisant le modèle LQ standard, car certaines réponses biologiques sont dépendantes de la dose.</w:t>
      </w:r>
    </w:p>
    <w:p>
      <w:pPr>
        <w:spacing w:after="120"/>
      </w:pPr>
      <w:r>
        <w:t xml:space="preserve">Les technologies continuent de s'améliorer, permettant des tests plus sensibles. À mesure que notre compréhension des effets des faibles doses de radiation augmente, il y a moins tendance à supposer que nous pouvons tout apprendre des études à fortes doses.</w:t>
      </w:r>
    </w:p>
    <w:p>
      <w:pPr>
        <w:spacing w:after="120"/>
      </w:pPr>
      <w:r>
        <w:t xml:space="preserve">Les résultats cliniquement pertinents sont plus susceptibles d'être obtenus si des doses cliniquement pertinentes sont étudiées ; l'exposition professionnelle est plus difficile, mais ne devrait pas être supposée à partir d'autres gammes. Cela s'applique à la survie cellulaire, à la mutagenèse, à la biologie moléculaire, à la transduction du signal et à de nombreux autres domaines pertinents pour la radioréactivité.</w:t>
      </w:r>
    </w:p>
    <w:p>
      <w:pPr>
        <w:shd w:fill="F5F5F5" w:val="clear"/>
        <w:spacing w:before="400"/>
      </w:pPr>
      <w:r>
        <w:rPr>
          <w:b/>
          <w:bCs/>
        </w:rPr>
        <w:t xml:space="preserve">Référence originale : </w:t>
      </w:r>
      <w:r>
        <w:rPr>
          <w:i/>
          <w:iCs/>
        </w:rPr>
        <w:t xml:space="preserve">Skov KA. Radioresponsiveness at low doses: hyper-radiosensitivity and increased radioresistance in mammalian cells. Mutation Research. 1999;430(2):241-253.</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Mutation Research 430 (1999) 241-253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F4E79"/>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2E74B5"/>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2025-12-20T11:30:19.809Z</dcterms:created>
  <dcterms:modified xsi:type="dcterms:W3CDTF">2025-12-20T11:30:19.810Z</dcterms:modified>
</cp:coreProperties>
</file>

<file path=docProps/custom.xml><?xml version="1.0" encoding="utf-8"?>
<Properties xmlns="http://schemas.openxmlformats.org/officeDocument/2006/custom-properties" xmlns:vt="http://schemas.openxmlformats.org/officeDocument/2006/docPropsVTypes"/>
</file>