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0F1F"/>
          <w:sz w:val="60"/>
        </w:rPr>
        <w:t>LEVEL UP COM</w:t>
      </w:r>
    </w:p>
    <w:p>
      <w:pPr>
        <w:jc w:val="center"/>
      </w:pPr>
      <w:r>
        <w:rPr>
          <w:b/>
          <w:color w:val="2563EB"/>
          <w:sz w:val="34"/>
        </w:rPr>
        <w:t>CHARTE GRAPHIQUE &amp; GUIDE D’UTILISATION</w:t>
      </w:r>
    </w:p>
    <w:p>
      <w:pPr>
        <w:jc w:val="center"/>
      </w:pPr>
      <w:r>
        <w:rPr>
          <w:i/>
        </w:rPr>
        <w:t>Document de référence destiné à l’agence de communication</w:t>
      </w:r>
    </w:p>
    <w:p>
      <w:pPr>
        <w:jc w:val="center"/>
      </w:pPr>
      <w:r>
        <w:drawing>
          <wp:inline xmlns:a="http://schemas.openxmlformats.org/drawingml/2006/main" xmlns:pic="http://schemas.openxmlformats.org/drawingml/2006/picture">
            <wp:extent cx="6217920" cy="1199520"/>
            <wp:docPr id="1" name="Picture 1"/>
            <wp:cNvGraphicFramePr>
              <a:graphicFrameLocks noChangeAspect="1"/>
            </wp:cNvGraphicFramePr>
            <a:graphic>
              <a:graphicData uri="http://schemas.openxmlformats.org/drawingml/2006/picture">
                <pic:pic>
                  <pic:nvPicPr>
                    <pic:cNvPr id="0" name="LEVEL_UP_COM_logo_master.png"/>
                    <pic:cNvPicPr/>
                  </pic:nvPicPr>
                  <pic:blipFill>
                    <a:blip r:embed="rId9"/>
                    <a:stretch>
                      <a:fillRect/>
                    </a:stretch>
                  </pic:blipFill>
                  <pic:spPr>
                    <a:xfrm>
                      <a:off x="0" y="0"/>
                      <a:ext cx="6217920" cy="1199520"/>
                    </a:xfrm>
                    <a:prstGeom prst="rect"/>
                  </pic:spPr>
                </pic:pic>
              </a:graphicData>
            </a:graphic>
          </wp:inline>
        </w:drawing>
      </w:r>
    </w:p>
    <w:p>
      <w:pPr>
        <w:jc w:val="center"/>
      </w:pPr>
      <w:r>
        <w:rPr>
          <w:sz w:val="18"/>
        </w:rPr>
        <w:t>Version 1.0 - Août 2026</w:t>
      </w:r>
    </w:p>
    <w:p>
      <w:r>
        <w:br w:type="page"/>
      </w:r>
    </w:p>
    <w:p>
      <w:pPr>
        <w:pStyle w:val="Heading1"/>
      </w:pPr>
      <w:r>
        <w:t>1. IDENTITÉ DE MARQUE</w:t>
      </w:r>
    </w:p>
    <w:p>
      <w:r>
        <w:t>Level Up Com est la société mère dédiée au marketing digital et à la communication. Son identité visuelle doit exprimer professionnalisme, modernité, efficacité et clarté. L’univers retenu est volontairement minimaliste et corporate, dominé par le bleu nuit et le bleu électrique.</w:t>
      </w:r>
    </w:p>
    <w:p>
      <w:pPr>
        <w:pStyle w:val="Heading1"/>
      </w:pPr>
      <w:r>
        <w:t>2. LOGO OFFICIEL</w:t>
      </w:r>
    </w:p>
    <w:p>
      <w:r>
        <w:t>Le logo officiel est composé du wordmark « LEVEL UP | COM », d’un E stylisé à trois traits horizontaux dont le trait central est bleu, d’un séparateur vertical bleu et de la signature « DIGITAL MARKETING » en capitales espacées. Le logo de référence est la version bleue validée ; la variante jaune n’est pas autorisée.</w:t>
      </w:r>
    </w:p>
    <w:p>
      <w:pPr>
        <w:pStyle w:val="Heading1"/>
      </w:pPr>
      <w:r>
        <w:t>3. CONSTRUCTION &amp; ZONE DE PROTECTION</w:t>
      </w:r>
    </w:p>
    <w:p>
      <w:r>
        <w:t>La zone de protection minimale autour du logo correspond à X, où X = hauteur du séparateur vertical situé avant COM. Aucun texte, image, bordure ou élément graphique ne doit pénétrer dans cette zone. La largeur minimale recommandée est de 30 mm en impression et 140 px à l’écran.</w:t>
      </w:r>
    </w:p>
    <w:p>
      <w:pPr>
        <w:pStyle w:val="Heading1"/>
      </w:pPr>
      <w:r>
        <w:t>4. PALETTE CHROMATIQUE</w:t>
      </w:r>
    </w:p>
    <w:tbl>
      <w:tblPr>
        <w:tblW w:type="auto" w:w="0"/>
        <w:jc w:val="center"/>
        <w:tblLook w:firstColumn="1" w:firstRow="1" w:lastColumn="0" w:lastRow="0" w:noHBand="0" w:noVBand="1" w:val="04A0"/>
      </w:tblPr>
      <w:tblGrid>
        <w:gridCol w:w="2556"/>
        <w:gridCol w:w="2556"/>
        <w:gridCol w:w="2556"/>
        <w:gridCol w:w="2556"/>
      </w:tblGrid>
      <w:tr>
        <w:tc>
          <w:tcPr>
            <w:tcW w:type="dxa" w:w="2556"/>
          </w:tcPr>
          <w:p>
            <w:r>
              <w:t>Couleur</w:t>
            </w:r>
          </w:p>
        </w:tc>
        <w:tc>
          <w:tcPr>
            <w:tcW w:type="dxa" w:w="2556"/>
          </w:tcPr>
          <w:p>
            <w:r>
              <w:t>HEX</w:t>
            </w:r>
          </w:p>
        </w:tc>
        <w:tc>
          <w:tcPr>
            <w:tcW w:type="dxa" w:w="2556"/>
          </w:tcPr>
          <w:p>
            <w:r>
              <w:t>RGB</w:t>
            </w:r>
          </w:p>
        </w:tc>
        <w:tc>
          <w:tcPr>
            <w:tcW w:type="dxa" w:w="2556"/>
          </w:tcPr>
          <w:p>
            <w:r>
              <w:t>Usage</w:t>
            </w:r>
          </w:p>
        </w:tc>
      </w:tr>
      <w:tr>
        <w:tc>
          <w:tcPr>
            <w:tcW w:type="dxa" w:w="2556"/>
          </w:tcPr>
          <w:p>
            <w:r>
              <w:t>Bleu nuit</w:t>
            </w:r>
          </w:p>
        </w:tc>
        <w:tc>
          <w:tcPr>
            <w:tcW w:type="dxa" w:w="2556"/>
          </w:tcPr>
          <w:p>
            <w:r>
              <w:t>#0A0F1F</w:t>
            </w:r>
          </w:p>
        </w:tc>
        <w:tc>
          <w:tcPr>
            <w:tcW w:type="dxa" w:w="2556"/>
          </w:tcPr>
          <w:p>
            <w:r>
              <w:t>10, 15, 31</w:t>
            </w:r>
          </w:p>
        </w:tc>
        <w:tc>
          <w:tcPr>
            <w:tcW w:type="dxa" w:w="2556"/>
          </w:tcPr>
          <w:p>
            <w:r>
              <w:t>Logo, titres, fonds premium</w:t>
            </w:r>
          </w:p>
        </w:tc>
      </w:tr>
      <w:tr>
        <w:tc>
          <w:tcPr>
            <w:tcW w:type="dxa" w:w="2556"/>
          </w:tcPr>
          <w:p>
            <w:r>
              <w:t>Bleu électrique</w:t>
            </w:r>
          </w:p>
        </w:tc>
        <w:tc>
          <w:tcPr>
            <w:tcW w:type="dxa" w:w="2556"/>
          </w:tcPr>
          <w:p>
            <w:r>
              <w:t>#2563EB</w:t>
            </w:r>
          </w:p>
        </w:tc>
        <w:tc>
          <w:tcPr>
            <w:tcW w:type="dxa" w:w="2556"/>
          </w:tcPr>
          <w:p>
            <w:r>
              <w:t>37, 99, 235</w:t>
            </w:r>
          </w:p>
        </w:tc>
        <w:tc>
          <w:tcPr>
            <w:tcW w:type="dxa" w:w="2556"/>
          </w:tcPr>
          <w:p>
            <w:r>
              <w:t>COM, E stylisé, signature, accents</w:t>
            </w:r>
          </w:p>
        </w:tc>
      </w:tr>
      <w:tr>
        <w:tc>
          <w:tcPr>
            <w:tcW w:type="dxa" w:w="2556"/>
          </w:tcPr>
          <w:p>
            <w:r>
              <w:t>Violet secondaire</w:t>
            </w:r>
          </w:p>
        </w:tc>
        <w:tc>
          <w:tcPr>
            <w:tcW w:type="dxa" w:w="2556"/>
          </w:tcPr>
          <w:p>
            <w:r>
              <w:t>#7C3AED</w:t>
            </w:r>
          </w:p>
        </w:tc>
        <w:tc>
          <w:tcPr>
            <w:tcW w:type="dxa" w:w="2556"/>
          </w:tcPr>
          <w:p>
            <w:r>
              <w:t>124, 58, 237</w:t>
            </w:r>
          </w:p>
        </w:tc>
        <w:tc>
          <w:tcPr>
            <w:tcW w:type="dxa" w:w="2556"/>
          </w:tcPr>
          <w:p>
            <w:r>
              <w:t>Accent secondaire uniquement, hors logo principal</w:t>
            </w:r>
          </w:p>
        </w:tc>
      </w:tr>
      <w:tr>
        <w:tc>
          <w:tcPr>
            <w:tcW w:type="dxa" w:w="2556"/>
          </w:tcPr>
          <w:p>
            <w:r>
              <w:t>Gris clair</w:t>
            </w:r>
          </w:p>
        </w:tc>
        <w:tc>
          <w:tcPr>
            <w:tcW w:type="dxa" w:w="2556"/>
          </w:tcPr>
          <w:p>
            <w:r>
              <w:t>#E5E7EB</w:t>
            </w:r>
          </w:p>
        </w:tc>
        <w:tc>
          <w:tcPr>
            <w:tcW w:type="dxa" w:w="2556"/>
          </w:tcPr>
          <w:p>
            <w:r>
              <w:t>229, 231, 235</w:t>
            </w:r>
          </w:p>
        </w:tc>
        <w:tc>
          <w:tcPr>
            <w:tcW w:type="dxa" w:w="2556"/>
          </w:tcPr>
          <w:p>
            <w:r>
              <w:t>Fonds secondaires, séparateurs</w:t>
            </w:r>
          </w:p>
        </w:tc>
      </w:tr>
      <w:tr>
        <w:tc>
          <w:tcPr>
            <w:tcW w:type="dxa" w:w="2556"/>
          </w:tcPr>
          <w:p>
            <w:r>
              <w:t>Blanc</w:t>
            </w:r>
          </w:p>
        </w:tc>
        <w:tc>
          <w:tcPr>
            <w:tcW w:type="dxa" w:w="2556"/>
          </w:tcPr>
          <w:p>
            <w:r>
              <w:t>#FFFFFF</w:t>
            </w:r>
          </w:p>
        </w:tc>
        <w:tc>
          <w:tcPr>
            <w:tcW w:type="dxa" w:w="2556"/>
          </w:tcPr>
          <w:p>
            <w:r>
              <w:t>255, 255, 255</w:t>
            </w:r>
          </w:p>
        </w:tc>
        <w:tc>
          <w:tcPr>
            <w:tcW w:type="dxa" w:w="2556"/>
          </w:tcPr>
          <w:p>
            <w:r>
              <w:t>Fond principal et respiration</w:t>
            </w:r>
          </w:p>
        </w:tc>
      </w:tr>
    </w:tbl>
    <w:p>
      <w:pPr>
        <w:pStyle w:val="Heading1"/>
      </w:pPr>
      <w:r>
        <w:t>5. TYPOGRAPHIE</w:t>
      </w:r>
    </w:p>
    <w:p>
      <w:r>
        <w:t>Typographie de marque recommandée : Poppins. À défaut : Montserrat ou une sans-serif géométrique équivalente.</w:t>
      </w:r>
    </w:p>
    <w:p>
      <w:r>
        <w:t>Titres : Poppins SemiBold / Bold. Sous-titres : Poppins Medium. Corps : Poppins Regular. Signature « DIGITAL MARKETING » : Medium, capitales, interlettrage large.</w:t>
      </w:r>
    </w:p>
    <w:p>
      <w:pPr>
        <w:pStyle w:val="Heading1"/>
      </w:pPr>
      <w:r>
        <w:t>6. VERSIONS AUTORISÉES</w:t>
      </w:r>
    </w:p>
    <w:p>
      <w:pPr>
        <w:pStyle w:val="ListBullet"/>
      </w:pPr>
      <w:r>
        <w:t>Version principale : bleu nuit + bleu électrique sur fond blanc.</w:t>
      </w:r>
    </w:p>
    <w:p>
      <w:pPr>
        <w:pStyle w:val="ListBullet"/>
      </w:pPr>
      <w:r>
        <w:t>Version monochrome noire pour usages administratifs et contraintes d’impression.</w:t>
      </w:r>
    </w:p>
    <w:p>
      <w:pPr>
        <w:pStyle w:val="ListBullet"/>
      </w:pPr>
      <w:r>
        <w:t>Version blanche sur fond bleu nuit pour signalétique et supports foncés.</w:t>
      </w:r>
    </w:p>
    <w:p>
      <w:pPr>
        <w:pStyle w:val="ListBullet"/>
      </w:pPr>
      <w:r>
        <w:t>Icône : carré bleu nuit arrondi avec E à trois traits, trait central bleu.</w:t>
      </w:r>
    </w:p>
    <w:p>
      <w:pPr>
        <w:pStyle w:val="Heading1"/>
      </w:pPr>
      <w:r>
        <w:t>7. INTERDITS</w:t>
      </w:r>
    </w:p>
    <w:p>
      <w:pPr>
        <w:pStyle w:val="ListBullet"/>
      </w:pPr>
      <w:r>
        <w:t>Ne pas modifier les proportions ou l’espacement des éléments.</w:t>
      </w:r>
    </w:p>
    <w:p>
      <w:pPr>
        <w:pStyle w:val="ListBullet"/>
      </w:pPr>
      <w:r>
        <w:t>Ne pas changer la couleur bleue du E, de COM ou de DIGITAL MARKETING.</w:t>
      </w:r>
    </w:p>
    <w:p>
      <w:pPr>
        <w:pStyle w:val="ListBullet"/>
      </w:pPr>
      <w:r>
        <w:t>Ne pas utiliser la variante jaune comme logo officiel.</w:t>
      </w:r>
    </w:p>
    <w:p>
      <w:pPr>
        <w:pStyle w:val="ListBullet"/>
      </w:pPr>
      <w:r>
        <w:t>Ne pas ajouter ombre, contour, relief, dégradé ou effet 3D.</w:t>
      </w:r>
    </w:p>
    <w:p>
      <w:pPr>
        <w:pStyle w:val="ListBullet"/>
      </w:pPr>
      <w:r>
        <w:t>Ne pas incliner, étirer ou compresser le logo.</w:t>
      </w:r>
    </w:p>
    <w:p>
      <w:pPr>
        <w:pStyle w:val="ListBullet"/>
      </w:pPr>
      <w:r>
        <w:t>Ne pas remplacer la typographie par une police décorative.</w:t>
      </w:r>
    </w:p>
    <w:p>
      <w:pPr>
        <w:pStyle w:val="ListBullet"/>
      </w:pPr>
      <w:r>
        <w:t>Ne pas placer le logo sur un fond qui réduit sa lisibilité.</w:t>
      </w:r>
    </w:p>
    <w:p>
      <w:pPr>
        <w:pStyle w:val="Heading1"/>
      </w:pPr>
      <w:r>
        <w:t>8. UNIVERS ICONOGRAPHIQUE</w:t>
      </w:r>
    </w:p>
    <w:p>
      <w:r>
        <w:t>Style d’icônes : linéaire, géométrique, simple et cohérent. Thématiques prioritaires : stratégie, croissance, campagnes, communauté et analyse. Les icônes utilisent principalement le bleu nuit et le bleu électrique.</w:t>
      </w:r>
    </w:p>
    <w:p>
      <w:pPr>
        <w:pStyle w:val="Heading1"/>
      </w:pPr>
      <w:r>
        <w:t>9. PHOTOGRAPHIE &amp; DIRECTION ARTISTIQUE</w:t>
      </w:r>
    </w:p>
    <w:p>
      <w:r>
        <w:t>Privilégier des visuels contemporains, lumineux et authentiques : équipes en action, stratégie, création de contenu, production photo/vidéo, interfaces digitales et campagnes. Composition épurée, contrastes maîtrisés et espaces blancs généreux. Éviter les visuels trop futuristes associés à l’intelligence artificielle afin de distinguer clairement Level Up Com de Level Up IA.</w:t>
      </w:r>
    </w:p>
    <w:p>
      <w:pPr>
        <w:pStyle w:val="Heading1"/>
      </w:pPr>
      <w:r>
        <w:t>10. APPLICATIONS</w:t>
      </w:r>
    </w:p>
    <w:p>
      <w:r>
        <w:t>Le système doit être décliné de manière cohérente sur : cartes de visite, papier à en-tête, devis et factures, signature e-mail, dossiers commerciaux, présentations, enseigne, habillage bureaux, réseaux sociaux, site web, campagnes publicitaires et supports événementiels.</w:t>
      </w:r>
    </w:p>
    <w:p>
      <w:pPr>
        <w:pStyle w:val="Heading1"/>
      </w:pPr>
      <w:r>
        <w:t>11. RÈGLES DIGITALES</w:t>
      </w:r>
    </w:p>
    <w:p>
      <w:r>
        <w:t>Réseaux sociaux : utiliser l’icône carrée comme avatar. Site web : privilégier la version horizontale du logo. Les CTA et éléments interactifs utilisent le bleu électrique. Les fonds principaux restent blancs ou bleu nuit.</w:t>
      </w:r>
    </w:p>
    <w:p>
      <w:pPr>
        <w:pStyle w:val="Heading1"/>
      </w:pPr>
      <w:r>
        <w:t>12. LIVRABLES MASTER</w:t>
      </w:r>
    </w:p>
    <w:p>
      <w:r>
        <w:t>Le dossier transmis à l’agence contient : logo principal SVG, version noire SVG, version blanche sur bleu nuit SVG, icône SVG, logo master PNG, référence visuelle validée, charte graphique PDF et présent document Word modifiable.</w:t>
      </w:r>
    </w:p>
    <w:p>
      <w:pPr>
        <w:pStyle w:val="Heading1"/>
      </w:pPr>
      <w:r>
        <w:t>13. VALIDATION &amp; GOUVERNANCE</w:t>
      </w:r>
    </w:p>
    <w:p>
      <w:r>
        <w:t>Toute nouvelle déclinaison doit respecter cette charte. Toute modification structurelle du logo, de la palette ou de la typographie doit faire l’objet d’une validation préalable de Level Up Com. Ce document constitue la référence de production pour les prestataires et agences.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32A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A0F1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A0F1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