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opTitle"/>
      </w:pPr>
      <w:r>
        <w:t>Projeto HID-43 — Etapa 0: Levantamento</w:t>
      </w:r>
    </w:p>
    <w:p>
      <w:pPr>
        <w:spacing w:after="140"/>
      </w:pPr>
      <w:r>
        <w:rPr>
          <w:b/>
          <w:color w:val="222C36"/>
          <w:sz w:val="19"/>
        </w:rPr>
        <w:t>Carlos Alberto Monteiro da Cunha</w:t>
      </w:r>
      <w:r>
        <w:rPr>
          <w:b w:val="0"/>
          <w:color w:val="586878"/>
          <w:sz w:val="16"/>
        </w:rPr>
        <w:t xml:space="preserve">     |     Trabalho individual</w:t>
      </w:r>
    </w:p>
    <w:p>
      <w:pPr>
        <w:pStyle w:val="SmallText"/>
      </w:pPr>
      <w:r>
        <w:t>Base: planta arquitetônica AM008.24-01.A001 (pavimento térreo)  •  Alimentação indicada: 220/127 V</w:t>
      </w:r>
    </w:p>
    <w:p>
      <w:pPr>
        <w:pStyle w:val="SectionLabel"/>
      </w:pPr>
      <w:r>
        <w:rPr>
          <w:b/>
          <w:color w:val="192D45"/>
          <w:sz w:val="20"/>
        </w:rPr>
        <w:t xml:space="preserve">1.  </w:t>
      </w:r>
      <w:r>
        <w:rPr>
          <w:b/>
          <w:color w:val="192D45"/>
          <w:sz w:val="20"/>
        </w:rPr>
        <w:t>Levantamento a partir da planta A001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5"/>
        <w:gridCol w:w="805"/>
        <w:gridCol w:w="1769"/>
        <w:gridCol w:w="1996"/>
        <w:gridCol w:w="2069"/>
        <w:gridCol w:w="2534"/>
      </w:tblGrid>
      <w:tr>
        <w:tc>
          <w:tcPr>
            <w:tcW w:type="dxa" w:w="1145"/>
            <w:shd w:fill="21384F"/>
            <w:tcMar>
              <w:top w:w="105" w:type="dxa"/>
              <w:start w:w="65" w:type="dxa"/>
              <w:bottom w:w="100" w:type="dxa"/>
              <w:end w:w="65" w:type="dxa"/>
            </w:tcMar>
            <w:vAlign w:val="center"/>
            <w:tcBorders>
              <w:top w:val="single" w:sz="4" w:color="21384F"/>
              <w:bottom w:val="single" w:sz="4" w:color="21384F"/>
              <w:left w:val="single" w:sz="4" w:color="21384F"/>
              <w:right w:val="single" w:sz="4" w:color="21384F"/>
            </w:tcBorders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Ambiente</w:t>
            </w:r>
          </w:p>
        </w:tc>
        <w:tc>
          <w:tcPr>
            <w:tcW w:type="dxa" w:w="805"/>
            <w:shd w:fill="21384F"/>
            <w:tcMar>
              <w:top w:w="105" w:type="dxa"/>
              <w:start w:w="65" w:type="dxa"/>
              <w:bottom w:w="100" w:type="dxa"/>
              <w:end w:w="65" w:type="dxa"/>
            </w:tcMar>
            <w:vAlign w:val="center"/>
            <w:tcBorders>
              <w:top w:val="single" w:sz="4" w:color="21384F"/>
              <w:bottom w:val="single" w:sz="4" w:color="21384F"/>
              <w:left w:val="single" w:sz="4" w:color="21384F"/>
              <w:right w:val="single" w:sz="4" w:color="21384F"/>
            </w:tcBorders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Área (m²)</w:t>
            </w:r>
          </w:p>
        </w:tc>
        <w:tc>
          <w:tcPr>
            <w:tcW w:type="dxa" w:w="1769"/>
            <w:shd w:fill="21384F"/>
            <w:tcMar>
              <w:top w:w="105" w:type="dxa"/>
              <w:start w:w="65" w:type="dxa"/>
              <w:bottom w:w="100" w:type="dxa"/>
              <w:end w:w="65" w:type="dxa"/>
            </w:tcMar>
            <w:vAlign w:val="center"/>
            <w:tcBorders>
              <w:top w:val="single" w:sz="4" w:color="21384F"/>
              <w:bottom w:val="single" w:sz="4" w:color="21384F"/>
              <w:left w:val="single" w:sz="4" w:color="21384F"/>
              <w:right w:val="single" w:sz="4" w:color="21384F"/>
            </w:tcBorders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Dimensões e perímetro (m)</w:t>
            </w:r>
          </w:p>
        </w:tc>
        <w:tc>
          <w:tcPr>
            <w:tcW w:type="dxa" w:w="1996"/>
            <w:shd w:fill="21384F"/>
            <w:tcMar>
              <w:top w:w="105" w:type="dxa"/>
              <w:start w:w="65" w:type="dxa"/>
              <w:bottom w:w="100" w:type="dxa"/>
              <w:end w:w="65" w:type="dxa"/>
            </w:tcMar>
            <w:vAlign w:val="center"/>
            <w:tcBorders>
              <w:top w:val="single" w:sz="4" w:color="21384F"/>
              <w:bottom w:val="single" w:sz="4" w:color="21384F"/>
              <w:left w:val="single" w:sz="4" w:color="21384F"/>
              <w:right w:val="single" w:sz="4" w:color="21384F"/>
            </w:tcBorders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Pontos de água (chuveiros, lavatórios, pia, tanque…)</w:t>
            </w:r>
          </w:p>
        </w:tc>
        <w:tc>
          <w:tcPr>
            <w:tcW w:type="dxa" w:w="2069"/>
            <w:shd w:fill="21384F"/>
            <w:tcMar>
              <w:top w:w="105" w:type="dxa"/>
              <w:start w:w="65" w:type="dxa"/>
              <w:bottom w:w="100" w:type="dxa"/>
              <w:end w:w="65" w:type="dxa"/>
            </w:tcMar>
            <w:vAlign w:val="center"/>
            <w:tcBorders>
              <w:top w:val="single" w:sz="4" w:color="21384F"/>
              <w:bottom w:val="single" w:sz="4" w:color="21384F"/>
              <w:left w:val="single" w:sz="4" w:color="21384F"/>
              <w:right w:val="single" w:sz="4" w:color="21384F"/>
            </w:tcBorders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Equipamentos elétricos prováveis</w:t>
            </w:r>
          </w:p>
        </w:tc>
        <w:tc>
          <w:tcPr>
            <w:tcW w:type="dxa" w:w="2534"/>
            <w:shd w:fill="21384F"/>
            <w:tcMar>
              <w:top w:w="105" w:type="dxa"/>
              <w:start w:w="65" w:type="dxa"/>
              <w:bottom w:w="100" w:type="dxa"/>
              <w:end w:w="65" w:type="dxa"/>
            </w:tcMar>
            <w:vAlign w:val="center"/>
            <w:tcBorders>
              <w:top w:val="single" w:sz="4" w:color="21384F"/>
              <w:bottom w:val="single" w:sz="4" w:color="21384F"/>
              <w:left w:val="single" w:sz="4" w:color="21384F"/>
              <w:right w:val="single" w:sz="4" w:color="21384F"/>
            </w:tcBorders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Observações</w:t>
            </w:r>
          </w:p>
        </w:tc>
      </w:tr>
      <w:tr>
        <w:tc>
          <w:tcPr>
            <w:tcW w:type="dxa" w:w="1145"/>
            <w:vAlign w:val="top"/>
            <w:tcMar>
              <w:top w:w="115" w:type="dxa"/>
              <w:start w:w="70" w:type="dxa"/>
              <w:bottom w:w="110" w:type="dxa"/>
              <w:end w:w="70" w:type="dxa"/>
            </w:tcMar>
            <w:tcBorders>
              <w:top w:val="single" w:sz="4" w:color="E2E9EF"/>
              <w:bottom w:val="single" w:sz="4" w:color="E2E9EF"/>
              <w:left w:val="single" w:sz="4" w:color="E2E9EF"/>
              <w:right w:val="single" w:sz="4" w:color="E2E9EF"/>
            </w:tcBorders>
          </w:tcPr>
          <w:p>
            <w:pPr>
              <w:spacing w:after="0" w:line="254" w:lineRule="auto"/>
            </w:pPr>
            <w:r/>
            <w:r>
              <w:rPr>
                <w:rFonts w:ascii="Arial" w:hAnsi="Arial"/>
                <w:b/>
                <w:color w:val="192D45"/>
                <w:sz w:val="15"/>
              </w:rPr>
              <w:t>Vestiário</w:t>
            </w:r>
          </w:p>
        </w:tc>
        <w:tc>
          <w:tcPr>
            <w:tcW w:type="dxa" w:w="805"/>
            <w:vAlign w:val="top"/>
            <w:tcMar>
              <w:top w:w="115" w:type="dxa"/>
              <w:start w:w="70" w:type="dxa"/>
              <w:bottom w:w="110" w:type="dxa"/>
              <w:end w:w="70" w:type="dxa"/>
            </w:tcMar>
            <w:tcBorders>
              <w:top w:val="single" w:sz="4" w:color="E2E9EF"/>
              <w:bottom w:val="single" w:sz="4" w:color="E2E9EF"/>
              <w:left w:val="single" w:sz="4" w:color="E2E9EF"/>
              <w:right w:val="single" w:sz="4" w:color="E2E9EF"/>
            </w:tcBorders>
          </w:tcPr>
          <w:p>
            <w:pPr>
              <w:spacing w:after="0" w:line="254" w:lineRule="auto"/>
            </w:pPr>
            <w:r/>
            <w:r>
              <w:rPr>
                <w:rFonts w:ascii="Arial" w:hAnsi="Arial"/>
                <w:b/>
                <w:color w:val="222C36"/>
                <w:sz w:val="15"/>
              </w:rPr>
              <w:t>23,98</w:t>
            </w:r>
          </w:p>
        </w:tc>
        <w:tc>
          <w:tcPr>
            <w:tcW w:type="dxa" w:w="1769"/>
            <w:vAlign w:val="top"/>
            <w:tcMar>
              <w:top w:w="115" w:type="dxa"/>
              <w:start w:w="70" w:type="dxa"/>
              <w:bottom w:w="110" w:type="dxa"/>
              <w:end w:w="70" w:type="dxa"/>
            </w:tcMar>
            <w:tcBorders>
              <w:top w:val="single" w:sz="4" w:color="E2E9EF"/>
              <w:bottom w:val="single" w:sz="4" w:color="E2E9EF"/>
              <w:left w:val="single" w:sz="4" w:color="E2E9EF"/>
              <w:right w:val="single" w:sz="4" w:color="E2E9EF"/>
            </w:tcBorders>
          </w:tcPr>
          <w:p>
            <w:pPr>
              <w:spacing w:after="0" w:line="254" w:lineRule="auto"/>
            </w:pPr>
            <w:r/>
            <w:r>
              <w:rPr>
                <w:rFonts w:ascii="Arial" w:hAnsi="Arial"/>
                <w:color w:val="222C36"/>
                <w:sz w:val="15"/>
              </w:rPr>
              <w:t>Módulo ≈ 4,00 × 6,00 m; perímetro ≈ 20,00 m.</w:t>
            </w:r>
          </w:p>
        </w:tc>
        <w:tc>
          <w:tcPr>
            <w:tcW w:type="dxa" w:w="1996"/>
            <w:vAlign w:val="top"/>
            <w:tcMar>
              <w:top w:w="115" w:type="dxa"/>
              <w:start w:w="70" w:type="dxa"/>
              <w:bottom w:w="110" w:type="dxa"/>
              <w:end w:w="70" w:type="dxa"/>
            </w:tcMar>
            <w:tcBorders>
              <w:top w:val="single" w:sz="4" w:color="E2E9EF"/>
              <w:bottom w:val="single" w:sz="4" w:color="E2E9EF"/>
              <w:left w:val="single" w:sz="4" w:color="E2E9EF"/>
              <w:right w:val="single" w:sz="4" w:color="E2E9EF"/>
            </w:tcBorders>
          </w:tcPr>
          <w:p>
            <w:pPr>
              <w:spacing w:after="0" w:line="254" w:lineRule="auto"/>
            </w:pPr>
            <w:r/>
            <w:r>
              <w:rPr>
                <w:rFonts w:ascii="Arial" w:hAnsi="Arial"/>
                <w:color w:val="222C36"/>
                <w:sz w:val="15"/>
              </w:rPr>
              <w:t>6 duchas / chuveiros individuais.</w:t>
            </w:r>
          </w:p>
        </w:tc>
        <w:tc>
          <w:tcPr>
            <w:tcW w:type="dxa" w:w="2069"/>
            <w:vAlign w:val="top"/>
            <w:tcMar>
              <w:top w:w="115" w:type="dxa"/>
              <w:start w:w="70" w:type="dxa"/>
              <w:bottom w:w="110" w:type="dxa"/>
              <w:end w:w="70" w:type="dxa"/>
            </w:tcMar>
            <w:tcBorders>
              <w:top w:val="single" w:sz="4" w:color="E2E9EF"/>
              <w:bottom w:val="single" w:sz="4" w:color="E2E9EF"/>
              <w:left w:val="single" w:sz="4" w:color="E2E9EF"/>
              <w:right w:val="single" w:sz="4" w:color="E2E9EF"/>
            </w:tcBorders>
          </w:tcPr>
          <w:p>
            <w:pPr>
              <w:spacing w:after="0" w:line="254" w:lineRule="auto"/>
            </w:pPr>
            <w:r/>
            <w:r>
              <w:rPr>
                <w:rFonts w:ascii="Arial" w:hAnsi="Arial"/>
                <w:color w:val="222C36"/>
                <w:sz w:val="15"/>
              </w:rPr>
              <w:t>Iluminação; exaustão / ventilação; tomadas de apoio, se admitidas pelos volumes de segurança.</w:t>
            </w:r>
          </w:p>
        </w:tc>
        <w:tc>
          <w:tcPr>
            <w:tcW w:type="dxa" w:w="2534"/>
            <w:vAlign w:val="top"/>
            <w:tcMar>
              <w:top w:w="115" w:type="dxa"/>
              <w:start w:w="70" w:type="dxa"/>
              <w:bottom w:w="110" w:type="dxa"/>
              <w:end w:w="70" w:type="dxa"/>
            </w:tcMar>
            <w:tcBorders>
              <w:top w:val="single" w:sz="4" w:color="E2E9EF"/>
              <w:bottom w:val="single" w:sz="4" w:color="E2E9EF"/>
              <w:left w:val="single" w:sz="4" w:color="E2E9EF"/>
              <w:right w:val="single" w:sz="4" w:color="E2E9EF"/>
            </w:tcBorders>
          </w:tcPr>
          <w:p>
            <w:pPr>
              <w:spacing w:after="0" w:line="254" w:lineRule="auto"/>
            </w:pPr>
            <w:r/>
            <w:r>
              <w:rPr>
                <w:rFonts w:ascii="Arial" w:hAnsi="Arial"/>
                <w:color w:val="222C36"/>
                <w:sz w:val="15"/>
              </w:rPr>
              <w:t>6 boxes de banho; banco, estrado e 12 armários. Tipo de aquecimento das duchas não informado.</w:t>
            </w:r>
          </w:p>
        </w:tc>
      </w:tr>
      <w:tr>
        <w:tc>
          <w:tcPr>
            <w:tcW w:type="dxa" w:w="1145"/>
            <w:vAlign w:val="top"/>
            <w:tcMar>
              <w:top w:w="115" w:type="dxa"/>
              <w:start w:w="70" w:type="dxa"/>
              <w:bottom w:w="110" w:type="dxa"/>
              <w:end w:w="70" w:type="dxa"/>
            </w:tcMar>
            <w:tcBorders>
              <w:top w:val="single" w:sz="4" w:color="E2E9EF"/>
              <w:bottom w:val="single" w:sz="4" w:color="E2E9EF"/>
              <w:left w:val="single" w:sz="4" w:color="E2E9EF"/>
              <w:right w:val="single" w:sz="4" w:color="E2E9EF"/>
            </w:tcBorders>
            <w:shd w:fill="F4F7F9"/>
          </w:tcPr>
          <w:p>
            <w:pPr>
              <w:spacing w:after="0" w:line="254" w:lineRule="auto"/>
            </w:pPr>
            <w:r/>
            <w:r>
              <w:rPr>
                <w:rFonts w:ascii="Arial" w:hAnsi="Arial"/>
                <w:b/>
                <w:color w:val="192D45"/>
                <w:sz w:val="15"/>
              </w:rPr>
              <w:t>Sanitário</w:t>
            </w:r>
          </w:p>
        </w:tc>
        <w:tc>
          <w:tcPr>
            <w:tcW w:type="dxa" w:w="805"/>
            <w:vAlign w:val="top"/>
            <w:tcMar>
              <w:top w:w="115" w:type="dxa"/>
              <w:start w:w="70" w:type="dxa"/>
              <w:bottom w:w="110" w:type="dxa"/>
              <w:end w:w="70" w:type="dxa"/>
            </w:tcMar>
            <w:tcBorders>
              <w:top w:val="single" w:sz="4" w:color="E2E9EF"/>
              <w:bottom w:val="single" w:sz="4" w:color="E2E9EF"/>
              <w:left w:val="single" w:sz="4" w:color="E2E9EF"/>
              <w:right w:val="single" w:sz="4" w:color="E2E9EF"/>
            </w:tcBorders>
            <w:shd w:fill="F4F7F9"/>
          </w:tcPr>
          <w:p>
            <w:pPr>
              <w:spacing w:after="0" w:line="254" w:lineRule="auto"/>
            </w:pPr>
            <w:r/>
            <w:r>
              <w:rPr>
                <w:rFonts w:ascii="Arial" w:hAnsi="Arial"/>
                <w:b/>
                <w:color w:val="222C36"/>
                <w:sz w:val="15"/>
              </w:rPr>
              <w:t>19,84</w:t>
            </w:r>
          </w:p>
        </w:tc>
        <w:tc>
          <w:tcPr>
            <w:tcW w:type="dxa" w:w="1769"/>
            <w:vAlign w:val="top"/>
            <w:tcMar>
              <w:top w:w="115" w:type="dxa"/>
              <w:start w:w="70" w:type="dxa"/>
              <w:bottom w:w="110" w:type="dxa"/>
              <w:end w:w="70" w:type="dxa"/>
            </w:tcMar>
            <w:tcBorders>
              <w:top w:val="single" w:sz="4" w:color="E2E9EF"/>
              <w:bottom w:val="single" w:sz="4" w:color="E2E9EF"/>
              <w:left w:val="single" w:sz="4" w:color="E2E9EF"/>
              <w:right w:val="single" w:sz="4" w:color="E2E9EF"/>
            </w:tcBorders>
            <w:shd w:fill="F4F7F9"/>
          </w:tcPr>
          <w:p>
            <w:pPr>
              <w:spacing w:after="0" w:line="254" w:lineRule="auto"/>
            </w:pPr>
            <w:r/>
            <w:r>
              <w:rPr>
                <w:rFonts w:ascii="Arial" w:hAnsi="Arial"/>
                <w:color w:val="222C36"/>
                <w:sz w:val="15"/>
              </w:rPr>
              <w:t>Módulo ≈ 4,00 × 5,00 m; perímetro ≈ 18,00 m.</w:t>
            </w:r>
          </w:p>
        </w:tc>
        <w:tc>
          <w:tcPr>
            <w:tcW w:type="dxa" w:w="1996"/>
            <w:vAlign w:val="top"/>
            <w:tcMar>
              <w:top w:w="115" w:type="dxa"/>
              <w:start w:w="70" w:type="dxa"/>
              <w:bottom w:w="110" w:type="dxa"/>
              <w:end w:w="70" w:type="dxa"/>
            </w:tcMar>
            <w:tcBorders>
              <w:top w:val="single" w:sz="4" w:color="E2E9EF"/>
              <w:bottom w:val="single" w:sz="4" w:color="E2E9EF"/>
              <w:left w:val="single" w:sz="4" w:color="E2E9EF"/>
              <w:right w:val="single" w:sz="4" w:color="E2E9EF"/>
            </w:tcBorders>
            <w:shd w:fill="F4F7F9"/>
          </w:tcPr>
          <w:p>
            <w:pPr>
              <w:spacing w:after="0" w:line="254" w:lineRule="auto"/>
            </w:pPr>
            <w:r/>
            <w:r>
              <w:rPr>
                <w:rFonts w:ascii="Arial" w:hAnsi="Arial"/>
                <w:color w:val="222C36"/>
                <w:sz w:val="15"/>
              </w:rPr>
              <w:t>3 bacias sanitárias; 5 mictórios; 4 lavatórios.</w:t>
            </w:r>
          </w:p>
        </w:tc>
        <w:tc>
          <w:tcPr>
            <w:tcW w:type="dxa" w:w="2069"/>
            <w:vAlign w:val="top"/>
            <w:tcMar>
              <w:top w:w="115" w:type="dxa"/>
              <w:start w:w="70" w:type="dxa"/>
              <w:bottom w:w="110" w:type="dxa"/>
              <w:end w:w="70" w:type="dxa"/>
            </w:tcMar>
            <w:tcBorders>
              <w:top w:val="single" w:sz="4" w:color="E2E9EF"/>
              <w:bottom w:val="single" w:sz="4" w:color="E2E9EF"/>
              <w:left w:val="single" w:sz="4" w:color="E2E9EF"/>
              <w:right w:val="single" w:sz="4" w:color="E2E9EF"/>
            </w:tcBorders>
            <w:shd w:fill="F4F7F9"/>
          </w:tcPr>
          <w:p>
            <w:pPr>
              <w:spacing w:after="0" w:line="254" w:lineRule="auto"/>
            </w:pPr>
            <w:r/>
            <w:r>
              <w:rPr>
                <w:rFonts w:ascii="Arial" w:hAnsi="Arial"/>
                <w:color w:val="222C36"/>
                <w:sz w:val="15"/>
              </w:rPr>
              <w:t>Iluminação, exaustor e eventual secador de mãos.</w:t>
            </w:r>
          </w:p>
        </w:tc>
        <w:tc>
          <w:tcPr>
            <w:tcW w:type="dxa" w:w="2534"/>
            <w:vAlign w:val="top"/>
            <w:tcMar>
              <w:top w:w="115" w:type="dxa"/>
              <w:start w:w="70" w:type="dxa"/>
              <w:bottom w:w="110" w:type="dxa"/>
              <w:end w:w="70" w:type="dxa"/>
            </w:tcMar>
            <w:tcBorders>
              <w:top w:val="single" w:sz="4" w:color="E2E9EF"/>
              <w:bottom w:val="single" w:sz="4" w:color="E2E9EF"/>
              <w:left w:val="single" w:sz="4" w:color="E2E9EF"/>
              <w:right w:val="single" w:sz="4" w:color="E2E9EF"/>
            </w:tcBorders>
            <w:shd w:fill="F4F7F9"/>
          </w:tcPr>
          <w:p>
            <w:pPr>
              <w:spacing w:after="0" w:line="254" w:lineRule="auto"/>
            </w:pPr>
            <w:r/>
            <w:r>
              <w:rPr>
                <w:rFonts w:ascii="Arial" w:hAnsi="Arial"/>
                <w:color w:val="222C36"/>
                <w:sz w:val="15"/>
              </w:rPr>
              <w:t>3 cabines; mictórios (3 + 2); bancada com 4 cubas. Sem chuveiro.</w:t>
            </w:r>
          </w:p>
        </w:tc>
      </w:tr>
      <w:tr>
        <w:tc>
          <w:tcPr>
            <w:tcW w:type="dxa" w:w="1145"/>
            <w:vAlign w:val="top"/>
            <w:tcMar>
              <w:top w:w="115" w:type="dxa"/>
              <w:start w:w="70" w:type="dxa"/>
              <w:bottom w:w="110" w:type="dxa"/>
              <w:end w:w="70" w:type="dxa"/>
            </w:tcMar>
            <w:tcBorders>
              <w:top w:val="single" w:sz="4" w:color="E2E9EF"/>
              <w:bottom w:val="single" w:sz="4" w:color="E2E9EF"/>
              <w:left w:val="single" w:sz="4" w:color="E2E9EF"/>
              <w:right w:val="single" w:sz="4" w:color="E2E9EF"/>
            </w:tcBorders>
          </w:tcPr>
          <w:p>
            <w:pPr>
              <w:spacing w:after="0" w:line="254" w:lineRule="auto"/>
            </w:pPr>
            <w:r/>
            <w:r>
              <w:rPr>
                <w:rFonts w:ascii="Arial" w:hAnsi="Arial"/>
                <w:b/>
                <w:color w:val="192D45"/>
                <w:sz w:val="15"/>
              </w:rPr>
              <w:t>Cozinha</w:t>
            </w:r>
          </w:p>
        </w:tc>
        <w:tc>
          <w:tcPr>
            <w:tcW w:type="dxa" w:w="805"/>
            <w:vAlign w:val="top"/>
            <w:tcMar>
              <w:top w:w="115" w:type="dxa"/>
              <w:start w:w="70" w:type="dxa"/>
              <w:bottom w:w="110" w:type="dxa"/>
              <w:end w:w="70" w:type="dxa"/>
            </w:tcMar>
            <w:tcBorders>
              <w:top w:val="single" w:sz="4" w:color="E2E9EF"/>
              <w:bottom w:val="single" w:sz="4" w:color="E2E9EF"/>
              <w:left w:val="single" w:sz="4" w:color="E2E9EF"/>
              <w:right w:val="single" w:sz="4" w:color="E2E9EF"/>
            </w:tcBorders>
          </w:tcPr>
          <w:p>
            <w:pPr>
              <w:spacing w:after="0" w:line="254" w:lineRule="auto"/>
            </w:pPr>
            <w:r/>
            <w:r>
              <w:rPr>
                <w:rFonts w:ascii="Arial" w:hAnsi="Arial"/>
                <w:b/>
                <w:color w:val="222C36"/>
                <w:sz w:val="15"/>
              </w:rPr>
              <w:t>16,94</w:t>
            </w:r>
          </w:p>
        </w:tc>
        <w:tc>
          <w:tcPr>
            <w:tcW w:type="dxa" w:w="1769"/>
            <w:vAlign w:val="top"/>
            <w:tcMar>
              <w:top w:w="115" w:type="dxa"/>
              <w:start w:w="70" w:type="dxa"/>
              <w:bottom w:w="110" w:type="dxa"/>
              <w:end w:w="70" w:type="dxa"/>
            </w:tcMar>
            <w:tcBorders>
              <w:top w:val="single" w:sz="4" w:color="E2E9EF"/>
              <w:bottom w:val="single" w:sz="4" w:color="E2E9EF"/>
              <w:left w:val="single" w:sz="4" w:color="E2E9EF"/>
              <w:right w:val="single" w:sz="4" w:color="E2E9EF"/>
            </w:tcBorders>
          </w:tcPr>
          <w:p>
            <w:pPr>
              <w:spacing w:after="0" w:line="254" w:lineRule="auto"/>
            </w:pPr>
            <w:r/>
            <w:r>
              <w:rPr>
                <w:rFonts w:ascii="Arial" w:hAnsi="Arial"/>
                <w:color w:val="222C36"/>
                <w:sz w:val="15"/>
              </w:rPr>
              <w:t>Módulo ≈ 4,00 × 4,25 m; perímetro ≈ 16,50 m.</w:t>
            </w:r>
          </w:p>
        </w:tc>
        <w:tc>
          <w:tcPr>
            <w:tcW w:type="dxa" w:w="1996"/>
            <w:vAlign w:val="top"/>
            <w:tcMar>
              <w:top w:w="115" w:type="dxa"/>
              <w:start w:w="70" w:type="dxa"/>
              <w:bottom w:w="110" w:type="dxa"/>
              <w:end w:w="70" w:type="dxa"/>
            </w:tcMar>
            <w:tcBorders>
              <w:top w:val="single" w:sz="4" w:color="E2E9EF"/>
              <w:bottom w:val="single" w:sz="4" w:color="E2E9EF"/>
              <w:left w:val="single" w:sz="4" w:color="E2E9EF"/>
              <w:right w:val="single" w:sz="4" w:color="E2E9EF"/>
            </w:tcBorders>
          </w:tcPr>
          <w:p>
            <w:pPr>
              <w:spacing w:after="0" w:line="254" w:lineRule="auto"/>
            </w:pPr>
            <w:r/>
            <w:r>
              <w:rPr>
                <w:rFonts w:ascii="Arial" w:hAnsi="Arial"/>
                <w:color w:val="222C36"/>
                <w:sz w:val="15"/>
              </w:rPr>
              <w:t>2 cubas de pia na bancada.</w:t>
            </w:r>
          </w:p>
        </w:tc>
        <w:tc>
          <w:tcPr>
            <w:tcW w:type="dxa" w:w="2069"/>
            <w:vAlign w:val="top"/>
            <w:tcMar>
              <w:top w:w="115" w:type="dxa"/>
              <w:start w:w="70" w:type="dxa"/>
              <w:bottom w:w="110" w:type="dxa"/>
              <w:end w:w="70" w:type="dxa"/>
            </w:tcMar>
            <w:tcBorders>
              <w:top w:val="single" w:sz="4" w:color="E2E9EF"/>
              <w:bottom w:val="single" w:sz="4" w:color="E2E9EF"/>
              <w:left w:val="single" w:sz="4" w:color="E2E9EF"/>
              <w:right w:val="single" w:sz="4" w:color="E2E9EF"/>
            </w:tcBorders>
          </w:tcPr>
          <w:p>
            <w:pPr>
              <w:spacing w:after="0" w:line="254" w:lineRule="auto"/>
            </w:pPr>
            <w:r/>
            <w:r>
              <w:rPr>
                <w:rFonts w:ascii="Arial" w:hAnsi="Arial"/>
                <w:color w:val="222C36"/>
                <w:sz w:val="15"/>
              </w:rPr>
              <w:t>Iluminação; fogão/cooktop; exaustor; eventual refrigerador e pequenos aparelhos.</w:t>
            </w:r>
          </w:p>
        </w:tc>
        <w:tc>
          <w:tcPr>
            <w:tcW w:type="dxa" w:w="2534"/>
            <w:vAlign w:val="top"/>
            <w:tcMar>
              <w:top w:w="115" w:type="dxa"/>
              <w:start w:w="70" w:type="dxa"/>
              <w:bottom w:w="110" w:type="dxa"/>
              <w:end w:w="70" w:type="dxa"/>
            </w:tcMar>
            <w:tcBorders>
              <w:top w:val="single" w:sz="4" w:color="E2E9EF"/>
              <w:bottom w:val="single" w:sz="4" w:color="E2E9EF"/>
              <w:left w:val="single" w:sz="4" w:color="E2E9EF"/>
              <w:right w:val="single" w:sz="4" w:color="E2E9EF"/>
            </w:tcBorders>
          </w:tcPr>
          <w:p>
            <w:pPr>
              <w:spacing w:after="0" w:line="254" w:lineRule="auto"/>
            </w:pPr>
            <w:r/>
            <w:r>
              <w:rPr>
                <w:rFonts w:ascii="Arial" w:hAnsi="Arial"/>
                <w:color w:val="222C36"/>
                <w:sz w:val="15"/>
              </w:rPr>
              <w:t>Fogão e cubas indicados; demais aparelhos são estimativas de uso, sem potência definida.</w:t>
            </w:r>
          </w:p>
        </w:tc>
      </w:tr>
      <w:tr>
        <w:tc>
          <w:tcPr>
            <w:tcW w:type="dxa" w:w="1145"/>
            <w:vAlign w:val="top"/>
            <w:tcMar>
              <w:top w:w="115" w:type="dxa"/>
              <w:start w:w="70" w:type="dxa"/>
              <w:bottom w:w="110" w:type="dxa"/>
              <w:end w:w="70" w:type="dxa"/>
            </w:tcMar>
            <w:tcBorders>
              <w:top w:val="single" w:sz="4" w:color="E2E9EF"/>
              <w:bottom w:val="single" w:sz="4" w:color="E2E9EF"/>
              <w:left w:val="single" w:sz="4" w:color="E2E9EF"/>
              <w:right w:val="single" w:sz="4" w:color="E2E9EF"/>
            </w:tcBorders>
            <w:shd w:fill="F4F7F9"/>
          </w:tcPr>
          <w:p>
            <w:pPr>
              <w:spacing w:after="0" w:line="254" w:lineRule="auto"/>
            </w:pPr>
            <w:r/>
            <w:r>
              <w:rPr>
                <w:rFonts w:ascii="Arial" w:hAnsi="Arial"/>
                <w:b/>
                <w:color w:val="192D45"/>
                <w:sz w:val="15"/>
              </w:rPr>
              <w:t>Área de serviço + DML</w:t>
            </w:r>
          </w:p>
        </w:tc>
        <w:tc>
          <w:tcPr>
            <w:tcW w:type="dxa" w:w="805"/>
            <w:vAlign w:val="top"/>
            <w:tcMar>
              <w:top w:w="115" w:type="dxa"/>
              <w:start w:w="70" w:type="dxa"/>
              <w:bottom w:w="110" w:type="dxa"/>
              <w:end w:w="70" w:type="dxa"/>
            </w:tcMar>
            <w:tcBorders>
              <w:top w:val="single" w:sz="4" w:color="E2E9EF"/>
              <w:bottom w:val="single" w:sz="4" w:color="E2E9EF"/>
              <w:left w:val="single" w:sz="4" w:color="E2E9EF"/>
              <w:right w:val="single" w:sz="4" w:color="E2E9EF"/>
            </w:tcBorders>
            <w:shd w:fill="F4F7F9"/>
          </w:tcPr>
          <w:p>
            <w:pPr>
              <w:spacing w:after="0" w:line="254" w:lineRule="auto"/>
            </w:pPr>
            <w:r/>
            <w:r>
              <w:rPr>
                <w:rFonts w:ascii="Arial" w:hAnsi="Arial"/>
                <w:b/>
                <w:color w:val="222C36"/>
                <w:sz w:val="15"/>
              </w:rPr>
              <w:t>8,56 + 1,45 = 10,01</w:t>
            </w:r>
          </w:p>
        </w:tc>
        <w:tc>
          <w:tcPr>
            <w:tcW w:type="dxa" w:w="1769"/>
            <w:vAlign w:val="top"/>
            <w:tcMar>
              <w:top w:w="115" w:type="dxa"/>
              <w:start w:w="70" w:type="dxa"/>
              <w:bottom w:w="110" w:type="dxa"/>
              <w:end w:w="70" w:type="dxa"/>
            </w:tcMar>
            <w:tcBorders>
              <w:top w:val="single" w:sz="4" w:color="E2E9EF"/>
              <w:bottom w:val="single" w:sz="4" w:color="E2E9EF"/>
              <w:left w:val="single" w:sz="4" w:color="E2E9EF"/>
              <w:right w:val="single" w:sz="4" w:color="E2E9EF"/>
            </w:tcBorders>
            <w:shd w:fill="F4F7F9"/>
          </w:tcPr>
          <w:p>
            <w:pPr>
              <w:spacing w:after="0" w:line="254" w:lineRule="auto"/>
            </w:pPr>
            <w:r/>
            <w:r>
              <w:rPr>
                <w:rFonts w:ascii="Arial" w:hAnsi="Arial"/>
                <w:color w:val="222C36"/>
                <w:sz w:val="15"/>
              </w:rPr>
              <w:t>Serviço: módulo ≈ 4,00 × 2,50 m, com recorte; P ≈ 13,00 m. DML: ≈ 1,20 × 1,20 m; P ≈ 4,80 m.</w:t>
            </w:r>
          </w:p>
        </w:tc>
        <w:tc>
          <w:tcPr>
            <w:tcW w:type="dxa" w:w="1996"/>
            <w:vAlign w:val="top"/>
            <w:tcMar>
              <w:top w:w="115" w:type="dxa"/>
              <w:start w:w="70" w:type="dxa"/>
              <w:bottom w:w="110" w:type="dxa"/>
              <w:end w:w="70" w:type="dxa"/>
            </w:tcMar>
            <w:tcBorders>
              <w:top w:val="single" w:sz="4" w:color="E2E9EF"/>
              <w:bottom w:val="single" w:sz="4" w:color="E2E9EF"/>
              <w:left w:val="single" w:sz="4" w:color="E2E9EF"/>
              <w:right w:val="single" w:sz="4" w:color="E2E9EF"/>
            </w:tcBorders>
            <w:shd w:fill="F4F7F9"/>
          </w:tcPr>
          <w:p>
            <w:pPr>
              <w:spacing w:after="0" w:line="254" w:lineRule="auto"/>
            </w:pPr>
            <w:r/>
            <w:r>
              <w:rPr>
                <w:rFonts w:ascii="Arial" w:hAnsi="Arial"/>
                <w:color w:val="222C36"/>
                <w:sz w:val="15"/>
              </w:rPr>
              <w:t>1 tanque no DML. Na área de serviço, ligações das máquinas ainda não confirmadas.</w:t>
            </w:r>
          </w:p>
        </w:tc>
        <w:tc>
          <w:tcPr>
            <w:tcW w:type="dxa" w:w="2069"/>
            <w:vAlign w:val="top"/>
            <w:tcMar>
              <w:top w:w="115" w:type="dxa"/>
              <w:start w:w="70" w:type="dxa"/>
              <w:bottom w:w="110" w:type="dxa"/>
              <w:end w:w="70" w:type="dxa"/>
            </w:tcMar>
            <w:tcBorders>
              <w:top w:val="single" w:sz="4" w:color="E2E9EF"/>
              <w:bottom w:val="single" w:sz="4" w:color="E2E9EF"/>
              <w:left w:val="single" w:sz="4" w:color="E2E9EF"/>
              <w:right w:val="single" w:sz="4" w:color="E2E9EF"/>
            </w:tcBorders>
            <w:shd w:fill="F4F7F9"/>
          </w:tcPr>
          <w:p>
            <w:pPr>
              <w:spacing w:after="0" w:line="254" w:lineRule="auto"/>
            </w:pPr>
            <w:r/>
            <w:r>
              <w:rPr>
                <w:rFonts w:ascii="Arial" w:hAnsi="Arial"/>
                <w:color w:val="222C36"/>
                <w:sz w:val="15"/>
              </w:rPr>
              <w:t>Iluminação; possíveis máquinas de lavar; tomadas conforme as máquinas e o uso.</w:t>
            </w:r>
          </w:p>
        </w:tc>
        <w:tc>
          <w:tcPr>
            <w:tcW w:type="dxa" w:w="2534"/>
            <w:vAlign w:val="top"/>
            <w:tcMar>
              <w:top w:w="115" w:type="dxa"/>
              <w:start w:w="70" w:type="dxa"/>
              <w:bottom w:w="110" w:type="dxa"/>
              <w:end w:w="70" w:type="dxa"/>
            </w:tcMar>
            <w:tcBorders>
              <w:top w:val="single" w:sz="4" w:color="E2E9EF"/>
              <w:bottom w:val="single" w:sz="4" w:color="E2E9EF"/>
              <w:left w:val="single" w:sz="4" w:color="E2E9EF"/>
              <w:right w:val="single" w:sz="4" w:color="E2E9EF"/>
            </w:tcBorders>
            <w:shd w:fill="F4F7F9"/>
          </w:tcPr>
          <w:p>
            <w:pPr>
              <w:spacing w:after="0" w:line="254" w:lineRule="auto"/>
            </w:pPr>
            <w:r/>
            <w:r>
              <w:rPr>
                <w:rFonts w:ascii="Arial" w:hAnsi="Arial"/>
                <w:color w:val="222C36"/>
                <w:sz w:val="15"/>
              </w:rPr>
              <w:t>Áreas discriminadas na A001 (serviço: 8,56 m²; DML: 1,45 m²). Evitar contagem duplicada.</w:t>
            </w:r>
          </w:p>
        </w:tc>
      </w:tr>
    </w:tbl>
    <w:p>
      <w:pPr>
        <w:pStyle w:val="SmallText"/>
        <w:spacing w:before="140" w:after="20"/>
      </w:pPr>
      <w:r>
        <w:t>Critério de leitura: áreas extraídas da A001; dimensões/perímetros nominais aproximados pelas cotas. Os aparelhos elétricos prováveis ainda não constituem projeto ou definição de potência.</w:t>
      </w:r>
    </w:p>
    <w:p>
      <w:pPr>
        <w:pStyle w:val="SmallText"/>
        <w:spacing w:before="40" w:after="20"/>
      </w:pPr>
      <w:r>
        <w:t>A planta de arquitetura indica aparelhos/posições; ligações de água e esgoto serão confirmadas na futura compatibilização hidrossanitária.</w:t>
      </w:r>
    </w:p>
    <w:p>
      <w:r>
        <w:br w:type="page"/>
      </w:r>
    </w:p>
    <w:p>
      <w:pPr>
        <w:pStyle w:val="TopTitle"/>
      </w:pPr>
      <w:r>
        <w:t>Enquadramento normativo e registro da IA</w:t>
      </w:r>
    </w:p>
    <w:p>
      <w:pPr>
        <w:pStyle w:val="SmallText"/>
      </w:pPr>
      <w:r>
        <w:t>Respostas aos itens 2 a 5 do enunciado  •  ABNT NBR 5410:2004</w:t>
      </w:r>
    </w:p>
    <w:p>
      <w:pPr>
        <w:pStyle w:val="SectionLabel"/>
      </w:pPr>
      <w:r>
        <w:rPr>
          <w:b/>
          <w:color w:val="192D45"/>
          <w:sz w:val="20"/>
        </w:rPr>
        <w:t xml:space="preserve">2.  </w:t>
      </w:r>
      <w:r>
        <w:rPr>
          <w:b/>
          <w:color w:val="192D45"/>
          <w:sz w:val="20"/>
        </w:rPr>
        <w:t>A seção 9.5 aplica-se à edificação?</w:t>
      </w:r>
    </w:p>
    <w:p>
      <w:pPr>
        <w:spacing w:after="80" w:line="271" w:lineRule="auto"/>
      </w:pPr>
      <w:r>
        <w:rPr>
          <w:b/>
          <w:color w:val="192D45"/>
          <w:sz w:val="17"/>
        </w:rPr>
        <w:t xml:space="preserve">(a) </w:t>
      </w:r>
      <w:r>
        <w:rPr>
          <w:b w:val="0"/>
          <w:color w:val="222C36"/>
          <w:sz w:val="17"/>
        </w:rPr>
        <w:t>Parcialmente. O item 9.5.1 inclui habitação fixa ou temporária e as acomodações de alojamentos. A A001 identifica o “ALOJAMENTO CABO/SOLDADO”, enquadrável como acomodação de moradia temporária; isso não estende a seção 9.5 a todos os setores do complexo.</w:t>
      </w:r>
    </w:p>
    <w:p>
      <w:pPr>
        <w:spacing w:after="80" w:line="271" w:lineRule="auto"/>
      </w:pPr>
      <w:r>
        <w:rPr>
          <w:b/>
          <w:color w:val="192D45"/>
          <w:sz w:val="17"/>
        </w:rPr>
        <w:t xml:space="preserve">(b) </w:t>
      </w:r>
      <w:r>
        <w:rPr>
          <w:b w:val="0"/>
          <w:color w:val="222C36"/>
          <w:sz w:val="17"/>
        </w:rPr>
        <w:t>Os quatro ambientes estudados — vestiário, sanitário coletivo, cozinha de apoio e área de serviço com DML — são espaços funcionais coletivos, fora do campo específico de aplicação da seção 9.5 (item 9.5.1).</w:t>
      </w:r>
    </w:p>
    <w:p>
      <w:pPr>
        <w:spacing w:after="80" w:line="271" w:lineRule="auto"/>
      </w:pPr>
      <w:r>
        <w:rPr>
          <w:b/>
          <w:color w:val="192D45"/>
          <w:sz w:val="17"/>
        </w:rPr>
        <w:t xml:space="preserve">(c) </w:t>
      </w:r>
      <w:r>
        <w:rPr>
          <w:b w:val="0"/>
          <w:color w:val="222C36"/>
          <w:sz w:val="17"/>
        </w:rPr>
        <w:t>Como critério próprio e conservador (não obrigação automática), adotarei 1 ponto fixo de luz por recinto como referência de 9.5.2.1.1; e planejarei tomadas conforme uso, aparelhos previstos e perímetro, tomando 9.5.2.2.1 como parâmetro comparativo. O projeto executivo de iluminação e tomadas observará os critérios gerais de 4.2.1.2.2 e 4.2.1.2.3.</w:t>
      </w:r>
    </w:p>
    <w:p>
      <w:pPr>
        <w:pStyle w:val="SectionLabel"/>
      </w:pPr>
      <w:r>
        <w:rPr>
          <w:b/>
          <w:color w:val="192D45"/>
          <w:sz w:val="20"/>
        </w:rPr>
        <w:t xml:space="preserve">3.  </w:t>
      </w:r>
      <w:r>
        <w:rPr>
          <w:b/>
          <w:color w:val="192D45"/>
          <w:sz w:val="20"/>
        </w:rPr>
        <w:t>Locais contendo chuveiro — item 9.1.1</w:t>
      </w:r>
    </w:p>
    <w:p>
      <w:pPr>
        <w:spacing w:after="60" w:line="264" w:lineRule="auto"/>
      </w:pPr>
      <w:r>
        <w:rPr>
          <w:b w:val="0"/>
          <w:sz w:val="17"/>
        </w:rPr>
        <w:t>A seção 9.1 incide no vestiário, pois a planta apresenta seis boxes de banho. Os demais ambientes não possuem chuveiros nem banheiras desenhados. A aplicação depende do ambiente conter local de banho, não do uso residencial da edificação; os volumes de proteção são tratados em 9.1.2.1.</w:t>
      </w:r>
    </w:p>
    <w:p>
      <w:pPr>
        <w:pStyle w:val="SectionLabel"/>
      </w:pPr>
      <w:r>
        <w:rPr>
          <w:b/>
          <w:color w:val="192D45"/>
          <w:sz w:val="20"/>
        </w:rPr>
        <w:t xml:space="preserve">4.  </w:t>
      </w:r>
      <w:r>
        <w:rPr>
          <w:b/>
          <w:color w:val="192D45"/>
          <w:sz w:val="20"/>
        </w:rPr>
        <w:t>Proteção adicional por DR — item 5.1.3.2.2</w:t>
      </w:r>
    </w:p>
    <w:p>
      <w:pPr>
        <w:spacing w:after="60" w:line="264" w:lineRule="auto"/>
      </w:pPr>
      <w:r>
        <w:rPr>
          <w:b w:val="0"/>
          <w:sz w:val="17"/>
        </w:rPr>
        <w:t>O DR de alta sensibilidade (IΔn ≤ 30 mA) será exigido para os circuitos definidos abaixo; a alínea (d) trata de locais de habitação e a (e), de tomadas em edificações não residenciais.</w:t>
      </w:r>
    </w:p>
    <w:p>
      <w:pPr>
        <w:spacing w:after="60" w:line="262" w:lineRule="auto"/>
        <w:ind w:left="142"/>
      </w:pPr>
      <w:r>
        <w:rPr>
          <w:b/>
          <w:color w:val="192D45"/>
          <w:sz w:val="17"/>
        </w:rPr>
        <w:t xml:space="preserve">Vestiário — </w:t>
      </w:r>
      <w:r>
        <w:rPr>
          <w:b/>
          <w:color w:val="222C36"/>
          <w:sz w:val="17"/>
        </w:rPr>
        <w:t xml:space="preserve">5.1.3.2.2(a): </w:t>
      </w:r>
      <w:r>
        <w:rPr>
          <w:b w:val="0"/>
          <w:sz w:val="17"/>
        </w:rPr>
        <w:t>sim, circuitos que atendam a pontos de utilização no local com chuveiros (inclusive iluminação, tomadas e equipamentos).</w:t>
      </w:r>
    </w:p>
    <w:p>
      <w:pPr>
        <w:spacing w:after="60" w:line="262" w:lineRule="auto"/>
        <w:ind w:left="142"/>
      </w:pPr>
      <w:r>
        <w:rPr>
          <w:b/>
          <w:color w:val="192D45"/>
          <w:sz w:val="17"/>
        </w:rPr>
        <w:t xml:space="preserve">Sanitário — </w:t>
      </w:r>
      <w:r>
        <w:rPr>
          <w:b/>
          <w:color w:val="222C36"/>
          <w:sz w:val="17"/>
        </w:rPr>
        <w:t xml:space="preserve">5.1.3.2.2(e): </w:t>
      </w:r>
      <w:r>
        <w:rPr>
          <w:b w:val="0"/>
          <w:sz w:val="17"/>
        </w:rPr>
        <w:t>sim, circuitos de tomadas, quando o recinto coletivo for considerado área interna molhada ou sujeita a lavagem.</w:t>
      </w:r>
    </w:p>
    <w:p>
      <w:pPr>
        <w:spacing w:after="60" w:line="262" w:lineRule="auto"/>
        <w:ind w:left="142"/>
      </w:pPr>
      <w:r>
        <w:rPr>
          <w:b/>
          <w:color w:val="192D45"/>
          <w:sz w:val="17"/>
        </w:rPr>
        <w:t xml:space="preserve">Cozinha — </w:t>
      </w:r>
      <w:r>
        <w:rPr>
          <w:b/>
          <w:color w:val="222C36"/>
          <w:sz w:val="17"/>
        </w:rPr>
        <w:t xml:space="preserve">5.1.3.2.2(e): </w:t>
      </w:r>
      <w:r>
        <w:rPr>
          <w:b w:val="0"/>
          <w:sz w:val="17"/>
        </w:rPr>
        <w:t>sim, circuitos de tomadas da cozinha de apoio não residencial.</w:t>
      </w:r>
    </w:p>
    <w:p>
      <w:pPr>
        <w:spacing w:after="60" w:line="262" w:lineRule="auto"/>
        <w:ind w:left="142"/>
      </w:pPr>
      <w:r>
        <w:rPr>
          <w:b/>
          <w:color w:val="192D45"/>
          <w:sz w:val="17"/>
        </w:rPr>
        <w:t xml:space="preserve">Área de serviço + DML — </w:t>
      </w:r>
      <w:r>
        <w:rPr>
          <w:b/>
          <w:color w:val="222C36"/>
          <w:sz w:val="17"/>
        </w:rPr>
        <w:t xml:space="preserve">5.1.3.2.2(e): </w:t>
      </w:r>
      <w:r>
        <w:rPr>
          <w:b w:val="0"/>
          <w:sz w:val="17"/>
        </w:rPr>
        <w:t>sim, circuitos de tomadas dessas áreas de apoio e limpeza.</w:t>
      </w:r>
    </w:p>
    <w:p>
      <w:pPr>
        <w:pStyle w:val="SectionLabel"/>
      </w:pPr>
      <w:r>
        <w:rPr>
          <w:b/>
          <w:color w:val="192D45"/>
          <w:sz w:val="20"/>
        </w:rPr>
        <w:t xml:space="preserve">5.  </w:t>
      </w:r>
      <w:r>
        <w:rPr>
          <w:b/>
          <w:color w:val="192D45"/>
          <w:sz w:val="20"/>
        </w:rPr>
        <w:t>Registro da IA — ponto vago identificado</w:t>
      </w:r>
    </w:p>
    <w:p>
      <w:pPr>
        <w:spacing w:after="60" w:line="264" w:lineRule="auto"/>
      </w:pPr>
      <w:r>
        <w:rPr>
          <w:b w:val="0"/>
          <w:sz w:val="17"/>
        </w:rPr>
        <w:t>A IA foi vaga ao descrever duas posições na área de serviço como possíveis equipamentos de lavagem, o que poderia levar a tratá-las como pontos hidráulicos já definidos. Confrontei essa indicação com a A001 e distingui: o tanque do DML é identificável; as conexões das máquinas exigem confirmação no projeto hidrossanitário. Assim, não atribuí tomadas, cargas ou pontos hidráulicos definitivos a aparelhos apenas prováveis.</w:t>
      </w:r>
    </w:p>
    <w:p>
      <w:pPr>
        <w:pStyle w:val="SmallText"/>
        <w:spacing w:before="120"/>
      </w:pPr>
      <w:r>
        <w:t>Referências: Planta AM008.24-01.A001; ABNT NBR 5410:2004, itens 4.2.1.2.2–3, 5.1.3.2.2, 9.1.1, 9.1.2.1, 9.5.1, 9.5.2.1.1 e 9.5.2.2.1. Conferir os itens na edição comentada fornecida pela disciplina antes da submissão.</w:t>
      </w:r>
    </w:p>
    <w:sectPr w:rsidR="00FC693F" w:rsidRPr="0006063C" w:rsidSect="00034616">
      <w:footerReference w:type="default" r:id="rId9"/>
      <w:pgSz w:w="11906" w:h="16838"/>
      <w:pgMar w:top="850" w:right="794" w:bottom="822" w:left="79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86878"/>
        <w:sz w:val="15"/>
      </w:rPr>
      <w:t>HID-43 · Etapa 0 · Carlos Alberto Monteiro da Cunha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 w:after="80"/>
    </w:pPr>
    <w:rPr>
      <w:rFonts w:ascii="Arial" w:hAnsi="Arial"/>
      <w:color w:val="222C3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pTitle">
    <w:name w:val="TopTitle"/>
    <w:pPr>
      <w:spacing w:before="0" w:after="80"/>
    </w:pPr>
    <w:rPr>
      <w:rFonts w:ascii="Arial" w:hAnsi="Arial"/>
      <w:b/>
      <w:color w:val="192D45"/>
      <w:sz w:val="30"/>
    </w:rPr>
  </w:style>
  <w:style w:type="paragraph" w:customStyle="1" w:styleId="SectionLabel">
    <w:name w:val="SectionLabel"/>
    <w:pPr>
      <w:spacing w:before="0" w:after="100"/>
    </w:pPr>
    <w:rPr>
      <w:rFonts w:ascii="Arial" w:hAnsi="Arial"/>
      <w:b/>
      <w:color w:val="192D45"/>
      <w:sz w:val="20"/>
    </w:rPr>
  </w:style>
  <w:style w:type="paragraph" w:customStyle="1" w:styleId="SmallText">
    <w:name w:val="SmallText"/>
    <w:pPr>
      <w:spacing w:before="0" w:after="40"/>
    </w:pPr>
    <w:rPr>
      <w:rFonts w:ascii="Arial" w:hAnsi="Arial"/>
      <w:b w:val="0"/>
      <w:color w:val="586878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HID-43 — Etapa 0 — Levantamento</dc:title>
  <dc:subject/>
  <dc:creator>Carlos Alberto Monteiro da Cunha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