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 HID-43</w:t>
        <w:br/>
        <w:t>Etapa 1 · Previsão de cargas</w:t>
      </w:r>
    </w:p>
    <w:p>
      <w:r>
        <w:rPr>
          <w:b/>
        </w:rPr>
        <w:t>Carlos Alberto Monteiro da Cunha</w:t>
      </w:r>
    </w:p>
    <w:p>
      <w:r>
        <w:rPr>
          <w:b w:val="0"/>
        </w:rPr>
        <w:t>Trabalho individual • Sistema 220/127 V • Revisão: 20/10/2026</w:t>
      </w:r>
    </w:p>
    <w:p>
      <w:r>
        <w:rPr>
          <w:b w:val="0"/>
        </w:rPr>
        <w:t>Entrega indicada no enunciado: 27/10/2026, às 23h59. O canal deve ser confirmado no Classroom, pois o enunciado de E1 contém o campo “[CANAL DE ENTREGA]”.</w:t>
      </w:r>
    </w:p>
    <w:p>
      <w:pPr>
        <w:pStyle w:val="Heading1"/>
      </w:pPr>
      <w:r>
        <w:t>1. Base de projeto e continuidade de E0</w:t>
      </w:r>
    </w:p>
    <w:p>
      <w:r>
        <w:rPr>
          <w:b w:val="0"/>
        </w:rPr>
        <w:t>Este relatório desenvolve a previsão de iluminação, tomadas de uso geral (TUG) e pontos de uso específico para o vestiário, o sanitário, a cozinha e a área de serviço com DML da planta AM008.24-01.A001. Os recintos de serviço e DML são calculados separadamente e somados no resultado do conjunto.</w:t>
      </w:r>
    </w:p>
    <w:p>
      <w:r>
        <w:rPr>
          <w:b w:val="0"/>
        </w:rPr>
        <w:t>Mantém-se o enquadramento adotado em E0: ambientes coletivos de apoio, com critérios da seção 9.5 da ABNT NBR 5410:2004 empregados POR ANALOGIA. A existência de alojamento na edificação não foi usada para estender automaticamente essa seção a todos os setores. A seção 9.1 permanece pertinente ao vestiário por conter chuveiros.</w:t>
      </w:r>
    </w:p>
    <w:p>
      <w:pPr>
        <w:pStyle w:val="Heading2"/>
      </w:pPr>
      <w:r>
        <w:t>O que foi conferido na planta</w:t>
      </w:r>
    </w:p>
    <w:p>
      <w:r>
        <w:rPr>
          <w:b w:val="0"/>
        </w:rPr>
        <w:t>Áreas de E0 preservadas: vestiário 23,98 m²; sanitário 19,84 m²; cozinha 16,94 m²; serviço 8,56 m² e DML 1,45 m². Foram identificados seis boxes de banho, quatro lavatórios no sanitário, duas cubas na cozinha e um tanque no DML.</w:t>
      </w:r>
    </w:p>
    <w:p>
      <w:r>
        <w:rPr>
          <w:b w:val="0"/>
        </w:rPr>
        <w:t>A cota da área de serviço é 2,75 m. Adota-se P de referência = 2 × (4,00 + 2,75) = 13,50 m, da envolvente conservadora, sem descontar recortes de DML e depósito de gás; não é uma medição do perímetro útil. A estimativa de 13,00 m de E0 também resulta em quatro TUG. Os dois símbolos circulares junto à porta PAVZ 08 pertencem ao depósito de gás, não a máquinas de lavar.</w:t>
      </w:r>
    </w:p>
    <w:p>
      <w:pPr>
        <w:pStyle w:val="Heading2"/>
      </w:pPr>
      <w:r>
        <w:t>Hipóteses e alcance</w:t>
      </w:r>
    </w:p>
    <w:p>
      <w:r>
        <w:rPr>
          <w:b w:val="0"/>
        </w:rPr>
        <w:t>Adota-se, para esta previsão acadêmica, aquecimento elétrico nas seis duchas, uma máquina de lavar e os aparelhos de apoio discriminados nas páginas seguintes. Potências, tensões escolhidas e fatores de potência são estimativas declaradas, não dados medidos nem valores de catálogo. O fogão é considerado a gás, sem carga elétrica, com ignição manual; a planta indica depósito de gás, mas o equipamento não está especificado.</w:t>
      </w:r>
    </w:p>
    <w:p>
      <w:r>
        <w:rPr>
          <w:b/>
        </w:rPr>
        <w:t>Referências conferidas no arquivo NBR-5410.pdf recebido: ABNT NBR 5410:2004, segunda edição, versão corrigida em 17/03/2008. Também foram consultados os PDFs das aulas 28, 29, 30 e 31. As páginas normativas utilizadas estão identificadas ao final; não se atribuem à norma os valores estimados dos equipamentos.</w:t>
      </w:r>
    </w:p>
    <w:p>
      <w:pPr>
        <w:sectPr>
          <w:headerReference w:type="default" r:id="rId9"/>
          <w:footerReference w:type="default" r:id="rId10"/>
          <w:pgSz w:w="11906" w:h="16838"/>
          <w:pgMar w:top="964" w:right="964" w:bottom="907" w:left="964" w:header="369" w:footer="369" w:gutter="0"/>
          <w:cols w:space="720"/>
          <w:docGrid w:linePitch="360"/>
        </w:sectPr>
      </w:pPr>
    </w:p>
    <w:p>
      <w:pPr>
        <w:pStyle w:val="Heading1"/>
      </w:pPr>
      <w:r>
        <w:t>2. Quadro de previsão de cargas</w:t>
      </w:r>
    </w:p>
    <w:p>
      <w:r>
        <w:rPr>
          <w:b w:val="0"/>
        </w:rPr>
        <w:t>P = potência elétrica ativa de entrada por equipamento; FP = fator de potência global adotado; I = corrente por equipamento. Iluminação e TUG são totais por recinto, lançados apenas na primeira linha. “—” nas demais linhas evita repetir cargas.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332"/>
        <w:gridCol w:w="1162"/>
        <w:gridCol w:w="1162"/>
        <w:gridCol w:w="3175"/>
        <w:gridCol w:w="879"/>
        <w:gridCol w:w="794"/>
        <w:gridCol w:w="737"/>
        <w:gridCol w:w="964"/>
        <w:gridCol w:w="2438"/>
      </w:tblGrid>
      <w:tr>
        <w:trPr>
          <w:tblHeader/>
          <w:cantSplit/>
        </w:trPr>
        <w:tc>
          <w:tcPr>
            <w:tcW w:type="dxa" w:w="133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Ambiente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Luz</w:t>
              <w:br/>
              <w:t>pontos / VA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TUG</w:t>
              <w:br/>
              <w:t>pontos / VA</w:t>
            </w:r>
          </w:p>
        </w:tc>
        <w:tc>
          <w:tcPr>
            <w:tcW w:type="dxa" w:w="3175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Ponto de uso específico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P (W)</w:t>
            </w:r>
          </w:p>
        </w:tc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U (V)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FP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I (A)</w:t>
            </w:r>
          </w:p>
        </w:tc>
        <w:tc>
          <w:tcPr>
            <w:tcW w:type="dxa" w:w="2438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Itens NBR¹</w:t>
            </w:r>
          </w:p>
        </w:tc>
      </w:tr>
      <w:tr>
        <w:trPr>
          <w:cantSplit/>
        </w:trPr>
        <w:tc>
          <w:tcPr>
            <w:tcW w:type="dxa" w:w="133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Vestiário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 / 340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4 / 1.900</w:t>
            </w:r>
          </w:p>
        </w:tc>
        <w:tc>
          <w:tcPr>
            <w:tcW w:type="dxa" w:w="3175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CH1 · Chuveiro elétrico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5.500</w:t>
            </w:r>
          </w:p>
        </w:tc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220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1,00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25,00 *</w:t>
            </w:r>
          </w:p>
        </w:tc>
        <w:tc>
          <w:tcPr>
            <w:tcW w:type="dxa" w:w="2438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L; T-e; P-a; E; C; H</w:t>
            </w:r>
          </w:p>
        </w:tc>
      </w:tr>
      <w:tr>
        <w:trPr>
          <w:cantSplit/>
        </w:trPr>
        <w:tc>
          <w:tcPr>
            <w:tcW w:type="dxa" w:w="133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↳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CH2 · Chuveiro elétrico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5.500</w:t>
            </w:r>
          </w:p>
        </w:tc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220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1,00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25,00 *</w:t>
            </w:r>
          </w:p>
        </w:tc>
        <w:tc>
          <w:tcPr>
            <w:tcW w:type="dxa" w:w="2438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E; C; H</w:t>
            </w:r>
          </w:p>
        </w:tc>
      </w:tr>
      <w:tr>
        <w:trPr>
          <w:cantSplit/>
        </w:trPr>
        <w:tc>
          <w:tcPr>
            <w:tcW w:type="dxa" w:w="133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↳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CH3 · Chuveiro elétrico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5.500</w:t>
            </w:r>
          </w:p>
        </w:tc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220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1,00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25,00 *</w:t>
            </w:r>
          </w:p>
        </w:tc>
        <w:tc>
          <w:tcPr>
            <w:tcW w:type="dxa" w:w="2438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E; C; H</w:t>
            </w:r>
          </w:p>
        </w:tc>
      </w:tr>
      <w:tr>
        <w:trPr>
          <w:cantSplit/>
        </w:trPr>
        <w:tc>
          <w:tcPr>
            <w:tcW w:type="dxa" w:w="133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↳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CH4 · Chuveiro elétrico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5.500</w:t>
            </w:r>
          </w:p>
        </w:tc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220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1,00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25,00 *</w:t>
            </w:r>
          </w:p>
        </w:tc>
        <w:tc>
          <w:tcPr>
            <w:tcW w:type="dxa" w:w="2438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E; C; H</w:t>
            </w:r>
          </w:p>
        </w:tc>
      </w:tr>
      <w:tr>
        <w:trPr>
          <w:cantSplit/>
        </w:trPr>
        <w:tc>
          <w:tcPr>
            <w:tcW w:type="dxa" w:w="133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↳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CH5 · Chuveiro elétrico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5.500</w:t>
            </w:r>
          </w:p>
        </w:tc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220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1,00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25,00 *</w:t>
            </w:r>
          </w:p>
        </w:tc>
        <w:tc>
          <w:tcPr>
            <w:tcW w:type="dxa" w:w="2438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E; C; H</w:t>
            </w:r>
          </w:p>
        </w:tc>
      </w:tr>
      <w:tr>
        <w:trPr>
          <w:cantSplit/>
        </w:trPr>
        <w:tc>
          <w:tcPr>
            <w:tcW w:type="dxa" w:w="133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↳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CH6 · Chuveiro elétrico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5.500</w:t>
            </w:r>
          </w:p>
        </w:tc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220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1,00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25,00 *</w:t>
            </w:r>
          </w:p>
        </w:tc>
        <w:tc>
          <w:tcPr>
            <w:tcW w:type="dxa" w:w="2438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E; C; H</w:t>
            </w:r>
          </w:p>
        </w:tc>
      </w:tr>
      <w:tr>
        <w:trPr>
          <w:cantSplit/>
        </w:trPr>
        <w:tc>
          <w:tcPr>
            <w:tcW w:type="dxa" w:w="133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↳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VE1 · Ventilador/exaustor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100</w:t>
            </w:r>
          </w:p>
        </w:tc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127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0,80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0,98</w:t>
            </w:r>
          </w:p>
        </w:tc>
        <w:tc>
          <w:tcPr>
            <w:tcW w:type="dxa" w:w="2438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E</w:t>
            </w:r>
          </w:p>
        </w:tc>
      </w:tr>
      <w:tr>
        <w:trPr>
          <w:cantSplit/>
        </w:trPr>
        <w:tc>
          <w:tcPr>
            <w:tcW w:type="dxa" w:w="133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Sanitário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 / 280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4 / 1.900</w:t>
            </w:r>
          </w:p>
        </w:tc>
        <w:tc>
          <w:tcPr>
            <w:tcW w:type="dxa" w:w="3175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EX1 · Exaustor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60</w:t>
            </w:r>
          </w:p>
        </w:tc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127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0,80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0,59</w:t>
            </w:r>
          </w:p>
        </w:tc>
        <w:tc>
          <w:tcPr>
            <w:tcW w:type="dxa" w:w="2438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L; T-a; P-a; E</w:t>
            </w:r>
          </w:p>
        </w:tc>
      </w:tr>
      <w:tr>
        <w:trPr>
          <w:cantSplit/>
        </w:trPr>
        <w:tc>
          <w:tcPr>
            <w:tcW w:type="dxa" w:w="133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↳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SM1 · Secador de mãos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1.500</w:t>
            </w:r>
          </w:p>
        </w:tc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220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0,95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7,18</w:t>
            </w:r>
          </w:p>
        </w:tc>
        <w:tc>
          <w:tcPr>
            <w:tcW w:type="dxa" w:w="2438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E</w:t>
            </w:r>
          </w:p>
        </w:tc>
      </w:tr>
      <w:tr>
        <w:trPr>
          <w:cantSplit/>
        </w:trPr>
        <w:tc>
          <w:tcPr>
            <w:tcW w:type="dxa" w:w="133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Cozinha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 / 220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5 / 2.000</w:t>
            </w:r>
          </w:p>
        </w:tc>
        <w:tc>
          <w:tcPr>
            <w:tcW w:type="dxa" w:w="3175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RF1 · Refrigerador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250</w:t>
            </w:r>
          </w:p>
        </w:tc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127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0,80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2,46</w:t>
            </w:r>
          </w:p>
        </w:tc>
        <w:tc>
          <w:tcPr>
            <w:tcW w:type="dxa" w:w="2438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L; T-b; P-a; E</w:t>
            </w:r>
          </w:p>
        </w:tc>
      </w:tr>
      <w:tr>
        <w:trPr>
          <w:cantSplit/>
        </w:trPr>
        <w:tc>
          <w:tcPr>
            <w:tcW w:type="dxa" w:w="133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↳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MO1 · Forno micro-ondas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1.500</w:t>
            </w:r>
          </w:p>
        </w:tc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220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0,95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7,18</w:t>
            </w:r>
          </w:p>
        </w:tc>
        <w:tc>
          <w:tcPr>
            <w:tcW w:type="dxa" w:w="2438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E</w:t>
            </w:r>
          </w:p>
        </w:tc>
      </w:tr>
      <w:tr>
        <w:trPr>
          <w:cantSplit/>
        </w:trPr>
        <w:tc>
          <w:tcPr>
            <w:tcW w:type="dxa" w:w="133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↳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EX2 · Exaustor da cozinha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150</w:t>
            </w:r>
          </w:p>
        </w:tc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220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0,80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0,85</w:t>
            </w:r>
          </w:p>
        </w:tc>
        <w:tc>
          <w:tcPr>
            <w:tcW w:type="dxa" w:w="2438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E</w:t>
            </w:r>
          </w:p>
        </w:tc>
      </w:tr>
      <w:tr>
        <w:trPr>
          <w:cantSplit/>
        </w:trPr>
        <w:tc>
          <w:tcPr>
            <w:tcW w:type="dxa" w:w="133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↳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VE2 · Ventilador de teto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100</w:t>
            </w:r>
          </w:p>
        </w:tc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127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0,80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0,98</w:t>
            </w:r>
          </w:p>
        </w:tc>
        <w:tc>
          <w:tcPr>
            <w:tcW w:type="dxa" w:w="2438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E</w:t>
            </w:r>
          </w:p>
        </w:tc>
      </w:tr>
      <w:tr>
        <w:trPr>
          <w:cantSplit/>
        </w:trPr>
        <w:tc>
          <w:tcPr>
            <w:tcW w:type="dxa" w:w="133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Área de serviço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 / 100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4 / 1.900</w:t>
            </w:r>
          </w:p>
        </w:tc>
        <w:tc>
          <w:tcPr>
            <w:tcW w:type="dxa" w:w="3175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ML1 · Máquina de lavar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1.200</w:t>
            </w:r>
          </w:p>
        </w:tc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127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0,80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11,81 *</w:t>
            </w:r>
          </w:p>
        </w:tc>
        <w:tc>
          <w:tcPr>
            <w:tcW w:type="dxa" w:w="2438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L; T-b; P-a; E; C</w:t>
            </w:r>
          </w:p>
        </w:tc>
      </w:tr>
      <w:tr>
        <w:trPr>
          <w:cantSplit/>
        </w:trPr>
        <w:tc>
          <w:tcPr>
            <w:tcW w:type="dxa" w:w="133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DML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1 / 100</w:t>
            </w:r>
          </w:p>
        </w:tc>
        <w:tc>
          <w:tcPr>
            <w:tcW w:type="dxa" w:w="1162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2 / 1.200</w:t>
            </w:r>
          </w:p>
        </w:tc>
        <w:tc>
          <w:tcPr>
            <w:tcW w:type="dxa" w:w="3175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Sem equipamento específico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964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spacing w:after="60" w:before="40" w:line="240" w:lineRule="auto"/>
            </w:pPr>
            <w:r>
              <w:rPr>
                <w:sz w:val="16"/>
              </w:rPr>
              <w:t>L; T-b; P-a</w:t>
            </w:r>
          </w:p>
        </w:tc>
      </w:tr>
    </w:tbl>
    <w:p>
      <w:r>
        <w:rPr>
          <w:b w:val="0"/>
        </w:rPr>
        <w:t>¹ L = 9.5.2.1.1 e 9.5.2.1.2; T-a/b/e = alíneas de 9.5.2.2.1; P-a = 9.5.2.2.2(a); E = 4.2.1.2.1 e 4.2.1.2.3; C = 9.5.3.1; H = 9.5.2.3. Seção 9.5 utilizada por analogia. * Corrente calculada superior a 10 A.</w:t>
      </w:r>
    </w:p>
    <w:p>
      <w:r>
        <w:rPr>
          <w:b/>
        </w:rPr>
        <w:t>Totais: 5 pontos de luz / 1.040 VA; 19 pontos de TUG / 8.900 VA; 14 pontos específicos / 37.860 W. Área de serviço + DML: 2 pontos de luz / 200 VA e 6 TUG / 3.100 VA.</w:t>
      </w:r>
    </w:p>
    <w:p>
      <w:r>
        <w:rPr>
          <w:b w:val="0"/>
        </w:rPr>
        <w:t>As tomadas dedicadas aos equipamentos não integram as 19 TUG. “Ponto específico” não significa automaticamente circuito exclusivo; esse critério será aplicado na Etapa 2.</w:t>
      </w:r>
    </w:p>
    <w:p>
      <w:pPr>
        <w:sectPr>
          <w:pgSz w:w="16838" w:h="11906"/>
          <w:pgMar w:top="964" w:right="964" w:bottom="907" w:left="964" w:header="369" w:footer="369" w:gutter="0"/>
          <w:cols w:space="720"/>
          <w:docGrid w:linePitch="360"/>
        </w:sectPr>
      </w:pPr>
    </w:p>
    <w:p>
      <w:pPr>
        <w:pStyle w:val="Heading1"/>
      </w:pPr>
      <w:r>
        <w:t>3. Memória de iluminação e TUG</w:t>
      </w:r>
    </w:p>
    <w:p>
      <w:pPr>
        <w:pStyle w:val="Heading2"/>
      </w:pPr>
      <w:r>
        <w:t>3.1 Iluminação — 9.5.2.1.1 e 9.5.2.1.2</w:t>
      </w:r>
    </w:p>
    <w:p>
      <w:r>
        <w:rPr>
          <w:b w:val="0"/>
        </w:rPr>
        <w:t>Por analogia, adota-se no mínimo um ponto fixo de luz no teto, comandado por interruptor, em cada recinto. Para A ≤ 6 m²: 100 VA. Para A &gt; 6 m²: 100 VA + 60 VA por bloco INTEIRO adicional de 4 m². Fórmula: S = 100 + 60 × piso[(A − 6)/4]. Frações do bloco adicional não são arredondadas para cima.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1020"/>
        <w:gridCol w:w="5613"/>
        <w:gridCol w:w="1587"/>
      </w:tblGrid>
      <w:tr>
        <w:trPr>
          <w:tblHeader/>
          <w:cantSplit/>
        </w:trPr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Recinto</w:t>
            </w:r>
          </w:p>
        </w:tc>
        <w:tc>
          <w:tcPr>
            <w:tcW w:type="dxa" w:w="102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 (m²)</w:t>
            </w:r>
          </w:p>
        </w:tc>
        <w:tc>
          <w:tcPr>
            <w:tcW w:type="dxa" w:w="5613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Cálculo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Carga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Vestiário</w:t>
            </w:r>
          </w:p>
        </w:tc>
        <w:tc>
          <w:tcPr>
            <w:tcW w:type="dxa" w:w="102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23,98</w:t>
            </w:r>
          </w:p>
        </w:tc>
        <w:tc>
          <w:tcPr>
            <w:tcW w:type="dxa" w:w="5613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piso[(23,98 − 6)/4] = 4; 100 + 60 × 4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340 VA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Sanitário</w:t>
            </w:r>
          </w:p>
        </w:tc>
        <w:tc>
          <w:tcPr>
            <w:tcW w:type="dxa" w:w="102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19,84</w:t>
            </w:r>
          </w:p>
        </w:tc>
        <w:tc>
          <w:tcPr>
            <w:tcW w:type="dxa" w:w="5613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piso[(19,84 − 6)/4] = 3; 100 + 60 × 3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280 VA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Cozinha</w:t>
            </w:r>
          </w:p>
        </w:tc>
        <w:tc>
          <w:tcPr>
            <w:tcW w:type="dxa" w:w="102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16,94</w:t>
            </w:r>
          </w:p>
        </w:tc>
        <w:tc>
          <w:tcPr>
            <w:tcW w:type="dxa" w:w="5613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piso[(16,94 − 6)/4] = 2; 100 + 60 × 2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220 VA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Área de serviço</w:t>
            </w:r>
          </w:p>
        </w:tc>
        <w:tc>
          <w:tcPr>
            <w:tcW w:type="dxa" w:w="102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8,56</w:t>
            </w:r>
          </w:p>
        </w:tc>
        <w:tc>
          <w:tcPr>
            <w:tcW w:type="dxa" w:w="5613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piso[(8,56 − 6)/4] = 0; 100 + 60 × 0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100 VA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DML</w:t>
            </w:r>
          </w:p>
        </w:tc>
        <w:tc>
          <w:tcPr>
            <w:tcW w:type="dxa" w:w="102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1,45</w:t>
            </w:r>
          </w:p>
        </w:tc>
        <w:tc>
          <w:tcPr>
            <w:tcW w:type="dxa" w:w="5613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100 VA (A ≤ 6)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100 VA</w:t>
            </w:r>
          </w:p>
        </w:tc>
      </w:tr>
    </w:tbl>
    <w:p>
      <w:r>
        <w:rPr>
          <w:b w:val="0"/>
        </w:rPr>
        <w:t>Total: 340 + 280 + 220 + 100 + 100 = 1.040 VA. São cinco pontos mínimos de luz. Esse valor é previsão de carga, não potência real de lâmpadas nem demonstração de iluminância; quantidade final, posição e luminárias exigem estudo próprio (4.2.1.2.2).</w:t>
      </w:r>
    </w:p>
    <w:p>
      <w:pPr>
        <w:pStyle w:val="Heading2"/>
      </w:pPr>
      <w:r>
        <w:t>3.2 Quantidade de TUG — 9.5.2.2.1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2268"/>
        <w:gridCol w:w="4535"/>
        <w:gridCol w:w="1417"/>
      </w:tblGrid>
      <w:tr>
        <w:trPr>
          <w:tblHeader/>
          <w:cantSplit/>
        </w:trPr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Recinto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Alínea adotada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Cálculo / decisão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Pontos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Vestiário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e, por analogia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teto(20,00/5) = 4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Sanitário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a + critério de uso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 ponto para cada um dos 4 lavatórios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Cozinha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b, por analogia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teto(16,50/3,50) = 5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Área de serviço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b, por analogia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teto(13,50/3,50) = 4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DML</w:t>
            </w:r>
          </w:p>
        </w:tc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b, local análogo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teto(4,80/3,50) = 2</w:t>
            </w:r>
          </w:p>
        </w:tc>
        <w:tc>
          <w:tcPr>
            <w:tcW w:type="dxa" w:w="1417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</w:t>
            </w:r>
          </w:p>
        </w:tc>
      </w:tr>
    </w:tbl>
    <w:p>
      <w:r>
        <w:rPr>
          <w:b w:val="0"/>
        </w:rPr>
        <w:t>Vestiário: sem lavatório, usa-se o critério de demais dependências com área superior a 6 m² para a quantidade; isso não afasta a seção 9.1. Sanitário: quatro pontos são escolha para uso coletivo, acima do mínimo de um ponto junto ao lavatório; a alínea (a) não exige uma tomada por cuba. Cozinha: ao menos dois dos cinco pontos sobre a bancada da pia.</w:t>
      </w:r>
    </w:p>
    <w:p>
      <w:pPr>
        <w:pStyle w:val="Heading2"/>
      </w:pPr>
      <w:r>
        <w:t>3.3 Carga das TUG — 9.5.2.2.2(a)</w:t>
      </w:r>
    </w:p>
    <w:p>
      <w:r>
        <w:rPr>
          <w:b w:val="0"/>
        </w:rPr>
        <w:t>Adotam-se 600 VA por ponto até os três primeiros e 100 VA nos excedentes, em cada recinto separadamente. No vestiário, adota-se o critério de carga de banheiro por conter banho, de forma conservadora. No DML, o tanque fundamenta a analogia a área de serviço. Não se utiliza a redução facultativa para dois pontos de 600 VA.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4819"/>
        <w:gridCol w:w="2551"/>
      </w:tblGrid>
      <w:tr>
        <w:trPr>
          <w:tblHeader/>
          <w:cantSplit/>
        </w:trPr>
        <w:tc>
          <w:tcPr>
            <w:tcW w:type="dxa" w:w="2608"/>
          </w:tcPr>
          <w:p>
            <w:pPr>
              <w:spacing w:after="60" w:before="40" w:line="240" w:lineRule="auto"/>
            </w:pPr>
            <w:r>
              <w:rPr>
                <w:sz w:val="17"/>
              </w:rPr>
              <w:t>Recinto</w:t>
            </w:r>
          </w:p>
        </w:tc>
        <w:tc>
          <w:tcPr>
            <w:tcW w:type="dxa" w:w="4819"/>
          </w:tcPr>
          <w:p>
            <w:pPr>
              <w:spacing w:after="60" w:before="40" w:line="240" w:lineRule="auto"/>
            </w:pPr>
            <w:r>
              <w:rPr>
                <w:sz w:val="17"/>
              </w:rPr>
              <w:t>Memória (VA)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sz w:val="17"/>
              </w:rPr>
              <w:t>Total (VA)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60" w:before="40" w:line="240" w:lineRule="auto"/>
            </w:pPr>
            <w:r>
              <w:rPr>
                <w:sz w:val="17"/>
              </w:rPr>
              <w:t>Vestiário</w:t>
            </w:r>
          </w:p>
        </w:tc>
        <w:tc>
          <w:tcPr>
            <w:tcW w:type="dxa" w:w="4819"/>
          </w:tcPr>
          <w:p>
            <w:pPr>
              <w:spacing w:after="60" w:before="40" w:line="240" w:lineRule="auto"/>
            </w:pPr>
            <w:r>
              <w:rPr>
                <w:sz w:val="17"/>
              </w:rPr>
              <w:t>3 × 600 + 1 × 100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sz w:val="17"/>
              </w:rPr>
              <w:t>1.900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60" w:before="40" w:line="240" w:lineRule="auto"/>
            </w:pPr>
            <w:r>
              <w:rPr>
                <w:sz w:val="17"/>
              </w:rPr>
              <w:t>Sanitário</w:t>
            </w:r>
          </w:p>
        </w:tc>
        <w:tc>
          <w:tcPr>
            <w:tcW w:type="dxa" w:w="4819"/>
          </w:tcPr>
          <w:p>
            <w:pPr>
              <w:spacing w:after="60" w:before="40" w:line="240" w:lineRule="auto"/>
            </w:pPr>
            <w:r>
              <w:rPr>
                <w:sz w:val="17"/>
              </w:rPr>
              <w:t>3 × 600 + 1 × 100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sz w:val="17"/>
              </w:rPr>
              <w:t>1.900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60" w:before="40" w:line="240" w:lineRule="auto"/>
            </w:pPr>
            <w:r>
              <w:rPr>
                <w:sz w:val="17"/>
              </w:rPr>
              <w:t>Cozinha</w:t>
            </w:r>
          </w:p>
        </w:tc>
        <w:tc>
          <w:tcPr>
            <w:tcW w:type="dxa" w:w="4819"/>
          </w:tcPr>
          <w:p>
            <w:pPr>
              <w:spacing w:after="60" w:before="40" w:line="240" w:lineRule="auto"/>
            </w:pPr>
            <w:r>
              <w:rPr>
                <w:sz w:val="17"/>
              </w:rPr>
              <w:t>3 × 600 + 2 × 100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sz w:val="17"/>
              </w:rPr>
              <w:t>2.000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60" w:before="40" w:line="240" w:lineRule="auto"/>
            </w:pPr>
            <w:r>
              <w:rPr>
                <w:sz w:val="17"/>
              </w:rPr>
              <w:t>Área de serviço</w:t>
            </w:r>
          </w:p>
        </w:tc>
        <w:tc>
          <w:tcPr>
            <w:tcW w:type="dxa" w:w="4819"/>
          </w:tcPr>
          <w:p>
            <w:pPr>
              <w:spacing w:after="60" w:before="40" w:line="240" w:lineRule="auto"/>
            </w:pPr>
            <w:r>
              <w:rPr>
                <w:sz w:val="17"/>
              </w:rPr>
              <w:t>3 × 600 + 1 × 100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sz w:val="17"/>
              </w:rPr>
              <w:t>1.900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60" w:before="40" w:line="240" w:lineRule="auto"/>
            </w:pPr>
            <w:r>
              <w:rPr>
                <w:sz w:val="17"/>
              </w:rPr>
              <w:t>DML</w:t>
            </w:r>
          </w:p>
        </w:tc>
        <w:tc>
          <w:tcPr>
            <w:tcW w:type="dxa" w:w="4819"/>
          </w:tcPr>
          <w:p>
            <w:pPr>
              <w:spacing w:after="60" w:before="40" w:line="240" w:lineRule="auto"/>
            </w:pPr>
            <w:r>
              <w:rPr>
                <w:sz w:val="17"/>
              </w:rPr>
              <w:t>2 × 600 + 0 × 100</w:t>
            </w:r>
          </w:p>
        </w:tc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sz w:val="17"/>
              </w:rPr>
              <w:t>1.200</w:t>
            </w:r>
          </w:p>
        </w:tc>
      </w:tr>
    </w:tbl>
    <w:p>
      <w:r>
        <w:rPr>
          <w:b w:val="0"/>
        </w:rPr>
        <w:t>Total de TUG: 1.900 + 1.900 + 2.000 + 1.900 + 1.200 = 8.900 VA.</w:t>
      </w:r>
    </w:p>
    <w:p>
      <w:r>
        <w:br w:type="page"/>
      </w:r>
    </w:p>
    <w:p>
      <w:pPr>
        <w:pStyle w:val="Heading1"/>
      </w:pPr>
      <w:r>
        <w:t>4. Equipamentos e origem das hipóteses</w:t>
      </w:r>
    </w:p>
    <w:p>
      <w:r>
        <w:rPr>
          <w:b w:val="0"/>
        </w:rPr>
        <w:t>Os aparelhos abaixo compõem um cenário de previsão, não uma especificação de compra. A norma não fornece estas potências ou fatores de potência. A referência geral é a previsão dos equipamentos e condições de utilização (4.2.1.2.1 e 4.2.1.2.3); cada valor adotado tem a origem indicada.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701"/>
        <w:gridCol w:w="5896"/>
      </w:tblGrid>
      <w:tr>
        <w:trPr>
          <w:tblHeader/>
          <w:cantSplit/>
        </w:trPr>
        <w:tc>
          <w:tcPr>
            <w:tcW w:type="dxa" w:w="238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Ponto / equipamento</w:t>
            </w:r>
          </w:p>
        </w:tc>
        <w:tc>
          <w:tcPr>
            <w:tcW w:type="dxa" w:w="170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Valores por unidade</w:t>
            </w:r>
          </w:p>
        </w:tc>
        <w:tc>
          <w:tcPr>
            <w:tcW w:type="dxa" w:w="589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Origem e decisão de projeto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CH1–CH6</w:t>
              <w:br/>
              <w:t>Chuveiro elétrico</w:t>
            </w:r>
          </w:p>
        </w:tc>
        <w:tc>
          <w:tcPr>
            <w:tcW w:type="dxa" w:w="170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5.500 W</w:t>
              <w:br/>
              <w:t>220 V</w:t>
              <w:br/>
              <w:t>FP 1,00</w:t>
            </w:r>
          </w:p>
        </w:tc>
        <w:tc>
          <w:tcPr>
            <w:tcW w:type="dxa" w:w="589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Seis duchas da planta consideradas elétricas nesta previsão. 5.500 W é estimativa por unidade; 220 V é escolha de projeto; FP 1,00 é modelo resistivo.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VE1</w:t>
              <w:br/>
              <w:t>Ventilador/exaustor</w:t>
            </w:r>
          </w:p>
        </w:tc>
        <w:tc>
          <w:tcPr>
            <w:tcW w:type="dxa" w:w="170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100 W</w:t>
              <w:br/>
              <w:t>127 V</w:t>
              <w:br/>
              <w:t>FP 0,80</w:t>
            </w:r>
          </w:p>
        </w:tc>
        <w:tc>
          <w:tcPr>
            <w:tcW w:type="dxa" w:w="589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Uma unidade de ventilação, estimativa de 100 W; 127 V escolhido; FP 0,80 estimado para motor.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EX1</w:t>
              <w:br/>
              <w:t>Exaustor</w:t>
            </w:r>
          </w:p>
        </w:tc>
        <w:tc>
          <w:tcPr>
            <w:tcW w:type="dxa" w:w="170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60 W</w:t>
              <w:br/>
              <w:t>127 V</w:t>
              <w:br/>
              <w:t>FP 0,80</w:t>
            </w:r>
          </w:p>
        </w:tc>
        <w:tc>
          <w:tcPr>
            <w:tcW w:type="dxa" w:w="589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Uma unidade, estimativa de 60 W; 127 V escolhido; FP 0,80 estimado para motor.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SM1</w:t>
              <w:br/>
              <w:t>Secador de mãos</w:t>
            </w:r>
          </w:p>
        </w:tc>
        <w:tc>
          <w:tcPr>
            <w:tcW w:type="dxa" w:w="170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1.500 W</w:t>
              <w:br/>
              <w:t>220 V</w:t>
              <w:br/>
              <w:t>FP 0,95</w:t>
            </w:r>
          </w:p>
        </w:tc>
        <w:tc>
          <w:tcPr>
            <w:tcW w:type="dxa" w:w="589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Uma unidade com aquecimento e motor, estimativa de 1.500 W; 220 V escolhido; FP global 0,95 estimado.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RF1</w:t>
              <w:br/>
              <w:t>Refrigerador</w:t>
            </w:r>
          </w:p>
        </w:tc>
        <w:tc>
          <w:tcPr>
            <w:tcW w:type="dxa" w:w="170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250 W</w:t>
              <w:br/>
              <w:t>127 V</w:t>
              <w:br/>
              <w:t>FP 0,80</w:t>
            </w:r>
          </w:p>
        </w:tc>
        <w:tc>
          <w:tcPr>
            <w:tcW w:type="dxa" w:w="589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Uma unidade, potência elétrica de entrada estimada em 250 W; 127 V escolhido; FP 0,80 estimado para o conjunto em funcionamento.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MO1</w:t>
              <w:br/>
              <w:t>Forno micro-ondas</w:t>
            </w:r>
          </w:p>
        </w:tc>
        <w:tc>
          <w:tcPr>
            <w:tcW w:type="dxa" w:w="170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1.500 W</w:t>
              <w:br/>
              <w:t>220 V</w:t>
              <w:br/>
              <w:t>FP 0,95</w:t>
            </w:r>
          </w:p>
        </w:tc>
        <w:tc>
          <w:tcPr>
            <w:tcW w:type="dxa" w:w="589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Uma unidade, entrada elétrica estimada em 1.500 W, não potência de cocção; 220 V escolhido; FP global 0,95 estimado.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EX2</w:t>
              <w:br/>
              <w:t>Exaustor da cozinha</w:t>
            </w:r>
          </w:p>
        </w:tc>
        <w:tc>
          <w:tcPr>
            <w:tcW w:type="dxa" w:w="170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150 W</w:t>
              <w:br/>
              <w:t>220 V</w:t>
              <w:br/>
              <w:t>FP 0,80</w:t>
            </w:r>
          </w:p>
        </w:tc>
        <w:tc>
          <w:tcPr>
            <w:tcW w:type="dxa" w:w="589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Uma unidade, estimativa de 150 W; 220 V escolhido; FP 0,80 estimado para motor.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VE2</w:t>
              <w:br/>
              <w:t>Ventilador de teto</w:t>
            </w:r>
          </w:p>
        </w:tc>
        <w:tc>
          <w:tcPr>
            <w:tcW w:type="dxa" w:w="170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100 W</w:t>
              <w:br/>
              <w:t>127 V</w:t>
              <w:br/>
              <w:t>FP 0,80</w:t>
            </w:r>
          </w:p>
        </w:tc>
        <w:tc>
          <w:tcPr>
            <w:tcW w:type="dxa" w:w="589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Uma unidade indicada na planta, estimativa de 100 W; 127 V escolhido; FP 0,80 estimado para motor.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ML1</w:t>
              <w:br/>
              <w:t>Máquina de lavar</w:t>
            </w:r>
          </w:p>
        </w:tc>
        <w:tc>
          <w:tcPr>
            <w:tcW w:type="dxa" w:w="1701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1.200 W</w:t>
              <w:br/>
              <w:t>127 V</w:t>
              <w:br/>
              <w:t>FP 0,80</w:t>
            </w:r>
          </w:p>
        </w:tc>
        <w:tc>
          <w:tcPr>
            <w:tcW w:type="dxa" w:w="5896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Uma unidade adotada, entrada elétrica estimada em 1.200 W; 127 V escolhido; FP global 0,80 estimado. Sem confirmação de modelo ou ligação hidráulica.</w:t>
            </w:r>
          </w:p>
        </w:tc>
      </w:tr>
    </w:tbl>
    <w:p>
      <w:pPr>
        <w:pStyle w:val="Heading2"/>
      </w:pPr>
      <w:r>
        <w:t>Critérios de escolha e não duplicação</w:t>
      </w:r>
    </w:p>
    <w:p>
      <w:r>
        <w:rPr>
          <w:b w:val="0"/>
        </w:rPr>
        <w:t>220 V é adotado para chuveiros e alguns aparelhos de maior potência; 127 V para os demais modelos hipotéticos. Considera-se ligação monofásica entre fase e neutro em 127 V ou entre duas fases em 220 V. Não se aplica √3 às correntes desses equipamentos individuais. A distinção entre tensão de linha e de fase é apresentada na aula 31, páginas 5–9.</w:t>
      </w:r>
    </w:p>
    <w:p>
      <w:r>
        <w:rPr>
          <w:b w:val="0"/>
        </w:rPr>
        <w:t>Geladeira, máquina, ventiladores e exaustores têm motor; FP 0,80 é uma hipótese de cálculo, não constante universal. Secador e micro-ondas usam FP global 0,95 estimado. Todas as potências são de entrada elétrica; não se usam potência mecânica útil nem potência de cocção.</w:t>
      </w:r>
    </w:p>
    <w:p>
      <w:r>
        <w:rPr>
          <w:b w:val="0"/>
        </w:rPr>
        <w:t>Adota-se uma máquina de lavar como hipótese de uso, sem posição executiva definida. Os dois símbolos circulares junto à porta PAVZ 08 são do depósito de gás e não fundamentam qualquer contagem de máquinas. A posição da lavadora, sua ligação hidráulica e a compatibilidade com o depósito deverão ser verificadas na etapa de locação. No DML, o tanque não é carga elétrica; não se incluem secadora, forno elétrico ou aquecimento de pia sem previsão específica.</w:t>
      </w:r>
    </w:p>
    <w:p>
      <w:r>
        <w:rPr>
          <w:b w:val="0"/>
        </w:rPr>
        <w:t>As seis duchas elétricas dominam a carga. Se o aquecimento for central ou a gás, as seis cargas de 5.500 W deverão ser retiradas ou substituídas pelos equipamentos efetivos, antes de dimensionar a instalação. Modelos, placas e manuais substituirão as estimativas na continuação do projeto.</w:t>
      </w:r>
    </w:p>
    <w:p>
      <w:r>
        <w:br w:type="page"/>
      </w:r>
    </w:p>
    <w:p>
      <w:pPr>
        <w:pStyle w:val="Heading1"/>
      </w:pPr>
      <w:r>
        <w:t>5. Correntes dos pontos específicos</w:t>
      </w:r>
    </w:p>
    <w:p>
      <w:r>
        <w:rPr>
          <w:b w:val="0"/>
        </w:rPr>
        <w:t>Para os equipamentos monofásicos considerados: P = U × I × FP; portanto I = P/(U × FP). A potência aparente por unidade é S = P/FP. O FP é o fator de potência global, inclusive quando existirem componentes eletrônicos. Arredonda-se apenas a apresentação final para duas casas.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4535"/>
        <w:gridCol w:w="1587"/>
        <w:gridCol w:w="1587"/>
      </w:tblGrid>
      <w:tr>
        <w:trPr>
          <w:tblHeader/>
          <w:cantSplit/>
        </w:trPr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Ponto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I = P/(U × FP)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I (A)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I &gt; 10 A?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CH1–CH6 (cada)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5.500 / (220 × 1,00)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25,00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Sim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VE1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100 / (127 × 0,80)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0,98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EX1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60 / (127 × 0,80)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0,59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SM1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1.500 / (220 × 0,95)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7,18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RF1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250 / (127 × 0,80)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2,46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MO1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1.500 / (220 × 0,95)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7,18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EX2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150 / (220 × 0,80)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0,85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VE2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100 / (127 × 0,80)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0,98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ML1</w:t>
            </w:r>
          </w:p>
        </w:tc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1.200 / (127 × 0,80)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11,81</w:t>
            </w:r>
          </w:p>
        </w:tc>
        <w:tc>
          <w:tcPr>
            <w:tcW w:type="dxa" w:w="1587"/>
          </w:tcPr>
          <w:p>
            <w:pPr>
              <w:spacing w:after="60" w:before="40" w:line="240" w:lineRule="auto"/>
            </w:pPr>
            <w:r>
              <w:rPr>
                <w:sz w:val="19"/>
              </w:rPr>
              <w:t>Sim</w:t>
            </w:r>
          </w:p>
        </w:tc>
      </w:tr>
    </w:tbl>
    <w:p>
      <w:r>
        <w:rPr>
          <w:b/>
        </w:rPr>
        <w:t>Acima de 10 A: CH1, CH2, CH3, CH4, CH5 e CH6 (25,00 A cada) e ML1 (11,81 A). São sete pontos a reservar para circuitos independentes na Etapa 2, por adoção de 9.5.3.1 por analogia. Essa previsão não define ainda cabos, disjuntores, DR ou balanceamento de fases.</w:t>
      </w:r>
    </w:p>
    <w:p>
      <w:r>
        <w:rPr>
          <w:b w:val="0"/>
        </w:rPr>
        <w:t>Os demais pontos ficam abaixo de 10 A neste cenário, mas isso não autoriza agrupá-los sem analisar uso, fabricante e demais critérios de divisão. Correntes de partida, regime e fator de potência real dos motores não foram usados para dimensionamento nesta etapa.</w:t>
      </w:r>
    </w:p>
    <w:p>
      <w:pPr>
        <w:pStyle w:val="Heading2"/>
      </w:pPr>
      <w:r>
        <w:t>5.1 Consolidação de cargas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6350"/>
        <w:gridCol w:w="3628"/>
      </w:tblGrid>
      <w:tr>
        <w:trPr>
          <w:tblHeader/>
          <w:cantSplit/>
        </w:trPr>
        <w:tc>
          <w:tcPr>
            <w:tcW w:type="dxa" w:w="635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Grandeza</w:t>
            </w:r>
          </w:p>
        </w:tc>
        <w:tc>
          <w:tcPr>
            <w:tcW w:type="dxa" w:w="362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635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Iluminação mínima prevista</w:t>
            </w:r>
          </w:p>
        </w:tc>
        <w:tc>
          <w:tcPr>
            <w:tcW w:type="dxa" w:w="362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1.040 VA</w:t>
            </w:r>
          </w:p>
        </w:tc>
      </w:tr>
      <w:tr>
        <w:trPr>
          <w:cantSplit/>
        </w:trPr>
        <w:tc>
          <w:tcPr>
            <w:tcW w:type="dxa" w:w="635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TUG previstas</w:t>
            </w:r>
          </w:p>
        </w:tc>
        <w:tc>
          <w:tcPr>
            <w:tcW w:type="dxa" w:w="362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8.900 VA</w:t>
            </w:r>
          </w:p>
        </w:tc>
      </w:tr>
      <w:tr>
        <w:trPr>
          <w:cantSplit/>
        </w:trPr>
        <w:tc>
          <w:tcPr>
            <w:tcW w:type="dxa" w:w="635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Soma das potências ativas dos pontos específicos</w:t>
            </w:r>
          </w:p>
        </w:tc>
        <w:tc>
          <w:tcPr>
            <w:tcW w:type="dxa" w:w="362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37.860 W</w:t>
            </w:r>
          </w:p>
        </w:tc>
      </w:tr>
      <w:tr>
        <w:trPr>
          <w:cantSplit/>
        </w:trPr>
        <w:tc>
          <w:tcPr>
            <w:tcW w:type="dxa" w:w="635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Soma escalar de P/FP dos pontos específicos</w:t>
            </w:r>
          </w:p>
        </w:tc>
        <w:tc>
          <w:tcPr>
            <w:tcW w:type="dxa" w:w="362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38.482,89 VA</w:t>
            </w:r>
          </w:p>
        </w:tc>
      </w:tr>
      <w:tr>
        <w:trPr>
          <w:cantSplit/>
        </w:trPr>
        <w:tc>
          <w:tcPr>
            <w:tcW w:type="dxa" w:w="6350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Soma escalar das cargas aparentes previstas</w:t>
            </w:r>
          </w:p>
        </w:tc>
        <w:tc>
          <w:tcPr>
            <w:tcW w:type="dxa" w:w="362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48.422,89 VA</w:t>
            </w:r>
          </w:p>
        </w:tc>
      </w:tr>
    </w:tbl>
    <w:p>
      <w:r>
        <w:rPr>
          <w:b w:val="0"/>
        </w:rPr>
        <w:t>A soma escalar é um indicador conservador da carga instalada prevista, sem fator de demanda. Não é demanda calculada, não representa uma soma vetorial das potências e não deve ser dividida por uma tensão única para escolher alimentador. Não se somam diretamente os 37.860 W com os valores em VA de iluminação e TUG.</w:t>
      </w:r>
    </w:p>
    <w:p>
      <w:pPr>
        <w:pStyle w:val="Heading1"/>
      </w:pPr>
      <w:r>
        <w:t>6. Ligação dos chuveiros — 9.5.2.3</w:t>
      </w:r>
    </w:p>
    <w:p>
      <w:r>
        <w:rPr>
          <w:b w:val="0"/>
        </w:rPr>
        <w:t>Cada chuveiro é ligado diretamente ao ponto de utilização, por conexão apropriada à corrente e às instruções do fabricante, sem tomada e plugue. No cenário escolhido, são seis ligações diretas em 220 V. O aterramento, a equipotencialização, as restrições dos volumes da seção 9.1 e o DR de alta sensibilidade, IΔn ≤ 30 mA, previsto em E0 por 5.1.3.2.2(a), devem ser atendidos.</w:t>
      </w:r>
    </w:p>
    <w:p>
      <w:r>
        <w:rPr>
          <w:b w:val="0"/>
        </w:rPr>
        <w:t>A localização das TUG e equipamentos do vestiário deverá ser verificada em relação aos volumes de proteção (9.1.2.1 e requisitos associados da seção 9.1). A contagem por perímetro não autoriza instalar tomadas nos boxes nem em posições proibidas.</w:t>
      </w:r>
    </w:p>
    <w:p>
      <w:r>
        <w:br w:type="page"/>
      </w:r>
    </w:p>
    <w:p>
      <w:pPr>
        <w:pStyle w:val="Heading1"/>
      </w:pPr>
      <w:r>
        <w:t>7. Registro da IA e revisão</w:t>
      </w:r>
    </w:p>
    <w:p>
      <w:pPr>
        <w:pStyle w:val="Heading2"/>
      </w:pPr>
      <w:r>
        <w:t>Ponto vago corrigido — símbolos na área de serviço</w:t>
      </w:r>
    </w:p>
    <w:p>
      <w:r>
        <w:rPr>
          <w:b w:val="0"/>
        </w:rPr>
        <w:t>A redação inicial ainda tratava genericamente as posições junto à área de serviço como equipamentos não confirmados, prolongando a ambiguidade de E0. Ao ampliar a A001, foi lida a identificação “DEPÓSITO DE GÁS” ao lado dos dois símbolos circulares. A referência a possíveis máquinas foi corrigida: esses símbolos não representam lavadoras. ML1 é apenas uma hipótese de uso adotada nesta etapa, não um aparelho extraído da planta.</w:t>
      </w:r>
    </w:p>
    <w:p>
      <w:pPr>
        <w:pStyle w:val="Heading2"/>
      </w:pPr>
      <w:r>
        <w:t>Pergunta de controle 1 — serviço e DML</w:t>
      </w:r>
    </w:p>
    <w:p>
      <w:r>
        <w:rPr>
          <w:b w:val="0"/>
        </w:rPr>
        <w:t>Teste aplicado à solução da IA: “Posso somar as áreas de serviço e DML antes de calcular a iluminação e aplicar uma única sequência de 600/100 VA às seis TUG?” A comparação numérica mostra o problema: tratar 10,01 m² como um só recinto resultaria em 160 VA; calcular 8,56 m² e 1,45 m² separadamente resulta em 100 + 100 = 200 VA.</w:t>
      </w:r>
    </w:p>
    <w:p>
      <w:r>
        <w:rPr>
          <w:b w:val="0"/>
        </w:rPr>
        <w:t>Nas TUG, uma única sequência para seis pontos daria 3 × 600 + 3 × 100 = 2.100 VA. A apuração separada resulta em 1.900 + 1.200 = 3.100 VA. A hipótese de agrupar foi rejeitada porque a planta mostra recintos distintos. A regra de atribuição por ambiente de 9.5.2.2.2(a), usada por analogia, foi conferida na página impressa 184 (página 192 do PDF).</w:t>
      </w:r>
    </w:p>
    <w:p>
      <w:pPr>
        <w:pStyle w:val="Heading2"/>
      </w:pPr>
      <w:r>
        <w:t>Pergunta de controle 2 — fator de potência</w:t>
      </w:r>
    </w:p>
    <w:p>
      <w:r>
        <w:rPr>
          <w:b w:val="0"/>
        </w:rPr>
        <w:t>Teste aplicado à IA: “Uma máquina de 1.200 W em 127 V fica abaixo de 10 A se o FP for 0,80?” Usar apenas P/U daria 9,45 A e uma conclusão incorreta. A expressão completa produz 1.200/(127 × 0,80) = 11,81 A. O ponto ML1 foi, portanto, marcado acima de 10 A. Isso mostra por que não se trata motor como carga resistiva.</w:t>
      </w:r>
    </w:p>
    <w:p>
      <w:r>
        <w:rPr>
          <w:b w:val="0"/>
        </w:rPr>
        <w:t>Este registro documenta testes de consistência efetivamente realizados. A IA foi usada para organizar e conferir a solução; a fonte normativa foi o PDF fornecido, e não a resposta da IA.</w:t>
      </w:r>
    </w:p>
    <w:p>
      <w:pPr>
        <w:pStyle w:val="Heading1"/>
      </w:pPr>
      <w:r>
        <w:t>8. Rastreabilidade e limites da revisão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5443"/>
      </w:tblGrid>
      <w:tr>
        <w:trPr>
          <w:tblHeader/>
          <w:cantSplit/>
        </w:trPr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Verificação</w:t>
            </w:r>
          </w:p>
        </w:tc>
        <w:tc>
          <w:tcPr>
            <w:tcW w:type="dxa" w:w="5443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Situação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Áreas, seis duchas e recintos na A001</w:t>
            </w:r>
          </w:p>
        </w:tc>
        <w:tc>
          <w:tcPr>
            <w:tcW w:type="dxa" w:w="5443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Conferidos visualmente na planta recebida.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Memórias, unidades, somas e limiar de 10 A</w:t>
            </w:r>
          </w:p>
        </w:tc>
        <w:tc>
          <w:tcPr>
            <w:tcW w:type="dxa" w:w="5443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Recalculados por script e comparados com valores de controle.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Compatibilidade com E0</w:t>
            </w:r>
          </w:p>
        </w:tc>
        <w:tc>
          <w:tcPr>
            <w:tcW w:type="dxa" w:w="5443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Mantida a analogia à seção 9.5; registrada a revisão do perímetro de serviço.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Potências, modelos e fatores de potência reais</w:t>
            </w:r>
          </w:p>
        </w:tc>
        <w:tc>
          <w:tcPr>
            <w:tcW w:type="dxa" w:w="5443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Não disponíveis; substituídos por estimativas explícitas de projeto.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NBR 5410 e materiais das aulas</w:t>
            </w:r>
          </w:p>
        </w:tc>
        <w:tc>
          <w:tcPr>
            <w:tcW w:type="dxa" w:w="5443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Itens conferidos no PDF recebido e conceitos confrontados com os slides.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Circuitos, cabos, disjuntores e posições definitivas</w:t>
            </w:r>
          </w:p>
        </w:tc>
        <w:tc>
          <w:tcPr>
            <w:tcW w:type="dxa" w:w="5443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Fora da previsão de cargas; desenvolver nas próximas etapas.</w:t>
            </w:r>
          </w:p>
        </w:tc>
      </w:tr>
    </w:tbl>
    <w:p>
      <w:pPr>
        <w:pStyle w:val="Heading2"/>
      </w:pPr>
      <w:r>
        <w:t>Relação com as aulas</w:t>
      </w:r>
    </w:p>
    <w:p>
      <w:r>
        <w:rPr>
          <w:b w:val="0"/>
        </w:rPr>
        <w:t>Aula 28, páginas 5–9: motores, fator de potência e distinção entre potência útil e absorvida. Aula 31, páginas 5–9 e 34: tensões de linha/fase e FP = P/S. Aula 29, páginas 4–6 e 24: condutores, comando e representação, a desenvolver nas etapas seguintes. Aula 30, página 17: circuitos exclusivos para cargas acima de 10 A, confrontado com 9.5.3.1.</w:t>
      </w:r>
    </w:p>
    <w:p>
      <w:r>
        <w:br w:type="page"/>
      </w:r>
    </w:p>
    <w:p>
      <w:pPr>
        <w:pStyle w:val="Heading1"/>
      </w:pPr>
      <w:r>
        <w:t>9. Referências e conferência normativa</w:t>
      </w:r>
    </w:p>
    <w:p>
      <w:r>
        <w:rPr>
          <w:b w:val="0"/>
        </w:rPr>
        <w:t>No arquivo recebido, a página do PDF corresponde à página impressa acrescida de oito. As referências abaixo foram lidas diretamente no documento normativo, sem misturar a edição de 2004 com a data da versão corrigida de 2008.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3402"/>
        <w:gridCol w:w="2608"/>
      </w:tblGrid>
      <w:tr>
        <w:trPr>
          <w:tblHeader/>
          <w:cantSplit/>
        </w:trPr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Decisão / assunto</w:t>
            </w:r>
          </w:p>
        </w:tc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Item da NBR 5410:2004</w:t>
            </w:r>
          </w:p>
        </w:tc>
        <w:tc>
          <w:tcPr>
            <w:tcW w:type="dxa" w:w="260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Pág. impressa / PDF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Potência absorvida e pontos específicos</w:t>
            </w:r>
          </w:p>
        </w:tc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4.2.1.2.1 e 4.2.1.2.3</w:t>
            </w:r>
          </w:p>
        </w:tc>
        <w:tc>
          <w:tcPr>
            <w:tcW w:type="dxa" w:w="260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13 / 21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Critério geral de iluminação</w:t>
            </w:r>
          </w:p>
        </w:tc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4.2.1.2.2</w:t>
            </w:r>
          </w:p>
        </w:tc>
        <w:tc>
          <w:tcPr>
            <w:tcW w:type="dxa" w:w="260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13 / 21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DR de alta sensibilidade</w:t>
            </w:r>
          </w:p>
        </w:tc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5.1.3.2.2(a) e (e), notas</w:t>
            </w:r>
          </w:p>
        </w:tc>
        <w:tc>
          <w:tcPr>
            <w:tcW w:type="dxa" w:w="260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49–50 / 57–58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Local de banho e volumes de proteção</w:t>
            </w:r>
          </w:p>
        </w:tc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9.1.1 e 9.1.2.1</w:t>
            </w:r>
          </w:p>
        </w:tc>
        <w:tc>
          <w:tcPr>
            <w:tcW w:type="dxa" w:w="260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170–172 / 178–180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Campo de aplicação; um ponto fixo de luz</w:t>
            </w:r>
          </w:p>
        </w:tc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9.5.1 e 9.5.2.1.1</w:t>
            </w:r>
          </w:p>
        </w:tc>
        <w:tc>
          <w:tcPr>
            <w:tcW w:type="dxa" w:w="260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182–183 / 190–191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Carga mínima de iluminação por área</w:t>
            </w:r>
          </w:p>
        </w:tc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9.5.2.1.2(a) e (b)</w:t>
            </w:r>
          </w:p>
        </w:tc>
        <w:tc>
          <w:tcPr>
            <w:tcW w:type="dxa" w:w="260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183 / 191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Quantidade de TUG e alíneas adotadas</w:t>
            </w:r>
          </w:p>
        </w:tc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9.5.2.2.1(a), (b) e (e)</w:t>
            </w:r>
          </w:p>
        </w:tc>
        <w:tc>
          <w:tcPr>
            <w:tcW w:type="dxa" w:w="260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183 / 191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600 VA nos três primeiros; 100 VA excedentes</w:t>
            </w:r>
          </w:p>
        </w:tc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9.5.2.2.2(a)</w:t>
            </w:r>
          </w:p>
        </w:tc>
        <w:tc>
          <w:tcPr>
            <w:tcW w:type="dxa" w:w="260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184 / 192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Ligação direta do aquecedor de água</w:t>
            </w:r>
          </w:p>
        </w:tc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9.5.2.3</w:t>
            </w:r>
          </w:p>
        </w:tc>
        <w:tc>
          <w:tcPr>
            <w:tcW w:type="dxa" w:w="260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184 / 192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Ponto dedicado com corrente superior a 10 A</w:t>
            </w:r>
          </w:p>
        </w:tc>
        <w:tc>
          <w:tcPr>
            <w:tcW w:type="dxa" w:w="3402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9.5.3.1</w:t>
            </w:r>
          </w:p>
        </w:tc>
        <w:tc>
          <w:tcPr>
            <w:tcW w:type="dxa" w:w="2608"/>
          </w:tcPr>
          <w:p>
            <w:pPr>
              <w:spacing w:after="60" w:before="40" w:line="240" w:lineRule="auto"/>
            </w:pPr>
            <w:r>
              <w:rPr>
                <w:sz w:val="18"/>
              </w:rPr>
              <w:t>184 / 192</w:t>
            </w:r>
          </w:p>
        </w:tc>
      </w:tr>
    </w:tbl>
    <w:p>
      <w:pPr>
        <w:pStyle w:val="Heading2"/>
      </w:pPr>
      <w:r>
        <w:t>Documentos utilizados</w:t>
      </w:r>
    </w:p>
    <w:p>
      <w:r>
        <w:rPr>
          <w:b w:val="0"/>
        </w:rPr>
        <w:t>[1] E0_Monteiro.docx — levantamento individual recebido, fonte das áreas e dos critérios adotados.</w:t>
      </w:r>
    </w:p>
    <w:p>
      <w:r>
        <w:rPr>
          <w:b w:val="0"/>
        </w:rPr>
        <w:t>[2] AM008.24-01.A001 — Plantas baixas de execução (pavimento térreo e sala de observação), PDF recebido, folha única.</w:t>
      </w:r>
    </w:p>
    <w:p>
      <w:r>
        <w:rPr>
          <w:b w:val="0"/>
        </w:rPr>
        <w:t>[3] Projeto HID-43 — Etapa 0: Levantamento — enunciado recebido.</w:t>
      </w:r>
    </w:p>
    <w:p>
      <w:r>
        <w:rPr>
          <w:b w:val="0"/>
        </w:rPr>
        <w:t>[4] Projeto HID-43 — Etapa 1: Previsão de cargas — enunciado recebido, entrega em 27/10/2026.</w:t>
      </w:r>
    </w:p>
    <w:p>
      <w:r>
        <w:rPr>
          <w:b w:val="0"/>
        </w:rPr>
        <w:t>[5] ABNT. NBR 5410:2004 — Instalações elétricas de baixa tensão. Segunda edição, 30/09/2004; versão corrigida, 17/03/2008. Arquivo NBR-5410.pdf recebido, 217 páginas digitais, 209 páginas numeradas.</w:t>
      </w:r>
    </w:p>
    <w:p>
      <w:r>
        <w:rPr>
          <w:b w:val="0"/>
        </w:rPr>
        <w:t>[6] PIMENTEL, Marcio A. S. HID-43 — Instalações Elétricas. PDFs das aulas 28 (25 páginas), 29 (35 páginas), 30 (22 páginas) e 31 (65 páginas), recebidos como material de apoio da disciplina. Foram consultados os slides, sem alegação de reprodução dos vídeos.</w:t>
      </w:r>
    </w:p>
    <w:p>
      <w:r>
        <w:rPr>
          <w:b w:val="0"/>
        </w:rPr>
        <w:t>Não foram utilizados catálogos como fonte de potência. Os valores estimados são hipóteses autorais desta previsão, apresentadas para permitir revisão e substituição sem alterar o método.</w:t>
      </w:r>
    </w:p>
    <w:sectPr w:rsidR="00FC693F" w:rsidRPr="0006063C" w:rsidSect="00034616">
      <w:pgSz w:w="11906" w:h="16838"/>
      <w:pgMar w:top="964" w:right="964" w:bottom="907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Carlos A. Monteiro da Cunha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HID-43  /  INSTALAÇÕES ELÉTRICAS                         ETAPA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63B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B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63B5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HID-43 — Etapa 1: Previsão de cargas</dc:title>
  <dc:subject>Previsão acadêmica de cargas; premissas explícitas e memória de cálculo</dc:subject>
  <dc:creator>Carlos Alberto Monteiro da Cunha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