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77777777" w:rsidR="009718DE" w:rsidRPr="00CF7C84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</w:rPr>
        <w:t>Por trás da nuvem: o custo oculto do mundo digital</w:t>
      </w:r>
    </w:p>
    <w:p w14:paraId="434C6D26" w14:textId="77777777" w:rsidR="00A866D7" w:rsidRPr="00CF7C84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4"/>
        </w:rPr>
      </w:pPr>
      <w:commentRangeStart w:id="0"/>
    </w:p>
    <w:p w14:paraId="4513413D" w14:textId="77777777" w:rsidR="00FC70D8" w:rsidRPr="00CF7C84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CF7C84">
        <w:rPr>
          <w:rFonts w:ascii="Times New Roman" w:hAnsi="Times New Roman" w:cs="Times New Roman"/>
          <w:sz w:val="24"/>
          <w:szCs w:val="24"/>
        </w:rPr>
        <w:t>Arthur André Campos Nascimento</w:t>
      </w:r>
      <w:r w:rsidR="00FC70D8"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2"/>
      </w:r>
    </w:p>
    <w:p w14:paraId="0EBA97DB" w14:textId="77777777" w:rsidR="00595417" w:rsidRPr="00CF7C84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CF7C84">
        <w:rPr>
          <w:rFonts w:ascii="Times New Roman" w:hAnsi="Times New Roman" w:cs="Times New Roman"/>
          <w:sz w:val="24"/>
          <w:szCs w:val="24"/>
        </w:rPr>
        <w:t>Gabriel Medeiro Freitas</w:t>
      </w:r>
      <w:r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3"/>
      </w:r>
    </w:p>
    <w:p w14:paraId="2760661B" w14:textId="77777777" w:rsidR="00595417" w:rsidRPr="00CF7C84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CF7C84">
        <w:rPr>
          <w:rFonts w:ascii="Times New Roman" w:hAnsi="Times New Roman" w:cs="Times New Roman"/>
          <w:sz w:val="24"/>
          <w:szCs w:val="24"/>
        </w:rPr>
        <w:t>Giovanna Lopes de Carvalho</w:t>
      </w:r>
      <w:r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4"/>
      </w:r>
      <w:commentRangeEnd w:id="0"/>
      <w:r w:rsidR="001736FF">
        <w:rPr>
          <w:rStyle w:val="Refdecomentrio"/>
          <w:rFonts w:ascii="Times New Roman" w:hAnsi="Times New Roman"/>
          <w:sz w:val="24"/>
        </w:rPr>
        <w:commentReference w:id="0"/>
      </w:r>
    </w:p>
    <w:p w14:paraId="2760661C" w14:textId="77777777" w:rsidR="00595417" w:rsidRPr="00CF7C84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CF7C84">
        <w:rPr>
          <w:rFonts w:ascii="Times New Roman" w:hAnsi="Times New Roman" w:cs="Times New Roman"/>
          <w:sz w:val="24"/>
          <w:szCs w:val="24"/>
        </w:rPr>
        <w:t>Igor Luiz Maciel de Lima</w:t>
      </w:r>
      <w:r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5"/>
      </w:r>
    </w:p>
    <w:p w14:paraId="2760661D" w14:textId="77777777" w:rsidR="00595417" w:rsidRPr="00CF7C84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CF7C84">
        <w:rPr>
          <w:rFonts w:ascii="Times New Roman" w:hAnsi="Times New Roman" w:cs="Times New Roman"/>
          <w:sz w:val="24"/>
          <w:szCs w:val="24"/>
        </w:rPr>
        <w:t>Kerollyn Monteiro Costa</w:t>
      </w:r>
      <w:r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6"/>
      </w:r>
    </w:p>
    <w:p w14:paraId="3839E077" w14:textId="77777777" w:rsidR="00595417" w:rsidRPr="00CF7C84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1F651A16" w14:textId="77777777" w:rsidR="00595417" w:rsidRPr="00CF7C84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4A68434" w14:textId="77777777" w:rsidR="00F670B9" w:rsidRPr="00CF7C8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2A79F0" w14:textId="77777777" w:rsidR="00F670B9" w:rsidRPr="00CF7C8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94A4C3" w14:textId="77777777" w:rsidR="00A866D7" w:rsidRPr="004708DB" w:rsidDel="006D5DF8" w:rsidRDefault="00A866D7" w:rsidP="00AD1B1B">
      <w:pPr>
        <w:spacing w:after="0" w:line="24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commentRangeStart w:id="77"/>
      <w:r w:rsidRPr="004708DB">
        <w:rPr>
          <w:rFonts w:ascii="Times New Roman" w:hAnsi="Times New Roman" w:cs="Times New Roman"/>
          <w:b/>
          <w:sz w:val="28"/>
          <w:szCs w:val="28"/>
        </w:rPr>
        <w:t>RESUMO</w:t>
      </w:r>
      <w:commentRangeEnd w:id="77"/>
      <w:r w:rsidR="0030327C" w:rsidRPr="004708DB">
        <w:rPr>
          <w:rStyle w:val="Refdecomentrio"/>
          <w:rFonts w:ascii="Times New Roman" w:hAnsi="Times New Roman" w:cs="Times New Roman"/>
          <w:b/>
          <w:sz w:val="24"/>
          <w:szCs w:val="24"/>
        </w:rPr>
        <w:commentReference w:id="77"/>
      </w:r>
    </w:p>
    <w:p w14:paraId="07F0A2EC" w14:textId="23209D19">
      <w:pPr>
        <w:spacing w:before="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expansão dos serviços digitais e da Inteligência Artificial (IA) tem ampliado a demanda por data centers, instalações que abrigam servidores, equipamentos de rede e sistemas de armazenamento e que operam de forma ininterrupta. Esse funcionamento contínuo gera calor, exige refrigeração e mantém elevada a demanda por energia (LIMA; BARBOSA, 2025), além de envolver o uso de água, o que configura um custo ambiental pouco visível no ambiente digital. Nesse contexto, o TI Verde reúne práticas destinadas a reduzir os impactos ambientais da tecnologia. Diante disso, a pesquisa busca responder à seguinte questão: como o alto consumo de energia e a refrigeração contínua dos data centers de grande porte afetam o meio ambiente e quais dificuldades limitam a adoção do TI Verde nesses ambientes? O tema justifica-se pelo crescimento dessas estruturas e por seus efeitos nas regiões onde são instaladas, como o consumo de recursos naturais, as emissões de carbono e os ruídos. O objetivo é analisar os impactos ambientais associados ao consumo de energia, à refrigeração e aos ruídos, identificando de que modo as práticas de TI Verde podem reduzi-los. Adotou-se a revisão bibliográfica, de abordagem qualitativa, exploratória e descritiva, realizada em aproximadamente duas semanas. Foram incluídos estudos publicados entre 2021 e 2026 que tratassem, de forma ampla, dos impactos ambientais dos data centers, e excluídos aqueles sem relação direta com o tema ou com recorte territorial muito restrito. Quatro artigos foram lidos e fichados, e três fundamentaram a análise final, estruturada em matriz de síntese com três eixos: consumo de energia e refrigeração; práticas de TI Verde; e limites da eficiência e desafios de implementação. Verificou-se, adicionalmente, se os estudos abordavam os ruídos. No primeiro eixo, Lima e Barbosa (2025), em revisão sistemática que partiu de 156 trabalhos e analisou 28, indicam que o controle adequado da temperatura contribui para reduzir o consumo de energia, mediante estratégias como o resfriamento natural, a contenção de ar e os sistemas inteligentes de controle. No segundo, Prieto et al. (2025) analisam os data centers do Google com base nos indicadores PUE, WUE e CUE e registram PUE de 1,09 e WUE de 1,7 L/kWh, associados ao uso de energia renovável, ao resfriamento eficiente e à recuperação de calor. Nusdeo et al. (2025), por sua vez, abordam a computação verde também como política pública, juntamente com a virtualização e o emprego de equipamentos mais duráveis e recicláveis. Constata-se que as práticas descritas coincidem em grande parte, mas são tratadas sob perspectivas distintas: técnica, baseada em indicadores ou voltada a políticas públicas. O terceiro eixo evidencia os limites da eficiência. Prieto et al. (2025) observam que, apesar dos bons indicadores, o consumo total de energia e de água segue em crescimento com a IA generativa, de modo que a eficiência por unidade de processamento não equivale, necessariamente, à redução do impacto global. Nusdeo et al. (2025), ao examinarem o contexto brasileiro, identificam lacunas regulatórias, sobretudo no licenciamento ambiental, que dificultam o controle do uso dos recursos naturais. Os desafios são, portanto, de natureza técnica, em razão da pressão do aumento da demanda, e institucional. Quanto às limitações, Prieto et al. (2025) concentram-se em uma única empresa e dependem de dados por ela divulgados, e Nusdeo et al. (2025) não realizam medições próprias de energia, água ou ruídos. Constitui lacuna relevante o fato de nenhum dos três estudos aprofundar os ruídos, que integram o recorte desta pesquisa, além da atenção reduzida conferida ao consumo de água e às dificuldades de manter a operação ininterrupta. Em resposta à questão proposta, conclui-se que as práticas de TI Verde contribuem para mitigar os impactos, mas não são suficientes de forma isolada: sem o controle do crescimento da demanda e sem regras claras de licenciamento, o ganho de eficiência pode ser anulado pelo aumento do consumo. Recomenda-se que pesquisas futuras investiguem os ruídos e comparem a eficácia dessas práticas em data centers de portes e climas distintos, especialmente no contexto brasileiro. Como limitação, esta análise baseia-se exclusivamente em literatura e em número reduzido de estudos, dependendo das informações por eles apresentadas.</w:t>
      </w:r>
    </w:p>
    <w:p w14:paraId="35A6F002" w14:textId="77777777" w:rsidR="004708DB" w:rsidRPr="00CF7C84" w:rsidRDefault="004708DB" w:rsidP="004708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524003" w14:textId="77777777" w:rsidR="004708DB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t xml:space="preserve">Palavras-chave: </w:t>
      </w:r>
      <w:r>
        <w:rPr>
          <w:rFonts w:ascii="Times New Roman" w:hAnsi="Times New Roman"/>
          <w:sz w:val="24"/>
        </w:rPr>
        <w:t>Data centers. TI Verde. Eficiência energética.</w:t>
      </w:r>
    </w:p>
    <w:p w14:paraId="4E6E9146" w14:textId="77777777" w:rsidR="004708DB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C810A3" w14:textId="77777777" w:rsidR="00C259E1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32E766" w14:textId="77777777" w:rsidR="007641CF" w:rsidRPr="004708DB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commentRangeStart w:id="81"/>
      <w:r w:rsidRPr="004708DB">
        <w:rPr>
          <w:rFonts w:ascii="Times New Roman" w:hAnsi="Times New Roman" w:cs="Times New Roman"/>
          <w:b/>
          <w:sz w:val="24"/>
          <w:szCs w:val="24"/>
        </w:rPr>
        <w:t>REFERÊNCIA</w:t>
      </w:r>
      <w:r w:rsidR="00E1616A" w:rsidRPr="004708DB">
        <w:rPr>
          <w:rFonts w:ascii="Times New Roman" w:hAnsi="Times New Roman" w:cs="Times New Roman"/>
          <w:b/>
          <w:sz w:val="24"/>
          <w:szCs w:val="24"/>
        </w:rPr>
        <w:t>S</w:t>
      </w:r>
      <w:commentRangeEnd w:id="81"/>
      <w:r w:rsidR="000656E9" w:rsidRPr="004708DB">
        <w:rPr>
          <w:b/>
          <w:sz w:val="24"/>
          <w:szCs w:val="24"/>
        </w:rPr>
        <w:commentReference w:id="81"/>
      </w:r>
    </w:p>
    <w:p>
      <w:pPr>
        <w:spacing w:before="200" w:after="20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LIMA, Rodrigo Santiago do Nascimento; BARBOSA, Andréa Teresa Riccio. Estratégia de eficiência energética em data centers: revisão sistemática. </w:t>
      </w:r>
      <w:r>
        <w:rPr>
          <w:rFonts w:ascii="Times New Roman" w:hAnsi="Times New Roman" w:cs="Times New Roman"/>
          <w:b/>
          <w:sz w:val="24"/>
          <w:szCs w:val="24"/>
        </w:rPr>
        <w:t xml:space="preserve">Latin American Journal of Energy Research – LAJER</w:t>
      </w:r>
      <w:r>
        <w:rPr>
          <w:rFonts w:ascii="Times New Roman" w:hAnsi="Times New Roman" w:cs="Times New Roman"/>
          <w:sz w:val="24"/>
          <w:szCs w:val="24"/>
        </w:rPr>
        <w:t xml:space="preserve">, v. 12, n. 4, p. 73–82, 2025. DOI: https://doi.org/10.21712/lajer.2025.v12.n4.p73-82.</w:t>
      </w:r>
    </w:p>
    <w:p>
      <w:pPr>
        <w:spacing w:before="200" w:after="20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NUSDEO, Ana Maria de Oliveira et al. O Brasil como polo de data centers de IA no Sul Global: limites regulatórios e riscos socioambientais. </w:t>
      </w:r>
      <w:r>
        <w:rPr>
          <w:rFonts w:ascii="Times New Roman" w:hAnsi="Times New Roman" w:cs="Times New Roman"/>
          <w:b/>
          <w:sz w:val="24"/>
          <w:szCs w:val="24"/>
        </w:rPr>
        <w:t xml:space="preserve">Revista Jurídica Direito &amp; Realidade</w:t>
      </w:r>
      <w:r>
        <w:rPr>
          <w:rFonts w:ascii="Times New Roman" w:hAnsi="Times New Roman" w:cs="Times New Roman"/>
          <w:sz w:val="24"/>
          <w:szCs w:val="24"/>
        </w:rPr>
        <w:t xml:space="preserve">, v. 16, 2025. Disponível em: https://revistas.fucamp.edu.br/index.php/direito-realidade/article/view/4036. Acesso em: 6 out. 2026.</w:t>
      </w:r>
    </w:p>
    <w:p>
      <w:pPr>
        <w:spacing w:before="200" w:after="20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PRIETO, Ricardo Brito Ponticceli et al. Sustentabilidade energética e ambiental em datacenters de inteligência artificial: estudo de caso Google Data Centers (2024–2025). </w:t>
      </w:r>
      <w:r>
        <w:rPr>
          <w:rFonts w:ascii="Times New Roman" w:hAnsi="Times New Roman" w:cs="Times New Roman"/>
          <w:b/>
          <w:sz w:val="24"/>
          <w:szCs w:val="24"/>
        </w:rPr>
        <w:t xml:space="preserve">Revista DELOS</w:t>
      </w:r>
      <w:r>
        <w:rPr>
          <w:rFonts w:ascii="Times New Roman" w:hAnsi="Times New Roman" w:cs="Times New Roman"/>
          <w:sz w:val="24"/>
          <w:szCs w:val="24"/>
        </w:rPr>
        <w:t xml:space="preserve">, Curitiba, v. 18, n. 75, e7760, 2025. DOI: https://doi.org/10.55905/rdelosv18.n75-008.</w:t>
      </w:r>
    </w:p>
    <w:sectPr w:rsidR="00C708FD" w:rsidRPr="00CF7C84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77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81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4526F" w14:textId="77777777" w:rsidR="00F72D6C" w:rsidRDefault="00F72D6C" w:rsidP="00FC70D8">
      <w:pPr>
        <w:spacing w:after="0" w:line="240" w:lineRule="auto"/>
      </w:pPr>
      <w:r>
        <w:separator/>
      </w:r>
    </w:p>
  </w:endnote>
  <w:endnote w:type="continuationSeparator" w:id="0">
    <w:p w14:paraId="79B52FB6" w14:textId="77777777" w:rsidR="00F72D6C" w:rsidRDefault="00F72D6C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1E6AF" w14:textId="77777777" w:rsidR="00F72D6C" w:rsidRDefault="00F72D6C" w:rsidP="00FC70D8">
      <w:pPr>
        <w:spacing w:after="0" w:line="240" w:lineRule="auto"/>
      </w:pPr>
      <w:r>
        <w:separator/>
      </w:r>
    </w:p>
  </w:footnote>
  <w:footnote w:type="continuationSeparator" w:id="0">
    <w:p w14:paraId="7EC98738" w14:textId="77777777" w:rsidR="00F72D6C" w:rsidRDefault="00F72D6C" w:rsidP="00FC70D8">
      <w:pPr>
        <w:spacing w:after="0" w:line="240" w:lineRule="auto"/>
      </w:pPr>
      <w:r>
        <w:continuationSeparator/>
      </w:r>
    </w:p>
  </w:footnote>
  <w:footnote w:id="2">
    <w:p>
      <w:pPr>
        <w:pStyle w:val="Textodenotaderodap"/>
        <w:rPr>
          <w:rFonts w:ascii="Times New Roman" w:hAnsi="Times New Roman" w:cs="Times New Roman"/>
          <w:sz w:val="16"/>
          <w:szCs w:val="16"/>
        </w:rPr>
      </w:pPr>
      <w:r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arthur.nascimento@cs.brazcubas.edu.br - RGM 47359412 - Centro Universitário Braz Cubas - Graduando em Ciência da Computação (xº semestre)</w:t>
      </w:r>
    </w:p>
  </w:footnote>
  <w:footnote w:id="3">
    <w:p>
      <w:pPr>
        <w:pStyle w:val="Textodenotaderodap"/>
        <w:rPr>
          <w:rFonts w:ascii="Times New Roman" w:hAnsi="Times New Roman" w:cs="Times New Roman"/>
          <w:sz w:val="16"/>
          <w:szCs w:val="16"/>
        </w:rPr>
      </w:pPr>
      <w:r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gabriel.freitas006@cs.brazcubas.edu.br - RGM 47803878 - Centro Universitário Braz Cubas - Graduando em Ciência da Computação (xº semestre)</w:t>
      </w:r>
    </w:p>
  </w:footnote>
  <w:footnote w:id="4">
    <w:p>
      <w:pPr>
        <w:pStyle w:val="Textodenotaderodap"/>
        <w:rPr>
          <w:rFonts w:ascii="Times New Roman" w:hAnsi="Times New Roman" w:cs="Times New Roman"/>
          <w:sz w:val="16"/>
          <w:szCs w:val="16"/>
        </w:rPr>
      </w:pPr>
      <w:r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giovanna.carvalho@cs.brazcubas.edu.br - RGM 46663061 - Centro Universitário Braz Cubas - Graduando em Ciência da Computação (xº semestre)</w:t>
      </w:r>
    </w:p>
  </w:footnote>
  <w:footnote w:id="5">
    <w:p>
      <w:pPr>
        <w:pStyle w:val="Textodenotaderodap"/>
        <w:rPr>
          <w:rFonts w:ascii="Times New Roman" w:hAnsi="Times New Roman" w:cs="Times New Roman"/>
          <w:sz w:val="16"/>
          <w:szCs w:val="16"/>
        </w:rPr>
      </w:pPr>
      <w:r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igor.lima008@cs.cruzeirodosul.edu.br - RGM 47628316 - Centro Universitário Braz Cubas - Graduando em Ciência da Computação (xº semestre)</w:t>
      </w:r>
    </w:p>
  </w:footnote>
  <w:footnote w:id="6">
    <w:p>
      <w:pPr>
        <w:pStyle w:val="Textodenotaderodap"/>
        <w:rPr>
          <w:rFonts w:ascii="Times New Roman" w:hAnsi="Times New Roman" w:cs="Times New Roman"/>
          <w:sz w:val="16"/>
          <w:szCs w:val="16"/>
        </w:rPr>
      </w:pPr>
      <w:r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kerollyn.kerollyn@cs.brazcubas.edu.br - RGM 47778831 - Centro Universitário Braz Cubas - Graduando em Ciência da Computação (xº semestre)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D5DF8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C7DDE"/>
    <w:rsid w:val="00CD4A34"/>
    <w:rsid w:val="00CF5578"/>
    <w:rsid w:val="00CF7C84"/>
    <w:rsid w:val="00D716B8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179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/>
  <cp:revision>19</cp:revision>
  <cp:lastPrinted>2021-08-29T20:44:00Z</cp:lastPrinted>
  <dcterms:created xsi:type="dcterms:W3CDTF">2022-03-18T16:02:00Z</dcterms:created>
  <dcterms:modified xsi:type="dcterms:W3CDTF">2026-10-06T22:11:00Z</dcterms:modified>
</cp:coreProperties>
</file>